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3F2B6C">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imes New Roman" w:hAnsi="Times New Roman" w:eastAsia="宋体" w:cs="Times New Roman"/>
          <w:b/>
          <w:bCs w:val="0"/>
          <w:color w:val="auto"/>
          <w:sz w:val="72"/>
          <w:szCs w:val="72"/>
          <w:lang w:eastAsia="zh-CN"/>
        </w:rPr>
      </w:pPr>
      <w:r>
        <w:rPr>
          <w:rFonts w:hint="eastAsia" w:ascii="Times New Roman" w:hAnsi="Times New Roman" w:eastAsia="宋体" w:cs="Times New Roman"/>
          <w:b/>
          <w:bCs w:val="0"/>
          <w:color w:val="auto"/>
          <w:sz w:val="72"/>
          <w:szCs w:val="72"/>
          <w:lang w:eastAsia="zh-CN"/>
        </w:rPr>
        <w:drawing>
          <wp:anchor distT="0" distB="0" distL="114300" distR="114300" simplePos="0" relativeHeight="251663360" behindDoc="0" locked="0" layoutInCell="1" allowOverlap="1">
            <wp:simplePos x="0" y="0"/>
            <wp:positionH relativeFrom="column">
              <wp:posOffset>-247015</wp:posOffset>
            </wp:positionH>
            <wp:positionV relativeFrom="paragraph">
              <wp:posOffset>-57150</wp:posOffset>
            </wp:positionV>
            <wp:extent cx="6478270" cy="9161780"/>
            <wp:effectExtent l="0" t="0" r="17780" b="1270"/>
            <wp:wrapNone/>
            <wp:docPr id="27" name="图片 27" descr="{D603AB40-0FBE-485D-9F1D-EE4C1A4D714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603AB40-0FBE-485D-9F1D-EE4C1A4D7145}_01"/>
                    <pic:cNvPicPr>
                      <a:picLocks noChangeAspect="1"/>
                    </pic:cNvPicPr>
                  </pic:nvPicPr>
                  <pic:blipFill>
                    <a:blip r:embed="rId13"/>
                    <a:stretch>
                      <a:fillRect/>
                    </a:stretch>
                  </pic:blipFill>
                  <pic:spPr>
                    <a:xfrm>
                      <a:off x="0" y="0"/>
                      <a:ext cx="6478270" cy="9161780"/>
                    </a:xfrm>
                    <a:prstGeom prst="rect">
                      <a:avLst/>
                    </a:prstGeom>
                  </pic:spPr>
                </pic:pic>
              </a:graphicData>
            </a:graphic>
          </wp:anchor>
        </w:drawing>
      </w:r>
    </w:p>
    <w:p w14:paraId="3F8C878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p>
    <w:p w14:paraId="4BC34328">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p>
    <w:p w14:paraId="33A68B1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val="0"/>
          <w:color w:val="auto"/>
          <w:sz w:val="72"/>
          <w:szCs w:val="72"/>
        </w:rPr>
      </w:pPr>
      <w:r>
        <w:rPr>
          <w:rFonts w:hint="default" w:ascii="Times New Roman" w:hAnsi="Times New Roman" w:eastAsia="宋体" w:cs="Times New Roman"/>
          <w:b/>
          <w:bCs w:val="0"/>
          <w:color w:val="auto"/>
          <w:sz w:val="72"/>
          <w:szCs w:val="72"/>
        </w:rPr>
        <w:t>建设项目环境影响报告表</w:t>
      </w:r>
    </w:p>
    <w:p w14:paraId="0462DD57">
      <w:pPr>
        <w:adjustRightInd w:val="0"/>
        <w:snapToGrid w:val="0"/>
        <w:spacing w:before="192" w:beforeLines="80"/>
        <w:jc w:val="center"/>
        <w:rPr>
          <w:rFonts w:hint="default" w:ascii="Times New Roman" w:hAnsi="Times New Roman" w:eastAsia="宋体" w:cs="Times New Roman"/>
          <w:b w:val="0"/>
          <w:bCs/>
          <w:color w:val="auto"/>
          <w:sz w:val="48"/>
          <w:szCs w:val="48"/>
        </w:rPr>
      </w:pPr>
      <w:r>
        <w:rPr>
          <w:rFonts w:hint="default" w:ascii="Times New Roman" w:hAnsi="Times New Roman" w:eastAsia="宋体" w:cs="Times New Roman"/>
          <w:b w:val="0"/>
          <w:bCs/>
          <w:color w:val="auto"/>
          <w:sz w:val="48"/>
          <w:szCs w:val="48"/>
        </w:rPr>
        <w:t>（污染影响类）</w:t>
      </w:r>
    </w:p>
    <w:p w14:paraId="561117B7">
      <w:pPr>
        <w:adjustRightInd w:val="0"/>
        <w:snapToGrid w:val="0"/>
        <w:spacing w:line="288" w:lineRule="auto"/>
        <w:jc w:val="center"/>
        <w:outlineLvl w:val="0"/>
        <w:rPr>
          <w:rFonts w:hint="default" w:ascii="Times New Roman" w:hAnsi="Times New Roman" w:eastAsia="宋体" w:cs="Times New Roman"/>
          <w:color w:val="auto"/>
          <w:kern w:val="44"/>
          <w:sz w:val="44"/>
          <w:szCs w:val="44"/>
        </w:rPr>
      </w:pPr>
    </w:p>
    <w:p w14:paraId="6727C83F">
      <w:pPr>
        <w:jc w:val="center"/>
        <w:rPr>
          <w:rFonts w:hint="default" w:ascii="Times New Roman" w:hAnsi="Times New Roman" w:eastAsia="宋体" w:cs="Times New Roman"/>
          <w:color w:val="auto"/>
          <w:sz w:val="52"/>
          <w:szCs w:val="52"/>
        </w:rPr>
      </w:pPr>
    </w:p>
    <w:p w14:paraId="56824A33">
      <w:pPr>
        <w:ind w:firstLine="1040"/>
        <w:rPr>
          <w:rFonts w:hint="default" w:ascii="Times New Roman" w:hAnsi="Times New Roman" w:eastAsia="宋体" w:cs="Times New Roman"/>
          <w:color w:val="auto"/>
          <w:sz w:val="44"/>
          <w:szCs w:val="44"/>
        </w:rPr>
      </w:pPr>
    </w:p>
    <w:p w14:paraId="51A942DF">
      <w:pPr>
        <w:ind w:firstLine="1040"/>
        <w:rPr>
          <w:rFonts w:hint="default" w:ascii="Times New Roman" w:hAnsi="Times New Roman" w:eastAsia="宋体" w:cs="Times New Roman"/>
          <w:color w:val="auto"/>
          <w:sz w:val="44"/>
          <w:szCs w:val="44"/>
        </w:rPr>
      </w:pPr>
    </w:p>
    <w:p w14:paraId="688DDF26">
      <w:pPr>
        <w:ind w:firstLine="1040"/>
        <w:rPr>
          <w:rFonts w:hint="default" w:ascii="Times New Roman" w:hAnsi="Times New Roman" w:eastAsia="宋体" w:cs="Times New Roman"/>
          <w:color w:val="auto"/>
          <w:sz w:val="44"/>
          <w:szCs w:val="44"/>
        </w:rPr>
      </w:pPr>
    </w:p>
    <w:p w14:paraId="23FB13E5">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cs="Times New Roman"/>
          <w:color w:val="auto"/>
          <w:sz w:val="36"/>
          <w:szCs w:val="36"/>
          <w:u w:val="none"/>
          <w:lang w:eastAsia="zh-CN"/>
        </w:rPr>
      </w:pPr>
    </w:p>
    <w:p w14:paraId="50507CDF">
      <w:pPr>
        <w:keepNext w:val="0"/>
        <w:keepLines w:val="0"/>
        <w:pageBreakBefore w:val="0"/>
        <w:widowControl w:val="0"/>
        <w:kinsoku/>
        <w:wordWrap/>
        <w:overflowPunct/>
        <w:topLinePunct w:val="0"/>
        <w:autoSpaceDE/>
        <w:autoSpaceDN/>
        <w:bidi w:val="0"/>
        <w:adjustRightInd w:val="0"/>
        <w:snapToGrid w:val="0"/>
        <w:spacing w:line="288" w:lineRule="auto"/>
        <w:ind w:left="1919" w:leftChars="152" w:hanging="1600" w:hangingChars="500"/>
        <w:textAlignment w:val="auto"/>
        <w:rPr>
          <w:rFonts w:hint="default" w:ascii="Times New Roman" w:hAnsi="Times New Roman" w:eastAsia="宋体" w:cs="Times New Roman"/>
          <w:color w:val="auto"/>
          <w:sz w:val="32"/>
          <w:szCs w:val="32"/>
          <w:u w:val="none"/>
          <w:lang w:eastAsia="zh-CN"/>
        </w:rPr>
      </w:pPr>
    </w:p>
    <w:p w14:paraId="1A5D3C1C">
      <w:pPr>
        <w:keepNext w:val="0"/>
        <w:keepLines w:val="0"/>
        <w:pageBreakBefore w:val="0"/>
        <w:widowControl w:val="0"/>
        <w:kinsoku/>
        <w:wordWrap/>
        <w:overflowPunct/>
        <w:topLinePunct w:val="0"/>
        <w:autoSpaceDE/>
        <w:autoSpaceDN/>
        <w:bidi w:val="0"/>
        <w:adjustRightInd w:val="0"/>
        <w:snapToGrid w:val="0"/>
        <w:spacing w:line="288" w:lineRule="auto"/>
        <w:ind w:left="1919" w:leftChars="152" w:hanging="1600" w:hangingChars="500"/>
        <w:textAlignment w:val="auto"/>
        <w:rPr>
          <w:rFonts w:hint="default" w:ascii="Times New Roman" w:hAnsi="Times New Roman" w:eastAsia="宋体" w:cs="Times New Roman"/>
          <w:color w:val="auto"/>
          <w:sz w:val="32"/>
          <w:szCs w:val="32"/>
          <w:u w:val="single"/>
          <w:lang w:val="en-US" w:eastAsia="zh-CN"/>
        </w:rPr>
      </w:pPr>
      <w:r>
        <w:rPr>
          <w:rFonts w:hint="default" w:ascii="Times New Roman" w:hAnsi="Times New Roman" w:eastAsia="宋体" w:cs="Times New Roman"/>
          <w:color w:val="auto"/>
          <w:sz w:val="32"/>
          <w:szCs w:val="32"/>
          <w:u w:val="none"/>
          <w:lang w:eastAsia="zh-CN"/>
        </w:rPr>
        <w:t>项目名称：</w:t>
      </w:r>
      <w:r>
        <w:rPr>
          <w:rFonts w:hint="eastAsia" w:ascii="Times New Roman" w:hAnsi="Times New Roman" w:eastAsia="宋体"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rPr>
        <w:t>福建铠盾材料科技有限公司年加工300万件注塑件、年加工1200万件下卡条、1000万件钣金件</w:t>
      </w:r>
      <w:r>
        <w:rPr>
          <w:rFonts w:hint="eastAsia" w:ascii="Times New Roman" w:hAnsi="Times New Roman" w:eastAsia="宋体" w:cs="Times New Roman"/>
          <w:color w:val="auto"/>
          <w:sz w:val="32"/>
          <w:szCs w:val="32"/>
          <w:u w:val="single"/>
          <w:lang w:val="en-US" w:eastAsia="zh-CN"/>
        </w:rPr>
        <w:t xml:space="preserve">                  </w:t>
      </w:r>
    </w:p>
    <w:p w14:paraId="406C95CF">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建设单位（盖章）：</w:t>
      </w:r>
      <w:r>
        <w:rPr>
          <w:rFonts w:hint="eastAsia" w:ascii="Times New Roman" w:hAnsi="Times New Roman" w:eastAsia="宋体" w:cs="Times New Roman"/>
          <w:color w:val="auto"/>
          <w:sz w:val="32"/>
          <w:szCs w:val="32"/>
          <w:u w:val="single"/>
          <w:lang w:val="en-US" w:eastAsia="zh-CN"/>
        </w:rPr>
        <w:t xml:space="preserve">     福建铠盾材料科技有限公司</w:t>
      </w:r>
      <w:r>
        <w:rPr>
          <w:rFonts w:hint="default" w:ascii="Times New Roman" w:hAnsi="Times New Roman" w:eastAsia="宋体"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sz w:val="32"/>
          <w:szCs w:val="32"/>
          <w:u w:val="single"/>
          <w:lang w:val="en-US" w:eastAsia="zh-CN"/>
        </w:rPr>
        <w:t xml:space="preserve"> </w:t>
      </w:r>
    </w:p>
    <w:p w14:paraId="4DD040E4">
      <w:pPr>
        <w:keepNext w:val="0"/>
        <w:keepLines w:val="0"/>
        <w:pageBreakBefore w:val="0"/>
        <w:widowControl w:val="0"/>
        <w:kinsoku/>
        <w:wordWrap/>
        <w:overflowPunct/>
        <w:topLinePunct w:val="0"/>
        <w:autoSpaceDE/>
        <w:autoSpaceDN/>
        <w:bidi w:val="0"/>
        <w:adjustRightInd w:val="0"/>
        <w:snapToGrid w:val="0"/>
        <w:spacing w:line="288" w:lineRule="auto"/>
        <w:ind w:firstLine="320" w:firstLineChars="100"/>
        <w:jc w:val="both"/>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编制日期：</w:t>
      </w:r>
      <w:r>
        <w:rPr>
          <w:rFonts w:hint="eastAsia" w:ascii="Times New Roman" w:hAnsi="Times New Roman" w:eastAsia="宋体" w:cs="Times New Roman"/>
          <w:color w:val="auto"/>
          <w:sz w:val="32"/>
          <w:szCs w:val="32"/>
          <w:u w:val="single"/>
          <w:lang w:val="en-US" w:eastAsia="zh-CN"/>
        </w:rPr>
        <w:t xml:space="preserve">                 2</w:t>
      </w:r>
      <w:r>
        <w:rPr>
          <w:rFonts w:hint="default" w:ascii="Times New Roman" w:hAnsi="Times New Roman" w:eastAsia="宋体" w:cs="Times New Roman"/>
          <w:color w:val="auto"/>
          <w:sz w:val="32"/>
          <w:szCs w:val="32"/>
          <w:u w:val="single"/>
          <w:lang w:val="en-US" w:eastAsia="zh-CN"/>
        </w:rPr>
        <w:t>02</w:t>
      </w:r>
      <w:r>
        <w:rPr>
          <w:rFonts w:hint="eastAsia" w:ascii="Times New Roman" w:hAnsi="Times New Roman" w:eastAsia="宋体" w:cs="Times New Roman"/>
          <w:color w:val="auto"/>
          <w:sz w:val="32"/>
          <w:szCs w:val="32"/>
          <w:u w:val="single"/>
          <w:lang w:val="en-US" w:eastAsia="zh-CN"/>
        </w:rPr>
        <w:t>5</w:t>
      </w:r>
      <w:r>
        <w:rPr>
          <w:rFonts w:hint="default" w:ascii="Times New Roman" w:hAnsi="Times New Roman" w:eastAsia="宋体" w:cs="Times New Roman"/>
          <w:color w:val="auto"/>
          <w:sz w:val="32"/>
          <w:szCs w:val="32"/>
          <w:u w:val="single"/>
          <w:lang w:val="en-US" w:eastAsia="zh-CN"/>
        </w:rPr>
        <w:t>年</w:t>
      </w:r>
      <w:r>
        <w:rPr>
          <w:rFonts w:hint="eastAsia" w:cs="Times New Roman"/>
          <w:color w:val="auto"/>
          <w:sz w:val="32"/>
          <w:szCs w:val="32"/>
          <w:u w:val="single"/>
          <w:lang w:val="en-US" w:eastAsia="zh-CN"/>
        </w:rPr>
        <w:t>10</w:t>
      </w:r>
      <w:r>
        <w:rPr>
          <w:rFonts w:hint="default" w:ascii="Times New Roman" w:hAnsi="Times New Roman" w:eastAsia="宋体" w:cs="Times New Roman"/>
          <w:color w:val="auto"/>
          <w:sz w:val="32"/>
          <w:szCs w:val="32"/>
          <w:u w:val="single"/>
          <w:lang w:val="en-US" w:eastAsia="zh-CN"/>
        </w:rPr>
        <w:t>月</w:t>
      </w:r>
      <w:r>
        <w:rPr>
          <w:rFonts w:hint="eastAsia" w:ascii="Times New Roman" w:hAnsi="Times New Roman" w:eastAsia="宋体" w:cs="Times New Roman"/>
          <w:color w:val="auto"/>
          <w:sz w:val="32"/>
          <w:szCs w:val="32"/>
          <w:u w:val="single"/>
          <w:lang w:val="en-US" w:eastAsia="zh-CN"/>
        </w:rPr>
        <w:t xml:space="preserve">                   </w:t>
      </w:r>
    </w:p>
    <w:p w14:paraId="3BE9C19A">
      <w:pPr>
        <w:adjustRightInd w:val="0"/>
        <w:snapToGrid w:val="0"/>
        <w:spacing w:line="288" w:lineRule="auto"/>
        <w:ind w:firstLine="1040"/>
        <w:rPr>
          <w:rFonts w:hint="default" w:ascii="Times New Roman" w:hAnsi="Times New Roman" w:eastAsia="宋体" w:cs="Times New Roman"/>
          <w:color w:val="auto"/>
          <w:sz w:val="32"/>
          <w:szCs w:val="32"/>
          <w:u w:val="single"/>
        </w:rPr>
      </w:pPr>
      <w:bookmarkStart w:id="0" w:name="_Hlk57884087"/>
    </w:p>
    <w:p w14:paraId="00B63B49">
      <w:pPr>
        <w:adjustRightInd w:val="0"/>
        <w:snapToGrid w:val="0"/>
        <w:spacing w:line="288" w:lineRule="auto"/>
        <w:ind w:firstLine="1040"/>
        <w:rPr>
          <w:rFonts w:hint="default" w:ascii="Times New Roman" w:hAnsi="Times New Roman" w:eastAsia="宋体" w:cs="Times New Roman"/>
          <w:color w:val="auto"/>
          <w:sz w:val="36"/>
          <w:szCs w:val="36"/>
        </w:rPr>
      </w:pPr>
    </w:p>
    <w:p w14:paraId="18E8EA10">
      <w:pPr>
        <w:adjustRightInd w:val="0"/>
        <w:snapToGrid w:val="0"/>
        <w:spacing w:line="288" w:lineRule="auto"/>
        <w:ind w:firstLine="1040"/>
        <w:rPr>
          <w:rFonts w:hint="default" w:ascii="Times New Roman" w:hAnsi="Times New Roman" w:eastAsia="宋体" w:cs="Times New Roman"/>
          <w:color w:val="auto"/>
          <w:sz w:val="36"/>
          <w:szCs w:val="36"/>
        </w:rPr>
      </w:pPr>
    </w:p>
    <w:p w14:paraId="1FAC0EA0">
      <w:pPr>
        <w:adjustRightInd w:val="0"/>
        <w:snapToGrid w:val="0"/>
        <w:spacing w:line="288" w:lineRule="auto"/>
        <w:ind w:firstLine="1040"/>
        <w:rPr>
          <w:rFonts w:hint="default" w:ascii="Times New Roman" w:hAnsi="Times New Roman" w:eastAsia="宋体" w:cs="Times New Roman"/>
          <w:color w:val="auto"/>
          <w:sz w:val="36"/>
          <w:szCs w:val="36"/>
        </w:rPr>
      </w:pPr>
    </w:p>
    <w:bookmarkEnd w:id="0"/>
    <w:p w14:paraId="52ED021A">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75822ED6">
      <w:pPr>
        <w:pStyle w:val="2"/>
        <w:rPr>
          <w:rFonts w:hint="default" w:ascii="Times New Roman" w:hAnsi="Times New Roman" w:eastAsia="宋体" w:cs="Times New Roman"/>
          <w:color w:val="auto"/>
          <w:sz w:val="36"/>
          <w:szCs w:val="36"/>
        </w:rPr>
      </w:pPr>
    </w:p>
    <w:p w14:paraId="5DCA0A74">
      <w:pPr>
        <w:rPr>
          <w:rFonts w:hint="default" w:ascii="Times New Roman" w:hAnsi="Times New Roman" w:eastAsia="宋体" w:cs="Times New Roman"/>
          <w:color w:val="auto"/>
          <w:sz w:val="36"/>
          <w:szCs w:val="36"/>
        </w:rPr>
      </w:pPr>
    </w:p>
    <w:p w14:paraId="52EFEEE5">
      <w:pPr>
        <w:adjustRightInd w:val="0"/>
        <w:snapToGrid w:val="0"/>
        <w:spacing w:line="288" w:lineRule="auto"/>
        <w:jc w:val="center"/>
        <w:rPr>
          <w:rFonts w:hint="eastAsia" w:ascii="黑体" w:hAnsi="黑体" w:eastAsia="黑体" w:cs="黑体"/>
          <w:color w:val="auto"/>
          <w:sz w:val="36"/>
          <w:szCs w:val="36"/>
        </w:rPr>
      </w:pPr>
    </w:p>
    <w:p w14:paraId="461D608C">
      <w:pPr>
        <w:adjustRightInd w:val="0"/>
        <w:snapToGrid w:val="0"/>
        <w:spacing w:line="288" w:lineRule="auto"/>
        <w:jc w:val="center"/>
        <w:rPr>
          <w:rFonts w:hint="eastAsia" w:ascii="黑体" w:hAnsi="黑体" w:eastAsia="黑体" w:cs="黑体"/>
          <w:color w:val="auto"/>
          <w:sz w:val="36"/>
          <w:szCs w:val="36"/>
          <w:lang w:eastAsia="zh-CN"/>
        </w:rPr>
        <w:sectPr>
          <w:footerReference r:id="rId3" w:type="default"/>
          <w:footerReference r:id="rId4" w:type="even"/>
          <w:pgSz w:w="11906" w:h="16838"/>
          <w:pgMar w:top="1417" w:right="1417" w:bottom="1417" w:left="1417" w:header="851" w:footer="1077" w:gutter="0"/>
          <w:pgBorders>
            <w:top w:val="none" w:sz="0" w:space="0"/>
            <w:left w:val="none" w:sz="0" w:space="0"/>
            <w:bottom w:val="none" w:sz="0" w:space="0"/>
            <w:right w:val="none" w:sz="0" w:space="0"/>
          </w:pgBorders>
          <w:pgNumType w:start="3"/>
          <w:cols w:space="720" w:num="1"/>
          <w:docGrid w:linePitch="312" w:charSpace="0"/>
        </w:sectPr>
      </w:pPr>
    </w:p>
    <w:sdt>
      <w:sdtPr>
        <w:rPr>
          <w:rFonts w:ascii="宋体" w:hAnsi="宋体" w:eastAsia="宋体" w:cs="Times New Roman"/>
          <w:kern w:val="2"/>
          <w:sz w:val="21"/>
          <w:szCs w:val="24"/>
          <w:lang w:val="en-US" w:eastAsia="zh-CN" w:bidi="ar-SA"/>
        </w:rPr>
        <w:id w:val="147451564"/>
        <w15:color w:val="DBDBDB"/>
        <w:docPartObj>
          <w:docPartGallery w:val="Table of Contents"/>
          <w:docPartUnique/>
        </w:docPartObj>
      </w:sdtPr>
      <w:sdtEndPr>
        <w:rPr>
          <w:rFonts w:ascii="宋体" w:hAnsi="宋体" w:eastAsia="宋体" w:cs="Times New Roman"/>
          <w:color w:val="auto"/>
          <w:kern w:val="2"/>
          <w:sz w:val="21"/>
          <w:szCs w:val="24"/>
          <w:lang w:val="en-US" w:eastAsia="zh-CN" w:bidi="ar-SA"/>
        </w:rPr>
      </w:sdtEndPr>
      <w:sdtContent>
        <w:p w14:paraId="2A71C774">
          <w:pPr>
            <w:spacing w:before="0" w:beforeLines="0" w:after="0" w:afterLines="0" w:line="240" w:lineRule="auto"/>
            <w:ind w:left="0" w:leftChars="0" w:right="0" w:rightChars="0" w:firstLine="0" w:firstLineChars="0"/>
            <w:jc w:val="center"/>
            <w:rPr>
              <w:rFonts w:ascii="宋体" w:hAnsi="宋体" w:eastAsia="宋体" w:cs="Times New Roman"/>
              <w:b/>
              <w:bCs/>
              <w:color w:val="auto"/>
              <w:sz w:val="32"/>
              <w:szCs w:val="32"/>
            </w:rPr>
          </w:pPr>
          <w:r>
            <w:rPr>
              <w:rFonts w:ascii="宋体" w:hAnsi="宋体" w:eastAsia="宋体" w:cs="Times New Roman"/>
              <w:b/>
              <w:bCs/>
              <w:color w:val="auto"/>
              <w:sz w:val="32"/>
              <w:szCs w:val="32"/>
            </w:rPr>
            <w:t>目录</w:t>
          </w:r>
        </w:p>
        <w:p w14:paraId="54B123B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rPr>
            <w:fldChar w:fldCharType="begin"/>
          </w:r>
          <w:r>
            <w:rPr>
              <w:color w:val="auto"/>
            </w:rPr>
            <w:instrText xml:space="preserve">TOC \o "1-1" \h \u </w:instrText>
          </w:r>
          <w:r>
            <w:rPr>
              <w:color w:val="auto"/>
            </w:rPr>
            <w:fldChar w:fldCharType="separate"/>
          </w:r>
          <w:r>
            <w:rPr>
              <w:color w:val="auto"/>
              <w:sz w:val="24"/>
              <w:szCs w:val="24"/>
            </w:rPr>
            <w:fldChar w:fldCharType="begin"/>
          </w:r>
          <w:r>
            <w:rPr>
              <w:color w:val="auto"/>
              <w:sz w:val="24"/>
              <w:szCs w:val="24"/>
            </w:rPr>
            <w:instrText xml:space="preserve"> HYPERLINK \l _Toc13793 </w:instrText>
          </w:r>
          <w:r>
            <w:rPr>
              <w:color w:val="auto"/>
              <w:sz w:val="24"/>
              <w:szCs w:val="24"/>
            </w:rPr>
            <w:fldChar w:fldCharType="separate"/>
          </w:r>
          <w:r>
            <w:rPr>
              <w:rFonts w:hint="eastAsia"/>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_Toc13793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1DC8F12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_Toc28601 </w:instrText>
          </w:r>
          <w:r>
            <w:rPr>
              <w:color w:val="auto"/>
              <w:sz w:val="24"/>
              <w:szCs w:val="24"/>
            </w:rPr>
            <w:fldChar w:fldCharType="separate"/>
          </w:r>
          <w:r>
            <w:rPr>
              <w:rFonts w:hint="eastAsia"/>
              <w:color w:val="auto"/>
              <w:sz w:val="24"/>
              <w:szCs w:val="24"/>
            </w:rPr>
            <w:t xml:space="preserve">二、 </w:t>
          </w:r>
          <w:r>
            <w:rPr>
              <w:color w:val="auto"/>
              <w:sz w:val="24"/>
              <w:szCs w:val="24"/>
            </w:rPr>
            <w:t>建设项目工程分析</w:t>
          </w:r>
          <w:r>
            <w:rPr>
              <w:color w:val="auto"/>
              <w:sz w:val="24"/>
              <w:szCs w:val="24"/>
            </w:rPr>
            <w:tab/>
          </w:r>
          <w:r>
            <w:rPr>
              <w:color w:val="auto"/>
              <w:sz w:val="24"/>
              <w:szCs w:val="24"/>
            </w:rPr>
            <w:fldChar w:fldCharType="begin"/>
          </w:r>
          <w:r>
            <w:rPr>
              <w:color w:val="auto"/>
              <w:sz w:val="24"/>
              <w:szCs w:val="24"/>
            </w:rPr>
            <w:instrText xml:space="preserve"> PAGEREF _Toc28601 \h </w:instrText>
          </w:r>
          <w:r>
            <w:rPr>
              <w:color w:val="auto"/>
              <w:sz w:val="24"/>
              <w:szCs w:val="24"/>
            </w:rPr>
            <w:fldChar w:fldCharType="separate"/>
          </w:r>
          <w:r>
            <w:rPr>
              <w:color w:val="auto"/>
              <w:sz w:val="24"/>
              <w:szCs w:val="24"/>
            </w:rPr>
            <w:t>18</w:t>
          </w:r>
          <w:r>
            <w:rPr>
              <w:color w:val="auto"/>
              <w:sz w:val="24"/>
              <w:szCs w:val="24"/>
            </w:rPr>
            <w:fldChar w:fldCharType="end"/>
          </w:r>
          <w:r>
            <w:rPr>
              <w:color w:val="auto"/>
              <w:sz w:val="24"/>
              <w:szCs w:val="24"/>
            </w:rPr>
            <w:fldChar w:fldCharType="end"/>
          </w:r>
        </w:p>
        <w:p w14:paraId="4D31DB6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_Toc13386 </w:instrText>
          </w:r>
          <w:r>
            <w:rPr>
              <w:color w:val="auto"/>
              <w:sz w:val="24"/>
              <w:szCs w:val="24"/>
            </w:rPr>
            <w:fldChar w:fldCharType="separate"/>
          </w:r>
          <w:r>
            <w:rPr>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_Toc13386 \h </w:instrText>
          </w:r>
          <w:r>
            <w:rPr>
              <w:color w:val="auto"/>
              <w:sz w:val="24"/>
              <w:szCs w:val="24"/>
            </w:rPr>
            <w:fldChar w:fldCharType="separate"/>
          </w:r>
          <w:r>
            <w:rPr>
              <w:color w:val="auto"/>
              <w:sz w:val="24"/>
              <w:szCs w:val="24"/>
            </w:rPr>
            <w:t>49</w:t>
          </w:r>
          <w:r>
            <w:rPr>
              <w:color w:val="auto"/>
              <w:sz w:val="24"/>
              <w:szCs w:val="24"/>
            </w:rPr>
            <w:fldChar w:fldCharType="end"/>
          </w:r>
          <w:r>
            <w:rPr>
              <w:color w:val="auto"/>
              <w:sz w:val="24"/>
              <w:szCs w:val="24"/>
            </w:rPr>
            <w:fldChar w:fldCharType="end"/>
          </w:r>
        </w:p>
        <w:p w14:paraId="7806801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_Toc29016 </w:instrText>
          </w:r>
          <w:r>
            <w:rPr>
              <w:color w:val="auto"/>
              <w:sz w:val="24"/>
              <w:szCs w:val="24"/>
            </w:rPr>
            <w:fldChar w:fldCharType="separate"/>
          </w:r>
          <w:r>
            <w:rPr>
              <w:rFonts w:hint="eastAsia"/>
              <w:color w:val="auto"/>
              <w:sz w:val="24"/>
              <w:szCs w:val="24"/>
            </w:rPr>
            <w:t xml:space="preserve">四、 </w:t>
          </w:r>
          <w:r>
            <w:rPr>
              <w:color w:val="auto"/>
              <w:sz w:val="24"/>
              <w:szCs w:val="24"/>
            </w:rPr>
            <w:t>主要环境影响和保护措施</w:t>
          </w:r>
          <w:r>
            <w:rPr>
              <w:color w:val="auto"/>
              <w:sz w:val="24"/>
              <w:szCs w:val="24"/>
            </w:rPr>
            <w:tab/>
          </w:r>
          <w:r>
            <w:rPr>
              <w:color w:val="auto"/>
              <w:sz w:val="24"/>
              <w:szCs w:val="24"/>
            </w:rPr>
            <w:fldChar w:fldCharType="begin"/>
          </w:r>
          <w:r>
            <w:rPr>
              <w:color w:val="auto"/>
              <w:sz w:val="24"/>
              <w:szCs w:val="24"/>
            </w:rPr>
            <w:instrText xml:space="preserve"> PAGEREF _Toc29016 \h </w:instrText>
          </w:r>
          <w:r>
            <w:rPr>
              <w:color w:val="auto"/>
              <w:sz w:val="24"/>
              <w:szCs w:val="24"/>
            </w:rPr>
            <w:fldChar w:fldCharType="separate"/>
          </w:r>
          <w:r>
            <w:rPr>
              <w:color w:val="auto"/>
              <w:sz w:val="24"/>
              <w:szCs w:val="24"/>
            </w:rPr>
            <w:t>60</w:t>
          </w:r>
          <w:r>
            <w:rPr>
              <w:color w:val="auto"/>
              <w:sz w:val="24"/>
              <w:szCs w:val="24"/>
            </w:rPr>
            <w:fldChar w:fldCharType="end"/>
          </w:r>
          <w:r>
            <w:rPr>
              <w:color w:val="auto"/>
              <w:sz w:val="24"/>
              <w:szCs w:val="24"/>
            </w:rPr>
            <w:fldChar w:fldCharType="end"/>
          </w:r>
        </w:p>
        <w:p w14:paraId="5F74215F">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_Toc24030 </w:instrText>
          </w:r>
          <w:r>
            <w:rPr>
              <w:color w:val="auto"/>
              <w:sz w:val="24"/>
              <w:szCs w:val="24"/>
            </w:rPr>
            <w:fldChar w:fldCharType="separate"/>
          </w:r>
          <w:r>
            <w:rPr>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_Toc24030 \h </w:instrText>
          </w:r>
          <w:r>
            <w:rPr>
              <w:color w:val="auto"/>
              <w:sz w:val="24"/>
              <w:szCs w:val="24"/>
            </w:rPr>
            <w:fldChar w:fldCharType="separate"/>
          </w:r>
          <w:r>
            <w:rPr>
              <w:color w:val="auto"/>
              <w:sz w:val="24"/>
              <w:szCs w:val="24"/>
            </w:rPr>
            <w:t>101</w:t>
          </w:r>
          <w:r>
            <w:rPr>
              <w:color w:val="auto"/>
              <w:sz w:val="24"/>
              <w:szCs w:val="24"/>
            </w:rPr>
            <w:fldChar w:fldCharType="end"/>
          </w:r>
          <w:r>
            <w:rPr>
              <w:color w:val="auto"/>
              <w:sz w:val="24"/>
              <w:szCs w:val="24"/>
            </w:rPr>
            <w:fldChar w:fldCharType="end"/>
          </w:r>
        </w:p>
        <w:p w14:paraId="7A148D7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_Toc8557 </w:instrText>
          </w:r>
          <w:r>
            <w:rPr>
              <w:color w:val="auto"/>
              <w:sz w:val="24"/>
              <w:szCs w:val="24"/>
            </w:rPr>
            <w:fldChar w:fldCharType="separate"/>
          </w:r>
          <w:r>
            <w:rPr>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_Toc8557 \h </w:instrText>
          </w:r>
          <w:r>
            <w:rPr>
              <w:color w:val="auto"/>
              <w:sz w:val="24"/>
              <w:szCs w:val="24"/>
            </w:rPr>
            <w:fldChar w:fldCharType="separate"/>
          </w:r>
          <w:r>
            <w:rPr>
              <w:color w:val="auto"/>
              <w:sz w:val="24"/>
              <w:szCs w:val="24"/>
            </w:rPr>
            <w:t>106</w:t>
          </w:r>
          <w:r>
            <w:rPr>
              <w:color w:val="auto"/>
              <w:sz w:val="24"/>
              <w:szCs w:val="24"/>
            </w:rPr>
            <w:fldChar w:fldCharType="end"/>
          </w:r>
          <w:r>
            <w:rPr>
              <w:color w:val="auto"/>
              <w:sz w:val="24"/>
              <w:szCs w:val="24"/>
            </w:rPr>
            <w:fldChar w:fldCharType="end"/>
          </w:r>
        </w:p>
        <w:p w14:paraId="04063C1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rPr>
          </w:pPr>
          <w:r>
            <w:rPr>
              <w:color w:val="auto"/>
              <w:sz w:val="24"/>
              <w:szCs w:val="24"/>
            </w:rPr>
            <w:fldChar w:fldCharType="begin"/>
          </w:r>
          <w:r>
            <w:rPr>
              <w:color w:val="auto"/>
              <w:sz w:val="24"/>
              <w:szCs w:val="24"/>
            </w:rPr>
            <w:instrText xml:space="preserve"> HYPERLINK \l _Toc7881 </w:instrText>
          </w:r>
          <w:r>
            <w:rPr>
              <w:color w:val="auto"/>
              <w:sz w:val="24"/>
              <w:szCs w:val="24"/>
            </w:rPr>
            <w:fldChar w:fldCharType="separate"/>
          </w:r>
          <w:r>
            <w:rPr>
              <w:color w:val="auto"/>
              <w:sz w:val="24"/>
              <w:szCs w:val="24"/>
            </w:rPr>
            <w:t>附表</w:t>
          </w:r>
          <w:r>
            <w:rPr>
              <w:color w:val="auto"/>
              <w:sz w:val="24"/>
              <w:szCs w:val="24"/>
            </w:rPr>
            <w:fldChar w:fldCharType="end"/>
          </w:r>
        </w:p>
        <w:p w14:paraId="23C5C01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val="en-US" w:eastAsia="zh-CN"/>
            </w:rPr>
          </w:pPr>
          <w:r>
            <w:rPr>
              <w:rFonts w:hint="eastAsia"/>
              <w:color w:val="auto"/>
              <w:sz w:val="24"/>
              <w:szCs w:val="24"/>
              <w:lang w:val="en-US" w:eastAsia="zh-CN"/>
            </w:rPr>
            <w:t>附图</w:t>
          </w:r>
        </w:p>
        <w:p w14:paraId="658D126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_Toc23042 </w:instrText>
          </w:r>
          <w:r>
            <w:rPr>
              <w:color w:val="auto"/>
              <w:sz w:val="24"/>
              <w:szCs w:val="24"/>
            </w:rPr>
            <w:fldChar w:fldCharType="separate"/>
          </w:r>
          <w:r>
            <w:rPr>
              <w:rFonts w:hint="eastAsia"/>
              <w:color w:val="auto"/>
              <w:sz w:val="24"/>
              <w:szCs w:val="24"/>
            </w:rPr>
            <w:t xml:space="preserve">附图1 </w:t>
          </w:r>
          <w:r>
            <w:rPr>
              <w:rFonts w:hint="eastAsia"/>
              <w:color w:val="auto"/>
              <w:sz w:val="24"/>
              <w:szCs w:val="24"/>
              <w:lang w:val="en-US" w:eastAsia="zh-CN"/>
            </w:rPr>
            <w:t xml:space="preserve"> </w:t>
          </w:r>
          <w:r>
            <w:rPr>
              <w:rFonts w:hint="eastAsia"/>
              <w:color w:val="auto"/>
              <w:sz w:val="24"/>
              <w:szCs w:val="24"/>
            </w:rPr>
            <w:t>项目地理位置图</w:t>
          </w:r>
          <w:r>
            <w:rPr>
              <w:color w:val="auto"/>
              <w:sz w:val="24"/>
              <w:szCs w:val="24"/>
            </w:rPr>
            <w:fldChar w:fldCharType="end"/>
          </w:r>
        </w:p>
        <w:p w14:paraId="13BA450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_Toc26976 </w:instrText>
          </w:r>
          <w:r>
            <w:rPr>
              <w:color w:val="auto"/>
              <w:sz w:val="24"/>
              <w:szCs w:val="24"/>
            </w:rPr>
            <w:fldChar w:fldCharType="separate"/>
          </w:r>
          <w:r>
            <w:rPr>
              <w:color w:val="auto"/>
              <w:sz w:val="24"/>
              <w:szCs w:val="24"/>
            </w:rPr>
            <w:t>附图2  项目周边环境示意图</w:t>
          </w:r>
          <w:r>
            <w:rPr>
              <w:color w:val="auto"/>
              <w:sz w:val="24"/>
              <w:szCs w:val="24"/>
            </w:rPr>
            <w:fldChar w:fldCharType="end"/>
          </w:r>
        </w:p>
        <w:p w14:paraId="77D45373">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_Toc24597 </w:instrText>
          </w:r>
          <w:r>
            <w:rPr>
              <w:color w:val="auto"/>
              <w:sz w:val="24"/>
              <w:szCs w:val="24"/>
            </w:rPr>
            <w:fldChar w:fldCharType="separate"/>
          </w:r>
          <w:r>
            <w:rPr>
              <w:rFonts w:hint="default"/>
              <w:color w:val="auto"/>
              <w:sz w:val="24"/>
              <w:szCs w:val="24"/>
            </w:rPr>
            <w:t>附图3  项目周边环境现状拍摄图</w:t>
          </w:r>
          <w:r>
            <w:rPr>
              <w:color w:val="auto"/>
              <w:sz w:val="24"/>
              <w:szCs w:val="24"/>
            </w:rPr>
            <w:fldChar w:fldCharType="end"/>
          </w:r>
        </w:p>
        <w:p w14:paraId="2013104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_Toc27192 </w:instrText>
          </w:r>
          <w:r>
            <w:rPr>
              <w:color w:val="auto"/>
              <w:sz w:val="24"/>
              <w:szCs w:val="24"/>
            </w:rPr>
            <w:fldChar w:fldCharType="separate"/>
          </w:r>
          <w:r>
            <w:rPr>
              <w:color w:val="auto"/>
              <w:sz w:val="24"/>
              <w:szCs w:val="24"/>
            </w:rPr>
            <w:t>附图</w:t>
          </w:r>
          <w:r>
            <w:rPr>
              <w:rFonts w:hint="eastAsia"/>
              <w:color w:val="auto"/>
              <w:sz w:val="24"/>
              <w:szCs w:val="24"/>
              <w:lang w:val="en-US" w:eastAsia="zh-CN"/>
            </w:rPr>
            <w:t>4</w:t>
          </w:r>
          <w:r>
            <w:rPr>
              <w:color w:val="auto"/>
              <w:sz w:val="24"/>
              <w:szCs w:val="24"/>
            </w:rPr>
            <w:t xml:space="preserve"> </w:t>
          </w:r>
          <w:r>
            <w:rPr>
              <w:rFonts w:hint="eastAsia"/>
              <w:color w:val="auto"/>
              <w:sz w:val="24"/>
              <w:szCs w:val="24"/>
            </w:rPr>
            <w:t xml:space="preserve"> </w:t>
          </w:r>
          <w:r>
            <w:rPr>
              <w:rFonts w:hint="eastAsia"/>
              <w:color w:val="auto"/>
              <w:sz w:val="24"/>
              <w:szCs w:val="24"/>
              <w:lang w:val="en-US" w:eastAsia="zh-CN"/>
            </w:rPr>
            <w:t>项目评价范围及敏感目标分布图</w:t>
          </w:r>
          <w:r>
            <w:rPr>
              <w:color w:val="auto"/>
              <w:sz w:val="24"/>
              <w:szCs w:val="24"/>
            </w:rPr>
            <w:fldChar w:fldCharType="end"/>
          </w:r>
        </w:p>
        <w:p w14:paraId="45AE293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_Toc11001 </w:instrText>
          </w:r>
          <w:r>
            <w:rPr>
              <w:color w:val="auto"/>
              <w:sz w:val="24"/>
              <w:szCs w:val="24"/>
            </w:rPr>
            <w:fldChar w:fldCharType="separate"/>
          </w:r>
          <w:r>
            <w:rPr>
              <w:rFonts w:hint="eastAsia"/>
              <w:color w:val="auto"/>
              <w:sz w:val="24"/>
              <w:szCs w:val="24"/>
              <w:lang w:val="en-US" w:eastAsia="zh-CN"/>
            </w:rPr>
            <w:t>附图5</w:t>
          </w:r>
          <w:r>
            <w:rPr>
              <w:rFonts w:hint="eastAsia"/>
              <w:color w:val="auto"/>
              <w:sz w:val="24"/>
              <w:szCs w:val="24"/>
            </w:rPr>
            <w:t xml:space="preserve">  </w:t>
          </w:r>
          <w:r>
            <w:rPr>
              <w:rFonts w:hint="eastAsia"/>
              <w:color w:val="auto"/>
              <w:sz w:val="24"/>
              <w:szCs w:val="24"/>
              <w:lang w:val="en-US" w:eastAsia="zh-CN"/>
            </w:rPr>
            <w:t>厂区总平图</w:t>
          </w:r>
          <w:r>
            <w:rPr>
              <w:color w:val="auto"/>
              <w:sz w:val="24"/>
              <w:szCs w:val="24"/>
            </w:rPr>
            <w:fldChar w:fldCharType="end"/>
          </w:r>
        </w:p>
        <w:p w14:paraId="4140A87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_Toc3430 </w:instrText>
          </w:r>
          <w:r>
            <w:rPr>
              <w:color w:val="auto"/>
              <w:sz w:val="24"/>
              <w:szCs w:val="24"/>
            </w:rPr>
            <w:fldChar w:fldCharType="separate"/>
          </w:r>
          <w:r>
            <w:rPr>
              <w:rFonts w:hint="eastAsia"/>
              <w:color w:val="auto"/>
              <w:sz w:val="24"/>
              <w:szCs w:val="24"/>
              <w:lang w:val="en-US" w:eastAsia="zh-CN"/>
            </w:rPr>
            <w:t>附图6-1   厂房五一层车间平面布置图（及分区防渗图）</w:t>
          </w:r>
          <w:r>
            <w:rPr>
              <w:color w:val="auto"/>
              <w:sz w:val="24"/>
              <w:szCs w:val="24"/>
            </w:rPr>
            <w:fldChar w:fldCharType="end"/>
          </w:r>
        </w:p>
        <w:p w14:paraId="4F9B2E60">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_Toc29056 </w:instrText>
          </w:r>
          <w:r>
            <w:rPr>
              <w:color w:val="auto"/>
              <w:sz w:val="24"/>
              <w:szCs w:val="24"/>
            </w:rPr>
            <w:fldChar w:fldCharType="separate"/>
          </w:r>
          <w:r>
            <w:rPr>
              <w:rFonts w:hint="eastAsia"/>
              <w:color w:val="auto"/>
              <w:sz w:val="24"/>
              <w:szCs w:val="24"/>
              <w:lang w:val="en-US" w:eastAsia="zh-CN"/>
            </w:rPr>
            <w:t>附图6-2   厂房五二层车间平面布置图（及分区防渗图）</w:t>
          </w:r>
          <w:r>
            <w:rPr>
              <w:color w:val="auto"/>
              <w:sz w:val="24"/>
              <w:szCs w:val="24"/>
            </w:rPr>
            <w:fldChar w:fldCharType="end"/>
          </w:r>
        </w:p>
        <w:p w14:paraId="35D5491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_Toc30399 </w:instrText>
          </w:r>
          <w:r>
            <w:rPr>
              <w:color w:val="auto"/>
              <w:sz w:val="24"/>
              <w:szCs w:val="24"/>
            </w:rPr>
            <w:fldChar w:fldCharType="separate"/>
          </w:r>
          <w:r>
            <w:rPr>
              <w:rFonts w:hint="eastAsia"/>
              <w:color w:val="auto"/>
              <w:sz w:val="24"/>
              <w:szCs w:val="24"/>
              <w:lang w:val="en-US" w:eastAsia="zh-CN"/>
            </w:rPr>
            <w:t>附图6-3   厂房五三层车间平面布置图（及分区防渗图）</w:t>
          </w:r>
          <w:r>
            <w:rPr>
              <w:color w:val="auto"/>
              <w:sz w:val="24"/>
              <w:szCs w:val="24"/>
            </w:rPr>
            <w:fldChar w:fldCharType="end"/>
          </w:r>
        </w:p>
        <w:p w14:paraId="30FED0EB">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_Toc5963 </w:instrText>
          </w:r>
          <w:r>
            <w:rPr>
              <w:color w:val="auto"/>
              <w:sz w:val="24"/>
              <w:szCs w:val="24"/>
            </w:rPr>
            <w:fldChar w:fldCharType="separate"/>
          </w:r>
          <w:r>
            <w:rPr>
              <w:rFonts w:hint="eastAsia"/>
              <w:color w:val="auto"/>
              <w:sz w:val="24"/>
              <w:szCs w:val="24"/>
              <w:lang w:val="en-US" w:eastAsia="zh-CN"/>
            </w:rPr>
            <w:t>附图6-4   厂房四一层车间平面布置图（及分区防渗图）</w:t>
          </w:r>
          <w:r>
            <w:rPr>
              <w:color w:val="auto"/>
              <w:sz w:val="24"/>
              <w:szCs w:val="24"/>
            </w:rPr>
            <w:fldChar w:fldCharType="end"/>
          </w:r>
        </w:p>
        <w:p w14:paraId="4FB1B06E">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_Toc5624 </w:instrText>
          </w:r>
          <w:r>
            <w:rPr>
              <w:color w:val="auto"/>
              <w:sz w:val="24"/>
              <w:szCs w:val="24"/>
            </w:rPr>
            <w:fldChar w:fldCharType="separate"/>
          </w:r>
          <w:r>
            <w:rPr>
              <w:rFonts w:hint="eastAsia"/>
              <w:color w:val="auto"/>
              <w:sz w:val="24"/>
              <w:szCs w:val="24"/>
              <w:lang w:val="en-US" w:eastAsia="zh-CN"/>
            </w:rPr>
            <w:t>附图7  环境现状监测点位图</w:t>
          </w:r>
          <w:r>
            <w:rPr>
              <w:color w:val="auto"/>
              <w:sz w:val="24"/>
              <w:szCs w:val="24"/>
            </w:rPr>
            <w:fldChar w:fldCharType="end"/>
          </w:r>
        </w:p>
        <w:p w14:paraId="68E2A09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_Toc25968 </w:instrText>
          </w:r>
          <w:r>
            <w:rPr>
              <w:color w:val="auto"/>
              <w:sz w:val="24"/>
              <w:szCs w:val="24"/>
            </w:rPr>
            <w:fldChar w:fldCharType="separate"/>
          </w:r>
          <w:r>
            <w:rPr>
              <w:rFonts w:hint="eastAsia"/>
              <w:color w:val="auto"/>
              <w:sz w:val="24"/>
              <w:szCs w:val="24"/>
              <w:lang w:val="en-US" w:eastAsia="zh-CN"/>
            </w:rPr>
            <w:t>附图8  项目生态环境分区管控查询结果截图</w:t>
          </w:r>
          <w:r>
            <w:rPr>
              <w:color w:val="auto"/>
              <w:sz w:val="24"/>
              <w:szCs w:val="24"/>
            </w:rPr>
            <w:fldChar w:fldCharType="end"/>
          </w:r>
        </w:p>
        <w:p w14:paraId="1A01AE5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_Toc3900 </w:instrText>
          </w:r>
          <w:r>
            <w:rPr>
              <w:color w:val="auto"/>
              <w:sz w:val="24"/>
              <w:szCs w:val="24"/>
            </w:rPr>
            <w:fldChar w:fldCharType="separate"/>
          </w:r>
          <w:r>
            <w:rPr>
              <w:rFonts w:hint="eastAsia"/>
              <w:color w:val="auto"/>
              <w:sz w:val="24"/>
              <w:szCs w:val="24"/>
              <w:lang w:val="en-US" w:eastAsia="zh-CN"/>
            </w:rPr>
            <w:t>附图9  融侨经济技术开发区总体规划-土地利用图（2016~2030）</w:t>
          </w:r>
          <w:r>
            <w:rPr>
              <w:color w:val="auto"/>
              <w:sz w:val="24"/>
              <w:szCs w:val="24"/>
            </w:rPr>
            <w:fldChar w:fldCharType="end"/>
          </w:r>
        </w:p>
        <w:p w14:paraId="04AAC34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rPr>
          </w:pPr>
          <w:r>
            <w:rPr>
              <w:color w:val="auto"/>
              <w:sz w:val="24"/>
              <w:szCs w:val="24"/>
            </w:rPr>
            <w:fldChar w:fldCharType="begin"/>
          </w:r>
          <w:r>
            <w:rPr>
              <w:color w:val="auto"/>
              <w:sz w:val="24"/>
              <w:szCs w:val="24"/>
            </w:rPr>
            <w:instrText xml:space="preserve"> HYPERLINK \l _Toc6445 </w:instrText>
          </w:r>
          <w:r>
            <w:rPr>
              <w:color w:val="auto"/>
              <w:sz w:val="24"/>
              <w:szCs w:val="24"/>
            </w:rPr>
            <w:fldChar w:fldCharType="separate"/>
          </w:r>
          <w:r>
            <w:rPr>
              <w:rFonts w:hint="eastAsia"/>
              <w:color w:val="auto"/>
              <w:sz w:val="24"/>
              <w:szCs w:val="24"/>
              <w:lang w:val="en-US" w:eastAsia="zh-CN"/>
            </w:rPr>
            <w:t>附图10  2025年1-12月福建省流域水环境质量状况截图</w:t>
          </w:r>
          <w:r>
            <w:rPr>
              <w:color w:val="auto"/>
              <w:sz w:val="24"/>
              <w:szCs w:val="24"/>
            </w:rPr>
            <w:fldChar w:fldCharType="end"/>
          </w:r>
        </w:p>
        <w:p w14:paraId="34AAC80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color w:val="auto"/>
              <w:sz w:val="24"/>
              <w:szCs w:val="24"/>
              <w:lang w:val="en-US" w:eastAsia="zh-CN"/>
            </w:rPr>
          </w:pPr>
          <w:r>
            <w:rPr>
              <w:rFonts w:hint="eastAsia"/>
              <w:color w:val="auto"/>
              <w:sz w:val="24"/>
              <w:szCs w:val="24"/>
              <w:lang w:val="en-US" w:eastAsia="zh-CN"/>
            </w:rPr>
            <w:t>附件</w:t>
          </w:r>
        </w:p>
        <w:p w14:paraId="10E30E59">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_Toc13703 </w:instrText>
          </w:r>
          <w:r>
            <w:rPr>
              <w:color w:val="auto"/>
              <w:sz w:val="24"/>
              <w:szCs w:val="24"/>
            </w:rPr>
            <w:fldChar w:fldCharType="separate"/>
          </w:r>
          <w:r>
            <w:rPr>
              <w:color w:val="auto"/>
              <w:sz w:val="24"/>
              <w:szCs w:val="24"/>
            </w:rPr>
            <w:t>附件一</w:t>
          </w:r>
          <w:r>
            <w:rPr>
              <w:rFonts w:hint="eastAsia"/>
              <w:color w:val="auto"/>
              <w:sz w:val="24"/>
              <w:szCs w:val="24"/>
            </w:rPr>
            <w:t xml:space="preserve">  委托书</w:t>
          </w:r>
          <w:r>
            <w:rPr>
              <w:color w:val="auto"/>
              <w:sz w:val="24"/>
              <w:szCs w:val="24"/>
            </w:rPr>
            <w:fldChar w:fldCharType="end"/>
          </w:r>
        </w:p>
        <w:p w14:paraId="6D722B4D">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_Toc354 </w:instrText>
          </w:r>
          <w:r>
            <w:rPr>
              <w:color w:val="auto"/>
              <w:sz w:val="24"/>
              <w:szCs w:val="24"/>
            </w:rPr>
            <w:fldChar w:fldCharType="separate"/>
          </w:r>
          <w:r>
            <w:rPr>
              <w:color w:val="auto"/>
              <w:sz w:val="24"/>
              <w:szCs w:val="24"/>
            </w:rPr>
            <w:t>附件</w:t>
          </w:r>
          <w:r>
            <w:rPr>
              <w:rFonts w:hint="eastAsia"/>
              <w:color w:val="auto"/>
              <w:sz w:val="24"/>
              <w:szCs w:val="24"/>
            </w:rPr>
            <w:t>二  营业执照和法人身份证复印件</w:t>
          </w:r>
          <w:r>
            <w:rPr>
              <w:color w:val="auto"/>
              <w:sz w:val="24"/>
              <w:szCs w:val="24"/>
            </w:rPr>
            <w:fldChar w:fldCharType="end"/>
          </w:r>
        </w:p>
        <w:p w14:paraId="6076554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_Toc3271 </w:instrText>
          </w:r>
          <w:r>
            <w:rPr>
              <w:color w:val="auto"/>
              <w:sz w:val="24"/>
              <w:szCs w:val="24"/>
            </w:rPr>
            <w:fldChar w:fldCharType="separate"/>
          </w:r>
          <w:r>
            <w:rPr>
              <w:color w:val="auto"/>
              <w:sz w:val="24"/>
              <w:szCs w:val="24"/>
            </w:rPr>
            <w:t>附件</w:t>
          </w:r>
          <w:r>
            <w:rPr>
              <w:rFonts w:hint="eastAsia"/>
              <w:color w:val="auto"/>
              <w:sz w:val="24"/>
              <w:szCs w:val="24"/>
            </w:rPr>
            <w:t>三  项目</w:t>
          </w:r>
          <w:r>
            <w:rPr>
              <w:rFonts w:hint="eastAsia"/>
              <w:color w:val="auto"/>
              <w:sz w:val="24"/>
              <w:szCs w:val="24"/>
              <w:lang w:val="en-US" w:eastAsia="zh-CN"/>
            </w:rPr>
            <w:t>工信</w:t>
          </w:r>
          <w:r>
            <w:rPr>
              <w:rFonts w:hint="eastAsia"/>
              <w:color w:val="auto"/>
              <w:sz w:val="24"/>
              <w:szCs w:val="24"/>
            </w:rPr>
            <w:t>备案表</w:t>
          </w:r>
          <w:r>
            <w:rPr>
              <w:color w:val="auto"/>
              <w:sz w:val="24"/>
              <w:szCs w:val="24"/>
            </w:rPr>
            <w:fldChar w:fldCharType="end"/>
          </w:r>
        </w:p>
        <w:p w14:paraId="7A77582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_Toc26790 </w:instrText>
          </w:r>
          <w:r>
            <w:rPr>
              <w:color w:val="auto"/>
              <w:sz w:val="24"/>
              <w:szCs w:val="24"/>
            </w:rPr>
            <w:fldChar w:fldCharType="separate"/>
          </w:r>
          <w:r>
            <w:rPr>
              <w:color w:val="auto"/>
              <w:sz w:val="24"/>
              <w:szCs w:val="24"/>
            </w:rPr>
            <w:t>附件</w:t>
          </w:r>
          <w:r>
            <w:rPr>
              <w:rFonts w:hint="eastAsia"/>
              <w:color w:val="auto"/>
              <w:sz w:val="24"/>
              <w:szCs w:val="24"/>
            </w:rPr>
            <w:t>四  现有工程环评批复</w:t>
          </w:r>
          <w:r>
            <w:rPr>
              <w:color w:val="auto"/>
              <w:sz w:val="24"/>
              <w:szCs w:val="24"/>
            </w:rPr>
            <w:fldChar w:fldCharType="end"/>
          </w:r>
        </w:p>
        <w:p w14:paraId="006E8CC2">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_Toc14864 </w:instrText>
          </w:r>
          <w:r>
            <w:rPr>
              <w:color w:val="auto"/>
              <w:sz w:val="24"/>
              <w:szCs w:val="24"/>
            </w:rPr>
            <w:fldChar w:fldCharType="separate"/>
          </w:r>
          <w:r>
            <w:rPr>
              <w:color w:val="auto"/>
              <w:sz w:val="24"/>
              <w:szCs w:val="24"/>
            </w:rPr>
            <w:t>附件</w:t>
          </w:r>
          <w:r>
            <w:rPr>
              <w:rFonts w:hint="eastAsia"/>
              <w:color w:val="auto"/>
              <w:sz w:val="24"/>
              <w:szCs w:val="24"/>
            </w:rPr>
            <w:t>五  现有工程竣工环保验收意见</w:t>
          </w:r>
          <w:r>
            <w:rPr>
              <w:color w:val="auto"/>
              <w:sz w:val="24"/>
              <w:szCs w:val="24"/>
            </w:rPr>
            <w:fldChar w:fldCharType="end"/>
          </w:r>
        </w:p>
        <w:p w14:paraId="211E78E4">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_Toc14639 </w:instrText>
          </w:r>
          <w:r>
            <w:rPr>
              <w:color w:val="auto"/>
              <w:sz w:val="24"/>
              <w:szCs w:val="24"/>
            </w:rPr>
            <w:fldChar w:fldCharType="separate"/>
          </w:r>
          <w:r>
            <w:rPr>
              <w:color w:val="auto"/>
              <w:sz w:val="24"/>
              <w:szCs w:val="24"/>
            </w:rPr>
            <w:t>附件</w:t>
          </w:r>
          <w:r>
            <w:rPr>
              <w:rFonts w:hint="eastAsia"/>
              <w:color w:val="auto"/>
              <w:sz w:val="24"/>
              <w:szCs w:val="24"/>
              <w:lang w:eastAsia="zh-CN"/>
            </w:rPr>
            <w:t>六</w:t>
          </w:r>
          <w:r>
            <w:rPr>
              <w:rFonts w:hint="eastAsia"/>
              <w:color w:val="auto"/>
              <w:sz w:val="24"/>
              <w:szCs w:val="24"/>
            </w:rPr>
            <w:t xml:space="preserve">  </w:t>
          </w:r>
          <w:r>
            <w:rPr>
              <w:rFonts w:hint="eastAsia"/>
              <w:color w:val="auto"/>
              <w:sz w:val="24"/>
              <w:szCs w:val="24"/>
              <w:lang w:eastAsia="zh-CN"/>
            </w:rPr>
            <w:t>土地证</w:t>
          </w:r>
          <w:r>
            <w:rPr>
              <w:color w:val="auto"/>
              <w:sz w:val="24"/>
              <w:szCs w:val="24"/>
            </w:rPr>
            <w:fldChar w:fldCharType="end"/>
          </w:r>
        </w:p>
        <w:p w14:paraId="60085A3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_Toc28912 </w:instrText>
          </w:r>
          <w:r>
            <w:rPr>
              <w:color w:val="auto"/>
              <w:sz w:val="24"/>
              <w:szCs w:val="24"/>
            </w:rPr>
            <w:fldChar w:fldCharType="separate"/>
          </w:r>
          <w:r>
            <w:rPr>
              <w:color w:val="auto"/>
              <w:sz w:val="24"/>
              <w:szCs w:val="24"/>
            </w:rPr>
            <w:t>附件</w:t>
          </w:r>
          <w:r>
            <w:rPr>
              <w:rFonts w:hint="eastAsia"/>
              <w:color w:val="auto"/>
              <w:sz w:val="24"/>
              <w:szCs w:val="24"/>
              <w:lang w:val="en-US" w:eastAsia="zh-CN"/>
            </w:rPr>
            <w:t>七</w:t>
          </w:r>
          <w:r>
            <w:rPr>
              <w:rFonts w:hint="eastAsia"/>
              <w:color w:val="auto"/>
              <w:sz w:val="24"/>
              <w:szCs w:val="24"/>
            </w:rPr>
            <w:t xml:space="preserve">  </w:t>
          </w:r>
          <w:r>
            <w:rPr>
              <w:rFonts w:hint="eastAsia"/>
              <w:color w:val="auto"/>
              <w:sz w:val="24"/>
              <w:szCs w:val="24"/>
              <w:lang w:val="en-US" w:eastAsia="zh-CN"/>
            </w:rPr>
            <w:t>租赁合同</w:t>
          </w:r>
          <w:r>
            <w:rPr>
              <w:color w:val="auto"/>
              <w:sz w:val="24"/>
              <w:szCs w:val="24"/>
            </w:rPr>
            <w:fldChar w:fldCharType="end"/>
          </w:r>
        </w:p>
        <w:p w14:paraId="06AAD7D3">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_Toc15601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八</w:t>
          </w:r>
          <w:r>
            <w:rPr>
              <w:rFonts w:hint="eastAsia"/>
              <w:color w:val="auto"/>
              <w:sz w:val="24"/>
              <w:szCs w:val="24"/>
            </w:rPr>
            <w:t xml:space="preserve">  </w:t>
          </w:r>
          <w:r>
            <w:rPr>
              <w:rFonts w:hint="eastAsia"/>
              <w:color w:val="auto"/>
              <w:sz w:val="24"/>
              <w:szCs w:val="24"/>
              <w:lang w:val="en-US" w:eastAsia="zh-CN"/>
            </w:rPr>
            <w:t>铝带底涂剂MSDS检测报告</w:t>
          </w:r>
          <w:r>
            <w:rPr>
              <w:color w:val="auto"/>
              <w:sz w:val="24"/>
              <w:szCs w:val="24"/>
            </w:rPr>
            <w:fldChar w:fldCharType="end"/>
          </w:r>
        </w:p>
        <w:p w14:paraId="6E20087A">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_Toc28558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九</w:t>
          </w:r>
          <w:r>
            <w:rPr>
              <w:rFonts w:hint="eastAsia"/>
              <w:color w:val="auto"/>
              <w:sz w:val="24"/>
              <w:szCs w:val="24"/>
            </w:rPr>
            <w:t xml:space="preserve">  </w:t>
          </w:r>
          <w:r>
            <w:rPr>
              <w:rFonts w:hint="eastAsia"/>
              <w:color w:val="auto"/>
              <w:sz w:val="24"/>
              <w:szCs w:val="24"/>
              <w:lang w:val="en-US" w:eastAsia="zh-CN"/>
            </w:rPr>
            <w:t>PP底涂剂MSDS检测报告</w:t>
          </w:r>
          <w:r>
            <w:rPr>
              <w:color w:val="auto"/>
              <w:sz w:val="24"/>
              <w:szCs w:val="24"/>
            </w:rPr>
            <w:fldChar w:fldCharType="end"/>
          </w:r>
        </w:p>
        <w:p w14:paraId="3F59144D">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_Toc9094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rPr>
            <w:t xml:space="preserve">  </w:t>
          </w:r>
          <w:r>
            <w:rPr>
              <w:rFonts w:hint="eastAsia"/>
              <w:color w:val="auto"/>
              <w:sz w:val="24"/>
              <w:szCs w:val="24"/>
              <w:lang w:val="en-US" w:eastAsia="zh-CN"/>
            </w:rPr>
            <w:t>环境质量现状监测报告</w:t>
          </w:r>
          <w:r>
            <w:rPr>
              <w:color w:val="auto"/>
              <w:sz w:val="24"/>
              <w:szCs w:val="24"/>
            </w:rPr>
            <w:fldChar w:fldCharType="end"/>
          </w:r>
        </w:p>
        <w:p w14:paraId="4FD4EF9A">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_Toc13601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十一</w:t>
          </w:r>
          <w:r>
            <w:rPr>
              <w:rFonts w:hint="eastAsia"/>
              <w:color w:val="auto"/>
              <w:sz w:val="24"/>
              <w:szCs w:val="24"/>
            </w:rPr>
            <w:t xml:space="preserve">  </w:t>
          </w:r>
          <w:r>
            <w:rPr>
              <w:rFonts w:hint="eastAsia"/>
              <w:color w:val="auto"/>
              <w:sz w:val="24"/>
              <w:szCs w:val="24"/>
              <w:lang w:val="en-US" w:eastAsia="zh-CN"/>
            </w:rPr>
            <w:t>总量承诺函</w:t>
          </w:r>
          <w:r>
            <w:rPr>
              <w:color w:val="auto"/>
              <w:sz w:val="24"/>
              <w:szCs w:val="24"/>
            </w:rPr>
            <w:fldChar w:fldCharType="end"/>
          </w:r>
        </w:p>
        <w:p w14:paraId="1E93493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_Toc1275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二</w:t>
          </w:r>
          <w:r>
            <w:rPr>
              <w:rFonts w:hint="eastAsia"/>
              <w:color w:val="auto"/>
              <w:sz w:val="24"/>
              <w:szCs w:val="24"/>
            </w:rPr>
            <w:t xml:space="preserve">  </w:t>
          </w:r>
          <w:r>
            <w:rPr>
              <w:rFonts w:hint="eastAsia"/>
              <w:color w:val="auto"/>
              <w:sz w:val="24"/>
              <w:szCs w:val="24"/>
              <w:lang w:val="en-US" w:eastAsia="zh-CN"/>
            </w:rPr>
            <w:t>生态环境分区管控综合查询报告</w:t>
          </w:r>
          <w:r>
            <w:rPr>
              <w:color w:val="auto"/>
              <w:sz w:val="24"/>
              <w:szCs w:val="24"/>
            </w:rPr>
            <w:fldChar w:fldCharType="end"/>
          </w:r>
        </w:p>
        <w:p w14:paraId="15C1D705">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_Toc8155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三</w:t>
          </w:r>
          <w:r>
            <w:rPr>
              <w:rFonts w:hint="eastAsia"/>
              <w:color w:val="auto"/>
              <w:sz w:val="24"/>
              <w:szCs w:val="24"/>
            </w:rPr>
            <w:t xml:space="preserve">  </w:t>
          </w:r>
          <w:r>
            <w:rPr>
              <w:rFonts w:hint="eastAsia"/>
              <w:color w:val="auto"/>
              <w:sz w:val="24"/>
              <w:szCs w:val="24"/>
              <w:lang w:val="en-US" w:eastAsia="zh-CN"/>
            </w:rPr>
            <w:t>危废合同</w:t>
          </w:r>
          <w:r>
            <w:rPr>
              <w:color w:val="auto"/>
              <w:sz w:val="24"/>
              <w:szCs w:val="24"/>
            </w:rPr>
            <w:fldChar w:fldCharType="end"/>
          </w:r>
        </w:p>
        <w:p w14:paraId="5B762367">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_Toc9890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四</w:t>
          </w:r>
          <w:r>
            <w:rPr>
              <w:rFonts w:hint="eastAsia"/>
              <w:color w:val="auto"/>
              <w:sz w:val="24"/>
              <w:szCs w:val="24"/>
            </w:rPr>
            <w:t xml:space="preserve">  </w:t>
          </w:r>
          <w:r>
            <w:rPr>
              <w:rFonts w:hint="eastAsia"/>
              <w:color w:val="auto"/>
              <w:sz w:val="24"/>
              <w:szCs w:val="24"/>
              <w:lang w:val="en-US" w:eastAsia="zh-CN"/>
            </w:rPr>
            <w:t>《福清融侨经济技术开发区总体规划（2018-2035年）环境影响报告书》的审查意见</w:t>
          </w:r>
          <w:r>
            <w:rPr>
              <w:color w:val="auto"/>
              <w:sz w:val="24"/>
              <w:szCs w:val="24"/>
            </w:rPr>
            <w:fldChar w:fldCharType="end"/>
          </w:r>
        </w:p>
        <w:p w14:paraId="62B4B44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_Toc26635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五</w:t>
          </w:r>
          <w:r>
            <w:rPr>
              <w:rFonts w:hint="eastAsia"/>
              <w:color w:val="auto"/>
              <w:sz w:val="24"/>
              <w:szCs w:val="24"/>
            </w:rPr>
            <w:t xml:space="preserve">  </w:t>
          </w:r>
          <w:r>
            <w:rPr>
              <w:rFonts w:hint="eastAsia"/>
              <w:color w:val="auto"/>
              <w:sz w:val="24"/>
              <w:szCs w:val="24"/>
              <w:lang w:val="en-US" w:eastAsia="zh-CN"/>
            </w:rPr>
            <w:t>出租方污水入管证明</w:t>
          </w:r>
          <w:r>
            <w:rPr>
              <w:color w:val="auto"/>
              <w:sz w:val="24"/>
              <w:szCs w:val="24"/>
            </w:rPr>
            <w:fldChar w:fldCharType="end"/>
          </w:r>
        </w:p>
        <w:p w14:paraId="3B1EB55A">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_Toc20168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六</w:t>
          </w:r>
          <w:r>
            <w:rPr>
              <w:rFonts w:hint="eastAsia"/>
              <w:color w:val="auto"/>
              <w:sz w:val="24"/>
              <w:szCs w:val="24"/>
            </w:rPr>
            <w:t xml:space="preserve">  </w:t>
          </w:r>
          <w:r>
            <w:rPr>
              <w:rFonts w:hint="eastAsia"/>
              <w:color w:val="auto"/>
              <w:sz w:val="24"/>
              <w:szCs w:val="24"/>
              <w:lang w:val="en-US" w:eastAsia="zh-CN"/>
            </w:rPr>
            <w:t>生活污水依托协议</w:t>
          </w:r>
          <w:r>
            <w:rPr>
              <w:color w:val="auto"/>
              <w:sz w:val="24"/>
              <w:szCs w:val="24"/>
            </w:rPr>
            <w:fldChar w:fldCharType="end"/>
          </w:r>
        </w:p>
        <w:p w14:paraId="7856488C">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_Toc21783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七</w:t>
          </w:r>
          <w:r>
            <w:rPr>
              <w:rFonts w:hint="eastAsia"/>
              <w:color w:val="auto"/>
              <w:sz w:val="24"/>
              <w:szCs w:val="24"/>
            </w:rPr>
            <w:t xml:space="preserve">  </w:t>
          </w:r>
          <w:r>
            <w:rPr>
              <w:rFonts w:hint="eastAsia"/>
              <w:color w:val="auto"/>
              <w:sz w:val="24"/>
              <w:szCs w:val="24"/>
              <w:lang w:val="en-US" w:eastAsia="zh-CN"/>
            </w:rPr>
            <w:t>排污登记回执</w:t>
          </w:r>
          <w:r>
            <w:rPr>
              <w:color w:val="auto"/>
              <w:sz w:val="24"/>
              <w:szCs w:val="24"/>
            </w:rPr>
            <w:fldChar w:fldCharType="end"/>
          </w:r>
        </w:p>
        <w:p w14:paraId="1C6DAAF8">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_Toc8261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八</w:t>
          </w:r>
          <w:r>
            <w:rPr>
              <w:rFonts w:hint="eastAsia"/>
              <w:color w:val="auto"/>
              <w:sz w:val="24"/>
              <w:szCs w:val="24"/>
            </w:rPr>
            <w:t xml:space="preserve">  </w:t>
          </w:r>
          <w:r>
            <w:rPr>
              <w:rFonts w:hint="eastAsia"/>
              <w:color w:val="auto"/>
              <w:sz w:val="24"/>
              <w:szCs w:val="24"/>
              <w:lang w:val="en-US" w:eastAsia="zh-CN"/>
            </w:rPr>
            <w:t>验收检测报告</w:t>
          </w:r>
          <w:r>
            <w:rPr>
              <w:color w:val="auto"/>
              <w:sz w:val="24"/>
              <w:szCs w:val="24"/>
            </w:rPr>
            <w:fldChar w:fldCharType="end"/>
          </w:r>
        </w:p>
        <w:p w14:paraId="743AA941">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_Toc15200 </w:instrText>
          </w:r>
          <w:r>
            <w:rPr>
              <w:color w:val="auto"/>
              <w:sz w:val="24"/>
              <w:szCs w:val="24"/>
            </w:rPr>
            <w:fldChar w:fldCharType="separate"/>
          </w:r>
          <w:r>
            <w:rPr>
              <w:rFonts w:hint="eastAsia"/>
              <w:color w:val="auto"/>
              <w:sz w:val="24"/>
              <w:szCs w:val="24"/>
            </w:rPr>
            <w:t>附件</w:t>
          </w:r>
          <w:r>
            <w:rPr>
              <w:rFonts w:hint="eastAsia"/>
              <w:color w:val="auto"/>
              <w:sz w:val="24"/>
              <w:szCs w:val="24"/>
              <w:lang w:eastAsia="zh-CN"/>
            </w:rPr>
            <w:t>十</w:t>
          </w:r>
          <w:r>
            <w:rPr>
              <w:rFonts w:hint="eastAsia"/>
              <w:color w:val="auto"/>
              <w:sz w:val="24"/>
              <w:szCs w:val="24"/>
              <w:lang w:val="en-US" w:eastAsia="zh-CN"/>
            </w:rPr>
            <w:t>九</w:t>
          </w:r>
          <w:r>
            <w:rPr>
              <w:rFonts w:hint="eastAsia"/>
              <w:color w:val="auto"/>
              <w:sz w:val="24"/>
              <w:szCs w:val="24"/>
            </w:rPr>
            <w:t xml:space="preserve">  </w:t>
          </w:r>
          <w:r>
            <w:rPr>
              <w:rFonts w:hint="eastAsia"/>
              <w:color w:val="auto"/>
              <w:sz w:val="24"/>
              <w:szCs w:val="24"/>
              <w:lang w:val="en-US" w:eastAsia="zh-CN"/>
            </w:rPr>
            <w:t>关于公开建设项目环评文件等信息情况的说明</w:t>
          </w:r>
          <w:r>
            <w:rPr>
              <w:color w:val="auto"/>
              <w:sz w:val="24"/>
              <w:szCs w:val="24"/>
            </w:rPr>
            <w:fldChar w:fldCharType="end"/>
          </w:r>
        </w:p>
        <w:p w14:paraId="74ED9E76">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_Toc28495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二十</w:t>
          </w:r>
          <w:r>
            <w:rPr>
              <w:rFonts w:hint="eastAsia"/>
              <w:color w:val="auto"/>
              <w:sz w:val="24"/>
              <w:szCs w:val="24"/>
            </w:rPr>
            <w:t xml:space="preserve">  </w:t>
          </w:r>
          <w:r>
            <w:rPr>
              <w:rFonts w:hint="eastAsia"/>
              <w:color w:val="auto"/>
              <w:sz w:val="24"/>
              <w:szCs w:val="24"/>
              <w:lang w:val="en-US" w:eastAsia="zh-CN"/>
            </w:rPr>
            <w:t>申请环评批复的函</w:t>
          </w:r>
          <w:r>
            <w:rPr>
              <w:color w:val="auto"/>
              <w:sz w:val="24"/>
              <w:szCs w:val="24"/>
            </w:rPr>
            <w:fldChar w:fldCharType="end"/>
          </w:r>
        </w:p>
        <w:p w14:paraId="47C3B787">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_Toc4655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二十一</w:t>
          </w:r>
          <w:r>
            <w:rPr>
              <w:rFonts w:hint="eastAsia"/>
              <w:color w:val="auto"/>
              <w:sz w:val="24"/>
              <w:szCs w:val="24"/>
            </w:rPr>
            <w:t xml:space="preserve">  </w:t>
          </w:r>
          <w:r>
            <w:rPr>
              <w:rFonts w:hint="eastAsia"/>
              <w:color w:val="auto"/>
              <w:sz w:val="24"/>
              <w:szCs w:val="24"/>
              <w:lang w:val="en-US" w:eastAsia="zh-CN"/>
            </w:rPr>
            <w:t>关于《福建铠盾材料科技有限公司年加工300万件注塑件、年加工1200万件下卡条、1000万件钣金件环境影响报告表》公开文本删除内容、删除依据的说明</w:t>
          </w:r>
          <w:r>
            <w:rPr>
              <w:color w:val="auto"/>
              <w:sz w:val="24"/>
              <w:szCs w:val="24"/>
            </w:rPr>
            <w:fldChar w:fldCharType="end"/>
          </w:r>
        </w:p>
        <w:p w14:paraId="29FDEB69">
          <w:pPr>
            <w:pStyle w:val="166"/>
            <w:keepNext w:val="0"/>
            <w:keepLines w:val="0"/>
            <w:pageBreakBefore w:val="0"/>
            <w:tabs>
              <w:tab w:val="right" w:leader="dot" w:pos="9072"/>
            </w:tabs>
            <w:kinsoku/>
            <w:wordWrap/>
            <w:overflowPunct/>
            <w:topLinePunct w:val="0"/>
            <w:autoSpaceDE/>
            <w:autoSpaceDN/>
            <w:bidi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_Toc16950 </w:instrText>
          </w:r>
          <w:r>
            <w:rPr>
              <w:color w:val="auto"/>
              <w:sz w:val="24"/>
              <w:szCs w:val="24"/>
            </w:rPr>
            <w:fldChar w:fldCharType="separate"/>
          </w:r>
          <w:r>
            <w:rPr>
              <w:rFonts w:hint="eastAsia"/>
              <w:color w:val="auto"/>
              <w:sz w:val="24"/>
              <w:szCs w:val="24"/>
            </w:rPr>
            <w:t>附件</w:t>
          </w:r>
          <w:r>
            <w:rPr>
              <w:rFonts w:hint="eastAsia"/>
              <w:color w:val="auto"/>
              <w:sz w:val="24"/>
              <w:szCs w:val="24"/>
              <w:lang w:val="en-US" w:eastAsia="zh-CN"/>
            </w:rPr>
            <w:t>二十二</w:t>
          </w:r>
          <w:r>
            <w:rPr>
              <w:rFonts w:hint="eastAsia"/>
              <w:color w:val="auto"/>
              <w:sz w:val="24"/>
              <w:szCs w:val="24"/>
            </w:rPr>
            <w:t xml:space="preserve">  </w:t>
          </w:r>
          <w:r>
            <w:rPr>
              <w:rFonts w:hint="eastAsia"/>
              <w:color w:val="auto"/>
              <w:sz w:val="24"/>
              <w:szCs w:val="24"/>
              <w:lang w:val="en-US" w:eastAsia="zh-CN"/>
            </w:rPr>
            <w:t>授权委托书</w:t>
          </w:r>
          <w:r>
            <w:rPr>
              <w:color w:val="auto"/>
              <w:sz w:val="24"/>
              <w:szCs w:val="24"/>
            </w:rPr>
            <w:fldChar w:fldCharType="end"/>
          </w:r>
        </w:p>
        <w:p w14:paraId="47BA370D">
          <w:pPr>
            <w:pStyle w:val="166"/>
            <w:keepNext w:val="0"/>
            <w:keepLines w:val="0"/>
            <w:pageBreakBefore w:val="0"/>
            <w:tabs>
              <w:tab w:val="right" w:leader="dot" w:pos="9072"/>
            </w:tabs>
            <w:kinsoku/>
            <w:wordWrap/>
            <w:overflowPunct/>
            <w:topLinePunct w:val="0"/>
            <w:autoSpaceDE/>
            <w:autoSpaceDN/>
            <w:bidi w:val="0"/>
            <w:spacing w:line="360" w:lineRule="auto"/>
            <w:textAlignment w:val="auto"/>
            <w:rPr>
              <w:rFonts w:hint="default" w:eastAsia="宋体"/>
              <w:color w:val="auto"/>
              <w:sz w:val="24"/>
              <w:szCs w:val="24"/>
              <w:lang w:val="en-US" w:eastAsia="zh-CN"/>
            </w:rPr>
          </w:pPr>
          <w:r>
            <w:rPr>
              <w:rFonts w:hint="eastAsia"/>
              <w:color w:val="auto"/>
              <w:sz w:val="24"/>
              <w:szCs w:val="24"/>
              <w:lang w:val="en-US" w:eastAsia="zh-CN"/>
            </w:rPr>
            <w:t>附件二十三  承诺书</w:t>
          </w:r>
        </w:p>
        <w:p w14:paraId="498D6B88">
          <w:pPr>
            <w:rPr>
              <w:color w:val="auto"/>
            </w:rPr>
          </w:pPr>
          <w:r>
            <w:rPr>
              <w:color w:val="auto"/>
            </w:rPr>
            <w:fldChar w:fldCharType="end"/>
          </w:r>
        </w:p>
      </w:sdtContent>
    </w:sdt>
    <w:p w14:paraId="1EA4A094">
      <w:pPr>
        <w:rPr>
          <w:color w:val="auto"/>
        </w:rPr>
      </w:pPr>
    </w:p>
    <w:p w14:paraId="4D773684">
      <w:pPr>
        <w:rPr>
          <w:color w:val="auto"/>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0BD776D4">
      <w:pPr>
        <w:pStyle w:val="30"/>
        <w:jc w:val="center"/>
        <w:outlineLvl w:val="0"/>
        <w:rPr>
          <w:rFonts w:hint="eastAsia" w:ascii="黑体" w:hAnsi="黑体" w:eastAsia="黑体" w:cs="Times New Roman"/>
          <w:snapToGrid w:val="0"/>
          <w:color w:val="auto"/>
          <w:sz w:val="32"/>
          <w:szCs w:val="32"/>
        </w:rPr>
      </w:pPr>
      <w:bookmarkStart w:id="1" w:name="_Toc13793"/>
      <w:bookmarkStart w:id="2" w:name="_Toc31169"/>
      <w:r>
        <w:rPr>
          <w:rFonts w:hint="eastAsia" w:ascii="黑体" w:hAnsi="黑体" w:eastAsia="黑体" w:cs="Times New Roman"/>
          <w:snapToGrid w:val="0"/>
          <w:color w:val="auto"/>
          <w:sz w:val="32"/>
          <w:szCs w:val="32"/>
        </w:rPr>
        <w:t>一、建设项目基本情况</w:t>
      </w:r>
      <w:bookmarkEnd w:id="1"/>
      <w:bookmarkEnd w:id="2"/>
    </w:p>
    <w:tbl>
      <w:tblPr>
        <w:tblStyle w:val="3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18"/>
        <w:gridCol w:w="2901"/>
        <w:gridCol w:w="1980"/>
        <w:gridCol w:w="2871"/>
      </w:tblGrid>
      <w:tr w14:paraId="3CA29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118" w:type="dxa"/>
            <w:noWrap w:val="0"/>
            <w:tcMar>
              <w:top w:w="16" w:type="dxa"/>
              <w:left w:w="16" w:type="dxa"/>
              <w:right w:w="16" w:type="dxa"/>
            </w:tcMar>
            <w:vAlign w:val="center"/>
          </w:tcPr>
          <w:p w14:paraId="263361C7">
            <w:pPr>
              <w:adjustRightInd w:val="0"/>
              <w:snapToGrid w:val="0"/>
              <w:jc w:val="center"/>
              <w:rPr>
                <w:color w:val="auto"/>
                <w:sz w:val="24"/>
                <w:szCs w:val="24"/>
              </w:rPr>
            </w:pPr>
            <w:r>
              <w:rPr>
                <w:color w:val="auto"/>
                <w:sz w:val="24"/>
                <w:szCs w:val="24"/>
              </w:rPr>
              <w:t>建设项目名称</w:t>
            </w:r>
          </w:p>
        </w:tc>
        <w:tc>
          <w:tcPr>
            <w:tcW w:w="7752" w:type="dxa"/>
            <w:gridSpan w:val="3"/>
            <w:noWrap w:val="0"/>
            <w:vAlign w:val="center"/>
          </w:tcPr>
          <w:p w14:paraId="2AE5B08C">
            <w:pPr>
              <w:adjustRightInd w:val="0"/>
              <w:snapToGrid w:val="0"/>
              <w:jc w:val="center"/>
              <w:rPr>
                <w:rFonts w:hint="eastAsia"/>
                <w:color w:val="auto"/>
                <w:sz w:val="24"/>
                <w:szCs w:val="24"/>
              </w:rPr>
            </w:pPr>
            <w:bookmarkStart w:id="57" w:name="_GoBack"/>
            <w:r>
              <w:rPr>
                <w:rFonts w:hint="eastAsia"/>
                <w:color w:val="auto"/>
                <w:sz w:val="24"/>
                <w:szCs w:val="24"/>
              </w:rPr>
              <w:t>福建铠盾材料科技有限公司年加工300万件注塑件、年加工1200万件下卡条、1000万件钣金件</w:t>
            </w:r>
            <w:bookmarkEnd w:id="57"/>
          </w:p>
        </w:tc>
      </w:tr>
      <w:tr w14:paraId="7BD1A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7F4A28D7">
            <w:pPr>
              <w:adjustRightInd w:val="0"/>
              <w:snapToGrid w:val="0"/>
              <w:jc w:val="center"/>
              <w:rPr>
                <w:color w:val="auto"/>
                <w:sz w:val="24"/>
                <w:szCs w:val="24"/>
              </w:rPr>
            </w:pPr>
            <w:r>
              <w:rPr>
                <w:color w:val="auto"/>
                <w:sz w:val="24"/>
                <w:szCs w:val="24"/>
              </w:rPr>
              <w:t>项目代码</w:t>
            </w:r>
          </w:p>
        </w:tc>
        <w:tc>
          <w:tcPr>
            <w:tcW w:w="7752" w:type="dxa"/>
            <w:gridSpan w:val="3"/>
            <w:noWrap w:val="0"/>
            <w:vAlign w:val="center"/>
          </w:tcPr>
          <w:p w14:paraId="72562026">
            <w:pPr>
              <w:adjustRightInd w:val="0"/>
              <w:snapToGrid w:val="0"/>
              <w:jc w:val="center"/>
              <w:rPr>
                <w:rFonts w:hint="default" w:eastAsia="宋体"/>
                <w:color w:val="auto"/>
                <w:sz w:val="24"/>
                <w:szCs w:val="24"/>
                <w:lang w:val="en-US" w:eastAsia="zh-CN"/>
              </w:rPr>
            </w:pPr>
            <w:r>
              <w:rPr>
                <w:rFonts w:hint="eastAsia"/>
                <w:color w:val="auto"/>
                <w:sz w:val="24"/>
                <w:szCs w:val="24"/>
              </w:rPr>
              <w:t>250</w:t>
            </w:r>
            <w:r>
              <w:rPr>
                <w:rFonts w:hint="eastAsia"/>
                <w:color w:val="auto"/>
                <w:sz w:val="24"/>
                <w:szCs w:val="24"/>
                <w:lang w:val="en-US" w:eastAsia="zh-CN"/>
              </w:rPr>
              <w:t>9</w:t>
            </w:r>
            <w:r>
              <w:rPr>
                <w:rFonts w:hint="eastAsia"/>
                <w:color w:val="auto"/>
                <w:sz w:val="24"/>
                <w:szCs w:val="24"/>
              </w:rPr>
              <w:t>-3501</w:t>
            </w:r>
            <w:r>
              <w:rPr>
                <w:rFonts w:hint="eastAsia"/>
                <w:color w:val="auto"/>
                <w:sz w:val="24"/>
                <w:szCs w:val="24"/>
                <w:lang w:val="en-US" w:eastAsia="zh-CN"/>
              </w:rPr>
              <w:t>81</w:t>
            </w:r>
            <w:r>
              <w:rPr>
                <w:rFonts w:hint="eastAsia"/>
                <w:color w:val="auto"/>
                <w:sz w:val="24"/>
                <w:szCs w:val="24"/>
              </w:rPr>
              <w:t>-0</w:t>
            </w:r>
            <w:r>
              <w:rPr>
                <w:rFonts w:hint="eastAsia"/>
                <w:color w:val="auto"/>
                <w:sz w:val="24"/>
                <w:szCs w:val="24"/>
                <w:lang w:val="en-US" w:eastAsia="zh-CN"/>
              </w:rPr>
              <w:t>4</w:t>
            </w:r>
            <w:r>
              <w:rPr>
                <w:rFonts w:hint="eastAsia"/>
                <w:color w:val="auto"/>
                <w:sz w:val="24"/>
                <w:szCs w:val="24"/>
              </w:rPr>
              <w:t>-0</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196570</w:t>
            </w:r>
          </w:p>
        </w:tc>
      </w:tr>
      <w:tr w14:paraId="10898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1FBA789D">
            <w:pPr>
              <w:adjustRightInd w:val="0"/>
              <w:snapToGrid w:val="0"/>
              <w:jc w:val="center"/>
              <w:rPr>
                <w:color w:val="auto"/>
                <w:sz w:val="24"/>
                <w:szCs w:val="24"/>
              </w:rPr>
            </w:pPr>
            <w:r>
              <w:rPr>
                <w:color w:val="auto"/>
                <w:sz w:val="24"/>
                <w:szCs w:val="24"/>
              </w:rPr>
              <w:t>建设单位联系人</w:t>
            </w:r>
          </w:p>
        </w:tc>
        <w:tc>
          <w:tcPr>
            <w:tcW w:w="2901" w:type="dxa"/>
            <w:noWrap w:val="0"/>
            <w:vAlign w:val="center"/>
          </w:tcPr>
          <w:p w14:paraId="5CFC9A63">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w:t>
            </w:r>
          </w:p>
        </w:tc>
        <w:tc>
          <w:tcPr>
            <w:tcW w:w="1980" w:type="dxa"/>
            <w:noWrap w:val="0"/>
            <w:vAlign w:val="center"/>
          </w:tcPr>
          <w:p w14:paraId="50690072">
            <w:pPr>
              <w:adjustRightInd w:val="0"/>
              <w:snapToGrid w:val="0"/>
              <w:jc w:val="center"/>
              <w:rPr>
                <w:color w:val="auto"/>
                <w:sz w:val="24"/>
                <w:szCs w:val="24"/>
              </w:rPr>
            </w:pPr>
            <w:r>
              <w:rPr>
                <w:color w:val="auto"/>
                <w:sz w:val="24"/>
                <w:szCs w:val="24"/>
              </w:rPr>
              <w:t>联系方式</w:t>
            </w:r>
          </w:p>
        </w:tc>
        <w:tc>
          <w:tcPr>
            <w:tcW w:w="2871" w:type="dxa"/>
            <w:noWrap w:val="0"/>
            <w:vAlign w:val="center"/>
          </w:tcPr>
          <w:p w14:paraId="7A6BE4AC">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w:t>
            </w:r>
          </w:p>
        </w:tc>
      </w:tr>
      <w:tr w14:paraId="4AD11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5ED9AF4B">
            <w:pPr>
              <w:adjustRightInd w:val="0"/>
              <w:snapToGrid w:val="0"/>
              <w:jc w:val="center"/>
              <w:rPr>
                <w:color w:val="auto"/>
                <w:sz w:val="24"/>
                <w:szCs w:val="24"/>
              </w:rPr>
            </w:pPr>
            <w:r>
              <w:rPr>
                <w:color w:val="auto"/>
                <w:sz w:val="24"/>
                <w:szCs w:val="24"/>
              </w:rPr>
              <w:t>建设地点</w:t>
            </w:r>
          </w:p>
        </w:tc>
        <w:tc>
          <w:tcPr>
            <w:tcW w:w="7752" w:type="dxa"/>
            <w:gridSpan w:val="3"/>
            <w:noWrap w:val="0"/>
            <w:vAlign w:val="center"/>
          </w:tcPr>
          <w:p w14:paraId="05E69957">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福清融侨经济技术开发区（租赁福建三锋汽配开发有限公司标准厂房五一至三层、标准厂房四一层）</w:t>
            </w:r>
          </w:p>
        </w:tc>
      </w:tr>
      <w:tr w14:paraId="0DD23F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249128CC">
            <w:pPr>
              <w:adjustRightInd w:val="0"/>
              <w:snapToGrid w:val="0"/>
              <w:jc w:val="center"/>
              <w:rPr>
                <w:color w:val="auto"/>
                <w:sz w:val="24"/>
                <w:szCs w:val="24"/>
              </w:rPr>
            </w:pPr>
            <w:r>
              <w:rPr>
                <w:color w:val="auto"/>
                <w:sz w:val="24"/>
                <w:szCs w:val="24"/>
              </w:rPr>
              <w:t>地理坐标</w:t>
            </w:r>
          </w:p>
        </w:tc>
        <w:tc>
          <w:tcPr>
            <w:tcW w:w="7752" w:type="dxa"/>
            <w:gridSpan w:val="3"/>
            <w:noWrap w:val="0"/>
            <w:vAlign w:val="center"/>
          </w:tcPr>
          <w:p w14:paraId="36283F20">
            <w:pPr>
              <w:jc w:val="center"/>
              <w:rPr>
                <w:color w:val="auto"/>
                <w:sz w:val="24"/>
                <w:szCs w:val="24"/>
              </w:rPr>
            </w:pPr>
            <w:r>
              <w:rPr>
                <w:color w:val="auto"/>
                <w:sz w:val="24"/>
                <w:szCs w:val="24"/>
              </w:rPr>
              <w:t>经度：119°</w:t>
            </w:r>
            <w:r>
              <w:rPr>
                <w:rFonts w:hint="eastAsia"/>
                <w:color w:val="auto"/>
                <w:sz w:val="24"/>
                <w:szCs w:val="24"/>
                <w:lang w:val="en-US" w:eastAsia="zh-CN"/>
              </w:rPr>
              <w:t>20</w:t>
            </w:r>
            <w:r>
              <w:rPr>
                <w:color w:val="auto"/>
                <w:sz w:val="24"/>
                <w:szCs w:val="24"/>
              </w:rPr>
              <w:t>'</w:t>
            </w:r>
            <w:r>
              <w:rPr>
                <w:rFonts w:hint="eastAsia"/>
                <w:color w:val="auto"/>
                <w:sz w:val="24"/>
                <w:szCs w:val="24"/>
                <w:lang w:val="en-US" w:eastAsia="zh-CN"/>
              </w:rPr>
              <w:t>6</w:t>
            </w:r>
            <w:r>
              <w:rPr>
                <w:rFonts w:hint="eastAsia"/>
                <w:color w:val="auto"/>
                <w:sz w:val="24"/>
                <w:szCs w:val="24"/>
              </w:rPr>
              <w:t>.</w:t>
            </w:r>
            <w:r>
              <w:rPr>
                <w:rFonts w:hint="eastAsia"/>
                <w:color w:val="auto"/>
                <w:sz w:val="24"/>
                <w:szCs w:val="24"/>
                <w:lang w:val="en-US" w:eastAsia="zh-CN"/>
              </w:rPr>
              <w:t>821</w:t>
            </w:r>
            <w:r>
              <w:rPr>
                <w:color w:val="auto"/>
                <w:sz w:val="24"/>
                <w:szCs w:val="24"/>
              </w:rPr>
              <w:t>"，纬度：2</w:t>
            </w:r>
            <w:r>
              <w:rPr>
                <w:rFonts w:hint="eastAsia"/>
                <w:color w:val="auto"/>
                <w:sz w:val="24"/>
                <w:szCs w:val="24"/>
                <w:lang w:eastAsia="zh-CN"/>
              </w:rPr>
              <w:t>5</w:t>
            </w:r>
            <w:r>
              <w:rPr>
                <w:color w:val="auto"/>
                <w:sz w:val="24"/>
                <w:szCs w:val="24"/>
              </w:rPr>
              <w:t>°</w:t>
            </w:r>
            <w:r>
              <w:rPr>
                <w:rFonts w:hint="eastAsia"/>
                <w:color w:val="auto"/>
                <w:sz w:val="24"/>
                <w:szCs w:val="24"/>
                <w:lang w:val="en-US" w:eastAsia="zh-CN"/>
              </w:rPr>
              <w:t>44</w:t>
            </w:r>
            <w:r>
              <w:rPr>
                <w:color w:val="auto"/>
                <w:sz w:val="24"/>
                <w:szCs w:val="24"/>
              </w:rPr>
              <w:t>'</w:t>
            </w:r>
            <w:r>
              <w:rPr>
                <w:rFonts w:hint="eastAsia"/>
                <w:color w:val="auto"/>
                <w:sz w:val="24"/>
                <w:szCs w:val="24"/>
                <w:lang w:val="en-US" w:eastAsia="zh-CN"/>
              </w:rPr>
              <w:t>26</w:t>
            </w:r>
            <w:r>
              <w:rPr>
                <w:color w:val="auto"/>
                <w:sz w:val="24"/>
                <w:szCs w:val="24"/>
              </w:rPr>
              <w:t>.</w:t>
            </w:r>
            <w:r>
              <w:rPr>
                <w:rFonts w:hint="eastAsia"/>
                <w:color w:val="auto"/>
                <w:sz w:val="24"/>
                <w:szCs w:val="24"/>
                <w:lang w:val="en-US" w:eastAsia="zh-CN"/>
              </w:rPr>
              <w:t>369</w:t>
            </w:r>
            <w:r>
              <w:rPr>
                <w:color w:val="auto"/>
                <w:sz w:val="24"/>
                <w:szCs w:val="24"/>
              </w:rPr>
              <w:t>"</w:t>
            </w:r>
          </w:p>
        </w:tc>
      </w:tr>
      <w:tr w14:paraId="3BD34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18" w:type="dxa"/>
            <w:noWrap w:val="0"/>
            <w:tcMar>
              <w:top w:w="16" w:type="dxa"/>
              <w:left w:w="16" w:type="dxa"/>
              <w:right w:w="16" w:type="dxa"/>
            </w:tcMar>
            <w:vAlign w:val="center"/>
          </w:tcPr>
          <w:p w14:paraId="6F5DB052">
            <w:pPr>
              <w:adjustRightInd w:val="0"/>
              <w:snapToGrid w:val="0"/>
              <w:jc w:val="center"/>
              <w:rPr>
                <w:color w:val="auto"/>
                <w:sz w:val="24"/>
                <w:szCs w:val="24"/>
              </w:rPr>
            </w:pPr>
            <w:r>
              <w:rPr>
                <w:color w:val="auto"/>
                <w:sz w:val="24"/>
                <w:szCs w:val="24"/>
              </w:rPr>
              <w:t>国民经济</w:t>
            </w:r>
          </w:p>
          <w:p w14:paraId="6DF95C5F">
            <w:pPr>
              <w:adjustRightInd w:val="0"/>
              <w:snapToGrid w:val="0"/>
              <w:jc w:val="center"/>
              <w:rPr>
                <w:color w:val="auto"/>
                <w:sz w:val="24"/>
                <w:szCs w:val="24"/>
              </w:rPr>
            </w:pPr>
            <w:r>
              <w:rPr>
                <w:color w:val="auto"/>
                <w:sz w:val="24"/>
                <w:szCs w:val="24"/>
              </w:rPr>
              <w:t>行业类别</w:t>
            </w:r>
          </w:p>
        </w:tc>
        <w:tc>
          <w:tcPr>
            <w:tcW w:w="2901" w:type="dxa"/>
            <w:noWrap w:val="0"/>
            <w:vAlign w:val="center"/>
          </w:tcPr>
          <w:p w14:paraId="242B3CA8">
            <w:pPr>
              <w:adjustRightInd w:val="0"/>
              <w:snapToGrid w:val="0"/>
              <w:spacing w:line="240" w:lineRule="auto"/>
              <w:jc w:val="center"/>
              <w:rPr>
                <w:rFonts w:hint="default" w:ascii="Times New Roman" w:hAnsi="Times New Roman" w:eastAsia="宋体" w:cs="Times New Roman"/>
                <w:color w:val="auto"/>
                <w:sz w:val="24"/>
                <w:szCs w:val="24"/>
                <w:highlight w:val="none"/>
              </w:rPr>
            </w:pPr>
            <w:r>
              <w:rPr>
                <w:rFonts w:hint="eastAsia"/>
                <w:color w:val="auto"/>
                <w:sz w:val="24"/>
                <w:szCs w:val="24"/>
              </w:rPr>
              <w:t>C</w:t>
            </w:r>
            <w:r>
              <w:rPr>
                <w:rFonts w:hint="eastAsia"/>
                <w:color w:val="auto"/>
                <w:sz w:val="24"/>
                <w:szCs w:val="24"/>
                <w:lang w:eastAsia="zh-CN"/>
              </w:rPr>
              <w:t>3</w:t>
            </w:r>
            <w:r>
              <w:rPr>
                <w:rFonts w:hint="eastAsia"/>
                <w:color w:val="auto"/>
                <w:sz w:val="24"/>
                <w:szCs w:val="24"/>
                <w:lang w:val="en-US" w:eastAsia="zh-CN"/>
              </w:rPr>
              <w:t>670</w:t>
            </w:r>
            <w:r>
              <w:rPr>
                <w:rFonts w:hint="eastAsia"/>
                <w:color w:val="auto"/>
                <w:sz w:val="24"/>
                <w:szCs w:val="24"/>
              </w:rPr>
              <w:t>汽车零部件及配件制造</w:t>
            </w:r>
          </w:p>
          <w:p w14:paraId="5AC01E4F">
            <w:pPr>
              <w:adjustRightInd w:val="0"/>
              <w:snapToGrid w:val="0"/>
              <w:spacing w:line="240" w:lineRule="auto"/>
              <w:jc w:val="center"/>
              <w:rPr>
                <w:rFonts w:hint="eastAsia"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929</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rPr>
              <w:t>塑料零件及其他塑料制品制造</w:t>
            </w:r>
          </w:p>
          <w:p w14:paraId="66844BAE">
            <w:pPr>
              <w:adjustRightInd w:val="0"/>
              <w:snapToGrid w:val="0"/>
              <w:jc w:val="center"/>
              <w:rPr>
                <w:color w:val="auto"/>
                <w:sz w:val="24"/>
                <w:szCs w:val="24"/>
              </w:rPr>
            </w:pPr>
            <w:r>
              <w:rPr>
                <w:rFonts w:hint="default" w:ascii="Times New Roman" w:hAnsi="Times New Roman" w:eastAsia="宋体" w:cs="Times New Roman"/>
                <w:color w:val="auto"/>
                <w:sz w:val="24"/>
                <w:szCs w:val="24"/>
                <w:highlight w:val="none"/>
              </w:rPr>
              <w:t>C</w:t>
            </w:r>
            <w:r>
              <w:rPr>
                <w:rFonts w:hint="eastAsia" w:cs="Times New Roman"/>
                <w:color w:val="auto"/>
                <w:sz w:val="24"/>
                <w:szCs w:val="24"/>
                <w:highlight w:val="none"/>
                <w:lang w:val="en-US" w:eastAsia="zh-CN"/>
              </w:rPr>
              <w:t>3311</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eastAsia="zh-CN"/>
              </w:rPr>
              <w:t>金属结构</w:t>
            </w:r>
            <w:r>
              <w:rPr>
                <w:rFonts w:hint="eastAsia" w:ascii="Times New Roman" w:hAnsi="Times New Roman" w:eastAsia="宋体" w:cs="Times New Roman"/>
                <w:color w:val="auto"/>
                <w:sz w:val="24"/>
                <w:szCs w:val="24"/>
                <w:highlight w:val="none"/>
              </w:rPr>
              <w:t>制造</w:t>
            </w:r>
          </w:p>
        </w:tc>
        <w:tc>
          <w:tcPr>
            <w:tcW w:w="1980" w:type="dxa"/>
            <w:noWrap w:val="0"/>
            <w:vAlign w:val="center"/>
          </w:tcPr>
          <w:p w14:paraId="3DBA2E67">
            <w:pPr>
              <w:adjustRightInd w:val="0"/>
              <w:snapToGrid w:val="0"/>
              <w:jc w:val="center"/>
              <w:rPr>
                <w:color w:val="auto"/>
                <w:sz w:val="24"/>
                <w:szCs w:val="24"/>
              </w:rPr>
            </w:pPr>
            <w:bookmarkStart w:id="3" w:name="_Hlk49843745"/>
            <w:r>
              <w:rPr>
                <w:color w:val="auto"/>
                <w:sz w:val="24"/>
                <w:szCs w:val="24"/>
              </w:rPr>
              <w:t>建设项目</w:t>
            </w:r>
          </w:p>
          <w:p w14:paraId="066AFE97">
            <w:pPr>
              <w:adjustRightInd w:val="0"/>
              <w:snapToGrid w:val="0"/>
              <w:jc w:val="center"/>
              <w:rPr>
                <w:color w:val="auto"/>
                <w:sz w:val="24"/>
                <w:szCs w:val="24"/>
              </w:rPr>
            </w:pPr>
            <w:r>
              <w:rPr>
                <w:color w:val="auto"/>
                <w:sz w:val="24"/>
                <w:szCs w:val="24"/>
              </w:rPr>
              <w:t>行业类别</w:t>
            </w:r>
            <w:bookmarkEnd w:id="3"/>
          </w:p>
        </w:tc>
        <w:tc>
          <w:tcPr>
            <w:tcW w:w="2871" w:type="dxa"/>
            <w:noWrap w:val="0"/>
            <w:vAlign w:val="center"/>
          </w:tcPr>
          <w:p w14:paraId="10DB6933">
            <w:pPr>
              <w:adjustRightInd w:val="0"/>
              <w:snapToGrid w:val="0"/>
              <w:spacing w:line="240" w:lineRule="auto"/>
              <w:jc w:val="center"/>
              <w:rPr>
                <w:rFonts w:hint="eastAsia"/>
                <w:color w:val="auto"/>
                <w:sz w:val="24"/>
                <w:szCs w:val="24"/>
                <w:highlight w:val="none"/>
              </w:rPr>
            </w:pPr>
            <w:r>
              <w:rPr>
                <w:rFonts w:hint="eastAsia"/>
                <w:color w:val="auto"/>
                <w:sz w:val="24"/>
                <w:szCs w:val="24"/>
              </w:rPr>
              <w:t>三十三、汽车制造业 36</w:t>
            </w:r>
            <w:r>
              <w:rPr>
                <w:rFonts w:hint="eastAsia"/>
                <w:color w:val="auto"/>
                <w:sz w:val="24"/>
                <w:szCs w:val="24"/>
                <w:highlight w:val="none"/>
              </w:rPr>
              <w:t>-</w:t>
            </w:r>
            <w:r>
              <w:rPr>
                <w:rFonts w:hint="eastAsia"/>
                <w:color w:val="auto"/>
                <w:sz w:val="24"/>
                <w:szCs w:val="24"/>
                <w:lang w:eastAsia="zh-CN"/>
              </w:rPr>
              <w:t>7</w:t>
            </w:r>
            <w:r>
              <w:rPr>
                <w:rFonts w:hint="eastAsia"/>
                <w:color w:val="auto"/>
                <w:sz w:val="24"/>
                <w:szCs w:val="24"/>
                <w:lang w:val="en-US" w:eastAsia="zh-CN"/>
              </w:rPr>
              <w:t>1</w:t>
            </w:r>
            <w:r>
              <w:rPr>
                <w:rFonts w:hint="eastAsia"/>
                <w:color w:val="auto"/>
                <w:sz w:val="24"/>
                <w:szCs w:val="24"/>
              </w:rPr>
              <w:t>.汽车零部件及配件制造 367</w:t>
            </w:r>
          </w:p>
          <w:p w14:paraId="58258EE2">
            <w:pPr>
              <w:adjustRightInd w:val="0"/>
              <w:snapToGrid w:val="0"/>
              <w:spacing w:line="240" w:lineRule="auto"/>
              <w:jc w:val="center"/>
              <w:rPr>
                <w:rFonts w:hint="eastAsia"/>
                <w:color w:val="auto"/>
                <w:sz w:val="24"/>
                <w:szCs w:val="24"/>
                <w:highlight w:val="none"/>
                <w:lang w:val="en-US" w:eastAsia="zh-CN"/>
              </w:rPr>
            </w:pPr>
            <w:r>
              <w:rPr>
                <w:rFonts w:hint="eastAsia"/>
                <w:color w:val="auto"/>
                <w:sz w:val="24"/>
                <w:szCs w:val="24"/>
                <w:highlight w:val="none"/>
              </w:rPr>
              <w:t>二十</w:t>
            </w:r>
            <w:r>
              <w:rPr>
                <w:rFonts w:hint="eastAsia"/>
                <w:color w:val="auto"/>
                <w:sz w:val="24"/>
                <w:szCs w:val="24"/>
                <w:highlight w:val="none"/>
                <w:lang w:eastAsia="zh-CN"/>
              </w:rPr>
              <w:t>六</w:t>
            </w:r>
            <w:r>
              <w:rPr>
                <w:rFonts w:hint="eastAsia"/>
                <w:color w:val="auto"/>
                <w:sz w:val="24"/>
                <w:szCs w:val="24"/>
                <w:highlight w:val="none"/>
              </w:rPr>
              <w:t>、</w:t>
            </w:r>
            <w:r>
              <w:rPr>
                <w:rFonts w:hint="eastAsia"/>
                <w:color w:val="auto"/>
                <w:sz w:val="24"/>
                <w:szCs w:val="24"/>
                <w:highlight w:val="none"/>
                <w:lang w:val="en-US" w:eastAsia="zh-CN"/>
              </w:rPr>
              <w:t>橡胶和塑料制品业29</w:t>
            </w:r>
            <w:r>
              <w:rPr>
                <w:rFonts w:hint="eastAsia"/>
                <w:color w:val="auto"/>
                <w:sz w:val="24"/>
                <w:szCs w:val="24"/>
                <w:highlight w:val="none"/>
              </w:rPr>
              <w:t>-</w:t>
            </w:r>
            <w:r>
              <w:rPr>
                <w:rFonts w:hint="eastAsia"/>
                <w:color w:val="auto"/>
                <w:sz w:val="24"/>
                <w:szCs w:val="24"/>
                <w:highlight w:val="none"/>
                <w:lang w:val="en-US" w:eastAsia="zh-CN"/>
              </w:rPr>
              <w:t>53.塑料制品业292 其他(年用非溶剂型低VOCs含</w:t>
            </w:r>
          </w:p>
          <w:p w14:paraId="5F1527EC">
            <w:pPr>
              <w:adjustRightInd w:val="0"/>
              <w:snapToGrid w:val="0"/>
              <w:spacing w:line="240" w:lineRule="auto"/>
              <w:jc w:val="center"/>
              <w:rPr>
                <w:rFonts w:hint="eastAsia"/>
                <w:color w:val="auto"/>
                <w:sz w:val="24"/>
                <w:szCs w:val="24"/>
                <w:highlight w:val="none"/>
              </w:rPr>
            </w:pPr>
            <w:r>
              <w:rPr>
                <w:rFonts w:hint="eastAsia"/>
                <w:color w:val="auto"/>
                <w:sz w:val="24"/>
                <w:szCs w:val="24"/>
                <w:highlight w:val="none"/>
                <w:lang w:val="en-US" w:eastAsia="zh-CN"/>
              </w:rPr>
              <w:t>量涂料10吨以下的除外)</w:t>
            </w:r>
            <w:r>
              <w:rPr>
                <w:rFonts w:hint="eastAsia"/>
                <w:color w:val="auto"/>
                <w:sz w:val="24"/>
                <w:szCs w:val="24"/>
                <w:highlight w:val="none"/>
              </w:rPr>
              <w:t>；</w:t>
            </w:r>
          </w:p>
          <w:p w14:paraId="05BF53C1">
            <w:pPr>
              <w:jc w:val="center"/>
              <w:rPr>
                <w:rFonts w:hint="eastAsia" w:eastAsia="宋体"/>
                <w:color w:val="auto"/>
                <w:sz w:val="24"/>
                <w:szCs w:val="24"/>
                <w:lang w:eastAsia="zh-CN"/>
              </w:rPr>
            </w:pPr>
            <w:r>
              <w:rPr>
                <w:color w:val="auto"/>
                <w:sz w:val="24"/>
                <w:szCs w:val="24"/>
              </w:rPr>
              <w:t>三十、</w:t>
            </w:r>
            <w:r>
              <w:rPr>
                <w:rFonts w:hint="eastAsia"/>
                <w:color w:val="auto"/>
                <w:sz w:val="24"/>
                <w:szCs w:val="24"/>
              </w:rPr>
              <w:t>金属制品业</w:t>
            </w:r>
            <w:r>
              <w:rPr>
                <w:color w:val="auto"/>
                <w:sz w:val="24"/>
                <w:szCs w:val="24"/>
              </w:rPr>
              <w:t>“</w:t>
            </w:r>
            <w:r>
              <w:rPr>
                <w:rFonts w:hint="eastAsia"/>
                <w:color w:val="auto"/>
                <w:sz w:val="24"/>
                <w:szCs w:val="24"/>
              </w:rPr>
              <w:t>66</w:t>
            </w:r>
            <w:r>
              <w:rPr>
                <w:color w:val="auto"/>
                <w:sz w:val="24"/>
                <w:szCs w:val="24"/>
              </w:rPr>
              <w:t>、</w:t>
            </w:r>
            <w:r>
              <w:rPr>
                <w:rFonts w:hint="eastAsia"/>
                <w:b/>
                <w:bCs/>
                <w:color w:val="auto"/>
                <w:sz w:val="24"/>
                <w:szCs w:val="24"/>
              </w:rPr>
              <w:t>结构性金属制品制造331</w:t>
            </w:r>
            <w:r>
              <w:rPr>
                <w:color w:val="auto"/>
                <w:sz w:val="24"/>
                <w:szCs w:val="24"/>
              </w:rPr>
              <w:t>”</w:t>
            </w:r>
          </w:p>
        </w:tc>
      </w:tr>
      <w:tr w14:paraId="70FA5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18" w:type="dxa"/>
            <w:noWrap w:val="0"/>
            <w:tcMar>
              <w:top w:w="16" w:type="dxa"/>
              <w:left w:w="16" w:type="dxa"/>
              <w:right w:w="16" w:type="dxa"/>
            </w:tcMar>
            <w:vAlign w:val="center"/>
          </w:tcPr>
          <w:p w14:paraId="58ABACC9">
            <w:pPr>
              <w:adjustRightInd w:val="0"/>
              <w:snapToGrid w:val="0"/>
              <w:jc w:val="center"/>
              <w:rPr>
                <w:color w:val="auto"/>
                <w:sz w:val="24"/>
                <w:szCs w:val="24"/>
              </w:rPr>
            </w:pPr>
            <w:r>
              <w:rPr>
                <w:color w:val="auto"/>
                <w:sz w:val="24"/>
                <w:szCs w:val="24"/>
              </w:rPr>
              <w:t>建设性质</w:t>
            </w:r>
          </w:p>
        </w:tc>
        <w:tc>
          <w:tcPr>
            <w:tcW w:w="2901" w:type="dxa"/>
            <w:noWrap w:val="0"/>
            <w:vAlign w:val="center"/>
          </w:tcPr>
          <w:p w14:paraId="4F4A2119">
            <w:pPr>
              <w:jc w:val="left"/>
              <w:rPr>
                <w:color w:val="auto"/>
                <w:sz w:val="24"/>
                <w:szCs w:val="24"/>
              </w:rPr>
            </w:pPr>
            <w:r>
              <w:rPr>
                <w:rFonts w:hint="eastAsia"/>
                <w:color w:val="auto"/>
                <w:sz w:val="24"/>
                <w:szCs w:val="24"/>
              </w:rPr>
              <w:sym w:font="Wingdings 2" w:char="00A3"/>
            </w:r>
            <w:r>
              <w:rPr>
                <w:color w:val="auto"/>
                <w:sz w:val="24"/>
                <w:szCs w:val="24"/>
              </w:rPr>
              <w:t>新建（迁建）</w:t>
            </w:r>
          </w:p>
          <w:p w14:paraId="2D853EAD">
            <w:pPr>
              <w:jc w:val="left"/>
              <w:rPr>
                <w:rFonts w:hint="eastAsia" w:eastAsia="宋体"/>
                <w:color w:val="auto"/>
                <w:sz w:val="24"/>
                <w:szCs w:val="24"/>
                <w:lang w:eastAsia="zh-CN"/>
              </w:rPr>
            </w:pPr>
            <w:r>
              <w:rPr>
                <w:color w:val="auto"/>
                <w:sz w:val="24"/>
                <w:szCs w:val="24"/>
              </w:rPr>
              <w:sym w:font="Wingdings 2" w:char="00A3"/>
            </w:r>
            <w:r>
              <w:rPr>
                <w:rFonts w:hint="eastAsia"/>
                <w:color w:val="auto"/>
                <w:sz w:val="24"/>
                <w:szCs w:val="24"/>
                <w:lang w:eastAsia="zh-CN"/>
              </w:rPr>
              <w:t>改建</w:t>
            </w:r>
          </w:p>
          <w:p w14:paraId="5B1010FA">
            <w:pPr>
              <w:jc w:val="left"/>
              <w:rPr>
                <w:color w:val="auto"/>
                <w:sz w:val="24"/>
                <w:szCs w:val="24"/>
              </w:rPr>
            </w:pPr>
            <w:r>
              <w:rPr>
                <w:color w:val="auto"/>
                <w:sz w:val="24"/>
                <w:szCs w:val="24"/>
              </w:rPr>
              <w:sym w:font="Wingdings 2" w:char="0052"/>
            </w:r>
            <w:r>
              <w:rPr>
                <w:color w:val="auto"/>
                <w:sz w:val="24"/>
                <w:szCs w:val="24"/>
              </w:rPr>
              <w:t>扩建</w:t>
            </w:r>
          </w:p>
          <w:p w14:paraId="754BA58E">
            <w:pPr>
              <w:jc w:val="left"/>
              <w:rPr>
                <w:color w:val="auto"/>
                <w:sz w:val="24"/>
                <w:szCs w:val="24"/>
              </w:rPr>
            </w:pPr>
            <w:r>
              <w:rPr>
                <w:color w:val="auto"/>
                <w:sz w:val="24"/>
                <w:szCs w:val="24"/>
              </w:rPr>
              <w:sym w:font="Wingdings 2" w:char="00A3"/>
            </w:r>
            <w:r>
              <w:rPr>
                <w:color w:val="auto"/>
                <w:sz w:val="24"/>
                <w:szCs w:val="24"/>
              </w:rPr>
              <w:t>技术改造</w:t>
            </w:r>
          </w:p>
        </w:tc>
        <w:tc>
          <w:tcPr>
            <w:tcW w:w="1980" w:type="dxa"/>
            <w:noWrap w:val="0"/>
            <w:vAlign w:val="center"/>
          </w:tcPr>
          <w:p w14:paraId="1E65F78A">
            <w:pPr>
              <w:adjustRightInd w:val="0"/>
              <w:snapToGrid w:val="0"/>
              <w:jc w:val="center"/>
              <w:rPr>
                <w:color w:val="auto"/>
                <w:sz w:val="24"/>
                <w:szCs w:val="24"/>
              </w:rPr>
            </w:pPr>
            <w:r>
              <w:rPr>
                <w:color w:val="auto"/>
                <w:sz w:val="24"/>
                <w:szCs w:val="24"/>
              </w:rPr>
              <w:t>建设项目</w:t>
            </w:r>
          </w:p>
          <w:p w14:paraId="11E91D06">
            <w:pPr>
              <w:adjustRightInd w:val="0"/>
              <w:snapToGrid w:val="0"/>
              <w:jc w:val="center"/>
              <w:rPr>
                <w:color w:val="auto"/>
                <w:sz w:val="24"/>
                <w:szCs w:val="24"/>
              </w:rPr>
            </w:pPr>
            <w:r>
              <w:rPr>
                <w:color w:val="auto"/>
                <w:sz w:val="24"/>
                <w:szCs w:val="24"/>
              </w:rPr>
              <w:t>申报情形</w:t>
            </w:r>
          </w:p>
        </w:tc>
        <w:tc>
          <w:tcPr>
            <w:tcW w:w="2871" w:type="dxa"/>
            <w:noWrap w:val="0"/>
            <w:vAlign w:val="center"/>
          </w:tcPr>
          <w:p w14:paraId="208DC3DE">
            <w:pPr>
              <w:jc w:val="left"/>
              <w:rPr>
                <w:color w:val="auto"/>
                <w:sz w:val="24"/>
                <w:szCs w:val="24"/>
              </w:rPr>
            </w:pPr>
            <w:r>
              <w:rPr>
                <w:rFonts w:hint="eastAsia"/>
                <w:color w:val="auto"/>
                <w:sz w:val="24"/>
                <w:szCs w:val="24"/>
              </w:rPr>
              <w:sym w:font="Wingdings 2" w:char="0052"/>
            </w:r>
            <w:r>
              <w:rPr>
                <w:color w:val="auto"/>
                <w:sz w:val="24"/>
                <w:szCs w:val="24"/>
              </w:rPr>
              <w:t xml:space="preserve">首次申报项目             </w:t>
            </w:r>
          </w:p>
          <w:p w14:paraId="45DC20BC">
            <w:pPr>
              <w:jc w:val="left"/>
              <w:rPr>
                <w:color w:val="auto"/>
                <w:sz w:val="24"/>
                <w:szCs w:val="24"/>
              </w:rPr>
            </w:pPr>
            <w:r>
              <w:rPr>
                <w:color w:val="auto"/>
                <w:sz w:val="24"/>
                <w:szCs w:val="24"/>
              </w:rPr>
              <w:sym w:font="Wingdings 2" w:char="00A3"/>
            </w:r>
            <w:r>
              <w:rPr>
                <w:color w:val="auto"/>
                <w:sz w:val="24"/>
                <w:szCs w:val="24"/>
              </w:rPr>
              <w:t>不予批准后再次申报项目</w:t>
            </w:r>
          </w:p>
          <w:p w14:paraId="65F5A63A">
            <w:pPr>
              <w:jc w:val="left"/>
              <w:rPr>
                <w:color w:val="auto"/>
                <w:sz w:val="24"/>
                <w:szCs w:val="24"/>
              </w:rPr>
            </w:pPr>
            <w:r>
              <w:rPr>
                <w:color w:val="auto"/>
                <w:sz w:val="24"/>
                <w:szCs w:val="24"/>
              </w:rPr>
              <w:sym w:font="Wingdings 2" w:char="00A3"/>
            </w:r>
            <w:r>
              <w:rPr>
                <w:color w:val="auto"/>
                <w:sz w:val="24"/>
                <w:szCs w:val="24"/>
              </w:rPr>
              <w:t xml:space="preserve">超五年重新审核项目     </w:t>
            </w:r>
          </w:p>
          <w:p w14:paraId="34B219E0">
            <w:pPr>
              <w:jc w:val="left"/>
              <w:rPr>
                <w:color w:val="auto"/>
                <w:sz w:val="24"/>
                <w:szCs w:val="24"/>
              </w:rPr>
            </w:pPr>
            <w:r>
              <w:rPr>
                <w:color w:val="auto"/>
                <w:sz w:val="24"/>
                <w:szCs w:val="24"/>
              </w:rPr>
              <w:sym w:font="Wingdings 2" w:char="00A3"/>
            </w:r>
            <w:r>
              <w:rPr>
                <w:color w:val="auto"/>
                <w:sz w:val="24"/>
                <w:szCs w:val="24"/>
              </w:rPr>
              <w:t>重大变动重新报批项目</w:t>
            </w:r>
          </w:p>
        </w:tc>
      </w:tr>
      <w:tr w14:paraId="4C758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18" w:type="dxa"/>
            <w:noWrap w:val="0"/>
            <w:tcMar>
              <w:top w:w="16" w:type="dxa"/>
              <w:left w:w="16" w:type="dxa"/>
              <w:right w:w="16" w:type="dxa"/>
            </w:tcMar>
            <w:vAlign w:val="center"/>
          </w:tcPr>
          <w:p w14:paraId="69D59F01">
            <w:pPr>
              <w:adjustRightInd w:val="0"/>
              <w:snapToGrid w:val="0"/>
              <w:jc w:val="center"/>
              <w:rPr>
                <w:color w:val="auto"/>
                <w:sz w:val="24"/>
                <w:szCs w:val="24"/>
              </w:rPr>
            </w:pPr>
            <w:r>
              <w:rPr>
                <w:color w:val="auto"/>
                <w:sz w:val="24"/>
                <w:szCs w:val="24"/>
              </w:rPr>
              <w:t>项目审批（核准/</w:t>
            </w:r>
          </w:p>
          <w:p w14:paraId="3C76A5DF">
            <w:pPr>
              <w:adjustRightInd w:val="0"/>
              <w:snapToGrid w:val="0"/>
              <w:jc w:val="center"/>
              <w:rPr>
                <w:color w:val="auto"/>
                <w:sz w:val="24"/>
                <w:szCs w:val="24"/>
              </w:rPr>
            </w:pPr>
            <w:r>
              <w:rPr>
                <w:color w:val="auto"/>
                <w:sz w:val="24"/>
                <w:szCs w:val="24"/>
              </w:rPr>
              <w:t>备案）部门（选填）</w:t>
            </w:r>
          </w:p>
        </w:tc>
        <w:tc>
          <w:tcPr>
            <w:tcW w:w="2901" w:type="dxa"/>
            <w:noWrap w:val="0"/>
            <w:vAlign w:val="center"/>
          </w:tcPr>
          <w:p w14:paraId="28C9DDCB">
            <w:pPr>
              <w:adjustRightInd w:val="0"/>
              <w:snapToGrid w:val="0"/>
              <w:jc w:val="center"/>
              <w:rPr>
                <w:rFonts w:hint="eastAsia"/>
                <w:color w:val="auto"/>
                <w:sz w:val="24"/>
                <w:szCs w:val="24"/>
              </w:rPr>
            </w:pPr>
            <w:r>
              <w:rPr>
                <w:rFonts w:hint="eastAsia"/>
                <w:color w:val="auto"/>
                <w:sz w:val="24"/>
                <w:szCs w:val="24"/>
                <w:lang w:val="en-US" w:eastAsia="zh-CN"/>
              </w:rPr>
              <w:t>福清市</w:t>
            </w:r>
            <w:r>
              <w:rPr>
                <w:rFonts w:hint="eastAsia"/>
                <w:color w:val="auto"/>
                <w:sz w:val="24"/>
                <w:szCs w:val="24"/>
              </w:rPr>
              <w:t>工业和信息化局</w:t>
            </w:r>
          </w:p>
        </w:tc>
        <w:tc>
          <w:tcPr>
            <w:tcW w:w="1980" w:type="dxa"/>
            <w:noWrap w:val="0"/>
            <w:vAlign w:val="center"/>
          </w:tcPr>
          <w:p w14:paraId="3E9153B8">
            <w:pPr>
              <w:adjustRightInd w:val="0"/>
              <w:snapToGrid w:val="0"/>
              <w:jc w:val="center"/>
              <w:rPr>
                <w:color w:val="auto"/>
                <w:sz w:val="24"/>
                <w:szCs w:val="24"/>
              </w:rPr>
            </w:pPr>
            <w:r>
              <w:rPr>
                <w:color w:val="auto"/>
                <w:sz w:val="24"/>
                <w:szCs w:val="24"/>
              </w:rPr>
              <w:t>项目审批（核准/</w:t>
            </w:r>
          </w:p>
          <w:p w14:paraId="7812205A">
            <w:pPr>
              <w:adjustRightInd w:val="0"/>
              <w:snapToGrid w:val="0"/>
              <w:jc w:val="center"/>
              <w:rPr>
                <w:color w:val="auto"/>
                <w:sz w:val="24"/>
                <w:szCs w:val="24"/>
              </w:rPr>
            </w:pPr>
            <w:r>
              <w:rPr>
                <w:color w:val="auto"/>
                <w:sz w:val="24"/>
                <w:szCs w:val="24"/>
              </w:rPr>
              <w:t>备案）文号（选填）</w:t>
            </w:r>
          </w:p>
        </w:tc>
        <w:tc>
          <w:tcPr>
            <w:tcW w:w="2871" w:type="dxa"/>
            <w:noWrap w:val="0"/>
            <w:vAlign w:val="center"/>
          </w:tcPr>
          <w:p w14:paraId="180A022A">
            <w:pPr>
              <w:adjustRightInd w:val="0"/>
              <w:snapToGrid w:val="0"/>
              <w:jc w:val="center"/>
              <w:rPr>
                <w:rFonts w:hint="eastAsia"/>
                <w:color w:val="auto"/>
                <w:sz w:val="24"/>
                <w:szCs w:val="24"/>
              </w:rPr>
            </w:pPr>
            <w:r>
              <w:rPr>
                <w:rFonts w:hint="eastAsia"/>
                <w:color w:val="auto"/>
                <w:sz w:val="24"/>
                <w:szCs w:val="24"/>
              </w:rPr>
              <w:t>闽</w:t>
            </w:r>
            <w:r>
              <w:rPr>
                <w:rFonts w:hint="eastAsia"/>
                <w:color w:val="auto"/>
                <w:sz w:val="24"/>
                <w:szCs w:val="24"/>
                <w:lang w:eastAsia="zh-CN"/>
              </w:rPr>
              <w:t>工信</w:t>
            </w:r>
            <w:r>
              <w:rPr>
                <w:rFonts w:hint="eastAsia"/>
                <w:color w:val="auto"/>
                <w:sz w:val="24"/>
                <w:szCs w:val="24"/>
              </w:rPr>
              <w:t>备[202</w:t>
            </w:r>
            <w:r>
              <w:rPr>
                <w:rFonts w:hint="eastAsia"/>
                <w:color w:val="auto"/>
                <w:sz w:val="24"/>
                <w:szCs w:val="24"/>
                <w:lang w:val="en-US" w:eastAsia="zh-CN"/>
              </w:rPr>
              <w:t>5</w:t>
            </w:r>
            <w:r>
              <w:rPr>
                <w:rFonts w:hint="eastAsia"/>
                <w:color w:val="auto"/>
                <w:sz w:val="24"/>
                <w:szCs w:val="24"/>
              </w:rPr>
              <w:t>]</w:t>
            </w:r>
            <w:r>
              <w:rPr>
                <w:rFonts w:hint="eastAsia"/>
                <w:color w:val="auto"/>
                <w:sz w:val="24"/>
                <w:szCs w:val="24"/>
                <w:lang w:val="en-US" w:eastAsia="zh-CN"/>
              </w:rPr>
              <w:t>A060082</w:t>
            </w:r>
            <w:r>
              <w:rPr>
                <w:rFonts w:hint="eastAsia"/>
                <w:color w:val="auto"/>
                <w:sz w:val="24"/>
                <w:szCs w:val="24"/>
              </w:rPr>
              <w:t>号</w:t>
            </w:r>
          </w:p>
        </w:tc>
      </w:tr>
      <w:tr w14:paraId="0CD57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1938FD47">
            <w:pPr>
              <w:adjustRightInd w:val="0"/>
              <w:snapToGrid w:val="0"/>
              <w:jc w:val="center"/>
              <w:rPr>
                <w:color w:val="auto"/>
                <w:sz w:val="24"/>
                <w:szCs w:val="24"/>
              </w:rPr>
            </w:pPr>
            <w:r>
              <w:rPr>
                <w:color w:val="auto"/>
                <w:sz w:val="24"/>
                <w:szCs w:val="24"/>
              </w:rPr>
              <w:t>总投资（万元）</w:t>
            </w:r>
          </w:p>
        </w:tc>
        <w:tc>
          <w:tcPr>
            <w:tcW w:w="2901" w:type="dxa"/>
            <w:noWrap w:val="0"/>
            <w:vAlign w:val="center"/>
          </w:tcPr>
          <w:p w14:paraId="4A238D49">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5000</w:t>
            </w:r>
          </w:p>
        </w:tc>
        <w:tc>
          <w:tcPr>
            <w:tcW w:w="1980" w:type="dxa"/>
            <w:noWrap w:val="0"/>
            <w:tcMar>
              <w:top w:w="16" w:type="dxa"/>
              <w:left w:w="16" w:type="dxa"/>
              <w:right w:w="16" w:type="dxa"/>
            </w:tcMar>
            <w:vAlign w:val="center"/>
          </w:tcPr>
          <w:p w14:paraId="4BCB0C5B">
            <w:pPr>
              <w:adjustRightInd w:val="0"/>
              <w:snapToGrid w:val="0"/>
              <w:jc w:val="center"/>
              <w:rPr>
                <w:color w:val="auto"/>
                <w:sz w:val="24"/>
                <w:szCs w:val="24"/>
              </w:rPr>
            </w:pPr>
            <w:r>
              <w:rPr>
                <w:color w:val="auto"/>
                <w:sz w:val="24"/>
                <w:szCs w:val="24"/>
              </w:rPr>
              <w:t>环保投资（万元）</w:t>
            </w:r>
          </w:p>
        </w:tc>
        <w:tc>
          <w:tcPr>
            <w:tcW w:w="2871" w:type="dxa"/>
            <w:noWrap w:val="0"/>
            <w:vAlign w:val="center"/>
          </w:tcPr>
          <w:p w14:paraId="240A1ECD">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75</w:t>
            </w:r>
          </w:p>
        </w:tc>
      </w:tr>
      <w:tr w14:paraId="1F415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196070E7">
            <w:pPr>
              <w:adjustRightInd w:val="0"/>
              <w:snapToGrid w:val="0"/>
              <w:jc w:val="center"/>
              <w:rPr>
                <w:color w:val="auto"/>
                <w:sz w:val="24"/>
                <w:szCs w:val="24"/>
              </w:rPr>
            </w:pPr>
            <w:r>
              <w:rPr>
                <w:color w:val="auto"/>
                <w:sz w:val="24"/>
                <w:szCs w:val="24"/>
              </w:rPr>
              <w:t>环保投资占比（%）</w:t>
            </w:r>
          </w:p>
        </w:tc>
        <w:tc>
          <w:tcPr>
            <w:tcW w:w="2901" w:type="dxa"/>
            <w:noWrap w:val="0"/>
            <w:vAlign w:val="center"/>
          </w:tcPr>
          <w:p w14:paraId="1C966385">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1.5</w:t>
            </w:r>
          </w:p>
        </w:tc>
        <w:tc>
          <w:tcPr>
            <w:tcW w:w="1980" w:type="dxa"/>
            <w:noWrap w:val="0"/>
            <w:tcMar>
              <w:top w:w="16" w:type="dxa"/>
              <w:left w:w="16" w:type="dxa"/>
              <w:right w:w="16" w:type="dxa"/>
            </w:tcMar>
            <w:vAlign w:val="center"/>
          </w:tcPr>
          <w:p w14:paraId="5B68C126">
            <w:pPr>
              <w:adjustRightInd w:val="0"/>
              <w:snapToGrid w:val="0"/>
              <w:jc w:val="center"/>
              <w:rPr>
                <w:color w:val="auto"/>
                <w:sz w:val="24"/>
                <w:szCs w:val="24"/>
              </w:rPr>
            </w:pPr>
            <w:r>
              <w:rPr>
                <w:color w:val="auto"/>
                <w:sz w:val="24"/>
                <w:szCs w:val="24"/>
              </w:rPr>
              <w:t>施工工期</w:t>
            </w:r>
          </w:p>
        </w:tc>
        <w:tc>
          <w:tcPr>
            <w:tcW w:w="2871" w:type="dxa"/>
            <w:noWrap w:val="0"/>
            <w:vAlign w:val="center"/>
          </w:tcPr>
          <w:p w14:paraId="482D805C">
            <w:pPr>
              <w:adjustRightInd w:val="0"/>
              <w:snapToGrid w:val="0"/>
              <w:jc w:val="center"/>
              <w:rPr>
                <w:color w:val="auto"/>
                <w:sz w:val="24"/>
                <w:szCs w:val="24"/>
              </w:rPr>
            </w:pPr>
            <w:r>
              <w:rPr>
                <w:rFonts w:hint="eastAsia"/>
                <w:color w:val="auto"/>
                <w:sz w:val="24"/>
                <w:szCs w:val="24"/>
                <w:lang w:val="en-US" w:eastAsia="zh-CN"/>
              </w:rPr>
              <w:t>6</w:t>
            </w:r>
            <w:r>
              <w:rPr>
                <w:color w:val="auto"/>
                <w:sz w:val="24"/>
                <w:szCs w:val="24"/>
              </w:rPr>
              <w:t>个月</w:t>
            </w:r>
          </w:p>
        </w:tc>
      </w:tr>
      <w:tr w14:paraId="52154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18" w:type="dxa"/>
            <w:noWrap w:val="0"/>
            <w:tcMar>
              <w:top w:w="16" w:type="dxa"/>
              <w:left w:w="16" w:type="dxa"/>
              <w:right w:w="16" w:type="dxa"/>
            </w:tcMar>
            <w:vAlign w:val="center"/>
          </w:tcPr>
          <w:p w14:paraId="3423CFF6">
            <w:pPr>
              <w:adjustRightInd w:val="0"/>
              <w:snapToGrid w:val="0"/>
              <w:jc w:val="center"/>
              <w:rPr>
                <w:color w:val="auto"/>
                <w:sz w:val="24"/>
                <w:szCs w:val="24"/>
              </w:rPr>
            </w:pPr>
            <w:r>
              <w:rPr>
                <w:color w:val="auto"/>
                <w:sz w:val="24"/>
                <w:szCs w:val="24"/>
              </w:rPr>
              <w:t>是否开工建设</w:t>
            </w:r>
          </w:p>
        </w:tc>
        <w:tc>
          <w:tcPr>
            <w:tcW w:w="2901" w:type="dxa"/>
            <w:noWrap w:val="0"/>
            <w:vAlign w:val="center"/>
          </w:tcPr>
          <w:p w14:paraId="6750A87F">
            <w:pPr>
              <w:adjustRightInd w:val="0"/>
              <w:snapToGrid w:val="0"/>
              <w:rPr>
                <w:color w:val="auto"/>
                <w:sz w:val="24"/>
                <w:szCs w:val="24"/>
              </w:rPr>
            </w:pPr>
            <w:r>
              <w:rPr>
                <w:rFonts w:hint="eastAsia"/>
                <w:color w:val="auto"/>
                <w:sz w:val="24"/>
                <w:szCs w:val="24"/>
              </w:rPr>
              <w:sym w:font="Wingdings 2" w:char="0052"/>
            </w:r>
            <w:r>
              <w:rPr>
                <w:color w:val="auto"/>
                <w:sz w:val="24"/>
                <w:szCs w:val="24"/>
              </w:rPr>
              <w:t>否</w:t>
            </w:r>
          </w:p>
          <w:p w14:paraId="205BEA1D">
            <w:pPr>
              <w:adjustRightInd w:val="0"/>
              <w:snapToGrid w:val="0"/>
              <w:rPr>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p>
        </w:tc>
        <w:tc>
          <w:tcPr>
            <w:tcW w:w="1980" w:type="dxa"/>
            <w:noWrap w:val="0"/>
            <w:tcMar>
              <w:top w:w="16" w:type="dxa"/>
              <w:left w:w="16" w:type="dxa"/>
              <w:right w:w="16" w:type="dxa"/>
            </w:tcMar>
            <w:vAlign w:val="center"/>
          </w:tcPr>
          <w:p w14:paraId="7A4E33C1">
            <w:pPr>
              <w:adjustRightInd w:val="0"/>
              <w:snapToGrid w:val="0"/>
              <w:jc w:val="center"/>
              <w:rPr>
                <w:color w:val="auto"/>
                <w:spacing w:val="-6"/>
                <w:sz w:val="24"/>
                <w:szCs w:val="24"/>
              </w:rPr>
            </w:pPr>
            <w:r>
              <w:rPr>
                <w:color w:val="auto"/>
                <w:spacing w:val="-6"/>
                <w:sz w:val="24"/>
                <w:szCs w:val="24"/>
              </w:rPr>
              <w:t>用地（用海）</w:t>
            </w:r>
          </w:p>
          <w:p w14:paraId="2970BC10">
            <w:pPr>
              <w:adjustRightInd w:val="0"/>
              <w:snapToGrid w:val="0"/>
              <w:jc w:val="center"/>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2871" w:type="dxa"/>
            <w:noWrap w:val="0"/>
            <w:vAlign w:val="center"/>
          </w:tcPr>
          <w:p w14:paraId="539C421D">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租赁厂房面积2000m</w:t>
            </w:r>
            <w:r>
              <w:rPr>
                <w:rFonts w:hint="eastAsia"/>
                <w:color w:val="auto"/>
                <w:sz w:val="24"/>
                <w:szCs w:val="24"/>
                <w:vertAlign w:val="superscript"/>
                <w:lang w:val="en-US" w:eastAsia="zh-CN"/>
              </w:rPr>
              <w:t>2</w:t>
            </w:r>
            <w:r>
              <w:rPr>
                <w:rFonts w:hint="eastAsia"/>
                <w:color w:val="auto"/>
                <w:sz w:val="24"/>
                <w:szCs w:val="24"/>
                <w:lang w:val="en-US" w:eastAsia="zh-CN"/>
              </w:rPr>
              <w:t>（租赁“厂房四”一层部分区域）</w:t>
            </w:r>
          </w:p>
        </w:tc>
      </w:tr>
      <w:tr w14:paraId="6B514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18" w:type="dxa"/>
            <w:noWrap w:val="0"/>
            <w:vAlign w:val="center"/>
          </w:tcPr>
          <w:p w14:paraId="2F7B5070">
            <w:pPr>
              <w:autoSpaceDE w:val="0"/>
              <w:autoSpaceDN w:val="0"/>
              <w:adjustRightInd w:val="0"/>
              <w:snapToGrid w:val="0"/>
              <w:jc w:val="center"/>
              <w:rPr>
                <w:color w:val="auto"/>
                <w:kern w:val="0"/>
                <w:sz w:val="24"/>
                <w:szCs w:val="24"/>
              </w:rPr>
            </w:pPr>
            <w:r>
              <w:rPr>
                <w:color w:val="auto"/>
                <w:kern w:val="0"/>
                <w:sz w:val="21"/>
                <w:szCs w:val="21"/>
              </w:rPr>
              <w:t>专项评价设置情况</w:t>
            </w:r>
          </w:p>
        </w:tc>
        <w:tc>
          <w:tcPr>
            <w:tcW w:w="7752" w:type="dxa"/>
            <w:gridSpan w:val="3"/>
            <w:noWrap w:val="0"/>
            <w:vAlign w:val="center"/>
          </w:tcPr>
          <w:p w14:paraId="5F430EC1">
            <w:pPr>
              <w:autoSpaceDE w:val="0"/>
              <w:autoSpaceDN w:val="0"/>
              <w:adjustRightInd w:val="0"/>
              <w:snapToGrid w:val="0"/>
              <w:spacing w:before="120" w:beforeLines="50" w:line="360" w:lineRule="auto"/>
              <w:ind w:firstLine="480" w:firstLineChars="200"/>
              <w:jc w:val="left"/>
              <w:rPr>
                <w:rFonts w:hint="eastAsia"/>
                <w:color w:val="auto"/>
                <w:kern w:val="0"/>
                <w:sz w:val="24"/>
                <w:szCs w:val="24"/>
              </w:rPr>
            </w:pPr>
            <w:r>
              <w:rPr>
                <w:rFonts w:hint="eastAsia"/>
                <w:color w:val="auto"/>
                <w:kern w:val="0"/>
                <w:sz w:val="24"/>
                <w:szCs w:val="24"/>
              </w:rPr>
              <w:t>根据《建设项目环境影响报告表编制技术指南(污染影响类)(试行)》(</w:t>
            </w:r>
            <w:r>
              <w:rPr>
                <w:color w:val="auto"/>
                <w:kern w:val="0"/>
                <w:sz w:val="24"/>
                <w:szCs w:val="24"/>
                <w:lang w:val="zh-CN"/>
              </w:rPr>
              <w:t>环办环评〔2020〕33号</w:t>
            </w:r>
            <w:r>
              <w:rPr>
                <w:rFonts w:hint="eastAsia"/>
                <w:color w:val="auto"/>
                <w:kern w:val="0"/>
                <w:sz w:val="24"/>
                <w:szCs w:val="24"/>
              </w:rPr>
              <w:t>)，土壤、声不开展专项评价，地下水原则不开展专项评价。项目专项评价设置原则情况具体见表1-1。</w:t>
            </w:r>
          </w:p>
          <w:p w14:paraId="3832EFFD">
            <w:pPr>
              <w:autoSpaceDE w:val="0"/>
              <w:autoSpaceDN w:val="0"/>
              <w:adjustRightInd w:val="0"/>
              <w:snapToGrid w:val="0"/>
              <w:jc w:val="center"/>
              <w:rPr>
                <w:rFonts w:hint="eastAsia" w:eastAsia="宋体"/>
                <w:b/>
                <w:bCs/>
                <w:color w:val="auto"/>
                <w:kern w:val="0"/>
                <w:sz w:val="24"/>
              </w:rPr>
            </w:pPr>
          </w:p>
          <w:p w14:paraId="3741F746">
            <w:pPr>
              <w:autoSpaceDE w:val="0"/>
              <w:autoSpaceDN w:val="0"/>
              <w:adjustRightInd w:val="0"/>
              <w:snapToGrid w:val="0"/>
              <w:jc w:val="center"/>
              <w:rPr>
                <w:rFonts w:hint="eastAsia" w:eastAsia="宋体"/>
                <w:b/>
                <w:bCs/>
                <w:color w:val="auto"/>
                <w:kern w:val="0"/>
                <w:sz w:val="24"/>
              </w:rPr>
            </w:pPr>
          </w:p>
          <w:p w14:paraId="454BCDC9">
            <w:pPr>
              <w:autoSpaceDE w:val="0"/>
              <w:autoSpaceDN w:val="0"/>
              <w:adjustRightInd w:val="0"/>
              <w:snapToGrid w:val="0"/>
              <w:jc w:val="center"/>
              <w:rPr>
                <w:rFonts w:hint="eastAsia" w:eastAsia="宋体"/>
                <w:b/>
                <w:bCs/>
                <w:color w:val="auto"/>
                <w:kern w:val="0"/>
                <w:sz w:val="24"/>
              </w:rPr>
            </w:pPr>
          </w:p>
          <w:p w14:paraId="58A4CDE4">
            <w:pPr>
              <w:autoSpaceDE w:val="0"/>
              <w:autoSpaceDN w:val="0"/>
              <w:adjustRightInd w:val="0"/>
              <w:snapToGrid w:val="0"/>
              <w:jc w:val="center"/>
              <w:rPr>
                <w:rFonts w:hint="eastAsia" w:eastAsia="宋体"/>
                <w:b/>
                <w:bCs/>
                <w:color w:val="auto"/>
                <w:kern w:val="0"/>
                <w:sz w:val="24"/>
              </w:rPr>
            </w:pPr>
          </w:p>
          <w:p w14:paraId="57DE30BD">
            <w:pPr>
              <w:autoSpaceDE w:val="0"/>
              <w:autoSpaceDN w:val="0"/>
              <w:adjustRightInd w:val="0"/>
              <w:snapToGrid w:val="0"/>
              <w:jc w:val="center"/>
              <w:rPr>
                <w:rFonts w:hint="eastAsia" w:eastAsia="宋体"/>
                <w:b/>
                <w:bCs/>
                <w:color w:val="auto"/>
                <w:kern w:val="0"/>
                <w:sz w:val="24"/>
              </w:rPr>
            </w:pPr>
            <w:r>
              <w:rPr>
                <w:rFonts w:hint="eastAsia" w:eastAsia="宋体"/>
                <w:b/>
                <w:bCs/>
                <w:color w:val="auto"/>
                <w:kern w:val="0"/>
                <w:sz w:val="24"/>
              </w:rPr>
              <w:t>表1-1 专项评价设置原则表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867"/>
              <w:gridCol w:w="3515"/>
              <w:gridCol w:w="2340"/>
              <w:gridCol w:w="811"/>
            </w:tblGrid>
            <w:tr w14:paraId="46B340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6" w:type="pct"/>
                  <w:noWrap w:val="0"/>
                  <w:vAlign w:val="center"/>
                </w:tcPr>
                <w:p w14:paraId="3C6B198F">
                  <w:pPr>
                    <w:autoSpaceDE w:val="0"/>
                    <w:autoSpaceDN w:val="0"/>
                    <w:adjustRightInd w:val="0"/>
                    <w:snapToGrid w:val="0"/>
                    <w:spacing w:line="340" w:lineRule="exact"/>
                    <w:jc w:val="center"/>
                    <w:rPr>
                      <w:color w:val="auto"/>
                      <w:kern w:val="0"/>
                      <w:sz w:val="21"/>
                      <w:szCs w:val="21"/>
                    </w:rPr>
                  </w:pPr>
                  <w:r>
                    <w:rPr>
                      <w:color w:val="auto"/>
                      <w:kern w:val="0"/>
                      <w:sz w:val="21"/>
                      <w:szCs w:val="21"/>
                    </w:rPr>
                    <w:t>专项评价类别</w:t>
                  </w:r>
                </w:p>
              </w:tc>
              <w:tc>
                <w:tcPr>
                  <w:tcW w:w="2333" w:type="pct"/>
                  <w:noWrap w:val="0"/>
                  <w:vAlign w:val="center"/>
                </w:tcPr>
                <w:p w14:paraId="484A9FAB">
                  <w:pPr>
                    <w:autoSpaceDE w:val="0"/>
                    <w:autoSpaceDN w:val="0"/>
                    <w:adjustRightInd w:val="0"/>
                    <w:snapToGrid w:val="0"/>
                    <w:spacing w:line="340" w:lineRule="exact"/>
                    <w:jc w:val="center"/>
                    <w:rPr>
                      <w:color w:val="auto"/>
                      <w:kern w:val="0"/>
                      <w:sz w:val="21"/>
                      <w:szCs w:val="21"/>
                    </w:rPr>
                  </w:pPr>
                  <w:r>
                    <w:rPr>
                      <w:color w:val="auto"/>
                      <w:kern w:val="0"/>
                      <w:sz w:val="21"/>
                      <w:szCs w:val="21"/>
                    </w:rPr>
                    <w:t>设置原则</w:t>
                  </w:r>
                </w:p>
              </w:tc>
              <w:tc>
                <w:tcPr>
                  <w:tcW w:w="1553" w:type="pct"/>
                  <w:noWrap w:val="0"/>
                  <w:vAlign w:val="center"/>
                </w:tcPr>
                <w:p w14:paraId="1B1B27ED">
                  <w:pPr>
                    <w:autoSpaceDE w:val="0"/>
                    <w:autoSpaceDN w:val="0"/>
                    <w:adjustRightInd w:val="0"/>
                    <w:snapToGrid w:val="0"/>
                    <w:spacing w:line="340" w:lineRule="exact"/>
                    <w:jc w:val="center"/>
                    <w:rPr>
                      <w:color w:val="auto"/>
                      <w:kern w:val="0"/>
                      <w:sz w:val="21"/>
                      <w:szCs w:val="21"/>
                    </w:rPr>
                  </w:pPr>
                  <w:r>
                    <w:rPr>
                      <w:color w:val="auto"/>
                      <w:kern w:val="0"/>
                      <w:sz w:val="21"/>
                      <w:szCs w:val="21"/>
                    </w:rPr>
                    <w:t>本项目情况</w:t>
                  </w:r>
                </w:p>
              </w:tc>
              <w:tc>
                <w:tcPr>
                  <w:tcW w:w="535" w:type="pct"/>
                  <w:noWrap w:val="0"/>
                  <w:vAlign w:val="center"/>
                </w:tcPr>
                <w:p w14:paraId="4831535E">
                  <w:pPr>
                    <w:autoSpaceDE w:val="0"/>
                    <w:autoSpaceDN w:val="0"/>
                    <w:adjustRightInd w:val="0"/>
                    <w:snapToGrid w:val="0"/>
                    <w:spacing w:line="340" w:lineRule="exact"/>
                    <w:jc w:val="center"/>
                    <w:rPr>
                      <w:color w:val="auto"/>
                      <w:kern w:val="0"/>
                      <w:sz w:val="21"/>
                      <w:szCs w:val="21"/>
                    </w:rPr>
                  </w:pPr>
                  <w:r>
                    <w:rPr>
                      <w:color w:val="auto"/>
                      <w:kern w:val="0"/>
                      <w:sz w:val="21"/>
                      <w:szCs w:val="21"/>
                    </w:rPr>
                    <w:t>是否设置</w:t>
                  </w:r>
                </w:p>
              </w:tc>
            </w:tr>
            <w:tr w14:paraId="5D43A9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6" w:type="pct"/>
                  <w:noWrap w:val="0"/>
                  <w:vAlign w:val="center"/>
                </w:tcPr>
                <w:p w14:paraId="1CF6C0B0">
                  <w:pPr>
                    <w:autoSpaceDE w:val="0"/>
                    <w:autoSpaceDN w:val="0"/>
                    <w:adjustRightInd w:val="0"/>
                    <w:snapToGrid w:val="0"/>
                    <w:spacing w:line="340" w:lineRule="exact"/>
                    <w:jc w:val="center"/>
                    <w:rPr>
                      <w:color w:val="auto"/>
                      <w:kern w:val="0"/>
                      <w:sz w:val="21"/>
                      <w:szCs w:val="21"/>
                    </w:rPr>
                  </w:pPr>
                  <w:r>
                    <w:rPr>
                      <w:color w:val="auto"/>
                      <w:kern w:val="0"/>
                      <w:sz w:val="21"/>
                      <w:szCs w:val="21"/>
                    </w:rPr>
                    <w:t>大气</w:t>
                  </w:r>
                </w:p>
              </w:tc>
              <w:tc>
                <w:tcPr>
                  <w:tcW w:w="2333" w:type="pct"/>
                  <w:noWrap w:val="0"/>
                  <w:vAlign w:val="center"/>
                </w:tcPr>
                <w:p w14:paraId="36AABFA7">
                  <w:pPr>
                    <w:autoSpaceDE w:val="0"/>
                    <w:autoSpaceDN w:val="0"/>
                    <w:adjustRightInd w:val="0"/>
                    <w:snapToGrid w:val="0"/>
                    <w:spacing w:line="340" w:lineRule="exact"/>
                    <w:jc w:val="center"/>
                    <w:rPr>
                      <w:color w:val="auto"/>
                      <w:kern w:val="0"/>
                      <w:sz w:val="21"/>
                      <w:szCs w:val="21"/>
                    </w:rPr>
                  </w:pPr>
                  <w:r>
                    <w:rPr>
                      <w:color w:val="auto"/>
                      <w:kern w:val="0"/>
                      <w:sz w:val="21"/>
                      <w:szCs w:val="21"/>
                    </w:rPr>
                    <w:t>排放废气含有毒有害污染物、二噁英、苯并[a]芘、氰化物、氯气且厂界外500米范围内有环境空气保护目标的建设项目。</w:t>
                  </w:r>
                </w:p>
              </w:tc>
              <w:tc>
                <w:tcPr>
                  <w:tcW w:w="1553" w:type="pct"/>
                  <w:noWrap w:val="0"/>
                  <w:vAlign w:val="center"/>
                </w:tcPr>
                <w:p w14:paraId="0D84C3F7">
                  <w:pPr>
                    <w:autoSpaceDE w:val="0"/>
                    <w:autoSpaceDN w:val="0"/>
                    <w:adjustRightInd w:val="0"/>
                    <w:snapToGrid w:val="0"/>
                    <w:spacing w:line="340" w:lineRule="exact"/>
                    <w:jc w:val="center"/>
                    <w:rPr>
                      <w:color w:val="auto"/>
                      <w:kern w:val="0"/>
                      <w:sz w:val="21"/>
                      <w:szCs w:val="21"/>
                    </w:rPr>
                  </w:pPr>
                  <w:r>
                    <w:rPr>
                      <w:color w:val="auto"/>
                      <w:kern w:val="0"/>
                      <w:sz w:val="21"/>
                      <w:szCs w:val="21"/>
                      <w:highlight w:val="none"/>
                    </w:rPr>
                    <w:t>本项目</w:t>
                  </w:r>
                  <w:r>
                    <w:rPr>
                      <w:rFonts w:hint="eastAsia"/>
                      <w:color w:val="auto"/>
                      <w:kern w:val="0"/>
                      <w:sz w:val="21"/>
                      <w:szCs w:val="21"/>
                      <w:highlight w:val="none"/>
                      <w:lang w:eastAsia="zh-CN"/>
                    </w:rPr>
                    <w:t>排放</w:t>
                  </w:r>
                  <w:r>
                    <w:rPr>
                      <w:rFonts w:hint="eastAsia"/>
                      <w:color w:val="auto"/>
                      <w:kern w:val="0"/>
                      <w:sz w:val="21"/>
                      <w:szCs w:val="21"/>
                      <w:highlight w:val="none"/>
                      <w:lang w:val="en-US" w:eastAsia="zh-CN"/>
                    </w:rPr>
                    <w:t>废气污染物主要为非甲烷总烃、氯化氢、甲苯、苯系物及臭气浓度，不涉及</w:t>
                  </w:r>
                  <w:r>
                    <w:rPr>
                      <w:color w:val="auto"/>
                      <w:kern w:val="0"/>
                      <w:sz w:val="21"/>
                      <w:szCs w:val="21"/>
                      <w:highlight w:val="none"/>
                    </w:rPr>
                    <w:t>左列</w:t>
                  </w:r>
                  <w:r>
                    <w:rPr>
                      <w:rFonts w:hint="eastAsia"/>
                      <w:color w:val="auto"/>
                      <w:kern w:val="0"/>
                      <w:sz w:val="21"/>
                      <w:szCs w:val="21"/>
                      <w:highlight w:val="none"/>
                    </w:rPr>
                    <w:t>有毒有害污染物、二噁英、苯并[a]芘、氰化物、氯气</w:t>
                  </w:r>
                  <w:r>
                    <w:rPr>
                      <w:color w:val="auto"/>
                      <w:kern w:val="0"/>
                      <w:sz w:val="21"/>
                      <w:szCs w:val="21"/>
                      <w:highlight w:val="none"/>
                    </w:rPr>
                    <w:t>大气污染物。</w:t>
                  </w:r>
                </w:p>
              </w:tc>
              <w:tc>
                <w:tcPr>
                  <w:tcW w:w="535" w:type="pct"/>
                  <w:noWrap w:val="0"/>
                  <w:vAlign w:val="center"/>
                </w:tcPr>
                <w:p w14:paraId="24C27EF0">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425B68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6" w:type="pct"/>
                  <w:noWrap w:val="0"/>
                  <w:vAlign w:val="center"/>
                </w:tcPr>
                <w:p w14:paraId="451959B4">
                  <w:pPr>
                    <w:autoSpaceDE w:val="0"/>
                    <w:autoSpaceDN w:val="0"/>
                    <w:adjustRightInd w:val="0"/>
                    <w:snapToGrid w:val="0"/>
                    <w:spacing w:line="340" w:lineRule="exact"/>
                    <w:jc w:val="center"/>
                    <w:rPr>
                      <w:color w:val="auto"/>
                      <w:kern w:val="0"/>
                      <w:sz w:val="21"/>
                      <w:szCs w:val="21"/>
                    </w:rPr>
                  </w:pPr>
                  <w:r>
                    <w:rPr>
                      <w:color w:val="auto"/>
                      <w:kern w:val="0"/>
                      <w:sz w:val="21"/>
                      <w:szCs w:val="21"/>
                    </w:rPr>
                    <w:t>地表水</w:t>
                  </w:r>
                </w:p>
              </w:tc>
              <w:tc>
                <w:tcPr>
                  <w:tcW w:w="2333" w:type="pct"/>
                  <w:noWrap w:val="0"/>
                  <w:vAlign w:val="center"/>
                </w:tcPr>
                <w:p w14:paraId="3D5A6346">
                  <w:pPr>
                    <w:autoSpaceDE w:val="0"/>
                    <w:autoSpaceDN w:val="0"/>
                    <w:adjustRightInd w:val="0"/>
                    <w:snapToGrid w:val="0"/>
                    <w:spacing w:line="340" w:lineRule="exact"/>
                    <w:jc w:val="center"/>
                    <w:rPr>
                      <w:color w:val="auto"/>
                      <w:kern w:val="0"/>
                      <w:sz w:val="21"/>
                      <w:szCs w:val="21"/>
                    </w:rPr>
                  </w:pPr>
                  <w:r>
                    <w:rPr>
                      <w:color w:val="auto"/>
                      <w:kern w:val="0"/>
                      <w:sz w:val="21"/>
                      <w:szCs w:val="21"/>
                    </w:rPr>
                    <w:t>新增工业废水直排建设项目(槽罐车外送污水处理厂的除外)；新增废水直排的污水集中处理厂。</w:t>
                  </w:r>
                </w:p>
              </w:tc>
              <w:tc>
                <w:tcPr>
                  <w:tcW w:w="1553" w:type="pct"/>
                  <w:noWrap w:val="0"/>
                  <w:vAlign w:val="center"/>
                </w:tcPr>
                <w:p w14:paraId="53F8EEC2">
                  <w:pPr>
                    <w:autoSpaceDE w:val="0"/>
                    <w:autoSpaceDN w:val="0"/>
                    <w:adjustRightInd w:val="0"/>
                    <w:snapToGrid w:val="0"/>
                    <w:spacing w:line="340" w:lineRule="exact"/>
                    <w:jc w:val="center"/>
                    <w:rPr>
                      <w:color w:val="auto"/>
                      <w:kern w:val="0"/>
                      <w:sz w:val="21"/>
                      <w:szCs w:val="21"/>
                    </w:rPr>
                  </w:pPr>
                  <w:r>
                    <w:rPr>
                      <w:rFonts w:hint="default" w:ascii="Times New Roman" w:hAnsi="Times New Roman" w:eastAsia="宋体" w:cs="Times New Roman"/>
                      <w:color w:val="auto"/>
                      <w:kern w:val="0"/>
                      <w:sz w:val="21"/>
                      <w:szCs w:val="21"/>
                    </w:rPr>
                    <w:t>本项目</w:t>
                  </w:r>
                  <w:r>
                    <w:rPr>
                      <w:rFonts w:hint="eastAsia" w:cs="Times New Roman"/>
                      <w:color w:val="auto"/>
                      <w:kern w:val="0"/>
                      <w:sz w:val="21"/>
                      <w:szCs w:val="21"/>
                      <w:lang w:val="en-US" w:eastAsia="zh-CN"/>
                    </w:rPr>
                    <w:t>不涉及工业废水直排。项目</w:t>
                  </w:r>
                  <w:r>
                    <w:rPr>
                      <w:rFonts w:hint="eastAsia"/>
                      <w:color w:val="auto"/>
                      <w:lang w:val="en-US" w:eastAsia="zh-CN"/>
                    </w:rPr>
                    <w:t>无生产废水产生，</w:t>
                  </w:r>
                  <w:r>
                    <w:rPr>
                      <w:rFonts w:hint="default" w:ascii="Times New Roman" w:hAnsi="Times New Roman" w:eastAsia="宋体" w:cs="Times New Roman"/>
                      <w:color w:val="auto"/>
                      <w:kern w:val="0"/>
                      <w:sz w:val="21"/>
                      <w:szCs w:val="21"/>
                    </w:rPr>
                    <w:t>生活污水进入化粪池处理，排入市政污水管网，纳入</w:t>
                  </w:r>
                  <w:r>
                    <w:rPr>
                      <w:rFonts w:hint="eastAsia" w:cs="Times New Roman"/>
                      <w:color w:val="auto"/>
                      <w:kern w:val="0"/>
                      <w:sz w:val="21"/>
                      <w:szCs w:val="21"/>
                      <w:lang w:val="en-US" w:eastAsia="zh-CN"/>
                    </w:rPr>
                    <w:t>福清市融元</w:t>
                  </w:r>
                  <w:r>
                    <w:rPr>
                      <w:rFonts w:hint="eastAsia" w:cs="Times New Roman"/>
                      <w:color w:val="auto"/>
                      <w:kern w:val="0"/>
                      <w:sz w:val="21"/>
                      <w:szCs w:val="21"/>
                      <w:lang w:eastAsia="zh-CN"/>
                    </w:rPr>
                    <w:t>污水</w:t>
                  </w:r>
                  <w:r>
                    <w:rPr>
                      <w:rFonts w:hint="eastAsia" w:cs="Times New Roman"/>
                      <w:color w:val="auto"/>
                      <w:kern w:val="0"/>
                      <w:sz w:val="21"/>
                      <w:szCs w:val="21"/>
                      <w:lang w:val="en-US" w:eastAsia="zh-CN"/>
                    </w:rPr>
                    <w:t>处理</w:t>
                  </w:r>
                  <w:r>
                    <w:rPr>
                      <w:rFonts w:hint="eastAsia" w:cs="Times New Roman"/>
                      <w:color w:val="auto"/>
                      <w:kern w:val="0"/>
                      <w:sz w:val="21"/>
                      <w:szCs w:val="21"/>
                      <w:lang w:eastAsia="zh-CN"/>
                    </w:rPr>
                    <w:t>厂</w:t>
                  </w:r>
                  <w:r>
                    <w:rPr>
                      <w:rFonts w:hint="default" w:ascii="Times New Roman" w:hAnsi="Times New Roman" w:eastAsia="宋体" w:cs="Times New Roman"/>
                      <w:color w:val="auto"/>
                      <w:kern w:val="0"/>
                      <w:sz w:val="21"/>
                      <w:szCs w:val="21"/>
                    </w:rPr>
                    <w:t>集中处理</w:t>
                  </w:r>
                </w:p>
              </w:tc>
              <w:tc>
                <w:tcPr>
                  <w:tcW w:w="535" w:type="pct"/>
                  <w:noWrap w:val="0"/>
                  <w:vAlign w:val="center"/>
                </w:tcPr>
                <w:p w14:paraId="6809E67C">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47FCDE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6" w:type="pct"/>
                  <w:noWrap w:val="0"/>
                  <w:vAlign w:val="center"/>
                </w:tcPr>
                <w:p w14:paraId="2FF3F267">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环境</w:t>
                  </w:r>
                </w:p>
                <w:p w14:paraId="0F921A91">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风险</w:t>
                  </w:r>
                </w:p>
              </w:tc>
              <w:tc>
                <w:tcPr>
                  <w:tcW w:w="2333" w:type="pct"/>
                  <w:noWrap w:val="0"/>
                  <w:vAlign w:val="center"/>
                </w:tcPr>
                <w:p w14:paraId="4A74BCC4">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有毒有害和易燃易爆危险物质存储量超过临界量的建设项目。</w:t>
                  </w:r>
                </w:p>
              </w:tc>
              <w:tc>
                <w:tcPr>
                  <w:tcW w:w="1553" w:type="pct"/>
                  <w:noWrap w:val="0"/>
                  <w:vAlign w:val="center"/>
                </w:tcPr>
                <w:p w14:paraId="026C7A2D">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本项目危险物质</w:t>
                  </w:r>
                  <w:r>
                    <w:rPr>
                      <w:rFonts w:hint="eastAsia"/>
                      <w:color w:val="auto"/>
                      <w:kern w:val="0"/>
                      <w:sz w:val="21"/>
                      <w:szCs w:val="21"/>
                      <w:highlight w:val="none"/>
                      <w:lang w:eastAsia="zh-CN"/>
                    </w:rPr>
                    <w:t>主要为铝带底涂剂、</w:t>
                  </w:r>
                  <w:r>
                    <w:rPr>
                      <w:rFonts w:hint="eastAsia" w:eastAsia="宋体" w:cs="Times New Roman"/>
                      <w:color w:val="auto"/>
                      <w:spacing w:val="0"/>
                      <w:sz w:val="21"/>
                      <w:szCs w:val="21"/>
                      <w:highlight w:val="none"/>
                      <w:lang w:val="en-US" w:eastAsia="zh-CN"/>
                    </w:rPr>
                    <w:t>PP底涂剂</w:t>
                  </w:r>
                  <w:r>
                    <w:rPr>
                      <w:rFonts w:hint="eastAsia" w:cs="Times New Roman"/>
                      <w:color w:val="auto"/>
                      <w:spacing w:val="0"/>
                      <w:sz w:val="21"/>
                      <w:szCs w:val="21"/>
                      <w:highlight w:val="none"/>
                      <w:lang w:val="en-US" w:eastAsia="zh-CN"/>
                    </w:rPr>
                    <w:t>、润滑油、液压油和危险废物，项目环境风险物质数量与临界量比值Q=0.12388&lt;1，具体内容详见报告4.7环境风险影响和防范措施</w:t>
                  </w:r>
                </w:p>
              </w:tc>
              <w:tc>
                <w:tcPr>
                  <w:tcW w:w="535" w:type="pct"/>
                  <w:noWrap w:val="0"/>
                  <w:vAlign w:val="center"/>
                </w:tcPr>
                <w:p w14:paraId="1F9992C1">
                  <w:pPr>
                    <w:autoSpaceDE w:val="0"/>
                    <w:autoSpaceDN w:val="0"/>
                    <w:adjustRightInd w:val="0"/>
                    <w:snapToGrid w:val="0"/>
                    <w:spacing w:line="340" w:lineRule="exact"/>
                    <w:jc w:val="center"/>
                    <w:rPr>
                      <w:color w:val="auto"/>
                      <w:kern w:val="0"/>
                      <w:sz w:val="21"/>
                      <w:szCs w:val="21"/>
                      <w:highlight w:val="none"/>
                    </w:rPr>
                  </w:pPr>
                  <w:r>
                    <w:rPr>
                      <w:color w:val="auto"/>
                      <w:kern w:val="0"/>
                      <w:sz w:val="21"/>
                      <w:szCs w:val="21"/>
                      <w:highlight w:val="none"/>
                    </w:rPr>
                    <w:t>否</w:t>
                  </w:r>
                </w:p>
              </w:tc>
            </w:tr>
            <w:tr w14:paraId="06E972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6" w:type="pct"/>
                  <w:noWrap w:val="0"/>
                  <w:vAlign w:val="center"/>
                </w:tcPr>
                <w:p w14:paraId="745EF8B1">
                  <w:pPr>
                    <w:autoSpaceDE w:val="0"/>
                    <w:autoSpaceDN w:val="0"/>
                    <w:adjustRightInd w:val="0"/>
                    <w:snapToGrid w:val="0"/>
                    <w:spacing w:line="340" w:lineRule="exact"/>
                    <w:jc w:val="center"/>
                    <w:rPr>
                      <w:color w:val="auto"/>
                      <w:kern w:val="0"/>
                      <w:sz w:val="21"/>
                      <w:szCs w:val="21"/>
                    </w:rPr>
                  </w:pPr>
                  <w:r>
                    <w:rPr>
                      <w:color w:val="auto"/>
                      <w:kern w:val="0"/>
                      <w:sz w:val="21"/>
                      <w:szCs w:val="21"/>
                    </w:rPr>
                    <w:t>生态</w:t>
                  </w:r>
                </w:p>
              </w:tc>
              <w:tc>
                <w:tcPr>
                  <w:tcW w:w="2333" w:type="pct"/>
                  <w:noWrap w:val="0"/>
                  <w:vAlign w:val="center"/>
                </w:tcPr>
                <w:p w14:paraId="0A967F5E">
                  <w:pPr>
                    <w:autoSpaceDE w:val="0"/>
                    <w:autoSpaceDN w:val="0"/>
                    <w:adjustRightInd w:val="0"/>
                    <w:snapToGrid w:val="0"/>
                    <w:spacing w:line="340" w:lineRule="exact"/>
                    <w:jc w:val="center"/>
                    <w:rPr>
                      <w:color w:val="auto"/>
                      <w:kern w:val="0"/>
                      <w:sz w:val="21"/>
                      <w:szCs w:val="21"/>
                    </w:rPr>
                  </w:pPr>
                  <w:r>
                    <w:rPr>
                      <w:color w:val="auto"/>
                      <w:kern w:val="0"/>
                      <w:sz w:val="21"/>
                      <w:szCs w:val="21"/>
                    </w:rPr>
                    <w:t>取水口下游500米范围内有重要水生生物的自然产卵场、索饵场、越冬场和洄游通道的新增河道取水的污染类建设项目。</w:t>
                  </w:r>
                </w:p>
              </w:tc>
              <w:tc>
                <w:tcPr>
                  <w:tcW w:w="1553" w:type="pct"/>
                  <w:noWrap w:val="0"/>
                  <w:vAlign w:val="center"/>
                </w:tcPr>
                <w:p w14:paraId="3F9DB5A4">
                  <w:pPr>
                    <w:autoSpaceDE w:val="0"/>
                    <w:autoSpaceDN w:val="0"/>
                    <w:adjustRightInd w:val="0"/>
                    <w:snapToGrid w:val="0"/>
                    <w:spacing w:line="340" w:lineRule="exact"/>
                    <w:jc w:val="center"/>
                    <w:rPr>
                      <w:color w:val="auto"/>
                      <w:kern w:val="0"/>
                      <w:sz w:val="21"/>
                      <w:szCs w:val="21"/>
                    </w:rPr>
                  </w:pPr>
                  <w:r>
                    <w:rPr>
                      <w:rFonts w:hint="default" w:ascii="Times New Roman" w:hAnsi="Times New Roman" w:eastAsia="宋体" w:cs="Times New Roman"/>
                      <w:color w:val="auto"/>
                      <w:kern w:val="0"/>
                      <w:sz w:val="21"/>
                      <w:szCs w:val="21"/>
                      <w:highlight w:val="none"/>
                    </w:rPr>
                    <w:t>本项目用水由市政给水管供给，不设置取水口。</w:t>
                  </w:r>
                </w:p>
              </w:tc>
              <w:tc>
                <w:tcPr>
                  <w:tcW w:w="535" w:type="pct"/>
                  <w:noWrap w:val="0"/>
                  <w:vAlign w:val="center"/>
                </w:tcPr>
                <w:p w14:paraId="438A600C">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40C4CB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6" w:type="pct"/>
                  <w:noWrap w:val="0"/>
                  <w:vAlign w:val="center"/>
                </w:tcPr>
                <w:p w14:paraId="75BF6989">
                  <w:pPr>
                    <w:autoSpaceDE w:val="0"/>
                    <w:autoSpaceDN w:val="0"/>
                    <w:adjustRightInd w:val="0"/>
                    <w:snapToGrid w:val="0"/>
                    <w:spacing w:line="340" w:lineRule="exact"/>
                    <w:jc w:val="center"/>
                    <w:rPr>
                      <w:color w:val="auto"/>
                      <w:kern w:val="0"/>
                      <w:sz w:val="21"/>
                      <w:szCs w:val="21"/>
                    </w:rPr>
                  </w:pPr>
                  <w:r>
                    <w:rPr>
                      <w:color w:val="auto"/>
                      <w:kern w:val="0"/>
                      <w:sz w:val="21"/>
                      <w:szCs w:val="21"/>
                    </w:rPr>
                    <w:t>海洋</w:t>
                  </w:r>
                </w:p>
              </w:tc>
              <w:tc>
                <w:tcPr>
                  <w:tcW w:w="2333" w:type="pct"/>
                  <w:noWrap w:val="0"/>
                  <w:vAlign w:val="center"/>
                </w:tcPr>
                <w:p w14:paraId="0E68FA8A">
                  <w:pPr>
                    <w:autoSpaceDE w:val="0"/>
                    <w:autoSpaceDN w:val="0"/>
                    <w:adjustRightInd w:val="0"/>
                    <w:snapToGrid w:val="0"/>
                    <w:spacing w:line="340" w:lineRule="exact"/>
                    <w:jc w:val="center"/>
                    <w:rPr>
                      <w:color w:val="auto"/>
                      <w:kern w:val="0"/>
                      <w:sz w:val="21"/>
                      <w:szCs w:val="21"/>
                    </w:rPr>
                  </w:pPr>
                  <w:r>
                    <w:rPr>
                      <w:color w:val="auto"/>
                      <w:kern w:val="0"/>
                      <w:sz w:val="21"/>
                      <w:szCs w:val="21"/>
                    </w:rPr>
                    <w:t>直接向海排放污染物的海洋工程建设项目。</w:t>
                  </w:r>
                </w:p>
              </w:tc>
              <w:tc>
                <w:tcPr>
                  <w:tcW w:w="1553" w:type="pct"/>
                  <w:noWrap w:val="0"/>
                  <w:vAlign w:val="center"/>
                </w:tcPr>
                <w:p w14:paraId="0C3E0DD1">
                  <w:pPr>
                    <w:autoSpaceDE w:val="0"/>
                    <w:autoSpaceDN w:val="0"/>
                    <w:adjustRightInd w:val="0"/>
                    <w:snapToGrid w:val="0"/>
                    <w:spacing w:line="340" w:lineRule="exact"/>
                    <w:jc w:val="center"/>
                    <w:rPr>
                      <w:color w:val="auto"/>
                      <w:kern w:val="0"/>
                      <w:sz w:val="21"/>
                      <w:szCs w:val="21"/>
                    </w:rPr>
                  </w:pPr>
                  <w:r>
                    <w:rPr>
                      <w:color w:val="auto"/>
                      <w:kern w:val="0"/>
                      <w:sz w:val="21"/>
                      <w:szCs w:val="21"/>
                    </w:rPr>
                    <w:t>本项目不属于海洋工程建设项目。</w:t>
                  </w:r>
                </w:p>
              </w:tc>
              <w:tc>
                <w:tcPr>
                  <w:tcW w:w="535" w:type="pct"/>
                  <w:noWrap w:val="0"/>
                  <w:vAlign w:val="center"/>
                </w:tcPr>
                <w:p w14:paraId="49AF718D">
                  <w:pPr>
                    <w:autoSpaceDE w:val="0"/>
                    <w:autoSpaceDN w:val="0"/>
                    <w:adjustRightInd w:val="0"/>
                    <w:snapToGrid w:val="0"/>
                    <w:spacing w:line="340" w:lineRule="exact"/>
                    <w:jc w:val="center"/>
                    <w:rPr>
                      <w:color w:val="auto"/>
                      <w:kern w:val="0"/>
                      <w:sz w:val="21"/>
                      <w:szCs w:val="21"/>
                    </w:rPr>
                  </w:pPr>
                  <w:r>
                    <w:rPr>
                      <w:color w:val="auto"/>
                      <w:kern w:val="0"/>
                      <w:sz w:val="21"/>
                      <w:szCs w:val="21"/>
                    </w:rPr>
                    <w:t>否</w:t>
                  </w:r>
                </w:p>
              </w:tc>
            </w:tr>
            <w:tr w14:paraId="29C531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000" w:type="pct"/>
                  <w:gridSpan w:val="4"/>
                  <w:noWrap w:val="0"/>
                  <w:vAlign w:val="center"/>
                </w:tcPr>
                <w:p w14:paraId="7DA0FCBA">
                  <w:pPr>
                    <w:autoSpaceDE w:val="0"/>
                    <w:autoSpaceDN w:val="0"/>
                    <w:adjustRightInd w:val="0"/>
                    <w:snapToGrid w:val="0"/>
                    <w:spacing w:line="340" w:lineRule="exact"/>
                    <w:jc w:val="left"/>
                    <w:rPr>
                      <w:color w:val="auto"/>
                      <w:kern w:val="0"/>
                      <w:sz w:val="21"/>
                      <w:szCs w:val="21"/>
                    </w:rPr>
                  </w:pPr>
                  <w:r>
                    <w:rPr>
                      <w:color w:val="auto"/>
                      <w:kern w:val="0"/>
                      <w:sz w:val="21"/>
                      <w:szCs w:val="21"/>
                    </w:rPr>
                    <w:t>注：</w:t>
                  </w:r>
                  <w:r>
                    <w:rPr>
                      <w:color w:val="auto"/>
                      <w:sz w:val="21"/>
                      <w:szCs w:val="21"/>
                    </w:rPr>
                    <w:t>①废气中有毒有害污染物指纳入《有毒有害大气污染物名录》的污染物(不包括无排放标准的污染物)。②环境空气保护目标指自然保护区、风景名胜区居住区、文化区和农村地区中人群较集中的区域。③临界量及其计算方法参考《建设项目环境风险评价技术导则》(HJ 169)附录B、附录C。</w:t>
                  </w:r>
                </w:p>
              </w:tc>
            </w:tr>
          </w:tbl>
          <w:p w14:paraId="4E3014BE">
            <w:pPr>
              <w:autoSpaceDE w:val="0"/>
              <w:autoSpaceDN w:val="0"/>
              <w:adjustRightInd w:val="0"/>
              <w:snapToGrid w:val="0"/>
              <w:spacing w:before="120" w:beforeLines="50" w:line="360" w:lineRule="auto"/>
              <w:ind w:firstLine="480" w:firstLineChars="200"/>
              <w:jc w:val="left"/>
              <w:rPr>
                <w:color w:val="auto"/>
                <w:kern w:val="0"/>
                <w:sz w:val="21"/>
                <w:szCs w:val="21"/>
              </w:rPr>
            </w:pPr>
            <w:r>
              <w:rPr>
                <w:rFonts w:hint="eastAsia"/>
                <w:color w:val="auto"/>
                <w:sz w:val="24"/>
                <w:szCs w:val="24"/>
              </w:rPr>
              <w:t>根据上表分析，本项目无须设置专项评价。</w:t>
            </w:r>
          </w:p>
        </w:tc>
      </w:tr>
      <w:tr w14:paraId="39501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118" w:type="dxa"/>
            <w:noWrap w:val="0"/>
            <w:vAlign w:val="center"/>
          </w:tcPr>
          <w:p w14:paraId="09AD0ED6">
            <w:pPr>
              <w:autoSpaceDE w:val="0"/>
              <w:autoSpaceDN w:val="0"/>
              <w:adjustRightInd w:val="0"/>
              <w:snapToGrid w:val="0"/>
              <w:jc w:val="center"/>
              <w:rPr>
                <w:color w:val="auto"/>
                <w:sz w:val="21"/>
                <w:szCs w:val="21"/>
              </w:rPr>
            </w:pPr>
            <w:r>
              <w:rPr>
                <w:color w:val="auto"/>
                <w:kern w:val="0"/>
                <w:sz w:val="21"/>
                <w:szCs w:val="21"/>
              </w:rPr>
              <w:t>规划情况</w:t>
            </w:r>
          </w:p>
        </w:tc>
        <w:tc>
          <w:tcPr>
            <w:tcW w:w="7752" w:type="dxa"/>
            <w:gridSpan w:val="3"/>
            <w:noWrap w:val="0"/>
            <w:vAlign w:val="center"/>
          </w:tcPr>
          <w:p w14:paraId="1CE7C3A5">
            <w:pPr>
              <w:keepNext w:val="0"/>
              <w:keepLines w:val="0"/>
              <w:pageBreakBefore w:val="0"/>
              <w:widowControl w:val="0"/>
              <w:kinsoku/>
              <w:wordWrap/>
              <w:overflowPunct/>
              <w:topLinePunct w:val="0"/>
              <w:autoSpaceDE w:val="0"/>
              <w:autoSpaceDN w:val="0"/>
              <w:bidi w:val="0"/>
              <w:adjustRightInd w:val="0"/>
              <w:snapToGrid w:val="0"/>
              <w:spacing w:before="0" w:beforeLines="0" w:line="360" w:lineRule="auto"/>
              <w:jc w:val="left"/>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规划名称</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color w:val="auto"/>
                <w:sz w:val="24"/>
                <w:szCs w:val="24"/>
              </w:rPr>
              <w:t>《福清融侨经济技术开发区总体规划（2018-2035年）》</w:t>
            </w:r>
          </w:p>
          <w:p w14:paraId="1392177F">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rPr>
              <w:t>审批机关</w:t>
            </w:r>
            <w:r>
              <w:rPr>
                <w:rFonts w:hint="eastAsia" w:ascii="Times New Roman" w:hAnsi="Times New Roman" w:eastAsia="宋体" w:cs="Times New Roman"/>
                <w:color w:val="auto"/>
                <w:sz w:val="24"/>
                <w:szCs w:val="24"/>
              </w:rPr>
              <w:t>：福清市人民政府</w:t>
            </w:r>
          </w:p>
          <w:p w14:paraId="28579133">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eastAsia="宋体"/>
                <w:color w:val="auto"/>
                <w:sz w:val="24"/>
                <w:szCs w:val="24"/>
                <w:lang w:val="en-US" w:eastAsia="zh-CN"/>
              </w:rPr>
            </w:pPr>
            <w:r>
              <w:rPr>
                <w:rFonts w:hint="eastAsia" w:ascii="Times New Roman" w:hAnsi="Times New Roman" w:eastAsia="宋体" w:cs="Times New Roman"/>
                <w:b/>
                <w:bCs/>
                <w:color w:val="auto"/>
                <w:sz w:val="24"/>
                <w:szCs w:val="24"/>
              </w:rPr>
              <w:t>审批文件名称及文号：</w:t>
            </w:r>
            <w:r>
              <w:rPr>
                <w:rFonts w:hint="eastAsia" w:ascii="Times New Roman" w:hAnsi="Times New Roman" w:eastAsia="宋体" w:cs="Times New Roman"/>
                <w:b w:val="0"/>
                <w:bCs w:val="0"/>
                <w:color w:val="auto"/>
                <w:sz w:val="24"/>
                <w:szCs w:val="24"/>
                <w:lang w:val="en-US" w:eastAsia="zh-CN"/>
              </w:rPr>
              <w:t>《福清市人民政府关于同意融侨经济技术开发区总体规划（2018-2035年）编制范围的批复》（融政综〔2019〕189号）</w:t>
            </w:r>
          </w:p>
        </w:tc>
      </w:tr>
      <w:tr w14:paraId="5E304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18" w:type="dxa"/>
            <w:noWrap w:val="0"/>
            <w:vAlign w:val="center"/>
          </w:tcPr>
          <w:p w14:paraId="1097A536">
            <w:pPr>
              <w:autoSpaceDE w:val="0"/>
              <w:autoSpaceDN w:val="0"/>
              <w:adjustRightInd w:val="0"/>
              <w:snapToGrid w:val="0"/>
              <w:jc w:val="center"/>
              <w:rPr>
                <w:color w:val="auto"/>
                <w:kern w:val="0"/>
                <w:sz w:val="21"/>
                <w:szCs w:val="21"/>
              </w:rPr>
            </w:pPr>
            <w:r>
              <w:rPr>
                <w:color w:val="auto"/>
                <w:kern w:val="0"/>
                <w:sz w:val="21"/>
                <w:szCs w:val="21"/>
              </w:rPr>
              <w:t>规划环境影响</w:t>
            </w:r>
          </w:p>
          <w:p w14:paraId="30E34F6C">
            <w:pPr>
              <w:autoSpaceDE w:val="0"/>
              <w:autoSpaceDN w:val="0"/>
              <w:adjustRightInd w:val="0"/>
              <w:snapToGrid w:val="0"/>
              <w:jc w:val="center"/>
              <w:rPr>
                <w:color w:val="auto"/>
                <w:kern w:val="0"/>
                <w:sz w:val="21"/>
                <w:szCs w:val="21"/>
              </w:rPr>
            </w:pPr>
            <w:r>
              <w:rPr>
                <w:color w:val="auto"/>
                <w:kern w:val="0"/>
                <w:sz w:val="21"/>
                <w:szCs w:val="21"/>
              </w:rPr>
              <w:t>评价情况</w:t>
            </w:r>
          </w:p>
        </w:tc>
        <w:tc>
          <w:tcPr>
            <w:tcW w:w="7752" w:type="dxa"/>
            <w:gridSpan w:val="3"/>
            <w:noWrap w:val="0"/>
            <w:vAlign w:val="center"/>
          </w:tcPr>
          <w:p w14:paraId="099D0F5B">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bCs/>
                <w:color w:val="auto"/>
                <w:sz w:val="24"/>
                <w:szCs w:val="24"/>
              </w:rPr>
              <w:t>规划环评文件名称：</w:t>
            </w:r>
            <w:r>
              <w:rPr>
                <w:rFonts w:hint="eastAsia" w:ascii="Times New Roman" w:hAnsi="Times New Roman" w:eastAsia="宋体" w:cs="Times New Roman"/>
                <w:color w:val="auto"/>
                <w:sz w:val="24"/>
                <w:szCs w:val="24"/>
              </w:rPr>
              <w:t>《福清融侨经济技术开发区总体规划（2018-2035年）环境影响报告书》</w:t>
            </w:r>
          </w:p>
          <w:p w14:paraId="618C3C0E">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bCs/>
                <w:color w:val="auto"/>
                <w:sz w:val="24"/>
                <w:szCs w:val="24"/>
                <w:lang w:eastAsia="zh-CN"/>
              </w:rPr>
              <w:t>召集审查</w:t>
            </w:r>
            <w:r>
              <w:rPr>
                <w:rFonts w:hint="eastAsia" w:ascii="Times New Roman" w:hAnsi="Times New Roman" w:eastAsia="宋体" w:cs="Times New Roman"/>
                <w:b/>
                <w:bCs/>
                <w:color w:val="auto"/>
                <w:sz w:val="24"/>
                <w:szCs w:val="24"/>
              </w:rPr>
              <w:t>机关：</w:t>
            </w:r>
            <w:r>
              <w:rPr>
                <w:rFonts w:hint="eastAsia" w:ascii="Times New Roman" w:hAnsi="Times New Roman" w:eastAsia="宋体" w:cs="Times New Roman"/>
                <w:color w:val="auto"/>
                <w:sz w:val="24"/>
                <w:szCs w:val="24"/>
              </w:rPr>
              <w:t>中华人民共和国生态环境部</w:t>
            </w:r>
          </w:p>
          <w:p w14:paraId="286BEAFC">
            <w:pPr>
              <w:autoSpaceDE w:val="0"/>
              <w:autoSpaceDN w:val="0"/>
              <w:adjustRightInd w:val="0"/>
              <w:snapToGrid w:val="0"/>
              <w:spacing w:line="360" w:lineRule="auto"/>
              <w:jc w:val="left"/>
              <w:rPr>
                <w:rFonts w:hint="eastAsia" w:ascii="Times New Roman" w:hAnsi="Times New Roman" w:eastAsia="宋体"/>
                <w:color w:val="auto"/>
                <w:sz w:val="24"/>
                <w:szCs w:val="24"/>
              </w:rPr>
            </w:pPr>
            <w:r>
              <w:rPr>
                <w:rFonts w:hint="eastAsia" w:ascii="Times New Roman" w:hAnsi="Times New Roman" w:eastAsia="宋体"/>
                <w:b/>
                <w:bCs/>
                <w:color w:val="auto"/>
                <w:sz w:val="24"/>
                <w:szCs w:val="24"/>
              </w:rPr>
              <w:t>审批文件名称及文号：</w:t>
            </w:r>
            <w:r>
              <w:rPr>
                <w:rFonts w:hint="eastAsia"/>
                <w:b w:val="0"/>
                <w:bCs w:val="0"/>
                <w:color w:val="auto"/>
                <w:sz w:val="24"/>
                <w:szCs w:val="24"/>
                <w:lang w:eastAsia="zh-CN"/>
              </w:rPr>
              <w:t>《</w:t>
            </w:r>
            <w:r>
              <w:rPr>
                <w:rFonts w:hint="eastAsia" w:ascii="Times New Roman" w:hAnsi="Times New Roman" w:eastAsia="宋体"/>
                <w:color w:val="auto"/>
                <w:sz w:val="24"/>
                <w:szCs w:val="24"/>
              </w:rPr>
              <w:t>关于《福清融侨经济技术开发区总体规划（2018-2035年）环境影响报告书》的审查意见</w:t>
            </w:r>
            <w:r>
              <w:rPr>
                <w:rFonts w:hint="eastAsia"/>
                <w:color w:val="auto"/>
                <w:sz w:val="24"/>
                <w:szCs w:val="24"/>
                <w:lang w:eastAsia="zh-CN"/>
              </w:rPr>
              <w:t>》</w:t>
            </w:r>
            <w:r>
              <w:rPr>
                <w:rFonts w:hint="eastAsia" w:ascii="Times New Roman" w:hAnsi="Times New Roman" w:eastAsia="宋体"/>
                <w:color w:val="auto"/>
                <w:sz w:val="24"/>
                <w:szCs w:val="24"/>
              </w:rPr>
              <w:t>（环审〔2020〕80号）</w:t>
            </w:r>
          </w:p>
        </w:tc>
      </w:tr>
      <w:tr w14:paraId="1054D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18" w:type="dxa"/>
            <w:noWrap w:val="0"/>
            <w:vAlign w:val="center"/>
          </w:tcPr>
          <w:p w14:paraId="519A9CC9">
            <w:pPr>
              <w:autoSpaceDE w:val="0"/>
              <w:autoSpaceDN w:val="0"/>
              <w:adjustRightInd w:val="0"/>
              <w:snapToGrid w:val="0"/>
              <w:jc w:val="center"/>
              <w:rPr>
                <w:color w:val="auto"/>
                <w:kern w:val="0"/>
                <w:sz w:val="21"/>
                <w:szCs w:val="21"/>
              </w:rPr>
            </w:pPr>
            <w:r>
              <w:rPr>
                <w:color w:val="auto"/>
                <w:kern w:val="0"/>
                <w:sz w:val="21"/>
                <w:szCs w:val="21"/>
              </w:rPr>
              <w:t>规划及规划环境</w:t>
            </w:r>
          </w:p>
          <w:p w14:paraId="1ED2660E">
            <w:pPr>
              <w:autoSpaceDE w:val="0"/>
              <w:autoSpaceDN w:val="0"/>
              <w:adjustRightInd w:val="0"/>
              <w:snapToGrid w:val="0"/>
              <w:jc w:val="center"/>
              <w:rPr>
                <w:color w:val="auto"/>
                <w:kern w:val="0"/>
                <w:sz w:val="21"/>
                <w:szCs w:val="21"/>
              </w:rPr>
            </w:pPr>
            <w:r>
              <w:rPr>
                <w:color w:val="auto"/>
                <w:kern w:val="0"/>
                <w:sz w:val="21"/>
                <w:szCs w:val="21"/>
              </w:rPr>
              <w:t>影响评价符合性分析</w:t>
            </w:r>
          </w:p>
        </w:tc>
        <w:tc>
          <w:tcPr>
            <w:tcW w:w="7752" w:type="dxa"/>
            <w:gridSpan w:val="3"/>
            <w:noWrap w:val="0"/>
            <w:vAlign w:val="center"/>
          </w:tcPr>
          <w:p w14:paraId="4847F31F">
            <w:pPr>
              <w:keepNext w:val="0"/>
              <w:keepLines w:val="0"/>
              <w:pageBreakBefore w:val="0"/>
              <w:widowControl w:val="0"/>
              <w:numPr>
                <w:ilvl w:val="0"/>
                <w:numId w:val="4"/>
              </w:numPr>
              <w:kinsoku/>
              <w:wordWrap/>
              <w:overflowPunct/>
              <w:topLinePunct w:val="0"/>
              <w:autoSpaceDE w:val="0"/>
              <w:autoSpaceDN w:val="0"/>
              <w:bidi w:val="0"/>
              <w:adjustRightInd w:val="0"/>
              <w:snapToGrid w:val="0"/>
              <w:spacing w:before="157" w:beforeLines="50" w:line="360" w:lineRule="auto"/>
              <w:jc w:val="left"/>
              <w:textAlignment w:val="auto"/>
              <w:rPr>
                <w:rFonts w:hint="eastAsia" w:ascii="Times New Roman" w:hAnsi="Times New Roman" w:eastAsia="宋体"/>
                <w:b/>
                <w:bCs/>
                <w:color w:val="auto"/>
                <w:sz w:val="24"/>
                <w:szCs w:val="24"/>
              </w:rPr>
            </w:pPr>
            <w:r>
              <w:rPr>
                <w:rFonts w:hint="eastAsia" w:ascii="Times New Roman" w:hAnsi="Times New Roman" w:eastAsia="宋体"/>
                <w:b/>
                <w:bCs/>
                <w:color w:val="auto"/>
                <w:sz w:val="24"/>
                <w:szCs w:val="24"/>
              </w:rPr>
              <w:t>与《福清融侨经济技术开发区总体规划（2018-2035年）》的符合性</w:t>
            </w:r>
            <w:r>
              <w:rPr>
                <w:rFonts w:hint="eastAsia" w:ascii="Times New Roman" w:hAnsi="Times New Roman" w:eastAsia="宋体"/>
                <w:b/>
                <w:bCs/>
                <w:color w:val="auto"/>
                <w:sz w:val="24"/>
                <w:szCs w:val="24"/>
                <w:lang w:eastAsia="zh-CN"/>
              </w:rPr>
              <w:t>分析</w:t>
            </w:r>
          </w:p>
          <w:p w14:paraId="773CDD57">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根据《福清融侨经济技术开发区总体规划(2018-2035年)》，福清融侨经济技术开发区规划面积532平方公里，规划期2018年至2035年。</w:t>
            </w:r>
          </w:p>
          <w:p w14:paraId="39920E9A">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产业定位为：福建省先进制造业基地；福州创新型产业发展先导区；福清</w:t>
            </w:r>
            <w:r>
              <w:rPr>
                <w:rFonts w:hint="eastAsia"/>
                <w:color w:val="auto"/>
                <w:kern w:val="0"/>
                <w:sz w:val="24"/>
                <w:szCs w:val="24"/>
                <w:lang w:eastAsia="zh-CN"/>
              </w:rPr>
              <w:t>高新技术产业示范区</w:t>
            </w:r>
            <w:r>
              <w:rPr>
                <w:rFonts w:hint="eastAsia"/>
                <w:color w:val="auto"/>
                <w:kern w:val="0"/>
                <w:sz w:val="24"/>
                <w:szCs w:val="24"/>
              </w:rPr>
              <w:t>。构建“3+1”的产业体系，三大支柱产业包括电子信息产业、精密汽车部件产业、光学产业，一项新兴产业指现代服务业。</w:t>
            </w:r>
          </w:p>
          <w:p w14:paraId="187B692D">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(1)电子信息产业：显示科技、云计算、电子元器件、光电科技、计算机与智能终端设备等。</w:t>
            </w:r>
          </w:p>
          <w:p w14:paraId="463489E5">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(2)精密汽车部件产业：汽车电气电子装置、动力传动装置、汽车轴承、新能源动力电池等。</w:t>
            </w:r>
          </w:p>
          <w:p w14:paraId="03EFA2F7">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(3)光学产业：光学部件、光通讯技术、电子光学、虚拟现实装置等。</w:t>
            </w:r>
          </w:p>
          <w:p w14:paraId="63E64B27">
            <w:pPr>
              <w:pStyle w:val="20"/>
              <w:spacing w:after="0" w:line="360" w:lineRule="auto"/>
              <w:ind w:left="0" w:leftChars="0" w:firstLine="480" w:firstLineChars="200"/>
              <w:rPr>
                <w:rFonts w:hint="eastAsia"/>
                <w:color w:val="auto"/>
                <w:kern w:val="0"/>
                <w:sz w:val="24"/>
                <w:szCs w:val="24"/>
              </w:rPr>
            </w:pPr>
            <w:r>
              <w:rPr>
                <w:rFonts w:hint="eastAsia"/>
                <w:color w:val="auto"/>
                <w:kern w:val="0"/>
                <w:sz w:val="24"/>
                <w:szCs w:val="24"/>
              </w:rPr>
              <w:t>(4)现代服务业：金融商务、总部经济、科技研发、文化创意、物流展销都市型产业与服务型制造业。”</w:t>
            </w:r>
          </w:p>
          <w:p w14:paraId="53766193">
            <w:pPr>
              <w:pStyle w:val="20"/>
              <w:spacing w:after="0" w:line="360" w:lineRule="auto"/>
              <w:ind w:left="0" w:leftChars="0" w:firstLine="482" w:firstLineChars="200"/>
              <w:rPr>
                <w:rFonts w:hint="eastAsia" w:ascii="Times New Roman" w:hAnsi="Times New Roman" w:eastAsia="宋体"/>
                <w:b w:val="0"/>
                <w:bCs w:val="0"/>
                <w:color w:val="auto"/>
                <w:sz w:val="24"/>
                <w:szCs w:val="24"/>
              </w:rPr>
            </w:pPr>
            <w:r>
              <w:rPr>
                <w:rFonts w:hint="eastAsia" w:ascii="Times New Roman" w:hAnsi="Times New Roman" w:eastAsia="宋体"/>
                <w:b/>
                <w:bCs/>
                <w:color w:val="auto"/>
                <w:sz w:val="24"/>
                <w:szCs w:val="24"/>
                <w:lang w:eastAsia="zh-CN"/>
              </w:rPr>
              <w:t>符合性分析：</w:t>
            </w:r>
            <w:r>
              <w:rPr>
                <w:rFonts w:hint="eastAsia" w:ascii="Times New Roman" w:hAnsi="Times New Roman" w:eastAsia="宋体"/>
                <w:b w:val="0"/>
                <w:bCs w:val="0"/>
                <w:color w:val="auto"/>
                <w:sz w:val="24"/>
                <w:szCs w:val="24"/>
                <w:lang w:eastAsia="zh-CN"/>
              </w:rPr>
              <w:t>扩建项目位于福州市福清市音西街道</w:t>
            </w:r>
            <w:r>
              <w:rPr>
                <w:rFonts w:hint="eastAsia"/>
                <w:b w:val="0"/>
                <w:bCs w:val="0"/>
                <w:color w:val="auto"/>
                <w:sz w:val="24"/>
                <w:szCs w:val="24"/>
                <w:lang w:val="en-US" w:eastAsia="zh-CN"/>
              </w:rPr>
              <w:t>福建三锋汽配开发有限公司内（租赁厂房四局部一层、厂房五一至三层），</w:t>
            </w:r>
            <w:r>
              <w:rPr>
                <w:rFonts w:hint="eastAsia"/>
                <w:color w:val="auto"/>
                <w:kern w:val="0"/>
                <w:sz w:val="24"/>
                <w:szCs w:val="24"/>
              </w:rPr>
              <w:t>属于福清融侨经济技术开发区范围内。扩建项</w:t>
            </w:r>
            <w:r>
              <w:rPr>
                <w:rFonts w:hint="eastAsia"/>
                <w:color w:val="auto"/>
                <w:kern w:val="0"/>
                <w:sz w:val="24"/>
                <w:szCs w:val="24"/>
                <w:lang w:val="en-US" w:eastAsia="zh-CN"/>
              </w:rPr>
              <w:t>目主要从事注塑件、下卡条和钣金件的生产，</w:t>
            </w:r>
            <w:r>
              <w:rPr>
                <w:rFonts w:hint="eastAsia"/>
                <w:b/>
                <w:bCs/>
                <w:color w:val="auto"/>
                <w:kern w:val="0"/>
                <w:sz w:val="24"/>
                <w:szCs w:val="24"/>
                <w:lang w:val="en-US" w:eastAsia="zh-CN"/>
              </w:rPr>
              <w:t>均为汽车零部件及配件</w:t>
            </w:r>
            <w:r>
              <w:rPr>
                <w:rFonts w:hint="eastAsia"/>
                <w:color w:val="auto"/>
                <w:kern w:val="0"/>
                <w:sz w:val="24"/>
                <w:szCs w:val="24"/>
                <w:lang w:val="en-US" w:eastAsia="zh-CN"/>
              </w:rPr>
              <w:t>，属于开发区主导行业，</w:t>
            </w:r>
            <w:r>
              <w:rPr>
                <w:rFonts w:hint="eastAsia"/>
                <w:color w:val="auto"/>
                <w:kern w:val="0"/>
                <w:sz w:val="24"/>
                <w:szCs w:val="24"/>
              </w:rPr>
              <w:t>因此，扩建项目选址和产业定位符合《福清融侨经济技术开发区总体规划(2018-2035年)》</w:t>
            </w:r>
            <w:r>
              <w:rPr>
                <w:rFonts w:hint="eastAsia" w:ascii="Times New Roman" w:hAnsi="Times New Roman" w:eastAsia="宋体"/>
                <w:b w:val="0"/>
                <w:bCs w:val="0"/>
                <w:color w:val="auto"/>
                <w:sz w:val="24"/>
                <w:szCs w:val="24"/>
              </w:rPr>
              <w:t>要求。</w:t>
            </w:r>
          </w:p>
          <w:p w14:paraId="25D1D34E">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rPr>
              <w:t>2、</w:t>
            </w:r>
            <w:r>
              <w:rPr>
                <w:rFonts w:hint="eastAsia" w:ascii="Times New Roman"/>
                <w:b/>
                <w:color w:val="auto"/>
                <w:sz w:val="24"/>
                <w:szCs w:val="24"/>
                <w:lang w:eastAsia="zh-CN"/>
              </w:rPr>
              <w:t>与《</w:t>
            </w:r>
            <w:r>
              <w:rPr>
                <w:rFonts w:hint="eastAsia" w:ascii="Times New Roman"/>
                <w:b/>
                <w:color w:val="auto"/>
                <w:sz w:val="24"/>
                <w:szCs w:val="24"/>
              </w:rPr>
              <w:t>福清融侨经济技术开发区总体规划环境影响报告书（2018-2035年）</w:t>
            </w:r>
            <w:r>
              <w:rPr>
                <w:rFonts w:hint="eastAsia" w:ascii="Times New Roman"/>
                <w:b/>
                <w:color w:val="auto"/>
                <w:sz w:val="24"/>
                <w:szCs w:val="24"/>
                <w:lang w:eastAsia="zh-CN"/>
              </w:rPr>
              <w:t>》</w:t>
            </w:r>
            <w:r>
              <w:rPr>
                <w:rFonts w:hint="eastAsia" w:ascii="Times New Roman"/>
                <w:b/>
                <w:color w:val="auto"/>
                <w:sz w:val="24"/>
                <w:szCs w:val="24"/>
              </w:rPr>
              <w:t>及审查意见符合性分析</w:t>
            </w:r>
          </w:p>
          <w:p w14:paraId="714DBF55">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福清融侨经济技术开发区总体规划环境影响报告书（2018-2035年）》及其审查意见（环审〔2020〕80号），融侨经济技术开发区主要以电子信息：显示科技、光电科技、电子元器件、通讯设备、计算机与智能终端设备等；机械电气：数控机床、精密磨具、光机电一体化等；汽车零配件：汽配玻璃、汽车零部件、变速器、汽车轴承等；开发区主导行业涉及国民经济类别主要包括 C29、C304、C33、C34、C35、C36、C38、C39、C40。</w:t>
            </w:r>
            <w:r>
              <w:rPr>
                <w:rFonts w:hint="eastAsia"/>
                <w:color w:val="auto"/>
                <w:kern w:val="0"/>
                <w:sz w:val="24"/>
                <w:szCs w:val="24"/>
              </w:rPr>
              <w:t>扩建项</w:t>
            </w:r>
            <w:r>
              <w:rPr>
                <w:rFonts w:hint="eastAsia"/>
                <w:color w:val="auto"/>
                <w:kern w:val="0"/>
                <w:sz w:val="24"/>
                <w:szCs w:val="24"/>
                <w:lang w:val="en-US" w:eastAsia="zh-CN"/>
              </w:rPr>
              <w:t>目主要从事注塑件、下卡条和钣金件的生产，属于C2929塑料零件及其他塑料制品制造、C3311金属结构制造、C3670汽车零部件及配件制造</w:t>
            </w:r>
            <w:r>
              <w:rPr>
                <w:rFonts w:hint="eastAsia" w:ascii="Times New Roman" w:hAnsi="Times New Roman" w:eastAsia="宋体" w:cs="Times New Roman"/>
                <w:color w:val="auto"/>
                <w:sz w:val="24"/>
                <w:szCs w:val="24"/>
              </w:rPr>
              <w:t>，属于开发区主导行业，符合该园区规划环评的产业政策和主导行业定位。</w:t>
            </w:r>
          </w:p>
          <w:p w14:paraId="3C5E99EB">
            <w:pPr>
              <w:pStyle w:val="111"/>
              <w:tabs>
                <w:tab w:val="left" w:pos="4347"/>
              </w:tabs>
              <w:snapToGrid w:val="0"/>
              <w:spacing w:line="360" w:lineRule="auto"/>
              <w:ind w:firstLine="480" w:firstLineChars="200"/>
              <w:jc w:val="both"/>
              <w:outlineLvl w:val="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对照《福清融侨经济技术开发区总体规划（2018-2035年）环境影响报告书》中配套及其他行业环境准入要求及其审查小组意见，项目与规划区主导产业环境准入清单、审查意见符合性分析详见表1-2、1-3。</w:t>
            </w:r>
          </w:p>
          <w:p w14:paraId="16FBA461">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1-2项目与规划区主导产业环境准入清单符合性分析一览表</w:t>
            </w:r>
          </w:p>
          <w:tbl>
            <w:tblPr>
              <w:tblStyle w:val="36"/>
              <w:tblW w:w="4948" w:type="pct"/>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3125"/>
              <w:gridCol w:w="2542"/>
              <w:gridCol w:w="939"/>
            </w:tblGrid>
            <w:tr w14:paraId="4E88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pct"/>
                  <w:gridSpan w:val="2"/>
                  <w:tcBorders>
                    <w:top w:val="single" w:color="auto" w:sz="12" w:space="0"/>
                    <w:bottom w:val="single" w:color="auto" w:sz="4" w:space="0"/>
                  </w:tcBorders>
                  <w:vAlign w:val="center"/>
                </w:tcPr>
                <w:p w14:paraId="4EA7DA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lang w:val="en-US" w:eastAsia="zh-CN"/>
                    </w:rPr>
                  </w:pPr>
                  <w:r>
                    <w:rPr>
                      <w:rFonts w:hint="eastAsia"/>
                      <w:b/>
                      <w:bCs/>
                      <w:color w:val="auto"/>
                      <w:sz w:val="18"/>
                      <w:szCs w:val="18"/>
                      <w:lang w:val="en-US" w:eastAsia="zh-CN"/>
                    </w:rPr>
                    <w:t>区域相关规划主要要求</w:t>
                  </w:r>
                </w:p>
                <w:p w14:paraId="6C96F6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color w:val="auto"/>
                      <w:sz w:val="18"/>
                      <w:szCs w:val="18"/>
                      <w:lang w:val="en-US" w:eastAsia="zh-CN"/>
                    </w:rPr>
                  </w:pPr>
                  <w:r>
                    <w:rPr>
                      <w:rFonts w:hint="eastAsia"/>
                      <w:b/>
                      <w:bCs/>
                      <w:color w:val="auto"/>
                      <w:sz w:val="18"/>
                      <w:szCs w:val="18"/>
                      <w:lang w:val="en-US" w:eastAsia="zh-CN"/>
                    </w:rPr>
                    <w:t>（29 橡胶和塑料制品业）</w:t>
                  </w:r>
                </w:p>
              </w:tc>
              <w:tc>
                <w:tcPr>
                  <w:tcW w:w="1706" w:type="pct"/>
                  <w:tcBorders>
                    <w:top w:val="single" w:color="auto" w:sz="12" w:space="0"/>
                    <w:bottom w:val="single" w:color="auto" w:sz="4" w:space="0"/>
                    <w:right w:val="nil"/>
                  </w:tcBorders>
                  <w:vAlign w:val="center"/>
                </w:tcPr>
                <w:p w14:paraId="6AF24E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b/>
                      <w:bCs/>
                      <w:color w:val="auto"/>
                      <w:sz w:val="18"/>
                      <w:szCs w:val="18"/>
                      <w:lang w:val="en-US" w:eastAsia="zh-CN"/>
                    </w:rPr>
                  </w:pPr>
                  <w:r>
                    <w:rPr>
                      <w:rFonts w:hint="eastAsia"/>
                      <w:b/>
                      <w:bCs/>
                      <w:color w:val="auto"/>
                      <w:sz w:val="18"/>
                      <w:szCs w:val="18"/>
                      <w:lang w:val="en-US" w:eastAsia="zh-CN"/>
                    </w:rPr>
                    <w:t>本项目</w:t>
                  </w:r>
                </w:p>
              </w:tc>
              <w:tc>
                <w:tcPr>
                  <w:tcW w:w="630" w:type="pct"/>
                  <w:tcBorders>
                    <w:top w:val="single" w:color="auto" w:sz="12" w:space="0"/>
                    <w:bottom w:val="single" w:color="auto" w:sz="4" w:space="0"/>
                    <w:right w:val="nil"/>
                  </w:tcBorders>
                  <w:vAlign w:val="center"/>
                </w:tcPr>
                <w:p w14:paraId="017501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eastAsia="zh-CN"/>
                    </w:rPr>
                  </w:pPr>
                  <w:r>
                    <w:rPr>
                      <w:rFonts w:hint="eastAsia" w:cs="Times New Roman"/>
                      <w:b/>
                      <w:bCs/>
                      <w:color w:val="auto"/>
                      <w:sz w:val="18"/>
                      <w:szCs w:val="18"/>
                      <w:vertAlign w:val="baseline"/>
                      <w:lang w:eastAsia="zh-CN"/>
                    </w:rPr>
                    <w:t>符合性</w:t>
                  </w:r>
                </w:p>
              </w:tc>
            </w:tr>
            <w:tr w14:paraId="6C16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nil"/>
                    <w:bottom w:val="single" w:color="auto" w:sz="4" w:space="0"/>
                  </w:tcBorders>
                  <w:vAlign w:val="center"/>
                </w:tcPr>
                <w:p w14:paraId="6ACA34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eastAsia="宋体"/>
                      <w:color w:val="auto"/>
                      <w:sz w:val="18"/>
                      <w:szCs w:val="18"/>
                      <w:lang w:val="en-US" w:eastAsia="zh-CN"/>
                    </w:rPr>
                    <w:t>空间布局约束</w:t>
                  </w:r>
                </w:p>
              </w:tc>
              <w:tc>
                <w:tcPr>
                  <w:tcW w:w="2096" w:type="pct"/>
                  <w:tcBorders>
                    <w:top w:val="single" w:color="auto" w:sz="4" w:space="0"/>
                    <w:bottom w:val="single" w:color="auto" w:sz="4" w:space="0"/>
                  </w:tcBorders>
                  <w:vAlign w:val="center"/>
                </w:tcPr>
                <w:p w14:paraId="2140E7B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禁止新建：</w:t>
                  </w:r>
                </w:p>
                <w:p w14:paraId="2495C13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1、涉及开炼、密炼、硫化工艺</w:t>
                  </w:r>
                </w:p>
                <w:p w14:paraId="52A00A2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2、采用煤、油、生物质等非清洁能源</w:t>
                  </w:r>
                </w:p>
                <w:p w14:paraId="1B9871E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3、再生橡胶制造、橡胶加工、橡胶制品翻新</w:t>
                  </w:r>
                </w:p>
                <w:p w14:paraId="7F1BA84E">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4、废旧塑料再生</w:t>
                  </w:r>
                </w:p>
                <w:p w14:paraId="48CA26E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sz w:val="18"/>
                      <w:szCs w:val="18"/>
                      <w:vertAlign w:val="baseline"/>
                      <w:lang w:eastAsia="zh-CN"/>
                    </w:rPr>
                  </w:pPr>
                  <w:r>
                    <w:rPr>
                      <w:rFonts w:hint="eastAsia"/>
                      <w:color w:val="auto"/>
                      <w:sz w:val="18"/>
                      <w:szCs w:val="18"/>
                    </w:rPr>
                    <w:t>现有生产能力允许企业在一定期限内采取措施改造升级。</w:t>
                  </w:r>
                </w:p>
              </w:tc>
              <w:tc>
                <w:tcPr>
                  <w:tcW w:w="1706" w:type="pct"/>
                  <w:tcBorders>
                    <w:top w:val="single" w:color="auto" w:sz="4" w:space="0"/>
                    <w:bottom w:val="single" w:color="auto" w:sz="4" w:space="0"/>
                    <w:right w:val="nil"/>
                  </w:tcBorders>
                  <w:vAlign w:val="center"/>
                </w:tcPr>
                <w:p w14:paraId="0A9CEC9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1、项目不涉及开炼、密炼、硫化工艺；</w:t>
                  </w:r>
                </w:p>
                <w:p w14:paraId="6D90EC8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2、项目使用电能为能源属于清洁能源；</w:t>
                  </w:r>
                </w:p>
                <w:p w14:paraId="031D54C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3、项目无再生橡胶制造、橡胶加工、橡胶制品翻新工艺</w:t>
                  </w:r>
                </w:p>
                <w:p w14:paraId="1BF1048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olor w:val="auto"/>
                      <w:sz w:val="18"/>
                      <w:szCs w:val="18"/>
                    </w:rPr>
                  </w:pPr>
                  <w:r>
                    <w:rPr>
                      <w:rFonts w:hint="eastAsia"/>
                      <w:color w:val="auto"/>
                      <w:sz w:val="18"/>
                      <w:szCs w:val="18"/>
                    </w:rPr>
                    <w:t>4、项目不涉及废旧塑料再生</w:t>
                  </w:r>
                </w:p>
              </w:tc>
              <w:tc>
                <w:tcPr>
                  <w:tcW w:w="630" w:type="pct"/>
                  <w:tcBorders>
                    <w:top w:val="single" w:color="auto" w:sz="4" w:space="0"/>
                    <w:bottom w:val="single" w:color="auto" w:sz="4" w:space="0"/>
                    <w:right w:val="nil"/>
                  </w:tcBorders>
                  <w:vAlign w:val="center"/>
                </w:tcPr>
                <w:p w14:paraId="50D612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cs="Times New Roman"/>
                      <w:color w:val="auto"/>
                      <w:sz w:val="18"/>
                      <w:szCs w:val="18"/>
                      <w:vertAlign w:val="baseline"/>
                      <w:lang w:eastAsia="zh-CN"/>
                    </w:rPr>
                    <w:t>符合</w:t>
                  </w:r>
                </w:p>
              </w:tc>
            </w:tr>
            <w:tr w14:paraId="2C53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pct"/>
                  <w:gridSpan w:val="2"/>
                  <w:tcBorders>
                    <w:top w:val="single" w:color="auto" w:sz="4" w:space="0"/>
                    <w:left w:val="nil"/>
                    <w:bottom w:val="single" w:color="auto" w:sz="4" w:space="0"/>
                  </w:tcBorders>
                  <w:vAlign w:val="center"/>
                </w:tcPr>
                <w:p w14:paraId="0E5FFF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lang w:val="en-US" w:eastAsia="zh-CN"/>
                    </w:rPr>
                  </w:pPr>
                  <w:r>
                    <w:rPr>
                      <w:rFonts w:hint="eastAsia"/>
                      <w:b/>
                      <w:bCs/>
                      <w:color w:val="auto"/>
                      <w:sz w:val="18"/>
                      <w:szCs w:val="18"/>
                      <w:lang w:val="en-US" w:eastAsia="zh-CN"/>
                    </w:rPr>
                    <w:t>区域相关规划主要要求</w:t>
                  </w:r>
                </w:p>
                <w:p w14:paraId="2068DC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rPr>
                  </w:pPr>
                  <w:r>
                    <w:rPr>
                      <w:rFonts w:hint="eastAsia"/>
                      <w:b/>
                      <w:bCs/>
                      <w:color w:val="auto"/>
                      <w:sz w:val="18"/>
                      <w:szCs w:val="18"/>
                      <w:lang w:val="en-US" w:eastAsia="zh-CN"/>
                    </w:rPr>
                    <w:t>（33 金属制品业、36 汽车制造业）</w:t>
                  </w:r>
                </w:p>
              </w:tc>
              <w:tc>
                <w:tcPr>
                  <w:tcW w:w="1706" w:type="pct"/>
                  <w:tcBorders>
                    <w:top w:val="single" w:color="auto" w:sz="4" w:space="0"/>
                    <w:bottom w:val="single" w:color="auto" w:sz="4" w:space="0"/>
                    <w:right w:val="nil"/>
                  </w:tcBorders>
                  <w:vAlign w:val="center"/>
                </w:tcPr>
                <w:p w14:paraId="746E2E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b/>
                      <w:bCs/>
                      <w:color w:val="auto"/>
                      <w:sz w:val="18"/>
                      <w:szCs w:val="18"/>
                    </w:rPr>
                  </w:pPr>
                  <w:r>
                    <w:rPr>
                      <w:rFonts w:hint="eastAsia"/>
                      <w:b/>
                      <w:bCs/>
                      <w:color w:val="auto"/>
                      <w:sz w:val="18"/>
                      <w:szCs w:val="18"/>
                      <w:lang w:val="en-US" w:eastAsia="zh-CN"/>
                    </w:rPr>
                    <w:t>本项目</w:t>
                  </w:r>
                </w:p>
              </w:tc>
              <w:tc>
                <w:tcPr>
                  <w:tcW w:w="630" w:type="pct"/>
                  <w:tcBorders>
                    <w:top w:val="single" w:color="auto" w:sz="4" w:space="0"/>
                    <w:bottom w:val="single" w:color="auto" w:sz="4" w:space="0"/>
                    <w:right w:val="nil"/>
                  </w:tcBorders>
                  <w:vAlign w:val="center"/>
                </w:tcPr>
                <w:p w14:paraId="52A4583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sz w:val="18"/>
                      <w:szCs w:val="18"/>
                      <w:vertAlign w:val="baseline"/>
                      <w:lang w:eastAsia="zh-CN"/>
                    </w:rPr>
                  </w:pPr>
                  <w:r>
                    <w:rPr>
                      <w:rFonts w:hint="eastAsia" w:cs="Times New Roman"/>
                      <w:b/>
                      <w:bCs/>
                      <w:color w:val="auto"/>
                      <w:sz w:val="18"/>
                      <w:szCs w:val="18"/>
                      <w:vertAlign w:val="baseline"/>
                      <w:lang w:eastAsia="zh-CN"/>
                    </w:rPr>
                    <w:t>符合性</w:t>
                  </w:r>
                </w:p>
              </w:tc>
            </w:tr>
            <w:tr w14:paraId="467C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nil"/>
                    <w:bottom w:val="single" w:color="auto" w:sz="4" w:space="0"/>
                  </w:tcBorders>
                  <w:vAlign w:val="center"/>
                </w:tcPr>
                <w:p w14:paraId="175A7C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eastAsia="宋体"/>
                      <w:color w:val="auto"/>
                      <w:sz w:val="18"/>
                      <w:szCs w:val="18"/>
                      <w:lang w:val="en-US" w:eastAsia="zh-CN"/>
                    </w:rPr>
                    <w:t>空间布局约束</w:t>
                  </w:r>
                </w:p>
              </w:tc>
              <w:tc>
                <w:tcPr>
                  <w:tcW w:w="2096" w:type="pct"/>
                  <w:tcBorders>
                    <w:top w:val="single" w:color="auto" w:sz="4" w:space="0"/>
                    <w:bottom w:val="single" w:color="auto" w:sz="4" w:space="0"/>
                  </w:tcBorders>
                  <w:vAlign w:val="center"/>
                </w:tcPr>
                <w:p w14:paraId="08D0B0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禁止新建：</w:t>
                  </w:r>
                </w:p>
                <w:p w14:paraId="5E29330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1、使用有机涂层的（喷塑、电泳及高端项目配套除外）</w:t>
                  </w:r>
                </w:p>
                <w:p w14:paraId="6BE0B20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2、涉及熔炼、电镀工艺</w:t>
                  </w:r>
                </w:p>
                <w:p w14:paraId="17A907D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3、涉及钝化工艺的热镀锌</w:t>
                  </w:r>
                </w:p>
                <w:p w14:paraId="4E7B195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4、油性漆使用量超过10t/a喷漆工艺</w:t>
                  </w:r>
                </w:p>
                <w:p w14:paraId="523801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5、使用火焰法除旧漆，使用干喷砂除锈</w:t>
                  </w:r>
                </w:p>
                <w:p w14:paraId="5D8C320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6、采用煤、油、生物质等非清洁能源</w:t>
                  </w:r>
                </w:p>
                <w:p w14:paraId="6913C97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7、铅酸蓄电池制造</w:t>
                  </w:r>
                </w:p>
                <w:p w14:paraId="65F261A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8、印刷电路板（高密度印刷电路板和柔性电路板除外）</w:t>
                  </w:r>
                </w:p>
                <w:p w14:paraId="4ABA2BE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vertAlign w:val="baseline"/>
                      <w:lang w:eastAsia="zh-CN"/>
                    </w:rPr>
                  </w:pPr>
                  <w:r>
                    <w:rPr>
                      <w:rFonts w:hint="eastAsia" w:ascii="Times New Roman" w:hAnsi="Times New Roman" w:eastAsia="宋体" w:cs="Times New Roman"/>
                      <w:color w:val="auto"/>
                      <w:sz w:val="18"/>
                      <w:szCs w:val="18"/>
                    </w:rPr>
                    <w:t>现有生产能力允许企业在一定期限内采取措施改造升级</w:t>
                  </w:r>
                  <w:r>
                    <w:rPr>
                      <w:rFonts w:hint="eastAsia" w:cs="Times New Roman"/>
                      <w:color w:val="auto"/>
                      <w:sz w:val="18"/>
                      <w:szCs w:val="18"/>
                      <w:lang w:eastAsia="zh-CN"/>
                    </w:rPr>
                    <w:t>。</w:t>
                  </w:r>
                </w:p>
              </w:tc>
              <w:tc>
                <w:tcPr>
                  <w:tcW w:w="1706" w:type="pct"/>
                  <w:tcBorders>
                    <w:top w:val="single" w:color="auto" w:sz="4" w:space="0"/>
                    <w:bottom w:val="single" w:color="auto" w:sz="4" w:space="0"/>
                    <w:right w:val="nil"/>
                  </w:tcBorders>
                  <w:vAlign w:val="center"/>
                </w:tcPr>
                <w:p w14:paraId="4BBE951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1、不使用有机涂层；</w:t>
                  </w:r>
                </w:p>
                <w:p w14:paraId="29772D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2、不涉及熔炼、电镀工艺；</w:t>
                  </w:r>
                </w:p>
                <w:p w14:paraId="5047BC7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3、不涉及钝化工艺的热镀锌；</w:t>
                  </w:r>
                </w:p>
                <w:p w14:paraId="1D14BBD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4、不涉及喷漆工艺；</w:t>
                  </w:r>
                </w:p>
                <w:p w14:paraId="6809DE8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5、不使用火焰法除旧漆，不使用干喷砂除锈；</w:t>
                  </w:r>
                </w:p>
                <w:p w14:paraId="69D0F53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6、使用电能清洁能源，不采用煤、油、生物质等非清洁能源；</w:t>
                  </w:r>
                </w:p>
                <w:p w14:paraId="1364882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7、不涉及铅酸蓄电池制造；</w:t>
                  </w:r>
                </w:p>
                <w:p w14:paraId="5C2C2C9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8、不涉及印刷电路板</w:t>
                  </w:r>
                </w:p>
              </w:tc>
              <w:tc>
                <w:tcPr>
                  <w:tcW w:w="630" w:type="pct"/>
                  <w:tcBorders>
                    <w:top w:val="single" w:color="auto" w:sz="4" w:space="0"/>
                    <w:bottom w:val="single" w:color="auto" w:sz="4" w:space="0"/>
                    <w:right w:val="nil"/>
                  </w:tcBorders>
                  <w:vAlign w:val="center"/>
                </w:tcPr>
                <w:p w14:paraId="28341E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eastAsia="zh-CN"/>
                    </w:rPr>
                  </w:pPr>
                  <w:r>
                    <w:rPr>
                      <w:rFonts w:hint="eastAsia" w:cs="Times New Roman"/>
                      <w:color w:val="auto"/>
                      <w:sz w:val="18"/>
                      <w:szCs w:val="18"/>
                      <w:vertAlign w:val="baseline"/>
                      <w:lang w:eastAsia="zh-CN"/>
                    </w:rPr>
                    <w:t>符合</w:t>
                  </w:r>
                </w:p>
              </w:tc>
            </w:tr>
            <w:tr w14:paraId="03B0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nil"/>
                    <w:bottom w:val="single" w:color="auto" w:sz="4" w:space="0"/>
                  </w:tcBorders>
                  <w:vAlign w:val="center"/>
                </w:tcPr>
                <w:p w14:paraId="3F6C2E6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环境风险防控</w:t>
                  </w:r>
                </w:p>
              </w:tc>
              <w:tc>
                <w:tcPr>
                  <w:tcW w:w="2096" w:type="pct"/>
                  <w:tcBorders>
                    <w:top w:val="single" w:color="auto" w:sz="4" w:space="0"/>
                    <w:bottom w:val="single" w:color="auto" w:sz="4" w:space="0"/>
                  </w:tcBorders>
                  <w:vAlign w:val="center"/>
                </w:tcPr>
                <w:p w14:paraId="15BDD4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1、必须规范配套应急池，建设企业、园区和周边水系三级环境风险防控工程，确保有效拦截、降污和倒流；受园区排污影响的周边水系应建设应急闸门，防止泄漏物和消防水等排入外环境。</w:t>
                  </w:r>
                </w:p>
                <w:p w14:paraId="4E6357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2、开发区内污水处理设施应采取必要的防渗处理，不得污染地下水环境。</w:t>
                  </w:r>
                </w:p>
              </w:tc>
              <w:tc>
                <w:tcPr>
                  <w:tcW w:w="1706" w:type="pct"/>
                  <w:tcBorders>
                    <w:top w:val="single" w:color="auto" w:sz="4" w:space="0"/>
                    <w:bottom w:val="single" w:color="auto" w:sz="4" w:space="0"/>
                    <w:right w:val="nil"/>
                  </w:tcBorders>
                  <w:vAlign w:val="center"/>
                </w:tcPr>
                <w:p w14:paraId="49A199B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项目按要求建立环境风险防控体系，成立应急组织机构，设置相应的风险防范措施；</w:t>
                  </w:r>
                </w:p>
                <w:p w14:paraId="77185D3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yellow"/>
                    </w:rPr>
                  </w:pPr>
                  <w:r>
                    <w:rPr>
                      <w:rFonts w:hint="eastAsia"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本项目冷却水循环回用，不外排，定期补充新鲜水</w:t>
                  </w:r>
                  <w:r>
                    <w:rPr>
                      <w:rFonts w:hint="eastAsia" w:ascii="Times New Roman" w:hAnsi="Times New Roman" w:eastAsia="宋体" w:cs="Times New Roman"/>
                      <w:color w:val="auto"/>
                      <w:sz w:val="18"/>
                      <w:szCs w:val="18"/>
                      <w:highlight w:val="none"/>
                      <w:lang w:val="en-US" w:eastAsia="zh-CN"/>
                    </w:rPr>
                    <w:t>，现有工程已建</w:t>
                  </w:r>
                  <w:r>
                    <w:rPr>
                      <w:rFonts w:hint="default" w:ascii="Times New Roman" w:hAnsi="Times New Roman" w:eastAsia="宋体" w:cs="Times New Roman"/>
                      <w:color w:val="auto"/>
                      <w:sz w:val="18"/>
                      <w:szCs w:val="18"/>
                      <w:highlight w:val="none"/>
                      <w:lang w:val="en-US" w:eastAsia="zh-CN"/>
                    </w:rPr>
                    <w:t>污水处理</w:t>
                  </w:r>
                  <w:r>
                    <w:rPr>
                      <w:rFonts w:hint="eastAsia" w:cs="Times New Roman"/>
                      <w:color w:val="auto"/>
                      <w:sz w:val="18"/>
                      <w:szCs w:val="18"/>
                      <w:highlight w:val="none"/>
                      <w:lang w:val="en-US" w:eastAsia="zh-CN"/>
                    </w:rPr>
                    <w:t>设施为地面式，不直接接触土壤，无防渗要求。</w:t>
                  </w:r>
                </w:p>
              </w:tc>
              <w:tc>
                <w:tcPr>
                  <w:tcW w:w="630" w:type="pct"/>
                  <w:tcBorders>
                    <w:top w:val="single" w:color="auto" w:sz="4" w:space="0"/>
                    <w:bottom w:val="single" w:color="auto" w:sz="4" w:space="0"/>
                    <w:right w:val="nil"/>
                  </w:tcBorders>
                  <w:vAlign w:val="center"/>
                </w:tcPr>
                <w:p w14:paraId="53B055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18"/>
                      <w:szCs w:val="18"/>
                      <w:lang w:eastAsia="zh-CN"/>
                    </w:rPr>
                  </w:pPr>
                  <w:r>
                    <w:rPr>
                      <w:rFonts w:hint="eastAsia" w:cs="Times New Roman"/>
                      <w:color w:val="auto"/>
                      <w:sz w:val="18"/>
                      <w:szCs w:val="18"/>
                      <w:vertAlign w:val="baseline"/>
                      <w:lang w:eastAsia="zh-CN"/>
                    </w:rPr>
                    <w:t>符合</w:t>
                  </w:r>
                </w:p>
              </w:tc>
            </w:tr>
            <w:tr w14:paraId="44C7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tcBorders>
                    <w:top w:val="single" w:color="auto" w:sz="4" w:space="0"/>
                    <w:left w:val="nil"/>
                    <w:bottom w:val="single" w:color="auto" w:sz="12" w:space="0"/>
                  </w:tcBorders>
                  <w:vAlign w:val="center"/>
                </w:tcPr>
                <w:p w14:paraId="3A47BF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污染物排放管控</w:t>
                  </w:r>
                </w:p>
              </w:tc>
              <w:tc>
                <w:tcPr>
                  <w:tcW w:w="2096" w:type="pct"/>
                  <w:tcBorders>
                    <w:top w:val="single" w:color="auto" w:sz="4" w:space="0"/>
                    <w:bottom w:val="single" w:color="auto" w:sz="12" w:space="0"/>
                  </w:tcBorders>
                  <w:vAlign w:val="center"/>
                </w:tcPr>
                <w:p w14:paraId="035034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1、新、改、扩建项目新增大气污染物（现阶段指SO</w:t>
                  </w:r>
                  <w:r>
                    <w:rPr>
                      <w:rFonts w:hint="eastAsia" w:eastAsia="宋体"/>
                      <w:color w:val="auto"/>
                      <w:sz w:val="18"/>
                      <w:szCs w:val="18"/>
                      <w:vertAlign w:val="subscript"/>
                      <w:lang w:val="en-US" w:eastAsia="zh-CN"/>
                    </w:rPr>
                    <w:t>2</w:t>
                  </w:r>
                  <w:r>
                    <w:rPr>
                      <w:rFonts w:hint="eastAsia" w:eastAsia="宋体"/>
                      <w:color w:val="auto"/>
                      <w:sz w:val="18"/>
                      <w:szCs w:val="18"/>
                      <w:lang w:val="en-US" w:eastAsia="zh-CN"/>
                    </w:rPr>
                    <w:t>、NOx）排放量实行1.5倍削减替代（不含使用天然气、液化石油气等作为燃料的非火电锅炉和工业炉窑）。</w:t>
                  </w:r>
                </w:p>
                <w:p w14:paraId="24C14E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2、新、改、扩建项目新增VOCs排放量实行倍量削减替代。</w:t>
                  </w:r>
                </w:p>
                <w:p w14:paraId="7DDEA40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eastAsia="宋体"/>
                      <w:color w:val="auto"/>
                      <w:sz w:val="18"/>
                      <w:szCs w:val="18"/>
                      <w:lang w:val="en-US" w:eastAsia="zh-CN"/>
                    </w:rPr>
                  </w:pPr>
                  <w:r>
                    <w:rPr>
                      <w:rFonts w:hint="eastAsia" w:eastAsia="宋体"/>
                      <w:color w:val="auto"/>
                      <w:sz w:val="18"/>
                      <w:szCs w:val="18"/>
                      <w:lang w:val="en-US" w:eastAsia="zh-CN"/>
                    </w:rPr>
                    <w:t>3、工业企业废水全部纳管进入污水厂集中处理后达标排放。</w:t>
                  </w:r>
                </w:p>
              </w:tc>
              <w:tc>
                <w:tcPr>
                  <w:tcW w:w="1706" w:type="pct"/>
                  <w:tcBorders>
                    <w:top w:val="single" w:color="auto" w:sz="4" w:space="0"/>
                    <w:bottom w:val="single" w:color="auto" w:sz="12" w:space="0"/>
                    <w:right w:val="nil"/>
                  </w:tcBorders>
                  <w:vAlign w:val="center"/>
                </w:tcPr>
                <w:p w14:paraId="1EBAB2E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none"/>
                    </w:rPr>
                  </w:pPr>
                  <w:r>
                    <w:rPr>
                      <w:rFonts w:hint="eastAsia"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rPr>
                    <w:t>本项目不涉及SO</w:t>
                  </w:r>
                  <w:r>
                    <w:rPr>
                      <w:rFonts w:hint="eastAsia" w:ascii="Times New Roman" w:hAnsi="Times New Roman" w:eastAsia="宋体" w:cs="Times New Roman"/>
                      <w:color w:val="auto"/>
                      <w:sz w:val="18"/>
                      <w:szCs w:val="18"/>
                      <w:highlight w:val="none"/>
                      <w:vertAlign w:val="subscript"/>
                    </w:rPr>
                    <w:t>2</w:t>
                  </w:r>
                  <w:r>
                    <w:rPr>
                      <w:rFonts w:hint="eastAsia" w:ascii="Times New Roman" w:hAnsi="Times New Roman" w:eastAsia="宋体" w:cs="Times New Roman"/>
                      <w:color w:val="auto"/>
                      <w:sz w:val="18"/>
                      <w:szCs w:val="18"/>
                      <w:highlight w:val="none"/>
                    </w:rPr>
                    <w:t>、NOx；</w:t>
                  </w:r>
                </w:p>
                <w:p w14:paraId="64B2834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none"/>
                    </w:rPr>
                  </w:pPr>
                  <w:r>
                    <w:rPr>
                      <w:rFonts w:hint="eastAsia" w:eastAsia="宋体" w:cs="Times New Roman"/>
                      <w:color w:val="auto"/>
                      <w:sz w:val="18"/>
                      <w:szCs w:val="18"/>
                      <w:highlight w:val="none"/>
                      <w:lang w:val="en-US" w:eastAsia="zh-CN"/>
                    </w:rPr>
                    <w:t>2、</w:t>
                  </w:r>
                  <w:r>
                    <w:rPr>
                      <w:rFonts w:hint="eastAsia" w:ascii="Times New Roman" w:hAnsi="Times New Roman" w:eastAsia="宋体" w:cs="Times New Roman"/>
                      <w:color w:val="auto"/>
                      <w:sz w:val="18"/>
                      <w:szCs w:val="18"/>
                      <w:highlight w:val="none"/>
                    </w:rPr>
                    <w:t>本</w:t>
                  </w:r>
                  <w:r>
                    <w:rPr>
                      <w:rFonts w:hint="eastAsia" w:cs="Times New Roman"/>
                      <w:color w:val="auto"/>
                      <w:sz w:val="18"/>
                      <w:szCs w:val="18"/>
                      <w:highlight w:val="none"/>
                      <w:lang w:val="en-US" w:eastAsia="zh-CN"/>
                    </w:rPr>
                    <w:t>次扩建</w:t>
                  </w:r>
                  <w:r>
                    <w:rPr>
                      <w:rFonts w:hint="eastAsia" w:ascii="Times New Roman" w:hAnsi="Times New Roman" w:eastAsia="宋体" w:cs="Times New Roman"/>
                      <w:color w:val="auto"/>
                      <w:sz w:val="18"/>
                      <w:szCs w:val="18"/>
                      <w:highlight w:val="none"/>
                    </w:rPr>
                    <w:t>新增VOCs排放量</w:t>
                  </w:r>
                  <w:r>
                    <w:rPr>
                      <w:rFonts w:hint="eastAsia" w:cs="Times New Roman"/>
                      <w:color w:val="auto"/>
                      <w:sz w:val="18"/>
                      <w:szCs w:val="18"/>
                      <w:highlight w:val="none"/>
                      <w:lang w:val="en-US" w:eastAsia="zh-CN"/>
                    </w:rPr>
                    <w:t>0.786</w:t>
                  </w:r>
                  <w:r>
                    <w:rPr>
                      <w:rFonts w:hint="eastAsia" w:ascii="Times New Roman" w:hAnsi="Times New Roman" w:eastAsia="宋体" w:cs="Times New Roman"/>
                      <w:color w:val="auto"/>
                      <w:sz w:val="18"/>
                      <w:szCs w:val="18"/>
                      <w:highlight w:val="none"/>
                    </w:rPr>
                    <w:t>t/a，</w:t>
                  </w:r>
                  <w:r>
                    <w:rPr>
                      <w:rFonts w:hint="eastAsia" w:cs="Times New Roman"/>
                      <w:color w:val="auto"/>
                      <w:sz w:val="18"/>
                      <w:szCs w:val="18"/>
                      <w:highlight w:val="none"/>
                      <w:lang w:val="en-US" w:eastAsia="zh-CN"/>
                    </w:rPr>
                    <w:t>全厂控制排放总量</w:t>
                  </w:r>
                  <w:r>
                    <w:rPr>
                      <w:rFonts w:hint="eastAsia" w:cs="Times New Roman"/>
                      <w:color w:val="auto"/>
                      <w:sz w:val="18"/>
                      <w:szCs w:val="18"/>
                      <w:highlight w:val="none"/>
                      <w:vertAlign w:val="baseline"/>
                      <w:lang w:val="en-US" w:eastAsia="zh-CN"/>
                    </w:rPr>
                    <w:t>0.856</w:t>
                  </w:r>
                  <w:r>
                    <w:rPr>
                      <w:rFonts w:hint="eastAsia" w:ascii="Times New Roman" w:hAnsi="Times New Roman" w:cs="Times New Roman"/>
                      <w:color w:val="auto"/>
                      <w:sz w:val="18"/>
                      <w:szCs w:val="18"/>
                      <w:highlight w:val="none"/>
                      <w:vertAlign w:val="baseline"/>
                      <w:lang w:val="en-US" w:eastAsia="zh-CN"/>
                    </w:rPr>
                    <w:t>t/a</w:t>
                  </w:r>
                  <w:r>
                    <w:rPr>
                      <w:rFonts w:hint="eastAsia" w:cs="Times New Roman"/>
                      <w:color w:val="auto"/>
                      <w:sz w:val="18"/>
                      <w:szCs w:val="18"/>
                      <w:highlight w:val="none"/>
                      <w:vertAlign w:val="baseline"/>
                      <w:lang w:val="en-US" w:eastAsia="zh-CN"/>
                    </w:rPr>
                    <w:t>，</w:t>
                  </w:r>
                  <w:r>
                    <w:rPr>
                      <w:rFonts w:hint="eastAsia" w:ascii="Times New Roman" w:hAnsi="Times New Roman" w:eastAsia="宋体" w:cs="Times New Roman"/>
                      <w:color w:val="auto"/>
                      <w:sz w:val="18"/>
                      <w:szCs w:val="18"/>
                      <w:highlight w:val="none"/>
                    </w:rPr>
                    <w:t>依法实施倍量替代；</w:t>
                  </w:r>
                </w:p>
                <w:p w14:paraId="328BC15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18"/>
                      <w:szCs w:val="18"/>
                      <w:highlight w:val="yellow"/>
                    </w:rPr>
                  </w:pPr>
                  <w:r>
                    <w:rPr>
                      <w:rFonts w:hint="eastAsia"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冷却水循环回用，不外排，定期补充新鲜水</w:t>
                  </w:r>
                  <w:r>
                    <w:rPr>
                      <w:rFonts w:hint="eastAsia" w:ascii="Times New Roman" w:hAnsi="Times New Roman" w:eastAsia="宋体" w:cs="Times New Roman"/>
                      <w:color w:val="auto"/>
                      <w:sz w:val="18"/>
                      <w:szCs w:val="18"/>
                      <w:highlight w:val="none"/>
                      <w:lang w:val="en-US" w:eastAsia="zh-CN"/>
                    </w:rPr>
                    <w:t>。</w:t>
                  </w:r>
                </w:p>
              </w:tc>
              <w:tc>
                <w:tcPr>
                  <w:tcW w:w="630" w:type="pct"/>
                  <w:tcBorders>
                    <w:top w:val="single" w:color="auto" w:sz="4" w:space="0"/>
                    <w:bottom w:val="single" w:color="auto" w:sz="12" w:space="0"/>
                    <w:right w:val="nil"/>
                  </w:tcBorders>
                  <w:vAlign w:val="center"/>
                </w:tcPr>
                <w:p w14:paraId="785262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18"/>
                      <w:szCs w:val="18"/>
                      <w:lang w:eastAsia="zh-CN"/>
                    </w:rPr>
                  </w:pPr>
                  <w:r>
                    <w:rPr>
                      <w:rFonts w:hint="eastAsia" w:cs="Times New Roman"/>
                      <w:color w:val="auto"/>
                      <w:sz w:val="18"/>
                      <w:szCs w:val="18"/>
                      <w:vertAlign w:val="baseline"/>
                      <w:lang w:eastAsia="zh-CN"/>
                    </w:rPr>
                    <w:t>符合</w:t>
                  </w:r>
                </w:p>
              </w:tc>
            </w:tr>
          </w:tbl>
          <w:p w14:paraId="45F08CAB">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1-3 项目与审查意见符合性分析一览表</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2854"/>
              <w:gridCol w:w="2451"/>
              <w:gridCol w:w="757"/>
              <w:gridCol w:w="20"/>
            </w:tblGrid>
            <w:tr w14:paraId="2B76C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32" w:type="dxa"/>
                  <w:gridSpan w:val="2"/>
                  <w:noWrap w:val="0"/>
                  <w:vAlign w:val="center"/>
                </w:tcPr>
                <w:p w14:paraId="06316C2B">
                  <w:pPr>
                    <w:jc w:val="center"/>
                    <w:rPr>
                      <w:rFonts w:hint="eastAsia"/>
                      <w:b/>
                      <w:bCs/>
                      <w:color w:val="auto"/>
                      <w:sz w:val="18"/>
                      <w:szCs w:val="18"/>
                    </w:rPr>
                  </w:pPr>
                  <w:r>
                    <w:rPr>
                      <w:rFonts w:hint="eastAsia"/>
                      <w:b/>
                      <w:bCs/>
                      <w:color w:val="auto"/>
                      <w:sz w:val="18"/>
                      <w:szCs w:val="18"/>
                    </w:rPr>
                    <w:t>关于《福清融侨经济技术开发区总体规划（2018-2035 年）环境影响报告书》的审查意见（环审</w:t>
                  </w:r>
                  <w:r>
                    <w:rPr>
                      <w:rFonts w:hint="eastAsia"/>
                      <w:b/>
                      <w:bCs/>
                      <w:color w:val="auto"/>
                      <w:sz w:val="18"/>
                      <w:szCs w:val="18"/>
                      <w:shd w:val="clear" w:color="auto" w:fill="FFFFFF"/>
                    </w:rPr>
                    <w:t>[2020]80号</w:t>
                  </w:r>
                  <w:r>
                    <w:rPr>
                      <w:rFonts w:hint="eastAsia"/>
                      <w:b/>
                      <w:bCs/>
                      <w:color w:val="auto"/>
                      <w:sz w:val="18"/>
                      <w:szCs w:val="18"/>
                    </w:rPr>
                    <w:t>）摘录</w:t>
                  </w:r>
                </w:p>
              </w:tc>
              <w:tc>
                <w:tcPr>
                  <w:tcW w:w="2708" w:type="dxa"/>
                  <w:noWrap w:val="0"/>
                  <w:vAlign w:val="center"/>
                </w:tcPr>
                <w:p w14:paraId="1088453C">
                  <w:pPr>
                    <w:widowControl/>
                    <w:tabs>
                      <w:tab w:val="left" w:pos="3420"/>
                    </w:tabs>
                    <w:jc w:val="center"/>
                    <w:rPr>
                      <w:rFonts w:hint="eastAsia"/>
                      <w:b/>
                      <w:bCs/>
                      <w:color w:val="auto"/>
                      <w:sz w:val="18"/>
                      <w:szCs w:val="18"/>
                    </w:rPr>
                  </w:pPr>
                  <w:r>
                    <w:rPr>
                      <w:rFonts w:hint="eastAsia"/>
                      <w:b/>
                      <w:bCs/>
                      <w:color w:val="auto"/>
                      <w:sz w:val="18"/>
                      <w:szCs w:val="18"/>
                    </w:rPr>
                    <w:t>本项目情况</w:t>
                  </w:r>
                </w:p>
              </w:tc>
              <w:tc>
                <w:tcPr>
                  <w:tcW w:w="835" w:type="dxa"/>
                  <w:gridSpan w:val="2"/>
                  <w:noWrap w:val="0"/>
                  <w:vAlign w:val="center"/>
                </w:tcPr>
                <w:p w14:paraId="11A3EFB0">
                  <w:pPr>
                    <w:widowControl/>
                    <w:tabs>
                      <w:tab w:val="left" w:pos="3420"/>
                    </w:tabs>
                    <w:jc w:val="center"/>
                    <w:rPr>
                      <w:rFonts w:hint="eastAsia"/>
                      <w:b/>
                      <w:bCs/>
                      <w:color w:val="auto"/>
                      <w:sz w:val="18"/>
                      <w:szCs w:val="18"/>
                    </w:rPr>
                  </w:pPr>
                  <w:r>
                    <w:rPr>
                      <w:rFonts w:hint="eastAsia"/>
                      <w:b/>
                      <w:bCs/>
                      <w:color w:val="auto"/>
                      <w:sz w:val="18"/>
                      <w:szCs w:val="18"/>
                    </w:rPr>
                    <w:t>符合性</w:t>
                  </w:r>
                </w:p>
              </w:tc>
            </w:tr>
            <w:tr w14:paraId="4D456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78F0DA32">
                  <w:pPr>
                    <w:autoSpaceDE w:val="0"/>
                    <w:autoSpaceDN w:val="0"/>
                    <w:adjustRightInd w:val="0"/>
                    <w:snapToGrid w:val="0"/>
                    <w:rPr>
                      <w:rFonts w:hint="eastAsia"/>
                      <w:color w:val="auto"/>
                      <w:sz w:val="18"/>
                      <w:szCs w:val="18"/>
                    </w:rPr>
                  </w:pPr>
                  <w:r>
                    <w:rPr>
                      <w:rFonts w:hint="eastAsia"/>
                      <w:color w:val="auto"/>
                      <w:sz w:val="18"/>
                      <w:szCs w:val="18"/>
                    </w:rPr>
                    <w:t>坚持绿色发展和协调发展理念，加强规划引导</w:t>
                  </w:r>
                </w:p>
              </w:tc>
              <w:tc>
                <w:tcPr>
                  <w:tcW w:w="3145" w:type="dxa"/>
                  <w:noWrap w:val="0"/>
                  <w:vAlign w:val="center"/>
                </w:tcPr>
                <w:p w14:paraId="1C189B43">
                  <w:pPr>
                    <w:autoSpaceDE w:val="0"/>
                    <w:autoSpaceDN w:val="0"/>
                    <w:adjustRightInd w:val="0"/>
                    <w:snapToGrid w:val="0"/>
                    <w:rPr>
                      <w:rFonts w:hint="eastAsia"/>
                      <w:color w:val="auto"/>
                      <w:sz w:val="18"/>
                      <w:szCs w:val="18"/>
                    </w:rPr>
                  </w:pPr>
                  <w:r>
                    <w:rPr>
                      <w:rFonts w:hint="eastAsia"/>
                      <w:color w:val="auto"/>
                      <w:sz w:val="18"/>
                      <w:szCs w:val="18"/>
                    </w:rPr>
                    <w:t>进一步优化《规划》范围、布局、发展规模和产业结构等，做好与省市国土空间规划和“三线一单”的协调衔接</w:t>
                  </w:r>
                </w:p>
              </w:tc>
              <w:tc>
                <w:tcPr>
                  <w:tcW w:w="2708" w:type="dxa"/>
                  <w:noWrap w:val="0"/>
                  <w:vAlign w:val="center"/>
                </w:tcPr>
                <w:p w14:paraId="26A38F1D">
                  <w:pPr>
                    <w:widowControl/>
                    <w:jc w:val="center"/>
                    <w:rPr>
                      <w:rFonts w:hint="eastAsia"/>
                      <w:color w:val="auto"/>
                      <w:sz w:val="18"/>
                      <w:szCs w:val="18"/>
                    </w:rPr>
                  </w:pPr>
                  <w:r>
                    <w:rPr>
                      <w:rFonts w:hint="eastAsia"/>
                      <w:color w:val="auto"/>
                      <w:sz w:val="18"/>
                      <w:szCs w:val="18"/>
                    </w:rPr>
                    <w:t>项目位于福清融侨经济开发区范围内</w:t>
                  </w:r>
                  <w:r>
                    <w:rPr>
                      <w:rStyle w:val="46"/>
                      <w:rFonts w:hint="eastAsia" w:eastAsia="宋体"/>
                      <w:color w:val="auto"/>
                      <w:kern w:val="0"/>
                      <w:sz w:val="18"/>
                      <w:szCs w:val="18"/>
                      <w:lang w:eastAsia="zh-CN"/>
                    </w:rPr>
                    <w:t>，</w:t>
                  </w:r>
                  <w:r>
                    <w:rPr>
                      <w:rStyle w:val="46"/>
                      <w:rFonts w:hint="eastAsia"/>
                      <w:color w:val="auto"/>
                      <w:kern w:val="0"/>
                      <w:sz w:val="18"/>
                      <w:szCs w:val="18"/>
                    </w:rPr>
                    <w:t>项目符合园区产业发展定位，符合国土空间规划和“三线一单”要求。</w:t>
                  </w:r>
                </w:p>
              </w:tc>
              <w:tc>
                <w:tcPr>
                  <w:tcW w:w="835" w:type="dxa"/>
                  <w:gridSpan w:val="2"/>
                  <w:noWrap w:val="0"/>
                  <w:vAlign w:val="center"/>
                </w:tcPr>
                <w:p w14:paraId="47A0C1D4">
                  <w:pPr>
                    <w:widowControl/>
                    <w:jc w:val="center"/>
                    <w:rPr>
                      <w:rFonts w:hint="eastAsia"/>
                      <w:color w:val="auto"/>
                      <w:sz w:val="18"/>
                      <w:szCs w:val="18"/>
                    </w:rPr>
                  </w:pPr>
                  <w:r>
                    <w:rPr>
                      <w:rFonts w:hint="eastAsia"/>
                      <w:color w:val="auto"/>
                      <w:sz w:val="18"/>
                      <w:szCs w:val="18"/>
                    </w:rPr>
                    <w:t>符合</w:t>
                  </w:r>
                </w:p>
              </w:tc>
            </w:tr>
            <w:tr w14:paraId="67B47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36C3F943">
                  <w:pPr>
                    <w:autoSpaceDE w:val="0"/>
                    <w:autoSpaceDN w:val="0"/>
                    <w:adjustRightInd w:val="0"/>
                    <w:snapToGrid w:val="0"/>
                    <w:rPr>
                      <w:rFonts w:hint="eastAsia"/>
                      <w:color w:val="auto"/>
                      <w:sz w:val="18"/>
                      <w:szCs w:val="18"/>
                    </w:rPr>
                  </w:pPr>
                  <w:r>
                    <w:rPr>
                      <w:rFonts w:hint="eastAsia"/>
                      <w:color w:val="auto"/>
                      <w:sz w:val="18"/>
                      <w:szCs w:val="18"/>
                    </w:rPr>
                    <w:t>着力推动开发区结构调整和转型升级</w:t>
                  </w:r>
                </w:p>
              </w:tc>
              <w:tc>
                <w:tcPr>
                  <w:tcW w:w="3145" w:type="dxa"/>
                  <w:noWrap w:val="0"/>
                  <w:vAlign w:val="center"/>
                </w:tcPr>
                <w:p w14:paraId="6FAF093C">
                  <w:pPr>
                    <w:autoSpaceDE w:val="0"/>
                    <w:autoSpaceDN w:val="0"/>
                    <w:adjustRightInd w:val="0"/>
                    <w:snapToGrid w:val="0"/>
                    <w:rPr>
                      <w:color w:val="auto"/>
                      <w:sz w:val="18"/>
                      <w:szCs w:val="18"/>
                    </w:rPr>
                  </w:pPr>
                  <w:r>
                    <w:rPr>
                      <w:rFonts w:hint="eastAsia"/>
                      <w:color w:val="auto"/>
                      <w:sz w:val="18"/>
                      <w:szCs w:val="18"/>
                    </w:rPr>
                    <w:t>落实《报告书》提出的现有重污染企业和用地布局不合理企业的搬迁、淘汰进度，强化拟退出污染企业存续期间环境管控和风险防控，合理安排重污染企业腾退及周边土地开发时序</w:t>
                  </w:r>
                  <w:r>
                    <w:rPr>
                      <w:rFonts w:hint="eastAsia"/>
                      <w:color w:val="auto"/>
                      <w:sz w:val="18"/>
                      <w:szCs w:val="18"/>
                      <w:lang w:eastAsia="zh-CN"/>
                    </w:rPr>
                    <w:t>，</w:t>
                  </w:r>
                  <w:r>
                    <w:rPr>
                      <w:rFonts w:hint="eastAsia"/>
                      <w:color w:val="auto"/>
                      <w:sz w:val="18"/>
                      <w:szCs w:val="18"/>
                    </w:rPr>
                    <w:t>促进开发区产业转型升级与生态环境保护、人居环境安全相协调。</w:t>
                  </w:r>
                </w:p>
              </w:tc>
              <w:tc>
                <w:tcPr>
                  <w:tcW w:w="2708" w:type="dxa"/>
                  <w:noWrap w:val="0"/>
                  <w:vAlign w:val="center"/>
                </w:tcPr>
                <w:p w14:paraId="74676CA3">
                  <w:pPr>
                    <w:widowControl/>
                    <w:jc w:val="center"/>
                    <w:rPr>
                      <w:rFonts w:hint="eastAsia"/>
                      <w:color w:val="auto"/>
                      <w:sz w:val="18"/>
                      <w:szCs w:val="18"/>
                    </w:rPr>
                  </w:pPr>
                  <w:r>
                    <w:rPr>
                      <w:rFonts w:hint="eastAsia"/>
                      <w:color w:val="auto"/>
                      <w:sz w:val="18"/>
                      <w:szCs w:val="18"/>
                    </w:rPr>
                    <w:t>本项目不属于规划环评报告书提出的“</w:t>
                  </w:r>
                  <w:r>
                    <w:rPr>
                      <w:color w:val="auto"/>
                      <w:sz w:val="18"/>
                      <w:szCs w:val="18"/>
                    </w:rPr>
                    <w:t>搬迁、淘汰</w:t>
                  </w:r>
                  <w:r>
                    <w:rPr>
                      <w:rFonts w:hint="eastAsia"/>
                      <w:color w:val="auto"/>
                      <w:sz w:val="18"/>
                      <w:szCs w:val="18"/>
                    </w:rPr>
                    <w:t>”项目。</w:t>
                  </w:r>
                </w:p>
              </w:tc>
              <w:tc>
                <w:tcPr>
                  <w:tcW w:w="835" w:type="dxa"/>
                  <w:gridSpan w:val="2"/>
                  <w:noWrap w:val="0"/>
                  <w:vAlign w:val="center"/>
                </w:tcPr>
                <w:p w14:paraId="68F8F690">
                  <w:pPr>
                    <w:widowControl/>
                    <w:jc w:val="center"/>
                    <w:rPr>
                      <w:rFonts w:hint="eastAsia"/>
                      <w:color w:val="auto"/>
                      <w:sz w:val="18"/>
                      <w:szCs w:val="18"/>
                    </w:rPr>
                  </w:pPr>
                  <w:r>
                    <w:rPr>
                      <w:rFonts w:hint="eastAsia"/>
                      <w:color w:val="auto"/>
                      <w:sz w:val="18"/>
                      <w:szCs w:val="18"/>
                    </w:rPr>
                    <w:t>符合</w:t>
                  </w:r>
                </w:p>
              </w:tc>
            </w:tr>
            <w:tr w14:paraId="16572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577F6FD8">
                  <w:pPr>
                    <w:widowControl/>
                    <w:jc w:val="center"/>
                    <w:rPr>
                      <w:rFonts w:hint="eastAsia"/>
                      <w:color w:val="auto"/>
                      <w:sz w:val="18"/>
                      <w:szCs w:val="18"/>
                    </w:rPr>
                  </w:pPr>
                  <w:r>
                    <w:rPr>
                      <w:rFonts w:hint="eastAsia" w:cs="宋体"/>
                      <w:color w:val="auto"/>
                      <w:kern w:val="0"/>
                      <w:sz w:val="18"/>
                      <w:szCs w:val="18"/>
                      <w:lang w:bidi="ar"/>
                    </w:rPr>
                    <w:t>严格空间管控，优化区内空间布局</w:t>
                  </w:r>
                </w:p>
              </w:tc>
              <w:tc>
                <w:tcPr>
                  <w:tcW w:w="3145" w:type="dxa"/>
                  <w:noWrap w:val="0"/>
                  <w:vAlign w:val="center"/>
                </w:tcPr>
                <w:p w14:paraId="19701169">
                  <w:pPr>
                    <w:widowControl/>
                    <w:jc w:val="center"/>
                    <w:rPr>
                      <w:rFonts w:hint="eastAsia"/>
                      <w:color w:val="auto"/>
                      <w:sz w:val="18"/>
                      <w:szCs w:val="18"/>
                    </w:rPr>
                  </w:pPr>
                  <w:r>
                    <w:rPr>
                      <w:color w:val="auto"/>
                      <w:sz w:val="18"/>
                      <w:szCs w:val="18"/>
                    </w:rPr>
                    <w:t>…</w:t>
                  </w:r>
                  <w:r>
                    <w:rPr>
                      <w:color w:val="auto"/>
                      <w:sz w:val="18"/>
                      <w:szCs w:val="18"/>
                      <w:shd w:val="clear" w:color="auto" w:fill="FFFFFF"/>
                    </w:rPr>
                    <w:t>…</w:t>
                  </w:r>
                  <w:r>
                    <w:rPr>
                      <w:rFonts w:hint="eastAsia"/>
                      <w:color w:val="auto"/>
                      <w:sz w:val="18"/>
                      <w:szCs w:val="18"/>
                      <w:shd w:val="clear" w:color="auto" w:fill="FFFFFF"/>
                    </w:rPr>
                    <w:t>，</w:t>
                  </w:r>
                  <w:r>
                    <w:rPr>
                      <w:rFonts w:hint="eastAsia"/>
                      <w:color w:val="auto"/>
                      <w:sz w:val="18"/>
                      <w:szCs w:val="18"/>
                    </w:rPr>
                    <w:t>进一步优化园区范围和空间布局，避让永久基本农田</w:t>
                  </w:r>
                </w:p>
              </w:tc>
              <w:tc>
                <w:tcPr>
                  <w:tcW w:w="2708" w:type="dxa"/>
                  <w:noWrap w:val="0"/>
                  <w:vAlign w:val="center"/>
                </w:tcPr>
                <w:p w14:paraId="254F68BA">
                  <w:pPr>
                    <w:widowControl/>
                    <w:jc w:val="center"/>
                    <w:rPr>
                      <w:rFonts w:hint="eastAsia"/>
                      <w:color w:val="auto"/>
                      <w:sz w:val="18"/>
                      <w:szCs w:val="18"/>
                    </w:rPr>
                  </w:pPr>
                  <w:r>
                    <w:rPr>
                      <w:rFonts w:hint="eastAsia"/>
                      <w:color w:val="auto"/>
                      <w:sz w:val="18"/>
                      <w:szCs w:val="18"/>
                    </w:rPr>
                    <w:t>项目</w:t>
                  </w:r>
                  <w:r>
                    <w:rPr>
                      <w:rFonts w:hint="eastAsia"/>
                      <w:color w:val="auto"/>
                      <w:sz w:val="18"/>
                      <w:szCs w:val="18"/>
                      <w:lang w:val="en-US" w:eastAsia="zh-CN"/>
                    </w:rPr>
                    <w:t>租赁</w:t>
                  </w:r>
                  <w:r>
                    <w:rPr>
                      <w:rFonts w:hint="eastAsia"/>
                      <w:color w:val="auto"/>
                      <w:sz w:val="18"/>
                      <w:szCs w:val="18"/>
                    </w:rPr>
                    <w:t>福建三锋汽配开发有限公司</w:t>
                  </w:r>
                  <w:r>
                    <w:rPr>
                      <w:rFonts w:hint="eastAsia"/>
                      <w:color w:val="auto"/>
                      <w:sz w:val="18"/>
                      <w:szCs w:val="18"/>
                      <w:lang w:val="en-US" w:eastAsia="zh-CN"/>
                    </w:rPr>
                    <w:t>现有厂房</w:t>
                  </w:r>
                  <w:r>
                    <w:rPr>
                      <w:rFonts w:hint="eastAsia"/>
                      <w:color w:val="auto"/>
                      <w:sz w:val="18"/>
                      <w:szCs w:val="18"/>
                    </w:rPr>
                    <w:t>，不涉及永久基本农田</w:t>
                  </w:r>
                </w:p>
              </w:tc>
              <w:tc>
                <w:tcPr>
                  <w:tcW w:w="835" w:type="dxa"/>
                  <w:gridSpan w:val="2"/>
                  <w:noWrap w:val="0"/>
                  <w:vAlign w:val="center"/>
                </w:tcPr>
                <w:p w14:paraId="31CB62CC">
                  <w:pPr>
                    <w:widowControl/>
                    <w:jc w:val="center"/>
                    <w:rPr>
                      <w:rFonts w:hint="eastAsia"/>
                      <w:color w:val="auto"/>
                      <w:sz w:val="18"/>
                      <w:szCs w:val="18"/>
                    </w:rPr>
                  </w:pPr>
                  <w:r>
                    <w:rPr>
                      <w:rFonts w:hint="eastAsia"/>
                      <w:snapToGrid w:val="0"/>
                      <w:color w:val="auto"/>
                      <w:kern w:val="18"/>
                      <w:sz w:val="18"/>
                      <w:szCs w:val="18"/>
                    </w:rPr>
                    <w:t>符合</w:t>
                  </w:r>
                </w:p>
              </w:tc>
            </w:tr>
            <w:tr w14:paraId="545F4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397" w:hRule="atLeast"/>
              </w:trPr>
              <w:tc>
                <w:tcPr>
                  <w:tcW w:w="1587" w:type="dxa"/>
                  <w:noWrap w:val="0"/>
                  <w:vAlign w:val="center"/>
                </w:tcPr>
                <w:p w14:paraId="472D966A">
                  <w:pPr>
                    <w:widowControl/>
                    <w:jc w:val="center"/>
                    <w:rPr>
                      <w:rFonts w:hint="eastAsia"/>
                      <w:color w:val="auto"/>
                      <w:sz w:val="18"/>
                      <w:szCs w:val="18"/>
                    </w:rPr>
                  </w:pPr>
                  <w:r>
                    <w:rPr>
                      <w:rFonts w:hint="eastAsia" w:cs="宋体"/>
                      <w:color w:val="auto"/>
                      <w:kern w:val="0"/>
                      <w:sz w:val="18"/>
                      <w:szCs w:val="18"/>
                      <w:lang w:bidi="ar"/>
                    </w:rPr>
                    <w:t>严守环境质量底线，强化污染物排放总量管控</w:t>
                  </w:r>
                </w:p>
              </w:tc>
              <w:tc>
                <w:tcPr>
                  <w:tcW w:w="3145" w:type="dxa"/>
                  <w:noWrap w:val="0"/>
                  <w:vAlign w:val="center"/>
                </w:tcPr>
                <w:p w14:paraId="54F9FFC5">
                  <w:pPr>
                    <w:widowControl/>
                    <w:jc w:val="center"/>
                    <w:rPr>
                      <w:rFonts w:hint="eastAsia"/>
                      <w:color w:val="auto"/>
                      <w:sz w:val="18"/>
                      <w:szCs w:val="18"/>
                    </w:rPr>
                  </w:pPr>
                  <w:r>
                    <w:rPr>
                      <w:color w:val="auto"/>
                      <w:sz w:val="18"/>
                      <w:szCs w:val="18"/>
                    </w:rPr>
                    <w:t>……</w:t>
                  </w:r>
                  <w:r>
                    <w:rPr>
                      <w:rFonts w:hint="eastAsia"/>
                      <w:color w:val="auto"/>
                      <w:sz w:val="18"/>
                      <w:szCs w:val="18"/>
                    </w:rPr>
                    <w:t>严格重金属总量管控。采取有效措施减少主要污染物和特征污染物的排放量，确保区域环境质量持续改善、促进产业发展与城市发展、生态环境保护相协调</w:t>
                  </w:r>
                </w:p>
              </w:tc>
              <w:tc>
                <w:tcPr>
                  <w:tcW w:w="2708" w:type="dxa"/>
                  <w:noWrap w:val="0"/>
                  <w:vAlign w:val="center"/>
                </w:tcPr>
                <w:p w14:paraId="3854728A">
                  <w:pPr>
                    <w:widowControl/>
                    <w:jc w:val="center"/>
                    <w:rPr>
                      <w:rFonts w:hint="eastAsia"/>
                      <w:color w:val="auto"/>
                      <w:sz w:val="18"/>
                      <w:szCs w:val="18"/>
                    </w:rPr>
                  </w:pPr>
                  <w:r>
                    <w:rPr>
                      <w:rFonts w:hint="eastAsia"/>
                      <w:color w:val="auto"/>
                      <w:sz w:val="18"/>
                      <w:szCs w:val="18"/>
                    </w:rPr>
                    <w:t>项目工艺简单，不涉及重金属排放，项目为轻污染类项目</w:t>
                  </w:r>
                  <w:r>
                    <w:rPr>
                      <w:rFonts w:hint="eastAsia"/>
                      <w:color w:val="auto"/>
                      <w:sz w:val="18"/>
                      <w:szCs w:val="18"/>
                      <w:lang w:eastAsia="zh-CN"/>
                    </w:rPr>
                    <w:t>。废气经</w:t>
                  </w:r>
                  <w:r>
                    <w:rPr>
                      <w:rFonts w:hint="eastAsia"/>
                      <w:color w:val="auto"/>
                      <w:sz w:val="18"/>
                      <w:szCs w:val="18"/>
                      <w:lang w:val="en-US" w:eastAsia="zh-CN"/>
                    </w:rPr>
                    <w:t>二级活性炭吸附装置</w:t>
                  </w:r>
                  <w:r>
                    <w:rPr>
                      <w:rFonts w:hint="eastAsia"/>
                      <w:color w:val="auto"/>
                      <w:sz w:val="18"/>
                      <w:szCs w:val="18"/>
                      <w:lang w:eastAsia="zh-CN"/>
                    </w:rPr>
                    <w:t>处理后排放，废气排放源强较低，</w:t>
                  </w:r>
                  <w:r>
                    <w:rPr>
                      <w:rFonts w:hint="eastAsia"/>
                      <w:color w:val="auto"/>
                      <w:sz w:val="18"/>
                      <w:szCs w:val="18"/>
                    </w:rPr>
                    <w:t>对周边环境影响小</w:t>
                  </w:r>
                  <w:r>
                    <w:rPr>
                      <w:rFonts w:hint="eastAsia"/>
                      <w:color w:val="auto"/>
                      <w:sz w:val="18"/>
                      <w:szCs w:val="18"/>
                      <w:lang w:eastAsia="zh-CN"/>
                    </w:rPr>
                    <w:t>；项目</w:t>
                  </w:r>
                  <w:r>
                    <w:rPr>
                      <w:rFonts w:hint="eastAsia"/>
                      <w:color w:val="auto"/>
                      <w:sz w:val="18"/>
                      <w:szCs w:val="18"/>
                      <w:lang w:val="en-US" w:eastAsia="zh-CN"/>
                    </w:rPr>
                    <w:t>所在</w:t>
                  </w:r>
                  <w:r>
                    <w:rPr>
                      <w:rFonts w:hint="eastAsia"/>
                      <w:color w:val="auto"/>
                      <w:sz w:val="18"/>
                      <w:szCs w:val="18"/>
                      <w:lang w:eastAsia="zh-CN"/>
                    </w:rPr>
                    <w:t>厂区已实现“雨污分流”，项目不涉及</w:t>
                  </w:r>
                  <w:r>
                    <w:rPr>
                      <w:rFonts w:hint="eastAsia"/>
                      <w:color w:val="auto"/>
                      <w:sz w:val="18"/>
                      <w:szCs w:val="18"/>
                      <w:lang w:val="en-US" w:eastAsia="zh-CN"/>
                    </w:rPr>
                    <w:t>新增</w:t>
                  </w:r>
                  <w:r>
                    <w:rPr>
                      <w:rFonts w:hint="eastAsia"/>
                      <w:color w:val="auto"/>
                      <w:sz w:val="18"/>
                      <w:szCs w:val="18"/>
                      <w:lang w:eastAsia="zh-CN"/>
                    </w:rPr>
                    <w:t>生产废水排放，生活污水</w:t>
                  </w:r>
                  <w:r>
                    <w:rPr>
                      <w:rFonts w:hint="eastAsia"/>
                      <w:color w:val="auto"/>
                      <w:sz w:val="18"/>
                      <w:szCs w:val="18"/>
                      <w:lang w:val="en-US" w:eastAsia="zh-CN"/>
                    </w:rPr>
                    <w:t>经</w:t>
                  </w:r>
                  <w:r>
                    <w:rPr>
                      <w:rFonts w:hint="eastAsia"/>
                      <w:color w:val="auto"/>
                      <w:sz w:val="18"/>
                      <w:szCs w:val="18"/>
                      <w:lang w:eastAsia="zh-CN"/>
                    </w:rPr>
                    <w:t>厂区内现有的排水管网排入市政污水管网送往福清市融元污水处理厂集中处理；项目不涉及重金属等污染物，项目将依法依规做好一般工业固体废物和危险废物的分类收集、利用、处理处置工作。</w:t>
                  </w:r>
                </w:p>
              </w:tc>
              <w:tc>
                <w:tcPr>
                  <w:tcW w:w="812" w:type="dxa"/>
                  <w:noWrap w:val="0"/>
                  <w:vAlign w:val="center"/>
                </w:tcPr>
                <w:p w14:paraId="00B3EF37">
                  <w:pPr>
                    <w:widowControl/>
                    <w:jc w:val="center"/>
                    <w:rPr>
                      <w:rFonts w:hint="eastAsia"/>
                      <w:color w:val="auto"/>
                      <w:sz w:val="18"/>
                      <w:szCs w:val="18"/>
                    </w:rPr>
                  </w:pPr>
                  <w:r>
                    <w:rPr>
                      <w:rFonts w:hint="eastAsia"/>
                      <w:snapToGrid w:val="0"/>
                      <w:color w:val="auto"/>
                      <w:kern w:val="18"/>
                      <w:sz w:val="18"/>
                      <w:szCs w:val="18"/>
                    </w:rPr>
                    <w:t>符合</w:t>
                  </w:r>
                </w:p>
              </w:tc>
            </w:tr>
            <w:tr w14:paraId="0751B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7" w:type="dxa"/>
                  <w:noWrap w:val="0"/>
                  <w:vAlign w:val="center"/>
                </w:tcPr>
                <w:p w14:paraId="32C5B262">
                  <w:pPr>
                    <w:widowControl/>
                    <w:jc w:val="center"/>
                    <w:rPr>
                      <w:rFonts w:hint="eastAsia"/>
                      <w:color w:val="auto"/>
                      <w:sz w:val="18"/>
                      <w:szCs w:val="18"/>
                    </w:rPr>
                  </w:pPr>
                  <w:r>
                    <w:rPr>
                      <w:rFonts w:hint="eastAsia"/>
                      <w:color w:val="auto"/>
                      <w:sz w:val="18"/>
                      <w:szCs w:val="18"/>
                    </w:rPr>
                    <w:t>严格入区项目生态环境准入，推动高质量发展</w:t>
                  </w:r>
                </w:p>
              </w:tc>
              <w:tc>
                <w:tcPr>
                  <w:tcW w:w="3145" w:type="dxa"/>
                  <w:noWrap w:val="0"/>
                  <w:vAlign w:val="center"/>
                </w:tcPr>
                <w:p w14:paraId="6F52CD1E">
                  <w:pPr>
                    <w:widowControl/>
                    <w:jc w:val="center"/>
                    <w:rPr>
                      <w:rFonts w:hint="eastAsia"/>
                      <w:color w:val="auto"/>
                      <w:sz w:val="18"/>
                      <w:szCs w:val="18"/>
                    </w:rPr>
                  </w:pPr>
                  <w:r>
                    <w:rPr>
                      <w:rFonts w:hint="eastAsia"/>
                      <w:color w:val="auto"/>
                      <w:sz w:val="18"/>
                      <w:szCs w:val="18"/>
                    </w:rPr>
                    <w:t>落实《报告书》生态环境准入要求，强化现有及入区企业挥发性有机物排放控制，禁止新增排放涉重金属污染物项目入区，禁止与主导产业不相关且污染物排放量大的项目入区。</w:t>
                  </w:r>
                  <w:r>
                    <w:rPr>
                      <w:color w:val="auto"/>
                      <w:sz w:val="18"/>
                      <w:szCs w:val="18"/>
                    </w:rPr>
                    <w:t>……</w:t>
                  </w:r>
                  <w:r>
                    <w:rPr>
                      <w:rFonts w:hint="eastAsia"/>
                      <w:color w:val="auto"/>
                      <w:sz w:val="18"/>
                      <w:szCs w:val="18"/>
                    </w:rPr>
                    <w:t>执行最严格的行业废水、废气排放控制指标，引进项目的生产工艺、设备，以及单位产品能耗、污染物排放和资源利用效率等均需达到同行业国际先进水平</w:t>
                  </w:r>
                </w:p>
              </w:tc>
              <w:tc>
                <w:tcPr>
                  <w:tcW w:w="2708" w:type="dxa"/>
                  <w:noWrap w:val="0"/>
                  <w:vAlign w:val="center"/>
                </w:tcPr>
                <w:p w14:paraId="462605AB">
                  <w:pPr>
                    <w:widowControl/>
                    <w:jc w:val="center"/>
                    <w:rPr>
                      <w:rFonts w:hint="eastAsia"/>
                      <w:color w:val="auto"/>
                      <w:sz w:val="18"/>
                      <w:szCs w:val="18"/>
                    </w:rPr>
                  </w:pPr>
                  <w:r>
                    <w:rPr>
                      <w:rFonts w:hint="eastAsia"/>
                      <w:color w:val="auto"/>
                      <w:sz w:val="18"/>
                      <w:szCs w:val="18"/>
                    </w:rPr>
                    <w:t>项目排放的VOC</w:t>
                  </w:r>
                  <w:r>
                    <w:rPr>
                      <w:rFonts w:hint="eastAsia"/>
                      <w:color w:val="auto"/>
                      <w:sz w:val="18"/>
                      <w:szCs w:val="18"/>
                      <w:vertAlign w:val="subscript"/>
                    </w:rPr>
                    <w:t>S</w:t>
                  </w:r>
                  <w:r>
                    <w:rPr>
                      <w:rFonts w:hint="eastAsia"/>
                      <w:color w:val="auto"/>
                      <w:sz w:val="18"/>
                      <w:szCs w:val="18"/>
                    </w:rPr>
                    <w:t>拟实行区域内倍量替代；项目符合园区产业规划，不属于《</w:t>
                  </w:r>
                  <w:r>
                    <w:rPr>
                      <w:rFonts w:hint="eastAsia"/>
                      <w:color w:val="auto"/>
                      <w:sz w:val="18"/>
                      <w:szCs w:val="18"/>
                      <w:lang w:val="en-US" w:eastAsia="zh-CN"/>
                    </w:rPr>
                    <w:t>报告书</w:t>
                  </w:r>
                  <w:r>
                    <w:rPr>
                      <w:rFonts w:hint="eastAsia"/>
                      <w:color w:val="auto"/>
                      <w:sz w:val="18"/>
                      <w:szCs w:val="18"/>
                    </w:rPr>
                    <w:t>》</w:t>
                  </w:r>
                  <w:r>
                    <w:rPr>
                      <w:rFonts w:hint="eastAsia"/>
                      <w:color w:val="auto"/>
                      <w:sz w:val="18"/>
                      <w:szCs w:val="18"/>
                      <w:lang w:val="en-US" w:eastAsia="zh-CN"/>
                    </w:rPr>
                    <w:t>中</w:t>
                  </w:r>
                  <w:r>
                    <w:rPr>
                      <w:rFonts w:hint="eastAsia"/>
                      <w:color w:val="auto"/>
                      <w:sz w:val="18"/>
                      <w:szCs w:val="18"/>
                    </w:rPr>
                    <w:t>禁止大气污染型项目；项目</w:t>
                  </w:r>
                  <w:r>
                    <w:rPr>
                      <w:rFonts w:hint="eastAsia"/>
                      <w:color w:val="auto"/>
                      <w:sz w:val="18"/>
                      <w:szCs w:val="18"/>
                      <w:lang w:val="en-US" w:eastAsia="zh-CN"/>
                    </w:rPr>
                    <w:t>不涉及生产废水排放，新增排放的废气</w:t>
                  </w:r>
                  <w:r>
                    <w:rPr>
                      <w:rFonts w:hint="eastAsia"/>
                      <w:color w:val="auto"/>
                      <w:sz w:val="18"/>
                      <w:szCs w:val="18"/>
                    </w:rPr>
                    <w:t>严格执行行业废气排放控制指标，项目生产工艺、技术装备、污染治理水平以及单位产品能耗、物耗等可以</w:t>
                  </w:r>
                  <w:r>
                    <w:rPr>
                      <w:rFonts w:hint="eastAsia"/>
                      <w:color w:val="auto"/>
                      <w:sz w:val="18"/>
                      <w:szCs w:val="18"/>
                      <w:shd w:val="clear" w:color="auto" w:fill="FFFFFF"/>
                    </w:rPr>
                    <w:t>达</w:t>
                  </w:r>
                  <w:r>
                    <w:rPr>
                      <w:rFonts w:hint="eastAsia"/>
                      <w:color w:val="auto"/>
                      <w:sz w:val="18"/>
                      <w:szCs w:val="18"/>
                    </w:rPr>
                    <w:t>同行业国际先进水平。</w:t>
                  </w:r>
                </w:p>
              </w:tc>
              <w:tc>
                <w:tcPr>
                  <w:tcW w:w="835" w:type="dxa"/>
                  <w:gridSpan w:val="2"/>
                  <w:noWrap w:val="0"/>
                  <w:vAlign w:val="center"/>
                </w:tcPr>
                <w:p w14:paraId="2E9E9E72">
                  <w:pPr>
                    <w:widowControl/>
                    <w:jc w:val="center"/>
                    <w:rPr>
                      <w:rFonts w:hint="eastAsia"/>
                      <w:color w:val="auto"/>
                      <w:sz w:val="18"/>
                      <w:szCs w:val="18"/>
                    </w:rPr>
                  </w:pPr>
                  <w:r>
                    <w:rPr>
                      <w:rFonts w:hint="eastAsia"/>
                      <w:snapToGrid w:val="0"/>
                      <w:color w:val="auto"/>
                      <w:kern w:val="18"/>
                      <w:sz w:val="18"/>
                      <w:szCs w:val="18"/>
                    </w:rPr>
                    <w:t>符合</w:t>
                  </w:r>
                </w:p>
              </w:tc>
            </w:tr>
          </w:tbl>
          <w:p w14:paraId="13246783">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b w:val="0"/>
                <w:bCs w:val="0"/>
                <w:color w:val="auto"/>
                <w:sz w:val="21"/>
                <w:szCs w:val="21"/>
                <w:lang w:eastAsia="zh-CN"/>
              </w:rPr>
            </w:pPr>
            <w:r>
              <w:rPr>
                <w:rFonts w:hint="eastAsia" w:ascii="Times New Roman" w:hAnsi="Times New Roman" w:eastAsia="宋体"/>
                <w:b/>
                <w:bCs/>
                <w:color w:val="auto"/>
                <w:sz w:val="24"/>
                <w:szCs w:val="24"/>
                <w:lang w:eastAsia="zh-CN"/>
              </w:rPr>
              <w:t>符合性分析：</w:t>
            </w:r>
            <w:r>
              <w:rPr>
                <w:rFonts w:hint="eastAsia" w:ascii="Times New Roman" w:hAnsi="Times New Roman" w:eastAsia="宋体"/>
                <w:b w:val="0"/>
                <w:bCs w:val="0"/>
                <w:color w:val="auto"/>
                <w:sz w:val="24"/>
                <w:szCs w:val="24"/>
              </w:rPr>
              <w:t>本项目</w:t>
            </w:r>
            <w:r>
              <w:rPr>
                <w:rFonts w:hint="eastAsia"/>
                <w:b w:val="0"/>
                <w:bCs w:val="0"/>
                <w:color w:val="auto"/>
                <w:sz w:val="24"/>
                <w:szCs w:val="24"/>
                <w:lang w:val="en-US" w:eastAsia="zh-CN"/>
              </w:rPr>
              <w:t>位于</w:t>
            </w:r>
            <w:r>
              <w:rPr>
                <w:rFonts w:hint="eastAsia" w:ascii="Times New Roman" w:hAnsi="Times New Roman" w:eastAsia="宋体"/>
                <w:b w:val="0"/>
                <w:bCs w:val="0"/>
                <w:color w:val="auto"/>
                <w:sz w:val="24"/>
                <w:szCs w:val="24"/>
              </w:rPr>
              <w:t>福建三锋汽配开发有限公司</w:t>
            </w:r>
            <w:r>
              <w:rPr>
                <w:rFonts w:hint="eastAsia"/>
                <w:b w:val="0"/>
                <w:bCs w:val="0"/>
                <w:color w:val="auto"/>
                <w:sz w:val="24"/>
                <w:szCs w:val="24"/>
                <w:lang w:val="en-US" w:eastAsia="zh-CN"/>
              </w:rPr>
              <w:t>内，租赁现有厂房</w:t>
            </w:r>
            <w:r>
              <w:rPr>
                <w:rFonts w:hint="eastAsia" w:ascii="Times New Roman" w:hAnsi="Times New Roman" w:eastAsia="宋体"/>
                <w:b w:val="0"/>
                <w:bCs w:val="0"/>
                <w:color w:val="auto"/>
                <w:sz w:val="24"/>
                <w:szCs w:val="24"/>
              </w:rPr>
              <w:t>进行</w:t>
            </w:r>
            <w:r>
              <w:rPr>
                <w:rFonts w:hint="eastAsia"/>
                <w:b w:val="0"/>
                <w:bCs w:val="0"/>
                <w:color w:val="auto"/>
                <w:sz w:val="24"/>
                <w:szCs w:val="24"/>
                <w:lang w:val="en-US" w:eastAsia="zh-CN"/>
              </w:rPr>
              <w:t>扩建</w:t>
            </w:r>
            <w:r>
              <w:rPr>
                <w:rFonts w:hint="eastAsia" w:ascii="Times New Roman" w:hAnsi="Times New Roman" w:eastAsia="宋体"/>
                <w:b w:val="0"/>
                <w:bCs w:val="0"/>
                <w:color w:val="auto"/>
                <w:sz w:val="24"/>
                <w:szCs w:val="24"/>
              </w:rPr>
              <w:t>，用地类型属于工业用地，本项目主要从事</w:t>
            </w:r>
            <w:r>
              <w:rPr>
                <w:rFonts w:hint="eastAsia"/>
                <w:b w:val="0"/>
                <w:bCs w:val="0"/>
                <w:color w:val="auto"/>
                <w:sz w:val="24"/>
                <w:szCs w:val="24"/>
                <w:lang w:val="en-US" w:eastAsia="zh-CN"/>
              </w:rPr>
              <w:t>汽车配件</w:t>
            </w:r>
            <w:r>
              <w:rPr>
                <w:rFonts w:hint="eastAsia" w:ascii="Times New Roman" w:hAnsi="Times New Roman" w:eastAsia="宋体"/>
                <w:b w:val="0"/>
                <w:bCs w:val="0"/>
                <w:color w:val="auto"/>
                <w:sz w:val="24"/>
                <w:szCs w:val="24"/>
              </w:rPr>
              <w:t>的</w:t>
            </w:r>
            <w:r>
              <w:rPr>
                <w:rFonts w:hint="eastAsia"/>
                <w:b w:val="0"/>
                <w:bCs w:val="0"/>
                <w:color w:val="auto"/>
                <w:sz w:val="24"/>
                <w:szCs w:val="24"/>
                <w:lang w:val="en-US" w:eastAsia="zh-CN"/>
              </w:rPr>
              <w:t>生产加工</w:t>
            </w:r>
            <w:r>
              <w:rPr>
                <w:rFonts w:hint="eastAsia" w:ascii="Times New Roman" w:hAnsi="Times New Roman" w:eastAsia="宋体"/>
                <w:b w:val="0"/>
                <w:bCs w:val="0"/>
                <w:color w:val="auto"/>
                <w:sz w:val="24"/>
                <w:szCs w:val="24"/>
              </w:rPr>
              <w:t>，属于开发区主导行业，</w:t>
            </w:r>
            <w:r>
              <w:rPr>
                <w:rFonts w:hint="eastAsia" w:ascii="Times New Roman" w:hAnsi="Times New Roman" w:eastAsia="宋体"/>
                <w:b w:val="0"/>
                <w:bCs w:val="0"/>
                <w:color w:val="auto"/>
                <w:sz w:val="24"/>
                <w:szCs w:val="24"/>
                <w:lang w:val="en-US" w:eastAsia="zh-CN"/>
              </w:rPr>
              <w:t>不涉及电镀工艺，不排放有毒有害物质、</w:t>
            </w:r>
            <w:r>
              <w:rPr>
                <w:rFonts w:hint="eastAsia" w:ascii="Times New Roman" w:hAnsi="Times New Roman" w:eastAsia="宋体" w:cs="Times New Roman"/>
                <w:color w:val="auto"/>
                <w:sz w:val="24"/>
                <w:szCs w:val="24"/>
              </w:rPr>
              <w:t>重金属、持久性污染物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b w:val="0"/>
                <w:bCs w:val="0"/>
                <w:color w:val="auto"/>
                <w:sz w:val="24"/>
                <w:szCs w:val="24"/>
              </w:rPr>
              <w:t>因此项目与</w:t>
            </w:r>
            <w:r>
              <w:rPr>
                <w:rFonts w:hint="eastAsia" w:ascii="Times New Roman"/>
                <w:b w:val="0"/>
                <w:color w:val="auto"/>
                <w:sz w:val="24"/>
                <w:szCs w:val="24"/>
                <w:lang w:eastAsia="zh-CN"/>
              </w:rPr>
              <w:t>《</w:t>
            </w:r>
            <w:r>
              <w:rPr>
                <w:rFonts w:hint="eastAsia" w:ascii="Times New Roman"/>
                <w:b w:val="0"/>
                <w:color w:val="auto"/>
                <w:sz w:val="24"/>
                <w:szCs w:val="24"/>
              </w:rPr>
              <w:t>福清融侨经济技术开发区总体规划环境影响报告书（2018-2035年）</w:t>
            </w:r>
            <w:r>
              <w:rPr>
                <w:rFonts w:hint="eastAsia" w:ascii="Times New Roman"/>
                <w:b w:val="0"/>
                <w:color w:val="auto"/>
                <w:sz w:val="24"/>
                <w:szCs w:val="24"/>
                <w:lang w:eastAsia="zh-CN"/>
              </w:rPr>
              <w:t>》</w:t>
            </w:r>
            <w:r>
              <w:rPr>
                <w:rFonts w:hint="eastAsia" w:ascii="Times New Roman" w:hAnsi="Times New Roman" w:eastAsia="宋体"/>
                <w:b w:val="0"/>
                <w:bCs w:val="0"/>
                <w:color w:val="auto"/>
                <w:sz w:val="24"/>
                <w:szCs w:val="24"/>
              </w:rPr>
              <w:t>及其审查意见相符。</w:t>
            </w:r>
          </w:p>
        </w:tc>
      </w:tr>
      <w:tr w14:paraId="1A2B4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1118" w:type="dxa"/>
            <w:noWrap w:val="0"/>
            <w:vAlign w:val="center"/>
          </w:tcPr>
          <w:p w14:paraId="36796E99">
            <w:pPr>
              <w:autoSpaceDE w:val="0"/>
              <w:autoSpaceDN w:val="0"/>
              <w:adjustRightInd w:val="0"/>
              <w:snapToGrid w:val="0"/>
              <w:jc w:val="center"/>
              <w:rPr>
                <w:color w:val="auto"/>
                <w:kern w:val="0"/>
                <w:sz w:val="21"/>
                <w:szCs w:val="21"/>
              </w:rPr>
            </w:pPr>
            <w:r>
              <w:rPr>
                <w:color w:val="auto"/>
                <w:kern w:val="0"/>
                <w:sz w:val="24"/>
                <w:szCs w:val="24"/>
              </w:rPr>
              <w:t>其他符合性分析</w:t>
            </w:r>
          </w:p>
        </w:tc>
        <w:tc>
          <w:tcPr>
            <w:tcW w:w="7752" w:type="dxa"/>
            <w:gridSpan w:val="3"/>
            <w:noWrap w:val="0"/>
            <w:vAlign w:val="center"/>
          </w:tcPr>
          <w:p w14:paraId="6AAC58F8">
            <w:pPr>
              <w:pStyle w:val="111"/>
              <w:tabs>
                <w:tab w:val="left" w:pos="4347"/>
              </w:tabs>
              <w:snapToGrid w:val="0"/>
              <w:spacing w:before="120" w:beforeLines="50" w:line="360" w:lineRule="auto"/>
              <w:jc w:val="both"/>
              <w:outlineLvl w:val="2"/>
              <w:rPr>
                <w:rFonts w:ascii="Times New Roman"/>
                <w:b/>
                <w:color w:val="auto"/>
                <w:sz w:val="24"/>
                <w:szCs w:val="24"/>
              </w:rPr>
            </w:pPr>
            <w:r>
              <w:rPr>
                <w:rFonts w:ascii="Times New Roman"/>
                <w:b/>
                <w:color w:val="auto"/>
                <w:sz w:val="24"/>
                <w:szCs w:val="24"/>
              </w:rPr>
              <w:t>1、产业政策</w:t>
            </w:r>
            <w:r>
              <w:rPr>
                <w:rFonts w:hint="eastAsia" w:ascii="Times New Roman"/>
                <w:b/>
                <w:color w:val="auto"/>
                <w:sz w:val="24"/>
                <w:szCs w:val="24"/>
                <w:lang w:val="en-US" w:eastAsia="zh-CN"/>
              </w:rPr>
              <w:t>符合性</w:t>
            </w:r>
            <w:r>
              <w:rPr>
                <w:rFonts w:ascii="Times New Roman"/>
                <w:b/>
                <w:color w:val="auto"/>
                <w:sz w:val="24"/>
                <w:szCs w:val="24"/>
              </w:rPr>
              <w:t>分析</w:t>
            </w:r>
          </w:p>
          <w:p w14:paraId="6D35C50C">
            <w:pPr>
              <w:adjustRightInd w:val="0"/>
              <w:snapToGrid w:val="0"/>
              <w:spacing w:line="360" w:lineRule="auto"/>
              <w:ind w:firstLine="480" w:firstLineChars="200"/>
              <w:rPr>
                <w:color w:val="auto"/>
                <w:sz w:val="24"/>
                <w:szCs w:val="24"/>
              </w:rPr>
            </w:pPr>
            <w:r>
              <w:rPr>
                <w:rFonts w:hint="eastAsia" w:ascii="Times New Roman" w:hAnsi="Times New Roman" w:cs="Times New Roman"/>
                <w:color w:val="auto"/>
                <w:sz w:val="24"/>
                <w:szCs w:val="24"/>
              </w:rPr>
              <w:t>项目主要从事注塑件、下卡条和钣金件的生产，对照《产业结构调整指导目录（2024年本）》，项目不属于限制和淘汰类的项目</w:t>
            </w:r>
            <w:r>
              <w:rPr>
                <w:rFonts w:hint="eastAsia" w:cs="Times New Roman"/>
                <w:color w:val="auto"/>
                <w:sz w:val="24"/>
                <w:szCs w:val="24"/>
                <w:lang w:eastAsia="zh-CN"/>
              </w:rPr>
              <w:t>且</w:t>
            </w:r>
            <w:r>
              <w:rPr>
                <w:rFonts w:hint="eastAsia" w:ascii="Times New Roman" w:hAnsi="Times New Roman" w:cs="Times New Roman"/>
                <w:color w:val="auto"/>
                <w:sz w:val="24"/>
                <w:szCs w:val="24"/>
              </w:rPr>
              <w:t>未被纳入《市场准入负面清单（2025年版）》负面清单中。根据《自然资源要素支撑产业高质量发展指导目录(2024年本)》（自然资发〔2024〕273号）可知，项目不属于鼓励类、限制类和淘汰类。本项目于2025年</w:t>
            </w:r>
            <w:r>
              <w:rPr>
                <w:rFonts w:hint="eastAsia" w:cs="Times New Roman"/>
                <w:color w:val="auto"/>
                <w:sz w:val="24"/>
                <w:szCs w:val="24"/>
                <w:lang w:val="en-US" w:eastAsia="zh-CN"/>
              </w:rPr>
              <w:t>9</w:t>
            </w:r>
            <w:r>
              <w:rPr>
                <w:rFonts w:hint="eastAsia" w:ascii="Times New Roman" w:hAnsi="Times New Roman" w:cs="Times New Roman"/>
                <w:color w:val="auto"/>
                <w:sz w:val="24"/>
                <w:szCs w:val="24"/>
              </w:rPr>
              <w:t>月</w:t>
            </w:r>
            <w:r>
              <w:rPr>
                <w:rFonts w:hint="eastAsia" w:cs="Times New Roman"/>
                <w:color w:val="auto"/>
                <w:sz w:val="24"/>
                <w:szCs w:val="24"/>
                <w:lang w:val="en-US" w:eastAsia="zh-CN"/>
              </w:rPr>
              <w:t>2</w:t>
            </w:r>
            <w:r>
              <w:rPr>
                <w:rFonts w:hint="eastAsia" w:ascii="Times New Roman" w:hAnsi="Times New Roman" w:cs="Times New Roman"/>
                <w:color w:val="auto"/>
                <w:sz w:val="24"/>
                <w:szCs w:val="24"/>
              </w:rPr>
              <w:t>日通过福清市工业和信息化局(闽工信备[202</w:t>
            </w:r>
            <w:r>
              <w:rPr>
                <w:rFonts w:hint="eastAsia" w:cs="Times New Roman"/>
                <w:color w:val="auto"/>
                <w:sz w:val="24"/>
                <w:szCs w:val="24"/>
                <w:lang w:val="en-US" w:eastAsia="zh-CN"/>
              </w:rPr>
              <w:t>5</w:t>
            </w:r>
            <w:r>
              <w:rPr>
                <w:rFonts w:hint="eastAsia" w:ascii="Times New Roman" w:hAnsi="Times New Roman" w:cs="Times New Roman"/>
                <w:color w:val="auto"/>
                <w:sz w:val="24"/>
                <w:szCs w:val="24"/>
              </w:rPr>
              <w:t>]A0</w:t>
            </w:r>
            <w:r>
              <w:rPr>
                <w:rFonts w:hint="eastAsia" w:cs="Times New Roman"/>
                <w:color w:val="auto"/>
                <w:sz w:val="24"/>
                <w:szCs w:val="24"/>
                <w:lang w:val="en-US" w:eastAsia="zh-CN"/>
              </w:rPr>
              <w:t>6</w:t>
            </w:r>
            <w:r>
              <w:rPr>
                <w:rFonts w:hint="eastAsia" w:ascii="Times New Roman" w:hAnsi="Times New Roman" w:cs="Times New Roman"/>
                <w:color w:val="auto"/>
                <w:sz w:val="24"/>
                <w:szCs w:val="24"/>
              </w:rPr>
              <w:t>0</w:t>
            </w:r>
            <w:r>
              <w:rPr>
                <w:rFonts w:hint="eastAsia" w:cs="Times New Roman"/>
                <w:color w:val="auto"/>
                <w:sz w:val="24"/>
                <w:szCs w:val="24"/>
                <w:lang w:val="en-US" w:eastAsia="zh-CN"/>
              </w:rPr>
              <w:t>082</w:t>
            </w:r>
            <w:r>
              <w:rPr>
                <w:rFonts w:hint="eastAsia" w:ascii="Times New Roman" w:hAnsi="Times New Roman" w:cs="Times New Roman"/>
                <w:color w:val="auto"/>
                <w:sz w:val="24"/>
                <w:szCs w:val="24"/>
              </w:rPr>
              <w:t>号)，因此项目建设符合产业政策。</w:t>
            </w:r>
          </w:p>
          <w:p w14:paraId="2ABCA74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2、与城市土地利用规划符合性分析</w:t>
            </w:r>
          </w:p>
          <w:p w14:paraId="3CA49E07">
            <w:pPr>
              <w:pStyle w:val="111"/>
              <w:tabs>
                <w:tab w:val="left" w:pos="4347"/>
              </w:tabs>
              <w:snapToGrid w:val="0"/>
              <w:spacing w:line="360" w:lineRule="auto"/>
              <w:ind w:firstLine="480" w:firstLineChars="200"/>
              <w:jc w:val="both"/>
              <w:outlineLvl w:val="2"/>
              <w:rPr>
                <w:rFonts w:hint="eastAsia" w:ascii="Times New Roman"/>
                <w:b/>
                <w:color w:val="auto"/>
                <w:sz w:val="24"/>
                <w:szCs w:val="24"/>
                <w:lang w:val="en-US" w:eastAsia="zh-CN"/>
              </w:rPr>
            </w:pPr>
            <w:r>
              <w:rPr>
                <w:rFonts w:hint="eastAsia" w:ascii="Times New Roman" w:hAnsi="Times New Roman" w:eastAsia="宋体" w:cs="Times New Roman"/>
                <w:color w:val="auto"/>
                <w:spacing w:val="0"/>
                <w:sz w:val="24"/>
                <w:szCs w:val="24"/>
                <w:highlight w:val="none"/>
                <w:lang w:eastAsia="zh-CN"/>
              </w:rPr>
              <w:t>根据业主提供的</w:t>
            </w:r>
            <w:r>
              <w:rPr>
                <w:rFonts w:hint="eastAsia" w:ascii="Times New Roman" w:cs="Times New Roman"/>
                <w:color w:val="auto"/>
                <w:sz w:val="24"/>
                <w:szCs w:val="24"/>
                <w:highlight w:val="none"/>
                <w:lang w:val="en-US" w:eastAsia="zh-CN"/>
              </w:rPr>
              <w:t>不动产权</w:t>
            </w:r>
            <w:r>
              <w:rPr>
                <w:rFonts w:hint="eastAsia" w:ascii="Times New Roman" w:hAnsi="Times New Roman" w:eastAsia="宋体" w:cs="Times New Roman"/>
                <w:color w:val="auto"/>
                <w:spacing w:val="0"/>
                <w:sz w:val="24"/>
                <w:szCs w:val="24"/>
                <w:highlight w:val="none"/>
                <w:lang w:eastAsia="zh-CN"/>
              </w:rPr>
              <w:t>证(</w:t>
            </w:r>
            <w:r>
              <w:rPr>
                <w:rFonts w:hint="eastAsia" w:ascii="Times New Roman" w:hAnsi="Times New Roman" w:eastAsia="宋体" w:cs="Times New Roman"/>
                <w:color w:val="auto"/>
                <w:sz w:val="24"/>
                <w:szCs w:val="24"/>
                <w:highlight w:val="none"/>
              </w:rPr>
              <w:t>闽（20</w:t>
            </w:r>
            <w:r>
              <w:rPr>
                <w:rFonts w:hint="eastAsia" w:ascii="Times New Roman" w:cs="Times New Roman"/>
                <w:color w:val="auto"/>
                <w:sz w:val="24"/>
                <w:szCs w:val="24"/>
                <w:highlight w:val="none"/>
                <w:lang w:val="en-US" w:eastAsia="zh-CN"/>
              </w:rPr>
              <w:t>24</w:t>
            </w:r>
            <w:r>
              <w:rPr>
                <w:rFonts w:hint="eastAsia" w:ascii="Times New Roman" w:hAnsi="Times New Roman" w:eastAsia="宋体" w:cs="Times New Roman"/>
                <w:color w:val="auto"/>
                <w:sz w:val="24"/>
                <w:szCs w:val="24"/>
                <w:highlight w:val="none"/>
              </w:rPr>
              <w:t>）</w:t>
            </w:r>
            <w:r>
              <w:rPr>
                <w:rFonts w:hint="eastAsia" w:ascii="Times New Roman" w:cs="Times New Roman"/>
                <w:color w:val="auto"/>
                <w:sz w:val="24"/>
                <w:szCs w:val="24"/>
                <w:highlight w:val="none"/>
                <w:lang w:val="en-US" w:eastAsia="zh-CN"/>
              </w:rPr>
              <w:t>福清市不动产权第0017459</w:t>
            </w:r>
            <w:r>
              <w:rPr>
                <w:rFonts w:hint="eastAsia"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pacing w:val="0"/>
                <w:sz w:val="24"/>
                <w:szCs w:val="24"/>
                <w:highlight w:val="none"/>
                <w:lang w:eastAsia="zh-CN"/>
              </w:rPr>
              <w:t>)，本项目用地性质为工业用地(详见附件</w:t>
            </w:r>
            <w:r>
              <w:rPr>
                <w:rFonts w:hint="eastAsia" w:ascii="Times New Roman" w:hAnsi="Times New Roman" w:eastAsia="宋体" w:cs="Times New Roman"/>
                <w:color w:val="auto"/>
                <w:spacing w:val="0"/>
                <w:sz w:val="24"/>
                <w:szCs w:val="24"/>
                <w:highlight w:val="none"/>
                <w:lang w:val="en-US" w:eastAsia="zh-CN"/>
              </w:rPr>
              <w:t>六</w:t>
            </w:r>
            <w:r>
              <w:rPr>
                <w:rFonts w:hint="eastAsia" w:ascii="Times New Roman" w:hAnsi="Times New Roman" w:eastAsia="宋体" w:cs="Times New Roman"/>
                <w:color w:val="auto"/>
                <w:spacing w:val="0"/>
                <w:sz w:val="24"/>
                <w:szCs w:val="24"/>
                <w:highlight w:val="none"/>
                <w:lang w:eastAsia="zh-CN"/>
              </w:rPr>
              <w:t>)。项目主要</w:t>
            </w:r>
            <w:r>
              <w:rPr>
                <w:rFonts w:hint="eastAsia" w:ascii="Times New Roman" w:cs="Times New Roman"/>
                <w:color w:val="auto"/>
                <w:spacing w:val="0"/>
                <w:sz w:val="24"/>
                <w:szCs w:val="24"/>
                <w:highlight w:val="none"/>
                <w:lang w:eastAsia="zh-CN"/>
              </w:rPr>
              <w:t>从事</w:t>
            </w:r>
            <w:r>
              <w:rPr>
                <w:rFonts w:hint="default" w:ascii="Times New Roman" w:hAnsi="Times New Roman" w:eastAsia="宋体" w:cs="Times New Roman"/>
                <w:color w:val="auto"/>
                <w:sz w:val="24"/>
                <w:szCs w:val="24"/>
                <w:highlight w:val="none"/>
              </w:rPr>
              <w:t>注塑件、下卡条和钣金件的</w:t>
            </w:r>
            <w:r>
              <w:rPr>
                <w:rFonts w:hint="eastAsia" w:ascii="Times New Roman" w:cs="Times New Roman"/>
                <w:color w:val="auto"/>
                <w:sz w:val="24"/>
                <w:szCs w:val="24"/>
                <w:highlight w:val="none"/>
                <w:lang w:val="en-US" w:eastAsia="zh-CN"/>
              </w:rPr>
              <w:t>加工</w:t>
            </w:r>
            <w:r>
              <w:rPr>
                <w:rFonts w:hint="eastAsia" w:ascii="Times New Roman" w:hAnsi="Times New Roman" w:eastAsia="宋体" w:cs="Times New Roman"/>
                <w:color w:val="auto"/>
                <w:spacing w:val="0"/>
                <w:sz w:val="24"/>
                <w:szCs w:val="24"/>
                <w:highlight w:val="none"/>
                <w:lang w:eastAsia="zh-CN"/>
              </w:rPr>
              <w:t>，属于工业企业，</w:t>
            </w:r>
            <w:r>
              <w:rPr>
                <w:rFonts w:hint="default" w:ascii="Times New Roman" w:hAnsi="Times New Roman" w:eastAsia="宋体" w:cs="Times New Roman"/>
                <w:color w:val="auto"/>
                <w:spacing w:val="0"/>
                <w:sz w:val="24"/>
                <w:szCs w:val="24"/>
                <w:highlight w:val="none"/>
              </w:rPr>
              <w:t>选址符合土地利用规划要求。</w:t>
            </w:r>
          </w:p>
          <w:p w14:paraId="505D0A84">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3</w:t>
            </w:r>
            <w:r>
              <w:rPr>
                <w:rFonts w:ascii="Times New Roman"/>
                <w:b/>
                <w:color w:val="auto"/>
                <w:sz w:val="24"/>
                <w:szCs w:val="24"/>
              </w:rPr>
              <w:t>、环境功能区划符合性分析</w:t>
            </w:r>
          </w:p>
          <w:p w14:paraId="2F5C9252">
            <w:pPr>
              <w:adjustRightInd w:val="0"/>
              <w:snapToGrid w:val="0"/>
              <w:spacing w:line="360" w:lineRule="auto"/>
              <w:ind w:firstLine="480" w:firstLineChars="200"/>
              <w:rPr>
                <w:rFonts w:hint="eastAsia"/>
                <w:color w:val="auto"/>
                <w:sz w:val="24"/>
                <w:szCs w:val="24"/>
              </w:rPr>
            </w:pPr>
            <w:r>
              <w:rPr>
                <w:rFonts w:hint="eastAsia"/>
                <w:color w:val="auto"/>
                <w:sz w:val="24"/>
                <w:szCs w:val="24"/>
              </w:rPr>
              <w:t>项目运营期废气采取有效的治理措施后，对周围环境空气不会产生显著影响，不会改变区域环境空气质量等级；职工日常生活污水</w:t>
            </w:r>
            <w:r>
              <w:rPr>
                <w:rFonts w:hint="eastAsia"/>
                <w:color w:val="auto"/>
                <w:sz w:val="24"/>
                <w:szCs w:val="24"/>
                <w:lang w:val="en-US" w:eastAsia="zh-CN"/>
              </w:rPr>
              <w:t>经</w:t>
            </w:r>
            <w:r>
              <w:rPr>
                <w:rFonts w:hint="eastAsia"/>
                <w:color w:val="auto"/>
                <w:sz w:val="24"/>
                <w:szCs w:val="24"/>
              </w:rPr>
              <w:t>化粪池预处理</w:t>
            </w:r>
            <w:r>
              <w:rPr>
                <w:color w:val="auto"/>
                <w:sz w:val="24"/>
                <w:szCs w:val="24"/>
              </w:rPr>
              <w:t>后</w:t>
            </w:r>
            <w:r>
              <w:rPr>
                <w:rFonts w:hint="eastAsia"/>
                <w:color w:val="auto"/>
                <w:sz w:val="24"/>
                <w:szCs w:val="24"/>
              </w:rPr>
              <w:t>排入市政污水管网，</w:t>
            </w:r>
            <w:r>
              <w:rPr>
                <w:rFonts w:hint="eastAsia"/>
                <w:color w:val="auto"/>
                <w:sz w:val="24"/>
                <w:szCs w:val="24"/>
                <w:lang w:eastAsia="zh-CN"/>
              </w:rPr>
              <w:t>纳入福清市融元污水处理厂集中处理</w:t>
            </w:r>
            <w:r>
              <w:rPr>
                <w:rFonts w:hint="eastAsia"/>
                <w:color w:val="auto"/>
                <w:sz w:val="24"/>
                <w:szCs w:val="24"/>
              </w:rPr>
              <w:t>，不会改变区域</w:t>
            </w:r>
            <w:r>
              <w:rPr>
                <w:color w:val="auto"/>
                <w:sz w:val="24"/>
                <w:szCs w:val="24"/>
              </w:rPr>
              <w:t>地表水环境质量</w:t>
            </w:r>
            <w:r>
              <w:rPr>
                <w:rFonts w:hint="eastAsia"/>
                <w:color w:val="auto"/>
                <w:sz w:val="24"/>
                <w:szCs w:val="24"/>
              </w:rPr>
              <w:t>等级</w:t>
            </w:r>
            <w:r>
              <w:rPr>
                <w:color w:val="auto"/>
                <w:sz w:val="24"/>
                <w:szCs w:val="24"/>
              </w:rPr>
              <w:t>；</w:t>
            </w:r>
            <w:r>
              <w:rPr>
                <w:rFonts w:hint="eastAsia"/>
                <w:color w:val="auto"/>
                <w:sz w:val="24"/>
                <w:szCs w:val="24"/>
              </w:rPr>
              <w:t>项目在采取噪声污染防治措施后，产生的噪声不会对周围环境产生显著影响，不会改变区域环境噪声质量等级；项目周边地下水、土壤环境相对不敏感，采取有效的防渗措施后，基本不存在土壤、地下水环境污染途径，对地下水、土壤环境影响很小，不会改变地下水环境、土壤环境质量现状等级，因此，项目建设符合环境功能区划。</w:t>
            </w:r>
          </w:p>
          <w:p w14:paraId="2607021A">
            <w:pPr>
              <w:pStyle w:val="111"/>
              <w:tabs>
                <w:tab w:val="left" w:pos="4347"/>
              </w:tabs>
              <w:snapToGrid w:val="0"/>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4</w:t>
            </w:r>
            <w:r>
              <w:rPr>
                <w:rFonts w:ascii="Times New Roman"/>
                <w:b/>
                <w:color w:val="auto"/>
                <w:sz w:val="24"/>
                <w:szCs w:val="24"/>
              </w:rPr>
              <w:t>、与周边相容性分析</w:t>
            </w:r>
          </w:p>
          <w:p w14:paraId="3917D976">
            <w:pPr>
              <w:adjustRightInd w:val="0"/>
              <w:snapToGrid w:val="0"/>
              <w:spacing w:line="360" w:lineRule="auto"/>
              <w:ind w:firstLine="480" w:firstLineChars="200"/>
              <w:rPr>
                <w:color w:val="auto"/>
                <w:sz w:val="24"/>
                <w:szCs w:val="24"/>
              </w:rPr>
            </w:pPr>
            <w:r>
              <w:rPr>
                <w:rFonts w:hint="eastAsia"/>
                <w:color w:val="auto"/>
                <w:sz w:val="24"/>
                <w:szCs w:val="24"/>
              </w:rPr>
              <w:t>项目厂址不位于自然保护区、风景名胜区、饮用水水源保护区和其他需要特别保护等法律法规禁止开发建设的区域。</w:t>
            </w:r>
            <w:r>
              <w:rPr>
                <w:color w:val="auto"/>
                <w:sz w:val="24"/>
                <w:szCs w:val="24"/>
              </w:rPr>
              <w:t>根据现场勘查，</w:t>
            </w:r>
            <w:r>
              <w:rPr>
                <w:rFonts w:hint="eastAsia"/>
                <w:color w:val="auto"/>
                <w:sz w:val="24"/>
                <w:szCs w:val="24"/>
                <w:lang w:val="en-US" w:eastAsia="zh-CN"/>
              </w:rPr>
              <w:t>扩建</w:t>
            </w:r>
            <w:r>
              <w:rPr>
                <w:rFonts w:hint="eastAsia"/>
                <w:color w:val="auto"/>
                <w:sz w:val="24"/>
                <w:szCs w:val="24"/>
                <w:lang w:eastAsia="zh-CN"/>
              </w:rPr>
              <w:t>项目</w:t>
            </w:r>
            <w:r>
              <w:rPr>
                <w:rFonts w:hint="eastAsia"/>
                <w:color w:val="auto"/>
                <w:sz w:val="24"/>
                <w:szCs w:val="24"/>
                <w:lang w:val="en-US" w:eastAsia="zh-CN"/>
              </w:rPr>
              <w:t>位于福建三锋汽配开发有限公司厂房四、厂房五内</w:t>
            </w:r>
            <w:r>
              <w:rPr>
                <w:rFonts w:hint="eastAsia"/>
                <w:color w:val="auto"/>
                <w:sz w:val="24"/>
                <w:szCs w:val="24"/>
                <w:lang w:eastAsia="zh-CN"/>
              </w:rPr>
              <w:t>，</w:t>
            </w:r>
            <w:r>
              <w:rPr>
                <w:rFonts w:hint="eastAsia"/>
                <w:color w:val="auto"/>
                <w:sz w:val="24"/>
                <w:szCs w:val="24"/>
              </w:rPr>
              <w:t>属于</w:t>
            </w:r>
            <w:r>
              <w:rPr>
                <w:rFonts w:hint="eastAsia"/>
                <w:color w:val="auto"/>
                <w:kern w:val="0"/>
                <w:sz w:val="24"/>
                <w:szCs w:val="24"/>
              </w:rPr>
              <w:t>福清融侨经济技术开发区范围内</w:t>
            </w:r>
            <w:r>
              <w:rPr>
                <w:rFonts w:hint="eastAsia"/>
                <w:color w:val="auto"/>
                <w:sz w:val="24"/>
                <w:szCs w:val="24"/>
              </w:rPr>
              <w:t>。项目西侧为福建禾融彩虹玻璃有限公司，北侧为福清市福通机械科技有限公司</w:t>
            </w:r>
            <w:r>
              <w:rPr>
                <w:rFonts w:hint="eastAsia"/>
                <w:color w:val="auto"/>
                <w:sz w:val="24"/>
                <w:szCs w:val="24"/>
                <w:lang w:val="en-US" w:eastAsia="zh-CN"/>
              </w:rPr>
              <w:t>和特耐王包装（福州）有限公司</w:t>
            </w:r>
            <w:r>
              <w:rPr>
                <w:rFonts w:hint="eastAsia"/>
                <w:color w:val="auto"/>
                <w:sz w:val="24"/>
                <w:szCs w:val="24"/>
              </w:rPr>
              <w:t>，南侧为清繁大道，东侧为凌云新能源科技有限公司福州分公司</w:t>
            </w:r>
            <w:r>
              <w:rPr>
                <w:rFonts w:hint="eastAsia"/>
                <w:color w:val="auto"/>
                <w:sz w:val="24"/>
                <w:szCs w:val="24"/>
                <w:lang w:eastAsia="zh-CN"/>
              </w:rPr>
              <w:t>，项目</w:t>
            </w:r>
            <w:r>
              <w:rPr>
                <w:color w:val="auto"/>
                <w:sz w:val="24"/>
                <w:szCs w:val="24"/>
              </w:rPr>
              <w:t>周边</w:t>
            </w:r>
            <w:r>
              <w:rPr>
                <w:rFonts w:hint="eastAsia"/>
                <w:color w:val="auto"/>
                <w:sz w:val="24"/>
                <w:szCs w:val="24"/>
              </w:rPr>
              <w:t>以工业企业为主</w:t>
            </w:r>
            <w:r>
              <w:rPr>
                <w:rFonts w:hint="eastAsia"/>
                <w:color w:val="auto"/>
                <w:sz w:val="24"/>
                <w:szCs w:val="24"/>
                <w:lang w:eastAsia="zh-CN"/>
              </w:rPr>
              <w:t>，</w:t>
            </w:r>
            <w:r>
              <w:rPr>
                <w:rFonts w:hint="eastAsia"/>
                <w:color w:val="auto"/>
                <w:sz w:val="24"/>
                <w:szCs w:val="24"/>
              </w:rPr>
              <w:t>周边主要环境保护目标为</w:t>
            </w:r>
            <w:r>
              <w:rPr>
                <w:rFonts w:hint="eastAsia"/>
                <w:color w:val="auto"/>
                <w:sz w:val="24"/>
                <w:szCs w:val="24"/>
                <w:lang w:val="en-US" w:eastAsia="zh-CN"/>
              </w:rPr>
              <w:t>珠山村</w:t>
            </w:r>
            <w:r>
              <w:rPr>
                <w:rFonts w:hint="eastAsia"/>
                <w:color w:val="auto"/>
                <w:sz w:val="24"/>
                <w:szCs w:val="24"/>
              </w:rPr>
              <w:t>（西</w:t>
            </w:r>
            <w:r>
              <w:rPr>
                <w:rFonts w:hint="eastAsia"/>
                <w:color w:val="auto"/>
                <w:sz w:val="24"/>
                <w:szCs w:val="24"/>
                <w:lang w:val="en-US" w:eastAsia="zh-CN"/>
              </w:rPr>
              <w:t>南侧460</w:t>
            </w:r>
            <w:r>
              <w:rPr>
                <w:rFonts w:hint="eastAsia"/>
                <w:color w:val="auto"/>
                <w:sz w:val="24"/>
                <w:szCs w:val="24"/>
              </w:rPr>
              <w:t>m）</w:t>
            </w:r>
            <w:r>
              <w:rPr>
                <w:rFonts w:hint="eastAsia"/>
                <w:color w:val="auto"/>
                <w:sz w:val="24"/>
                <w:szCs w:val="24"/>
                <w:lang w:eastAsia="zh-CN"/>
              </w:rPr>
              <w:t>，</w:t>
            </w:r>
            <w:r>
              <w:rPr>
                <w:rFonts w:hint="eastAsia"/>
                <w:color w:val="auto"/>
                <w:sz w:val="24"/>
                <w:szCs w:val="24"/>
              </w:rPr>
              <w:t>项目周边环境现状示意图详见附图2，项目周边环境现状拍摄图详见附图3</w:t>
            </w:r>
            <w:r>
              <w:rPr>
                <w:color w:val="auto"/>
                <w:sz w:val="24"/>
                <w:szCs w:val="24"/>
              </w:rPr>
              <w:t>；建设单位在</w:t>
            </w:r>
            <w:r>
              <w:rPr>
                <w:rFonts w:hint="eastAsia"/>
                <w:color w:val="auto"/>
                <w:sz w:val="24"/>
                <w:szCs w:val="24"/>
              </w:rPr>
              <w:t>切实落实</w:t>
            </w:r>
            <w:r>
              <w:rPr>
                <w:color w:val="auto"/>
                <w:sz w:val="24"/>
                <w:szCs w:val="24"/>
              </w:rPr>
              <w:t>本评价提出的各项污染治理措施的前提下，可实现污染物达标排放</w:t>
            </w:r>
            <w:r>
              <w:rPr>
                <w:rFonts w:hint="eastAsia"/>
                <w:color w:val="auto"/>
                <w:sz w:val="24"/>
                <w:szCs w:val="24"/>
                <w:lang w:eastAsia="zh-CN"/>
              </w:rPr>
              <w:t>且</w:t>
            </w:r>
            <w:r>
              <w:rPr>
                <w:color w:val="auto"/>
                <w:sz w:val="24"/>
                <w:szCs w:val="24"/>
              </w:rPr>
              <w:t>各污染物排放源强较低，运营期产生的“三废”及噪声对周边环境影响不明显，因此，项目建设与周边环境基本相容。</w:t>
            </w:r>
          </w:p>
          <w:p w14:paraId="62A41538">
            <w:pPr>
              <w:pStyle w:val="111"/>
              <w:tabs>
                <w:tab w:val="left" w:pos="4347"/>
              </w:tabs>
              <w:adjustRightInd/>
              <w:spacing w:line="360" w:lineRule="auto"/>
              <w:jc w:val="both"/>
              <w:outlineLvl w:val="2"/>
              <w:rPr>
                <w:rFonts w:ascii="Times New Roman"/>
                <w:b/>
                <w:color w:val="auto"/>
                <w:sz w:val="24"/>
                <w:szCs w:val="24"/>
              </w:rPr>
            </w:pPr>
            <w:r>
              <w:rPr>
                <w:rFonts w:hint="eastAsia" w:ascii="Times New Roman"/>
                <w:b/>
                <w:color w:val="auto"/>
                <w:sz w:val="24"/>
                <w:szCs w:val="24"/>
                <w:lang w:val="en-US" w:eastAsia="zh-CN"/>
              </w:rPr>
              <w:t>5</w:t>
            </w:r>
            <w:r>
              <w:rPr>
                <w:rFonts w:ascii="Times New Roman"/>
                <w:b/>
                <w:color w:val="auto"/>
                <w:sz w:val="24"/>
                <w:szCs w:val="24"/>
              </w:rPr>
              <w:t>、</w:t>
            </w:r>
            <w:r>
              <w:rPr>
                <w:rFonts w:hint="eastAsia" w:ascii="Times New Roman" w:hAnsi="Times New Roman" w:eastAsia="宋体" w:cs="Times New Roman"/>
                <w:b/>
                <w:bCs/>
                <w:color w:val="auto"/>
                <w:sz w:val="24"/>
                <w:szCs w:val="24"/>
                <w:lang w:val="en-US" w:eastAsia="zh-CN"/>
              </w:rPr>
              <w:t>生态环境分区管控要求</w:t>
            </w:r>
            <w:r>
              <w:rPr>
                <w:rFonts w:ascii="Times New Roman"/>
                <w:b/>
                <w:color w:val="auto"/>
                <w:sz w:val="24"/>
                <w:szCs w:val="24"/>
              </w:rPr>
              <w:t>的符合性分析</w:t>
            </w:r>
          </w:p>
          <w:p w14:paraId="3EF397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bookmarkStart w:id="4" w:name="_Toc16029"/>
            <w:bookmarkStart w:id="5" w:name="_Toc27236"/>
            <w:bookmarkStart w:id="6" w:name="_Toc7228"/>
            <w:bookmarkStart w:id="7" w:name="_Toc3067"/>
            <w:bookmarkStart w:id="8" w:name="_Toc3746"/>
            <w:r>
              <w:rPr>
                <w:rFonts w:hint="eastAsia"/>
                <w:color w:val="auto"/>
                <w:sz w:val="24"/>
                <w:szCs w:val="24"/>
                <w:lang w:eastAsia="zh-CN"/>
              </w:rPr>
              <w:t>根据</w:t>
            </w:r>
            <w:r>
              <w:rPr>
                <w:rFonts w:hint="eastAsia"/>
                <w:color w:val="auto"/>
                <w:sz w:val="24"/>
                <w:szCs w:val="24"/>
              </w:rPr>
              <w:t>《福州市生态环境局关于发布福州市2024年生态环境分区管控动态更新成果的通知》（榕环保综〔2025〕1号）</w:t>
            </w:r>
            <w:r>
              <w:rPr>
                <w:rFonts w:hint="eastAsia" w:ascii="Times New Roman" w:hAnsi="Times New Roman" w:eastAsia="宋体" w:cs="Times New Roman"/>
                <w:color w:val="auto"/>
                <w:sz w:val="24"/>
                <w:szCs w:val="24"/>
                <w:lang w:val="en-US" w:eastAsia="zh-CN"/>
              </w:rPr>
              <w:t>，项目与福州市生态环境分区管控要求符合性分析如下：</w:t>
            </w:r>
          </w:p>
          <w:p w14:paraId="54A8C80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生态红线</w:t>
            </w:r>
          </w:p>
          <w:p w14:paraId="40941D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福建铠盾材料科技有限公司</w:t>
            </w:r>
            <w:r>
              <w:rPr>
                <w:rFonts w:hint="eastAsia" w:ascii="Times New Roman" w:hAnsi="Times New Roman" w:eastAsia="宋体" w:cs="Times New Roman"/>
                <w:color w:val="auto"/>
                <w:sz w:val="24"/>
                <w:szCs w:val="24"/>
                <w:lang w:val="en-US" w:eastAsia="zh-CN"/>
              </w:rPr>
              <w:t>租赁福建三锋汽配开发有限公司现有厂房（</w:t>
            </w:r>
            <w:r>
              <w:rPr>
                <w:rFonts w:hint="eastAsia"/>
                <w:b w:val="0"/>
                <w:bCs w:val="0"/>
                <w:color w:val="auto"/>
                <w:sz w:val="24"/>
                <w:szCs w:val="24"/>
                <w:lang w:val="en-US" w:eastAsia="zh-CN"/>
              </w:rPr>
              <w:t>租赁厂房四局部一层、厂房五一至三层</w:t>
            </w:r>
            <w:r>
              <w:rPr>
                <w:rFonts w:hint="eastAsia" w:ascii="Times New Roman" w:hAnsi="Times New Roman" w:eastAsia="宋体" w:cs="Times New Roman"/>
                <w:color w:val="auto"/>
                <w:sz w:val="24"/>
                <w:szCs w:val="24"/>
                <w:lang w:val="en-US" w:eastAsia="zh-CN"/>
              </w:rPr>
              <w:t>）建设本项目，提供的出租方不动产权证(</w:t>
            </w:r>
            <w:r>
              <w:rPr>
                <w:rFonts w:hint="eastAsia" w:ascii="Times New Roman" w:hAnsi="Times New Roman" w:eastAsia="宋体" w:cs="Times New Roman"/>
                <w:color w:val="auto"/>
                <w:sz w:val="24"/>
                <w:szCs w:val="24"/>
                <w:highlight w:val="none"/>
              </w:rPr>
              <w:t>闽（20</w:t>
            </w:r>
            <w:r>
              <w:rPr>
                <w:rFonts w:hint="eastAsia" w:ascii="Times New Roman" w:cs="Times New Roman"/>
                <w:color w:val="auto"/>
                <w:sz w:val="24"/>
                <w:szCs w:val="24"/>
                <w:highlight w:val="none"/>
                <w:lang w:val="en-US" w:eastAsia="zh-CN"/>
              </w:rPr>
              <w:t>24</w:t>
            </w:r>
            <w:r>
              <w:rPr>
                <w:rFonts w:hint="eastAsia" w:ascii="Times New Roman" w:hAnsi="Times New Roman" w:eastAsia="宋体" w:cs="Times New Roman"/>
                <w:color w:val="auto"/>
                <w:sz w:val="24"/>
                <w:szCs w:val="24"/>
                <w:highlight w:val="none"/>
              </w:rPr>
              <w:t>）</w:t>
            </w:r>
            <w:r>
              <w:rPr>
                <w:rFonts w:hint="eastAsia" w:ascii="Times New Roman" w:cs="Times New Roman"/>
                <w:color w:val="auto"/>
                <w:sz w:val="24"/>
                <w:szCs w:val="24"/>
                <w:highlight w:val="none"/>
                <w:lang w:val="en-US" w:eastAsia="zh-CN"/>
              </w:rPr>
              <w:t>福清市不动产权第0017459</w:t>
            </w:r>
            <w:r>
              <w:rPr>
                <w:rFonts w:hint="eastAsia"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z w:val="24"/>
                <w:szCs w:val="24"/>
                <w:lang w:val="en-US" w:eastAsia="zh-CN"/>
              </w:rPr>
              <w:t>)，属于工业用地，经对照福州市“三区三线”生态保护红线划定成果和一般生态空间划定成果，项目选址不涉及福州市陆域生态保护红线，不涉及生态环境敏感区域、各类自然保护地、沿海基干林带、省级以上生态公益林和天然阔叶林，不涉及陆域一般生态空间。</w:t>
            </w:r>
          </w:p>
          <w:p w14:paraId="0199A7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因此项目建设与生态保护红线及一般生态空间管控要求不冲突。</w:t>
            </w:r>
          </w:p>
          <w:p w14:paraId="270BC0D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（2）环境质量底线</w:t>
            </w:r>
          </w:p>
          <w:p w14:paraId="0AE028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福州市人民政府网站发布的公布的福州市环境质量状况，项目所在区域环境空气符合《环境空气质量标准》(GB3095-2026)过渡阶段浓度限制中的二级标准，地表水质量各项指标均满足《地表水环境质量标准》(GB3838-2002)中Ⅴ类标准</w:t>
            </w:r>
            <w:r>
              <w:rPr>
                <w:rFonts w:hint="eastAsia" w:cs="Times New Roman"/>
                <w:color w:val="auto"/>
                <w:sz w:val="24"/>
                <w:szCs w:val="24"/>
                <w:lang w:val="en-US" w:eastAsia="zh-CN"/>
              </w:rPr>
              <w:t>，声环境功能区划为3类区，执行《声环境质量标准》（GB3096-2008）中3类区标准</w:t>
            </w:r>
            <w:r>
              <w:rPr>
                <w:rFonts w:hint="eastAsia" w:ascii="Times New Roman" w:hAnsi="Times New Roman" w:eastAsia="宋体" w:cs="Times New Roman"/>
                <w:color w:val="auto"/>
                <w:sz w:val="24"/>
                <w:szCs w:val="24"/>
                <w:lang w:val="en-US" w:eastAsia="zh-CN"/>
              </w:rPr>
              <w:t>。</w:t>
            </w:r>
          </w:p>
          <w:p w14:paraId="2DEA9F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无生产废水</w:t>
            </w:r>
            <w:r>
              <w:rPr>
                <w:rFonts w:hint="eastAsia" w:ascii="Times New Roman" w:hAnsi="Times New Roman" w:eastAsia="宋体" w:cs="Times New Roman"/>
                <w:color w:val="auto"/>
                <w:sz w:val="24"/>
                <w:szCs w:val="24"/>
                <w:lang w:val="en-US" w:eastAsia="zh-CN"/>
              </w:rPr>
              <w:t>外排，生活污水依托出租方化粪池处理后接入市政污水管网，纳入福清市融元污水处理厂统一处理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不直接排入周边地表水体</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工程分析项目废气产生量不大，经收集处理后排放，对周边大气环境影响不大。项目厂区车间地面已全部硬化，生产过程不排放持久性及重金属等污染物，要求建设单位严格按照本评价要求进行分区防渗防控，则对地下水和土壤的影响较小。项目生产设备位于生产车间内，高噪声设备尽量集中布置，设备噪声经基础减振、车间隔声等综合降噪措施后，可实现噪声达标排放</w:t>
            </w:r>
            <w:r>
              <w:rPr>
                <w:rFonts w:hint="eastAsia" w:cs="Times New Roman"/>
                <w:color w:val="auto"/>
                <w:sz w:val="24"/>
                <w:szCs w:val="24"/>
                <w:lang w:val="en-US" w:eastAsia="zh-CN"/>
              </w:rPr>
              <w:t>。</w:t>
            </w:r>
          </w:p>
          <w:p w14:paraId="59988A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因此项目建设不会突破区域环境质量底线</w:t>
            </w:r>
          </w:p>
          <w:p w14:paraId="2C6336C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（3）资源利用上线</w:t>
            </w:r>
          </w:p>
          <w:p w14:paraId="4EE97E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租赁已建工业厂房作为生产经营场所，出租方用地已取得土地证，项目不新增用地，因此不会突破土地资源利用上线。项目不使用高污染燃料，主要使用电能，属于清洁能源，符合能源资源利用上线要求。项目用水量不大，不属于高耗水项目，因此项目建设不会突破水资源利用上线。</w:t>
            </w:r>
          </w:p>
          <w:p w14:paraId="7AB80A2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生态环境准入清单</w:t>
            </w:r>
          </w:p>
          <w:p w14:paraId="78DC468D">
            <w:pPr>
              <w:spacing w:line="360" w:lineRule="auto"/>
              <w:ind w:firstLine="480" w:firstLineChars="200"/>
              <w:rPr>
                <w:rFonts w:hint="eastAsia"/>
                <w:color w:val="auto"/>
                <w:sz w:val="24"/>
                <w:szCs w:val="24"/>
              </w:rPr>
            </w:pPr>
            <w:r>
              <w:rPr>
                <w:rFonts w:hint="eastAsia" w:ascii="Times New Roman" w:hAnsi="Times New Roman" w:eastAsia="宋体" w:cs="Times New Roman"/>
                <w:color w:val="auto"/>
                <w:sz w:val="24"/>
                <w:szCs w:val="24"/>
                <w:lang w:val="en-US" w:eastAsia="zh-CN"/>
              </w:rPr>
              <w:t>对照</w:t>
            </w:r>
            <w:r>
              <w:rPr>
                <w:rFonts w:hint="eastAsia" w:cs="Times New Roman"/>
                <w:color w:val="auto"/>
                <w:sz w:val="24"/>
                <w:szCs w:val="24"/>
                <w:lang w:val="en-US" w:eastAsia="zh-CN"/>
              </w:rPr>
              <w:t>《福州市人民政府办公厅关于印发《福州市生态环境分区管控方案（2023年更新）》的通知》</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榕政办规〔2024〕20号</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福州市生态环境局关于发布福州市2024年生态环境分区管控动态更新成果的通知</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榕环保综〔2025〕1号</w:t>
            </w:r>
            <w:r>
              <w:rPr>
                <w:rFonts w:hint="eastAsia" w:ascii="Times New Roman" w:hAnsi="Times New Roman" w:eastAsia="宋体" w:cs="Times New Roman"/>
                <w:color w:val="auto"/>
                <w:sz w:val="24"/>
                <w:szCs w:val="24"/>
                <w:highlight w:val="none"/>
                <w:lang w:val="en-US" w:eastAsia="zh-CN"/>
              </w:rPr>
              <w:t>），项目与福州市陆域总体准入要求符合性分析见表1-</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，与重点管控单元（</w:t>
            </w:r>
            <w:r>
              <w:rPr>
                <w:rFonts w:hint="eastAsia" w:ascii="Times New Roman" w:hAnsi="Times New Roman" w:eastAsia="宋体" w:cs="Times New Roman"/>
                <w:color w:val="auto"/>
                <w:sz w:val="24"/>
                <w:szCs w:val="24"/>
                <w:highlight w:val="none"/>
              </w:rPr>
              <w:t>福清市重点管控单元1</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lang w:val="en-US" w:eastAsia="zh-CN"/>
              </w:rPr>
              <w:t>（环境管控单元编码</w:t>
            </w:r>
            <w:r>
              <w:rPr>
                <w:rFonts w:hint="eastAsia" w:ascii="Times New Roman" w:hAnsi="Times New Roman" w:eastAsia="宋体" w:cs="Times New Roman"/>
                <w:color w:val="auto"/>
                <w:sz w:val="24"/>
                <w:szCs w:val="24"/>
              </w:rPr>
              <w:t>ZH35018120008</w:t>
            </w:r>
            <w:r>
              <w:rPr>
                <w:rFonts w:hint="eastAsia" w:ascii="Times New Roman" w:hAnsi="Times New Roman" w:eastAsia="宋体" w:cs="Times New Roman"/>
                <w:color w:val="auto"/>
                <w:sz w:val="24"/>
                <w:szCs w:val="24"/>
                <w:lang w:val="en-US" w:eastAsia="zh-CN"/>
              </w:rPr>
              <w:t>）准入要求符合性分析见表1-</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。福建省生态环境分区管控数据应用平台查询结果截图详见附图</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，福建省生态环境分区管控综合查询报告书详见附</w:t>
            </w:r>
            <w:r>
              <w:rPr>
                <w:rFonts w:hint="eastAsia" w:cs="Times New Roman"/>
                <w:color w:val="auto"/>
                <w:sz w:val="24"/>
                <w:szCs w:val="24"/>
                <w:lang w:val="en-US" w:eastAsia="zh-CN"/>
              </w:rPr>
              <w:t>件十二</w:t>
            </w:r>
            <w:r>
              <w:rPr>
                <w:rFonts w:hint="eastAsia" w:ascii="Times New Roman" w:hAnsi="Times New Roman" w:eastAsia="宋体" w:cs="Times New Roman"/>
                <w:color w:val="auto"/>
                <w:sz w:val="24"/>
                <w:szCs w:val="24"/>
                <w:lang w:val="en-US" w:eastAsia="zh-CN"/>
              </w:rPr>
              <w:t>。</w:t>
            </w:r>
          </w:p>
          <w:bookmarkEnd w:id="4"/>
          <w:bookmarkEnd w:id="5"/>
          <w:bookmarkEnd w:id="6"/>
          <w:bookmarkEnd w:id="7"/>
          <w:bookmarkEnd w:id="8"/>
          <w:p w14:paraId="12EA5E5A">
            <w:pPr>
              <w:rPr>
                <w:color w:val="auto"/>
                <w:sz w:val="21"/>
                <w:szCs w:val="21"/>
              </w:rPr>
            </w:pPr>
          </w:p>
          <w:p w14:paraId="53FFC9F4">
            <w:pPr>
              <w:pStyle w:val="21"/>
              <w:rPr>
                <w:color w:val="auto"/>
                <w:sz w:val="21"/>
                <w:szCs w:val="21"/>
                <w:lang w:val="en-US" w:eastAsia="zh-CN"/>
              </w:rPr>
            </w:pPr>
          </w:p>
        </w:tc>
      </w:tr>
    </w:tbl>
    <w:p w14:paraId="48F2099C">
      <w:pPr>
        <w:pStyle w:val="30"/>
        <w:jc w:val="both"/>
        <w:outlineLvl w:val="0"/>
        <w:rPr>
          <w:rFonts w:hint="default" w:ascii="Times New Roman" w:hAnsi="Times New Roman" w:eastAsia="宋体" w:cs="Times New Roman"/>
          <w:snapToGrid w:val="0"/>
          <w:color w:val="auto"/>
          <w:sz w:val="30"/>
          <w:szCs w:val="30"/>
          <w:vertAlign w:val="baseline"/>
        </w:rPr>
        <w:sectPr>
          <w:footerReference r:id="rId6"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6"/>
        <w:tblW w:w="14001"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3275"/>
      </w:tblGrid>
      <w:tr w14:paraId="5CB2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4" w:hRule="atLeast"/>
        </w:trPr>
        <w:tc>
          <w:tcPr>
            <w:tcW w:w="726" w:type="dxa"/>
            <w:noWrap w:val="0"/>
            <w:vAlign w:val="top"/>
          </w:tcPr>
          <w:p w14:paraId="3BFA9AC6">
            <w:pPr>
              <w:widowControl/>
              <w:spacing w:before="100" w:beforeAutospacing="1" w:after="100" w:afterAutospacing="1"/>
              <w:jc w:val="both"/>
              <w:outlineLvl w:val="0"/>
              <w:rPr>
                <w:rFonts w:hint="default" w:ascii="Times New Roman" w:hAnsi="Times New Roman" w:eastAsia="宋体" w:cs="Times New Roman"/>
                <w:snapToGrid w:val="0"/>
                <w:color w:val="auto"/>
                <w:kern w:val="0"/>
                <w:sz w:val="30"/>
                <w:szCs w:val="30"/>
                <w:vertAlign w:val="baseline"/>
                <w:lang w:val="en-US" w:eastAsia="zh-CN" w:bidi="ar-SA"/>
              </w:rPr>
            </w:pPr>
          </w:p>
        </w:tc>
        <w:tc>
          <w:tcPr>
            <w:tcW w:w="13275" w:type="dxa"/>
            <w:noWrap w:val="0"/>
            <w:vAlign w:val="top"/>
          </w:tcPr>
          <w:p w14:paraId="4C081820">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1-4 与福州市总体准入要求的符合性分析</w:t>
            </w:r>
          </w:p>
          <w:tbl>
            <w:tblPr>
              <w:tblStyle w:val="35"/>
              <w:tblW w:w="1304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565"/>
              <w:gridCol w:w="596"/>
              <w:gridCol w:w="8484"/>
              <w:gridCol w:w="2815"/>
              <w:gridCol w:w="581"/>
            </w:tblGrid>
            <w:tr w14:paraId="5C256D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noWrap w:val="0"/>
                  <w:vAlign w:val="center"/>
                </w:tcPr>
                <w:p w14:paraId="5430BD2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适用范围</w:t>
                  </w:r>
                </w:p>
              </w:tc>
              <w:tc>
                <w:tcPr>
                  <w:tcW w:w="9080" w:type="dxa"/>
                  <w:gridSpan w:val="2"/>
                  <w:noWrap w:val="0"/>
                  <w:vAlign w:val="center"/>
                </w:tcPr>
                <w:p w14:paraId="27BB6A8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准入要求</w:t>
                  </w:r>
                </w:p>
              </w:tc>
              <w:tc>
                <w:tcPr>
                  <w:tcW w:w="2815" w:type="dxa"/>
                  <w:noWrap w:val="0"/>
                  <w:vAlign w:val="center"/>
                </w:tcPr>
                <w:p w14:paraId="6186650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81" w:type="dxa"/>
                  <w:noWrap w:val="0"/>
                  <w:vAlign w:val="center"/>
                </w:tcPr>
                <w:p w14:paraId="51FC1F5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20D799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restart"/>
                  <w:noWrap w:val="0"/>
                  <w:vAlign w:val="center"/>
                </w:tcPr>
                <w:p w14:paraId="6CB2F61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福</w:t>
                  </w:r>
                  <w:r>
                    <w:rPr>
                      <w:rFonts w:hint="default" w:ascii="Times New Roman" w:hAnsi="Times New Roman" w:eastAsia="宋体" w:cs="Times New Roman"/>
                      <w:color w:val="auto"/>
                      <w:sz w:val="21"/>
                      <w:szCs w:val="21"/>
                      <w:lang w:eastAsia="zh-CN"/>
                    </w:rPr>
                    <w:t>州市</w:t>
                  </w:r>
                  <w:r>
                    <w:rPr>
                      <w:rFonts w:hint="default" w:ascii="Times New Roman" w:hAnsi="Times New Roman" w:eastAsia="宋体" w:cs="Times New Roman"/>
                      <w:color w:val="auto"/>
                      <w:sz w:val="21"/>
                      <w:szCs w:val="21"/>
                    </w:rPr>
                    <w:t>陆域</w:t>
                  </w:r>
                </w:p>
              </w:tc>
              <w:tc>
                <w:tcPr>
                  <w:tcW w:w="596" w:type="dxa"/>
                  <w:vMerge w:val="restart"/>
                  <w:noWrap w:val="0"/>
                  <w:vAlign w:val="center"/>
                </w:tcPr>
                <w:p w14:paraId="667AA24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8484" w:type="dxa"/>
                  <w:noWrap w:val="0"/>
                  <w:vAlign w:val="center"/>
                </w:tcPr>
                <w:p w14:paraId="2A575051">
                  <w:pPr>
                    <w:keepNext w:val="0"/>
                    <w:keepLines w:val="0"/>
                    <w:pageBreakBefore w:val="0"/>
                    <w:widowControl w:val="0"/>
                    <w:numPr>
                      <w:ilvl w:val="0"/>
                      <w:numId w:val="5"/>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优先保护单元中的生态保护红线</w:t>
                  </w:r>
                </w:p>
                <w:p w14:paraId="52C1FF70">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1.</w:t>
                  </w:r>
                  <w:r>
                    <w:rPr>
                      <w:rFonts w:hint="eastAsia" w:ascii="Times New Roman" w:hAnsi="Times New Roman" w:eastAsia="宋体"/>
                      <w:color w:val="auto"/>
                      <w:sz w:val="21"/>
                      <w:szCs w:val="21"/>
                      <w:lang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51E019DA">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管护巡护、保护执法、科学研究、调查监测、测绘导航、防灾减灾救灾、军事国防、疫情防控等活动及相关的必要设施修筑。</w:t>
                  </w:r>
                </w:p>
                <w:p w14:paraId="573056DB">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29FF0937">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经依法批准的考古调查发掘、古生物化石调查发掘、标本采集和文物保护活动。</w:t>
                  </w:r>
                </w:p>
                <w:p w14:paraId="17AB77A0">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按规定对人工商品林进行抚育采伐，或以提升森林质量、优化栖息地、建设生物防火隔离带等为目的的树种更新，依法开展的竹林采伐经营。</w:t>
                  </w:r>
                </w:p>
                <w:p w14:paraId="58ADB99A">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不破坏生态功能的适度参观旅游、科普宣教及符合相关规划的配套性服务设施和相关的必要公共设施建设及维护。</w:t>
                  </w:r>
                </w:p>
                <w:p w14:paraId="1240260B">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必须且无法避让、符合县级以上国土空间规划的线性基础设施、通讯和防洪、供水设施建设和船舶航行、航道疏浚清淤等活动；已有的合法水利、交通运输等设施运行维护改造。</w:t>
                  </w:r>
                </w:p>
                <w:p w14:paraId="23FE3A6D">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03CBE2FC">
                  <w:pPr>
                    <w:pStyle w:val="15"/>
                    <w:keepNext w:val="0"/>
                    <w:keepLines w:val="0"/>
                    <w:pageBreakBefore w:val="0"/>
                    <w:widowControl/>
                    <w:numPr>
                      <w:ilvl w:val="0"/>
                      <w:numId w:val="6"/>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依据县级以上国土空间规划和生态保护修复专项规划开展的生态修复。</w:t>
                  </w:r>
                </w:p>
                <w:p w14:paraId="77549EB2">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（9）法律法规规定允许的其他人为活动。</w:t>
                  </w:r>
                </w:p>
                <w:p w14:paraId="161D24A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2.依据《福建省自然资源厅福建省生态环境厅福建省林业局关于进一步加强生态保护红线监管的通知（试行）》（闽自然资发〔2023〕56号），允许占用生态保护红线的重大项目范围：</w:t>
                  </w:r>
                </w:p>
                <w:p w14:paraId="64A7AD7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（1）党中央、国务院发布文件或批准规划中明确具体名称的项目和国务院批准的项目。</w:t>
                  </w:r>
                </w:p>
                <w:p w14:paraId="7F44B49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（2）中央军委及其有关部门批准的军事国防项目。</w:t>
                  </w:r>
                </w:p>
                <w:p w14:paraId="27E716E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（3）国家级规划（指国务院及其有关部门正式颁布）明确的交通、水利项目。</w:t>
                  </w:r>
                </w:p>
                <w:p w14:paraId="71749B4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（4）国家级规划明确的电网项目，国家级规划明确的且符合国家产业政策的能源矿产勘查开采、油气管线、水电、核电项目。</w:t>
                  </w:r>
                </w:p>
                <w:p w14:paraId="71C6836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（5）为贯彻落实党中央、国务院重大决策部署，国务院投资主管部门或国务院投资主管部门会同有关部门确认的交通、能源、水利等基础设施项目。</w:t>
                  </w:r>
                </w:p>
                <w:p w14:paraId="1625C55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（6）按照国家重大项目用地保障工作机制要求，国家发展改革委会同有关部门确认的需中央加大建</w:t>
                  </w:r>
                  <w:r>
                    <w:rPr>
                      <w:rFonts w:hint="eastAsia" w:ascii="Times New Roman" w:hAnsi="Times New Roman" w:eastAsia="宋体" w:cs="Times New Roman"/>
                      <w:color w:val="auto"/>
                      <w:sz w:val="21"/>
                      <w:szCs w:val="21"/>
                      <w:lang w:eastAsia="zh-CN"/>
                    </w:rPr>
                    <w:t>设用地保障力度，确实难以避让的国家重大项目。</w:t>
                  </w:r>
                </w:p>
              </w:tc>
              <w:tc>
                <w:tcPr>
                  <w:tcW w:w="2815" w:type="dxa"/>
                  <w:noWrap w:val="0"/>
                  <w:vAlign w:val="center"/>
                </w:tcPr>
                <w:p w14:paraId="05E44764">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本项目位于福州市福清市音西街道</w:t>
                  </w:r>
                  <w:r>
                    <w:rPr>
                      <w:rFonts w:hint="eastAsia"/>
                      <w:color w:val="auto"/>
                      <w:sz w:val="21"/>
                      <w:szCs w:val="21"/>
                      <w:lang w:eastAsia="zh-CN"/>
                    </w:rPr>
                    <w:t>，</w:t>
                  </w:r>
                  <w:r>
                    <w:rPr>
                      <w:rFonts w:hint="eastAsia"/>
                      <w:color w:val="auto"/>
                      <w:sz w:val="21"/>
                      <w:szCs w:val="21"/>
                      <w:lang w:val="en-US" w:eastAsia="zh-CN"/>
                    </w:rPr>
                    <w:t>在</w:t>
                  </w:r>
                  <w:r>
                    <w:rPr>
                      <w:rFonts w:hint="eastAsia" w:ascii="Times New Roman" w:hAnsi="Times New Roman" w:eastAsia="宋体"/>
                      <w:color w:val="auto"/>
                      <w:sz w:val="21"/>
                      <w:szCs w:val="21"/>
                      <w:lang w:eastAsia="zh-CN"/>
                    </w:rPr>
                    <w:t>福建三锋汽配开发有限公司厂区内（租赁厂房四局部一层、厂房五一至三层）进行</w:t>
                  </w:r>
                  <w:r>
                    <w:rPr>
                      <w:rFonts w:hint="eastAsia"/>
                      <w:color w:val="auto"/>
                      <w:sz w:val="21"/>
                      <w:szCs w:val="21"/>
                      <w:lang w:eastAsia="zh-CN"/>
                    </w:rPr>
                    <w:t>扩建</w:t>
                  </w:r>
                  <w:r>
                    <w:rPr>
                      <w:rFonts w:hint="eastAsia" w:ascii="Times New Roman" w:hAnsi="Times New Roman" w:eastAsia="宋体"/>
                      <w:color w:val="auto"/>
                      <w:sz w:val="21"/>
                      <w:szCs w:val="21"/>
                      <w:lang w:eastAsia="zh-CN"/>
                    </w:rPr>
                    <w:t>，</w:t>
                  </w:r>
                  <w:r>
                    <w:rPr>
                      <w:rFonts w:hint="eastAsia"/>
                      <w:color w:val="auto"/>
                      <w:sz w:val="21"/>
                      <w:szCs w:val="21"/>
                      <w:lang w:val="en-US" w:eastAsia="zh-CN"/>
                    </w:rPr>
                    <w:t>属于</w:t>
                  </w:r>
                  <w:r>
                    <w:rPr>
                      <w:rFonts w:hint="eastAsia" w:ascii="Times New Roman" w:hAnsi="Times New Roman" w:eastAsia="宋体"/>
                      <w:color w:val="auto"/>
                      <w:sz w:val="21"/>
                      <w:szCs w:val="21"/>
                      <w:lang w:eastAsia="zh-CN"/>
                    </w:rPr>
                    <w:t>福清融侨经济技术开发区范围内，项目</w:t>
                  </w:r>
                  <w:r>
                    <w:rPr>
                      <w:rFonts w:hint="eastAsia" w:ascii="Times New Roman" w:hAnsi="Times New Roman" w:eastAsia="宋体"/>
                      <w:color w:val="auto"/>
                      <w:sz w:val="21"/>
                      <w:szCs w:val="21"/>
                      <w:lang w:val="en-US" w:eastAsia="zh-CN"/>
                    </w:rPr>
                    <w:t>不</w:t>
                  </w:r>
                  <w:r>
                    <w:rPr>
                      <w:rFonts w:hint="eastAsia" w:ascii="Times New Roman" w:hAnsi="Times New Roman" w:eastAsia="宋体"/>
                      <w:color w:val="auto"/>
                      <w:sz w:val="21"/>
                      <w:szCs w:val="21"/>
                      <w:lang w:eastAsia="zh-CN"/>
                    </w:rPr>
                    <w:t>涉及生态保护红线。</w:t>
                  </w:r>
                </w:p>
              </w:tc>
              <w:tc>
                <w:tcPr>
                  <w:tcW w:w="581" w:type="dxa"/>
                  <w:noWrap w:val="0"/>
                  <w:vAlign w:val="center"/>
                </w:tcPr>
                <w:p w14:paraId="23520EA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14:paraId="60E8ED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4AB0884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Merge w:val="continue"/>
                  <w:noWrap w:val="0"/>
                  <w:vAlign w:val="center"/>
                </w:tcPr>
                <w:p w14:paraId="0BDB978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484" w:type="dxa"/>
                  <w:noWrap w:val="0"/>
                  <w:vAlign w:val="center"/>
                </w:tcPr>
                <w:p w14:paraId="22BF32A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二、优先保护单元中的一般生态空间</w:t>
                  </w:r>
                </w:p>
                <w:p w14:paraId="272C436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1.一般生态空间以保护和修复生态环境、提供生态产品和服务为首要任务，因地制宜地发展不影响主体功能定位的适宜产业。</w:t>
                  </w:r>
                </w:p>
                <w:p w14:paraId="741F2D2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2.一般生态空间内未纳入生态保护红线的饮用水水源保护区等各类法定保护地，其管控要求依照相关法律法规执行。</w:t>
                  </w:r>
                </w:p>
                <w:p w14:paraId="0C1FCF1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color w:val="auto"/>
                      <w:sz w:val="21"/>
                      <w:szCs w:val="21"/>
                      <w:lang w:eastAsia="zh-CN"/>
                    </w:rPr>
                    <w:t>3.一般生态空间内现有合法的水泥厂、矿山开发等生产性设施及生活垃圾处置等民生工程予以保留，应按照法律法规要求落实污染防治和生态保护措施，避免对生态功能造成破坏。</w:t>
                  </w:r>
                </w:p>
              </w:tc>
              <w:tc>
                <w:tcPr>
                  <w:tcW w:w="2815" w:type="dxa"/>
                  <w:noWrap w:val="0"/>
                  <w:vAlign w:val="center"/>
                </w:tcPr>
                <w:p w14:paraId="759D77D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olor w:val="auto"/>
                      <w:sz w:val="21"/>
                      <w:szCs w:val="21"/>
                      <w:lang w:eastAsia="zh-CN"/>
                    </w:rPr>
                    <w:t>本项目</w:t>
                  </w:r>
                  <w:r>
                    <w:rPr>
                      <w:rFonts w:hint="eastAsia"/>
                      <w:color w:val="auto"/>
                      <w:sz w:val="21"/>
                      <w:szCs w:val="21"/>
                      <w:lang w:eastAsia="zh-CN"/>
                    </w:rPr>
                    <w:t>在</w:t>
                  </w:r>
                  <w:r>
                    <w:rPr>
                      <w:rFonts w:hint="eastAsia" w:ascii="Times New Roman" w:hAnsi="Times New Roman" w:eastAsia="宋体"/>
                      <w:color w:val="auto"/>
                      <w:sz w:val="21"/>
                      <w:szCs w:val="21"/>
                      <w:lang w:eastAsia="zh-CN"/>
                    </w:rPr>
                    <w:t>福建三锋汽配开发有限公司厂区内（租赁厂房四局部一层、厂房五一至三层）进行</w:t>
                  </w:r>
                  <w:r>
                    <w:rPr>
                      <w:rFonts w:hint="eastAsia"/>
                      <w:color w:val="auto"/>
                      <w:sz w:val="21"/>
                      <w:szCs w:val="21"/>
                      <w:lang w:eastAsia="zh-CN"/>
                    </w:rPr>
                    <w:t>扩建</w:t>
                  </w:r>
                  <w:r>
                    <w:rPr>
                      <w:rFonts w:hint="eastAsia" w:ascii="Times New Roman" w:hAnsi="Times New Roman" w:eastAsia="宋体"/>
                      <w:color w:val="auto"/>
                      <w:sz w:val="21"/>
                      <w:szCs w:val="21"/>
                      <w:lang w:eastAsia="zh-CN"/>
                    </w:rPr>
                    <w:t>，</w:t>
                  </w:r>
                  <w:r>
                    <w:rPr>
                      <w:rFonts w:hint="eastAsia"/>
                      <w:color w:val="auto"/>
                      <w:sz w:val="21"/>
                      <w:szCs w:val="21"/>
                      <w:lang w:val="en-US" w:eastAsia="zh-CN"/>
                    </w:rPr>
                    <w:t>属于</w:t>
                  </w:r>
                  <w:r>
                    <w:rPr>
                      <w:rFonts w:hint="eastAsia" w:ascii="Times New Roman" w:hAnsi="Times New Roman" w:eastAsia="宋体"/>
                      <w:color w:val="auto"/>
                      <w:sz w:val="21"/>
                      <w:szCs w:val="21"/>
                      <w:lang w:eastAsia="zh-CN"/>
                    </w:rPr>
                    <w:t>福清融侨经济技术开发区范围内，项目</w:t>
                  </w:r>
                  <w:r>
                    <w:rPr>
                      <w:rFonts w:hint="eastAsia" w:ascii="Times New Roman" w:hAnsi="Times New Roman" w:eastAsia="宋体"/>
                      <w:color w:val="auto"/>
                      <w:sz w:val="21"/>
                      <w:szCs w:val="21"/>
                      <w:lang w:val="en-US" w:eastAsia="zh-CN"/>
                    </w:rPr>
                    <w:t>不</w:t>
                  </w:r>
                  <w:r>
                    <w:rPr>
                      <w:rFonts w:hint="eastAsia" w:ascii="Times New Roman" w:hAnsi="Times New Roman" w:eastAsia="宋体"/>
                      <w:color w:val="auto"/>
                      <w:sz w:val="21"/>
                      <w:szCs w:val="21"/>
                      <w:lang w:eastAsia="zh-CN"/>
                    </w:rPr>
                    <w:t>涉及一般生态空间。</w:t>
                  </w:r>
                </w:p>
              </w:tc>
              <w:tc>
                <w:tcPr>
                  <w:tcW w:w="581" w:type="dxa"/>
                  <w:noWrap w:val="0"/>
                  <w:vAlign w:val="center"/>
                </w:tcPr>
                <w:p w14:paraId="6B3C906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507AAC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565" w:type="dxa"/>
                  <w:vMerge w:val="continue"/>
                  <w:noWrap w:val="0"/>
                  <w:vAlign w:val="center"/>
                </w:tcPr>
                <w:p w14:paraId="4D11775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vMerge w:val="continue"/>
                  <w:noWrap w:val="0"/>
                  <w:vAlign w:val="center"/>
                </w:tcPr>
                <w:p w14:paraId="7890047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484" w:type="dxa"/>
                  <w:noWrap w:val="0"/>
                  <w:vAlign w:val="center"/>
                </w:tcPr>
                <w:p w14:paraId="33A175D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b/>
                      <w:bCs/>
                      <w:color w:val="auto"/>
                      <w:sz w:val="21"/>
                      <w:szCs w:val="21"/>
                      <w:lang w:eastAsia="zh-CN"/>
                    </w:rPr>
                    <w:t>三</w:t>
                  </w:r>
                  <w:r>
                    <w:rPr>
                      <w:rFonts w:hint="eastAsia" w:ascii="Times New Roman" w:hAnsi="Times New Roman" w:eastAsia="宋体" w:cs="Times New Roman"/>
                      <w:b/>
                      <w:bCs/>
                      <w:color w:val="auto"/>
                      <w:sz w:val="21"/>
                      <w:szCs w:val="21"/>
                      <w:lang w:eastAsia="zh-CN"/>
                    </w:rPr>
                    <w:t>、其他要求</w:t>
                  </w:r>
                </w:p>
                <w:p w14:paraId="7626860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1.福州市石化中上游项目重点在福州江阴港城经济区、可门港经济区化工新材料产业园布局。</w:t>
                  </w:r>
                </w:p>
                <w:p w14:paraId="705FA3E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2.禁止在闽江马尾罗星塔以上流域范围新、扩建制革项目，严控新（扩）建植物制浆、印染、合成革及人造革、电镀项目。</w:t>
                  </w:r>
                </w:p>
                <w:p w14:paraId="150B58F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3.禁止在通风廊道和主导风向的上风向布局大气重污染企业，推进建成区大气重污染企业搬迁或升级改造、环境风险企业搬迁或关闭退出。</w:t>
                  </w:r>
                </w:p>
                <w:p w14:paraId="356FC6A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4.禁止新、改、扩建生产高VOCs含量有机溶剂型涂料、油墨和胶黏剂的项目。</w:t>
                  </w:r>
                </w:p>
                <w:p w14:paraId="534DFC3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5.持续加强闽清等地建陶产业的环境综合治理，充分衔接国土空间规划和生态环境分区管控，并对照产业政策、城市总体发展规划等要求，进一步明确发展定位，优化产业布局和规模。</w:t>
                  </w:r>
                </w:p>
                <w:p w14:paraId="468E208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6.新建、扩建的涉及重点重金属污染物</w:t>
                  </w:r>
                  <w:r>
                    <w:rPr>
                      <w:rFonts w:hint="eastAsia" w:ascii="Times New Roman" w:hAnsi="Times New Roman" w:eastAsia="宋体" w:cs="Times New Roman"/>
                      <w:b w:val="0"/>
                      <w:bCs w:val="0"/>
                      <w:color w:val="auto"/>
                      <w:sz w:val="21"/>
                      <w:szCs w:val="21"/>
                      <w:vertAlign w:val="superscript"/>
                      <w:lang w:val="en-US" w:eastAsia="zh-CN"/>
                    </w:rPr>
                    <w:t>[1]</w:t>
                  </w:r>
                  <w:r>
                    <w:rPr>
                      <w:rFonts w:hint="eastAsia" w:ascii="Times New Roman" w:hAnsi="Times New Roman" w:eastAsia="宋体" w:cs="Times New Roman"/>
                      <w:b w:val="0"/>
                      <w:bCs w:val="0"/>
                      <w:color w:val="auto"/>
                      <w:sz w:val="21"/>
                      <w:szCs w:val="21"/>
                      <w:lang w:eastAsia="zh-CN"/>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7790ACC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7.禁止在流域上游新建、扩建重污染企业和项目。</w:t>
                  </w:r>
                </w:p>
                <w:p w14:paraId="0BC2C59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8.重要敏感水体及富营养化湖库生态缓冲带除相关政府部门批准的科学研究活动外，禁止其它可能对保护区构成危害或不良影响的大规模生产、建设活动。</w:t>
                  </w:r>
                </w:p>
                <w:p w14:paraId="1A4379C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9.新、改、扩建煤电、钢铁、建材、石化、化工等“两高”项目，严格落实国家、省、市产业规划、产业政策、“三线一单”、规划环评，以及产能置换、煤炭消费减量替代、区域污染削减等相关要求。</w:t>
                  </w:r>
                </w:p>
                <w:p w14:paraId="4BCD53AB">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10.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815" w:type="dxa"/>
                  <w:noWrap w:val="0"/>
                  <w:vAlign w:val="center"/>
                </w:tcPr>
                <w:p w14:paraId="4275AF2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1.项目不属于石化项目；</w:t>
                  </w:r>
                </w:p>
                <w:p w14:paraId="614F4EF6">
                  <w:pPr>
                    <w:pStyle w:val="15"/>
                    <w:keepNext w:val="0"/>
                    <w:keepLines w:val="0"/>
                    <w:pageBreakBefore w:val="0"/>
                    <w:kinsoku/>
                    <w:wordWrap/>
                    <w:overflowPunct/>
                    <w:topLinePunct w:val="0"/>
                    <w:autoSpaceDE/>
                    <w:autoSpaceDN/>
                    <w:bidi w:val="0"/>
                    <w:spacing w:before="0" w:after="0" w:line="240" w:lineRule="auto"/>
                    <w:ind w:right="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2.项目不属于制革项目，也不属于植物制浆、印染、合成革及人造革、电镀项目；</w:t>
                  </w:r>
                </w:p>
                <w:p w14:paraId="1B8F591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3.项目废气经处理后可达标排放，不属于大气重污染企业；</w:t>
                  </w:r>
                </w:p>
                <w:p w14:paraId="6D9B716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4.项目不属于生产高VOCs含量有机溶剂型涂料、油墨和胶黏剂的项目；</w:t>
                  </w:r>
                </w:p>
                <w:p w14:paraId="3C300B1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5.项目不属于建陶行业；</w:t>
                  </w:r>
                </w:p>
                <w:p w14:paraId="1D214C9E">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6.项目不涉及重点重金属污染物排放，不属于低端落后产能项目，不涉及使用汞的电石法（聚）氯乙烯生产工艺，不属于电镀企业；</w:t>
                  </w:r>
                </w:p>
                <w:p w14:paraId="5EA05E2E">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7.项目不属于重污染企业和项目；</w:t>
                  </w:r>
                </w:p>
                <w:p w14:paraId="73E1C393">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8.项目不位于重要敏感水体及富营养化湖库生态缓冲带；</w:t>
                  </w:r>
                </w:p>
                <w:p w14:paraId="5C13853A">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9.项目不属于煤电、钢铁、建材、石化、化工等“两高”项目；</w:t>
                  </w:r>
                </w:p>
                <w:p w14:paraId="145BC76D">
                  <w:pPr>
                    <w:keepNext w:val="0"/>
                    <w:keepLines w:val="0"/>
                    <w:pageBreakBefore w:val="0"/>
                    <w:kinsoku/>
                    <w:wordWrap/>
                    <w:overflowPunct/>
                    <w:topLinePunct w:val="0"/>
                    <w:autoSpaceDE/>
                    <w:autoSpaceDN/>
                    <w:bidi w:val="0"/>
                    <w:spacing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10.项目用地不涉及永久基本农田、防风固沙林、农田保护林。</w:t>
                  </w:r>
                </w:p>
              </w:tc>
              <w:tc>
                <w:tcPr>
                  <w:tcW w:w="581" w:type="dxa"/>
                  <w:noWrap w:val="0"/>
                  <w:vAlign w:val="center"/>
                </w:tcPr>
                <w:p w14:paraId="6366A8F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29D586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380" w:hRule="atLeast"/>
              </w:trPr>
              <w:tc>
                <w:tcPr>
                  <w:tcW w:w="565" w:type="dxa"/>
                  <w:vMerge w:val="continue"/>
                  <w:noWrap w:val="0"/>
                  <w:vAlign w:val="center"/>
                </w:tcPr>
                <w:p w14:paraId="102B89C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739A93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8484" w:type="dxa"/>
                  <w:noWrap w:val="0"/>
                  <w:vAlign w:val="center"/>
                </w:tcPr>
                <w:p w14:paraId="06878670">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0490DE4D">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2.新、改、扩建涉VOCs排放项目，应从源头加强控制，使用低（无）VOCs含量的原辅材料，实施新建项目VOCs排放区域内1.2及以上倍量替代。</w:t>
                  </w:r>
                </w:p>
                <w:p w14:paraId="779F2A74">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3.严格控制新建、</w:t>
                  </w:r>
                  <w:r>
                    <w:rPr>
                      <w:rFonts w:hint="eastAsia" w:cs="Times New Roman"/>
                      <w:color w:val="auto"/>
                      <w:sz w:val="21"/>
                      <w:szCs w:val="21"/>
                      <w:lang w:eastAsia="zh-CN"/>
                    </w:rPr>
                    <w:t>改建</w:t>
                  </w:r>
                  <w:r>
                    <w:rPr>
                      <w:rFonts w:hint="default" w:ascii="Times New Roman" w:hAnsi="Times New Roman" w:eastAsia="宋体" w:cs="Times New Roman"/>
                      <w:color w:val="auto"/>
                      <w:sz w:val="21"/>
                      <w:szCs w:val="21"/>
                    </w:rPr>
                    <w:t>、扩建钢铁、水泥、平板玻璃、有色金属冶炼、化工等工业项目。新</w:t>
                  </w:r>
                  <w:r>
                    <w:rPr>
                      <w:rFonts w:hint="eastAsia" w:cs="Times New Roman"/>
                      <w:color w:val="auto"/>
                      <w:sz w:val="21"/>
                      <w:szCs w:val="21"/>
                      <w:lang w:eastAsia="zh-CN"/>
                    </w:rPr>
                    <w:t>改扩建</w:t>
                  </w:r>
                  <w:r>
                    <w:rPr>
                      <w:rFonts w:hint="default" w:ascii="Times New Roman" w:hAnsi="Times New Roman" w:eastAsia="宋体" w:cs="Times New Roman"/>
                      <w:color w:val="auto"/>
                      <w:sz w:val="21"/>
                      <w:szCs w:val="21"/>
                    </w:rPr>
                    <w:t>钢铁、火电项目应执行超低排放限值，有色项目应当执行大气污染物特别排放限值。重点控制区新建化工、石化应当执行大气污染物特别排放限值。</w:t>
                  </w:r>
                </w:p>
                <w:p w14:paraId="268E06DF">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14:paraId="5CB44B7F">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14:paraId="1EF435B4">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14:paraId="02778173">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w:t>
                  </w:r>
                  <w:r>
                    <w:rPr>
                      <w:rFonts w:hint="eastAsia" w:cs="Times New Roman"/>
                      <w:color w:val="auto"/>
                      <w:sz w:val="21"/>
                      <w:szCs w:val="21"/>
                      <w:lang w:eastAsia="zh-CN"/>
                    </w:rPr>
                    <w:t>改扩建</w:t>
                  </w:r>
                  <w:r>
                    <w:rPr>
                      <w:rFonts w:hint="default" w:ascii="Times New Roman" w:hAnsi="Times New Roman" w:eastAsia="宋体" w:cs="Times New Roman"/>
                      <w:color w:val="auto"/>
                      <w:sz w:val="21"/>
                      <w:szCs w:val="21"/>
                    </w:rPr>
                    <w:t>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14:paraId="672A8A41">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2815" w:type="dxa"/>
                  <w:noWrap w:val="0"/>
                  <w:vAlign w:val="center"/>
                </w:tcPr>
                <w:p w14:paraId="22095E5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1.本项目</w:t>
                  </w:r>
                  <w:r>
                    <w:rPr>
                      <w:rFonts w:hint="eastAsia" w:cs="Times New Roman"/>
                      <w:color w:val="auto"/>
                      <w:sz w:val="21"/>
                      <w:szCs w:val="21"/>
                      <w:lang w:val="en-US" w:eastAsia="zh-CN"/>
                    </w:rPr>
                    <w:t>在</w:t>
                  </w:r>
                  <w:r>
                    <w:rPr>
                      <w:rFonts w:hint="eastAsia" w:ascii="Times New Roman" w:hAnsi="Times New Roman" w:eastAsia="宋体" w:cs="Times New Roman"/>
                      <w:color w:val="auto"/>
                      <w:sz w:val="21"/>
                      <w:szCs w:val="21"/>
                      <w:lang w:val="en-US" w:eastAsia="zh-CN"/>
                    </w:rPr>
                    <w:t>福建三锋汽配开发有限公司厂区内（租赁厂房四局部一层、厂房五一至三层）进行扩建，无新增占地，</w:t>
                  </w:r>
                  <w:r>
                    <w:rPr>
                      <w:rFonts w:hint="eastAsia" w:cs="Times New Roman"/>
                      <w:color w:val="auto"/>
                      <w:sz w:val="21"/>
                      <w:szCs w:val="21"/>
                      <w:lang w:val="en-US" w:eastAsia="zh-CN"/>
                    </w:rPr>
                    <w:t>无生产废水产生，生活污水无需纳入总量控制，不涉及新增大气污染物二氧化硫、氮氧化物排放</w:t>
                  </w:r>
                  <w:r>
                    <w:rPr>
                      <w:rFonts w:hint="eastAsia" w:ascii="Times New Roman" w:hAnsi="Times New Roman" w:eastAsia="宋体" w:cs="Times New Roman"/>
                      <w:color w:val="auto"/>
                      <w:sz w:val="21"/>
                      <w:szCs w:val="21"/>
                      <w:lang w:val="en-US" w:eastAsia="zh-CN"/>
                    </w:rPr>
                    <w:t>；</w:t>
                  </w:r>
                </w:p>
                <w:p w14:paraId="41F3A8A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2.本项目使用</w:t>
                  </w:r>
                  <w:r>
                    <w:rPr>
                      <w:rFonts w:hint="eastAsia" w:cs="Times New Roman"/>
                      <w:color w:val="auto"/>
                      <w:sz w:val="21"/>
                      <w:szCs w:val="21"/>
                      <w:lang w:val="en-US" w:eastAsia="zh-CN"/>
                    </w:rPr>
                    <w:t>PBT</w:t>
                  </w:r>
                  <w:r>
                    <w:rPr>
                      <w:rFonts w:hint="eastAsia" w:ascii="Times New Roman" w:hAnsi="Times New Roman" w:eastAsia="宋体" w:cs="Times New Roman"/>
                      <w:color w:val="auto"/>
                      <w:sz w:val="21"/>
                      <w:szCs w:val="21"/>
                      <w:lang w:val="en-US" w:eastAsia="zh-CN"/>
                    </w:rPr>
                    <w:t>、PC/ABS、P</w:t>
                  </w:r>
                  <w:r>
                    <w:rPr>
                      <w:rFonts w:hint="eastAsia" w:cs="Times New Roman"/>
                      <w:color w:val="auto"/>
                      <w:sz w:val="21"/>
                      <w:szCs w:val="21"/>
                      <w:lang w:val="en-US" w:eastAsia="zh-CN"/>
                    </w:rPr>
                    <w:t>A6/PA66、PP、PVC、TPV</w:t>
                  </w:r>
                  <w:r>
                    <w:rPr>
                      <w:rFonts w:hint="eastAsia" w:ascii="Times New Roman" w:hAnsi="Times New Roman" w:eastAsia="宋体" w:cs="Times New Roman"/>
                      <w:color w:val="auto"/>
                      <w:sz w:val="21"/>
                      <w:szCs w:val="21"/>
                      <w:lang w:val="en-US" w:eastAsia="zh-CN"/>
                    </w:rPr>
                    <w:t>塑料颗粒为原料，不外购使用再生料，</w:t>
                  </w:r>
                  <w:r>
                    <w:rPr>
                      <w:rFonts w:hint="eastAsia" w:cs="Times New Roman"/>
                      <w:color w:val="auto"/>
                      <w:sz w:val="21"/>
                      <w:szCs w:val="21"/>
                      <w:lang w:val="en-US" w:eastAsia="zh-CN"/>
                    </w:rPr>
                    <w:t>涂胶</w:t>
                  </w:r>
                  <w:r>
                    <w:rPr>
                      <w:rFonts w:hint="eastAsia" w:ascii="Times New Roman" w:hAnsi="Times New Roman" w:eastAsia="宋体" w:cs="Times New Roman"/>
                      <w:color w:val="auto"/>
                      <w:sz w:val="21"/>
                      <w:szCs w:val="21"/>
                      <w:lang w:val="en-US" w:eastAsia="zh-CN"/>
                    </w:rPr>
                    <w:t>工序使用</w:t>
                  </w:r>
                  <w:r>
                    <w:rPr>
                      <w:rFonts w:hint="eastAsia" w:cs="Times New Roman"/>
                      <w:color w:val="auto"/>
                      <w:sz w:val="21"/>
                      <w:szCs w:val="21"/>
                      <w:lang w:val="en-US" w:eastAsia="zh-CN"/>
                    </w:rPr>
                    <w:t>的底涂剂用量较小且因工艺要求暂无低VOCs含量的物料替代</w:t>
                  </w:r>
                  <w:r>
                    <w:rPr>
                      <w:rFonts w:hint="eastAsia"/>
                      <w:color w:val="auto"/>
                      <w:szCs w:val="21"/>
                    </w:rPr>
                    <w:t>，</w:t>
                  </w:r>
                  <w:r>
                    <w:rPr>
                      <w:rFonts w:hint="eastAsia"/>
                      <w:color w:val="auto"/>
                      <w:szCs w:val="21"/>
                      <w:lang w:eastAsia="zh-CN"/>
                    </w:rPr>
                    <w:t>本项目新增VOCs排放，区域内实行倍量替代</w:t>
                  </w:r>
                  <w:r>
                    <w:rPr>
                      <w:rFonts w:hint="eastAsia" w:ascii="Times New Roman" w:hAnsi="Times New Roman" w:eastAsia="宋体" w:cs="Times New Roman"/>
                      <w:color w:val="auto"/>
                      <w:sz w:val="21"/>
                      <w:szCs w:val="21"/>
                      <w:lang w:val="en-US" w:eastAsia="zh-CN"/>
                    </w:rPr>
                    <w:t>；</w:t>
                  </w:r>
                </w:p>
                <w:p w14:paraId="0F97437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3.项目不属于钢铁、水泥、平板玻璃、有色金属冶炼、化工等工业项目；</w:t>
                  </w:r>
                </w:p>
                <w:p w14:paraId="7146785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4.项目不属于氟化工、印染、电镀等行业企业；</w:t>
                  </w:r>
                </w:p>
                <w:p w14:paraId="09D8627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5.项目不属于重点行业，不涉及重点重金属污染物排放；</w:t>
                  </w:r>
                </w:p>
                <w:p w14:paraId="5151DA8F">
                  <w:pPr>
                    <w:pStyle w:val="15"/>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6.项目不涉及燃煤、燃油、燃生物质锅炉使用；</w:t>
                  </w:r>
                </w:p>
                <w:p w14:paraId="14ED0ABF">
                  <w:pPr>
                    <w:keepNext w:val="0"/>
                    <w:keepLines w:val="0"/>
                    <w:pageBreakBefore w:val="0"/>
                    <w:kinsoku/>
                    <w:wordWrap/>
                    <w:overflowPunct/>
                    <w:topLinePunct w:val="0"/>
                    <w:autoSpaceDE/>
                    <w:autoSpaceDN/>
                    <w:bidi w:val="0"/>
                    <w:spacing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7.项目不属于水泥行业；</w:t>
                  </w:r>
                </w:p>
                <w:p w14:paraId="4D6F4E92">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8.项目不属于化工项目，选址不位于化工园区，不属于印染、皮革、农药、医药、涂料等行业。</w:t>
                  </w:r>
                </w:p>
              </w:tc>
              <w:tc>
                <w:tcPr>
                  <w:tcW w:w="581" w:type="dxa"/>
                  <w:noWrap w:val="0"/>
                  <w:vAlign w:val="center"/>
                </w:tcPr>
                <w:p w14:paraId="374FC42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9E353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78135E9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6CE09C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环境风险防控</w:t>
                  </w:r>
                </w:p>
              </w:tc>
              <w:tc>
                <w:tcPr>
                  <w:tcW w:w="8484" w:type="dxa"/>
                  <w:noWrap w:val="0"/>
                  <w:vAlign w:val="center"/>
                </w:tcPr>
                <w:p w14:paraId="22AD737E">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无</w:t>
                  </w:r>
                </w:p>
              </w:tc>
              <w:tc>
                <w:tcPr>
                  <w:tcW w:w="2815" w:type="dxa"/>
                  <w:noWrap w:val="0"/>
                  <w:vAlign w:val="center"/>
                </w:tcPr>
                <w:p w14:paraId="0DFE939C">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p>
              </w:tc>
              <w:tc>
                <w:tcPr>
                  <w:tcW w:w="581" w:type="dxa"/>
                  <w:noWrap w:val="0"/>
                  <w:vAlign w:val="center"/>
                </w:tcPr>
                <w:p w14:paraId="7B5CEA2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r>
            <w:tr w14:paraId="694064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65" w:type="dxa"/>
                  <w:vMerge w:val="continue"/>
                  <w:noWrap w:val="0"/>
                  <w:vAlign w:val="center"/>
                </w:tcPr>
                <w:p w14:paraId="4B5F8DA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96" w:type="dxa"/>
                  <w:noWrap w:val="0"/>
                  <w:vAlign w:val="center"/>
                </w:tcPr>
                <w:p w14:paraId="04C8CC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资源开发效率要求</w:t>
                  </w:r>
                </w:p>
              </w:tc>
              <w:tc>
                <w:tcPr>
                  <w:tcW w:w="8484" w:type="dxa"/>
                  <w:noWrap w:val="0"/>
                  <w:vAlign w:val="center"/>
                </w:tcPr>
                <w:p w14:paraId="0729CF3D">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533F4266">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2.按照“提气、转电、控煤”的发展思路，推动陶瓷行业进一步优化用能结构，实现能源消费清洁低碳化</w:t>
                  </w:r>
                </w:p>
              </w:tc>
              <w:tc>
                <w:tcPr>
                  <w:tcW w:w="2815" w:type="dxa"/>
                  <w:noWrap w:val="0"/>
                  <w:vAlign w:val="center"/>
                </w:tcPr>
                <w:p w14:paraId="6E6789A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1.项目不涉及燃煤、燃油、燃生物质等高污染燃料锅炉的使用；</w:t>
                  </w:r>
                </w:p>
                <w:p w14:paraId="7A519091">
                  <w:pPr>
                    <w:pStyle w:val="15"/>
                    <w:keepNext w:val="0"/>
                    <w:keepLines w:val="0"/>
                    <w:pageBreakBefore w:val="0"/>
                    <w:kinsoku/>
                    <w:wordWrap/>
                    <w:overflowPunct/>
                    <w:topLinePunct w:val="0"/>
                    <w:autoSpaceDE/>
                    <w:autoSpaceDN/>
                    <w:bidi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2.项目不属于陶瓷行业。</w:t>
                  </w:r>
                </w:p>
              </w:tc>
              <w:tc>
                <w:tcPr>
                  <w:tcW w:w="581" w:type="dxa"/>
                  <w:noWrap w:val="0"/>
                  <w:vAlign w:val="center"/>
                </w:tcPr>
                <w:p w14:paraId="1FFDB8C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14:paraId="58C674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trPr>
              <w:tc>
                <w:tcPr>
                  <w:tcW w:w="13041" w:type="dxa"/>
                  <w:gridSpan w:val="5"/>
                  <w:noWrap w:val="0"/>
                  <w:vAlign w:val="center"/>
                </w:tcPr>
                <w:p w14:paraId="0C3FF3FE">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备注：</w:t>
                  </w:r>
                  <w:r>
                    <w:rPr>
                      <w:rFonts w:hint="default" w:ascii="Times New Roman" w:hAnsi="Times New Roman" w:eastAsia="宋体" w:cs="Times New Roman"/>
                      <w:b w:val="0"/>
                      <w:bCs w:val="0"/>
                      <w:color w:val="auto"/>
                      <w:sz w:val="21"/>
                      <w:szCs w:val="21"/>
                      <w:lang w:val="en-US" w:eastAsia="zh-CN"/>
                    </w:rPr>
                    <w:t xml:space="preserve">［1］重点重金属污染物：包括铅、汞、镉、铬、砷、铊和锑，对其中铅、汞、镉、铬和砷五种重点重金属污染物排放量实施总量控制。 </w:t>
                  </w:r>
                </w:p>
                <w:p w14:paraId="1E1814E1">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 </w:t>
                  </w:r>
                </w:p>
                <w:p w14:paraId="4908C54E">
                  <w:pPr>
                    <w:pStyle w:val="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［3］水泥行业超低排放实施范围：包括水泥熟料生产企业和独立水泥粉磨站（含生产特种水泥、协同处置固废的水泥企业）。 </w:t>
                  </w:r>
                </w:p>
                <w:p w14:paraId="01E9F74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［4］水泥企业超低排放：是指所有生产环节（破碎、粉磨、配料、熟料煅烧、烘干、协同处置等，以及原料、燃料和产品储存运输）的大气污染物有组织、无组织排放及运输过程达到超低排放要求。</w:t>
                  </w:r>
                </w:p>
              </w:tc>
            </w:tr>
          </w:tbl>
          <w:p w14:paraId="2416C3D5">
            <w:pPr>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eastAsia"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1-5 与环境管控单元准入要求符合性分析</w:t>
            </w:r>
          </w:p>
          <w:tbl>
            <w:tblPr>
              <w:tblStyle w:val="36"/>
              <w:tblW w:w="130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046"/>
              <w:gridCol w:w="869"/>
              <w:gridCol w:w="639"/>
              <w:gridCol w:w="4744"/>
              <w:gridCol w:w="3916"/>
              <w:gridCol w:w="805"/>
            </w:tblGrid>
            <w:tr w14:paraId="01913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tcBorders>
                    <w:tl2br w:val="nil"/>
                    <w:tr2bl w:val="nil"/>
                  </w:tcBorders>
                  <w:noWrap w:val="0"/>
                  <w:vAlign w:val="center"/>
                </w:tcPr>
                <w:p w14:paraId="766D26A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环境管控单元编码</w:t>
                  </w:r>
                </w:p>
              </w:tc>
              <w:tc>
                <w:tcPr>
                  <w:tcW w:w="1046" w:type="dxa"/>
                  <w:tcBorders>
                    <w:tl2br w:val="nil"/>
                    <w:tr2bl w:val="nil"/>
                  </w:tcBorders>
                  <w:noWrap w:val="0"/>
                  <w:vAlign w:val="center"/>
                </w:tcPr>
                <w:p w14:paraId="12FC2BC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环境管控单元名称</w:t>
                  </w:r>
                </w:p>
              </w:tc>
              <w:tc>
                <w:tcPr>
                  <w:tcW w:w="869" w:type="dxa"/>
                  <w:tcBorders>
                    <w:tl2br w:val="nil"/>
                    <w:tr2bl w:val="nil"/>
                  </w:tcBorders>
                  <w:noWrap w:val="0"/>
                  <w:vAlign w:val="center"/>
                </w:tcPr>
                <w:p w14:paraId="2D64F42B">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管控单元分类</w:t>
                  </w:r>
                </w:p>
              </w:tc>
              <w:tc>
                <w:tcPr>
                  <w:tcW w:w="5383" w:type="dxa"/>
                  <w:gridSpan w:val="2"/>
                  <w:tcBorders>
                    <w:tl2br w:val="nil"/>
                    <w:tr2bl w:val="nil"/>
                  </w:tcBorders>
                  <w:noWrap w:val="0"/>
                  <w:vAlign w:val="center"/>
                </w:tcPr>
                <w:p w14:paraId="661C47E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管控要求</w:t>
                  </w:r>
                </w:p>
              </w:tc>
              <w:tc>
                <w:tcPr>
                  <w:tcW w:w="3916" w:type="dxa"/>
                  <w:tcBorders>
                    <w:tl2br w:val="nil"/>
                    <w:tr2bl w:val="nil"/>
                  </w:tcBorders>
                  <w:noWrap w:val="0"/>
                  <w:vAlign w:val="center"/>
                </w:tcPr>
                <w:p w14:paraId="52CC4A6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本项目</w:t>
                  </w:r>
                </w:p>
              </w:tc>
              <w:tc>
                <w:tcPr>
                  <w:tcW w:w="805" w:type="dxa"/>
                  <w:tcBorders>
                    <w:tl2br w:val="nil"/>
                    <w:tr2bl w:val="nil"/>
                  </w:tcBorders>
                  <w:noWrap w:val="0"/>
                  <w:vAlign w:val="center"/>
                </w:tcPr>
                <w:p w14:paraId="61E76A9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符合性</w:t>
                  </w:r>
                </w:p>
              </w:tc>
            </w:tr>
            <w:tr w14:paraId="7CC80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restart"/>
                  <w:tcBorders>
                    <w:tl2br w:val="nil"/>
                    <w:tr2bl w:val="nil"/>
                  </w:tcBorders>
                  <w:noWrap w:val="0"/>
                  <w:vAlign w:val="center"/>
                </w:tcPr>
                <w:p w14:paraId="4758400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ZH35018120008</w:t>
                  </w:r>
                </w:p>
              </w:tc>
              <w:tc>
                <w:tcPr>
                  <w:tcW w:w="1046" w:type="dxa"/>
                  <w:vMerge w:val="restart"/>
                  <w:tcBorders>
                    <w:tl2br w:val="nil"/>
                    <w:tr2bl w:val="nil"/>
                  </w:tcBorders>
                  <w:noWrap w:val="0"/>
                  <w:vAlign w:val="center"/>
                </w:tcPr>
                <w:p w14:paraId="1684BCE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rPr>
                    <w:t>福清市重点管控单元1</w:t>
                  </w:r>
                </w:p>
              </w:tc>
              <w:tc>
                <w:tcPr>
                  <w:tcW w:w="869" w:type="dxa"/>
                  <w:vMerge w:val="restart"/>
                  <w:tcBorders>
                    <w:tl2br w:val="nil"/>
                    <w:tr2bl w:val="nil"/>
                  </w:tcBorders>
                  <w:noWrap w:val="0"/>
                  <w:vAlign w:val="center"/>
                </w:tcPr>
                <w:p w14:paraId="3EC875E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重点管控单元</w:t>
                  </w:r>
                </w:p>
              </w:tc>
              <w:tc>
                <w:tcPr>
                  <w:tcW w:w="639" w:type="dxa"/>
                  <w:tcBorders>
                    <w:tl2br w:val="nil"/>
                    <w:tr2bl w:val="nil"/>
                  </w:tcBorders>
                  <w:noWrap w:val="0"/>
                  <w:vAlign w:val="center"/>
                </w:tcPr>
                <w:p w14:paraId="0ACB958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空间布局约束</w:t>
                  </w:r>
                </w:p>
              </w:tc>
              <w:tc>
                <w:tcPr>
                  <w:tcW w:w="4744" w:type="dxa"/>
                  <w:tcBorders>
                    <w:tl2br w:val="nil"/>
                    <w:tr2bl w:val="nil"/>
                  </w:tcBorders>
                  <w:noWrap w:val="0"/>
                  <w:vAlign w:val="center"/>
                </w:tcPr>
                <w:p w14:paraId="3A00818E">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5CB448C7">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color w:val="auto"/>
                      <w:sz w:val="21"/>
                      <w:szCs w:val="21"/>
                    </w:rPr>
                  </w:pPr>
                  <w:r>
                    <w:rPr>
                      <w:rFonts w:hint="eastAsia"/>
                      <w:color w:val="auto"/>
                      <w:sz w:val="21"/>
                      <w:szCs w:val="21"/>
                    </w:rPr>
                    <w:t>2.严格控制包装印刷、工业涂装、制鞋等高VOCs排放的项目建设，相关新建项目必须进入工业园区。</w:t>
                  </w:r>
                </w:p>
                <w:p w14:paraId="1B226F83">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3.禁止开发利用未经评估和无害化处理的列入建设用地污染地块名录及开发利用负面清单的土地。</w:t>
                  </w:r>
                </w:p>
              </w:tc>
              <w:tc>
                <w:tcPr>
                  <w:tcW w:w="3916" w:type="dxa"/>
                  <w:tcBorders>
                    <w:tl2br w:val="nil"/>
                    <w:tr2bl w:val="nil"/>
                  </w:tcBorders>
                  <w:noWrap w:val="0"/>
                  <w:vAlign w:val="center"/>
                </w:tcPr>
                <w:p w14:paraId="5312665F">
                  <w:pPr>
                    <w:widowControl/>
                    <w:spacing w:line="240" w:lineRule="auto"/>
                    <w:jc w:val="lef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项目不属于需管控行业；项目未开发利用未经评估和无害化处理的列入建设用地污染地块名录及开发利用负面清单的土地</w:t>
                  </w:r>
                </w:p>
              </w:tc>
              <w:tc>
                <w:tcPr>
                  <w:tcW w:w="805" w:type="dxa"/>
                  <w:tcBorders>
                    <w:tl2br w:val="nil"/>
                    <w:tr2bl w:val="nil"/>
                  </w:tcBorders>
                  <w:noWrap w:val="0"/>
                  <w:vAlign w:val="center"/>
                </w:tcPr>
                <w:p w14:paraId="3261010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1850D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119A516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4D0585E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13ADA10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0AB0DC9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污染物排放管控</w:t>
                  </w:r>
                </w:p>
              </w:tc>
              <w:tc>
                <w:tcPr>
                  <w:tcW w:w="4744" w:type="dxa"/>
                  <w:tcBorders>
                    <w:tl2br w:val="nil"/>
                    <w:tr2bl w:val="nil"/>
                  </w:tcBorders>
                  <w:noWrap w:val="0"/>
                  <w:vAlign w:val="center"/>
                </w:tcPr>
                <w:p w14:paraId="7A805E8B">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落实新增二氧化硫、氮氧化物和VOCs排放总量控制要求。</w:t>
                  </w:r>
                </w:p>
              </w:tc>
              <w:tc>
                <w:tcPr>
                  <w:tcW w:w="3916" w:type="dxa"/>
                  <w:tcBorders>
                    <w:tl2br w:val="nil"/>
                    <w:tr2bl w:val="nil"/>
                  </w:tcBorders>
                  <w:noWrap w:val="0"/>
                  <w:vAlign w:val="center"/>
                </w:tcPr>
                <w:p w14:paraId="12799535">
                  <w:pPr>
                    <w:pStyle w:val="15"/>
                    <w:keepNext w:val="0"/>
                    <w:keepLines w:val="0"/>
                    <w:pageBreakBefore w:val="0"/>
                    <w:widowControl/>
                    <w:kinsoku/>
                    <w:wordWrap/>
                    <w:overflowPunct/>
                    <w:topLinePunct w:val="0"/>
                    <w:autoSpaceDE/>
                    <w:autoSpaceDN/>
                    <w:bidi w:val="0"/>
                    <w:adjustRightInd/>
                    <w:snapToGrid w:val="0"/>
                    <w:spacing w:line="240" w:lineRule="auto"/>
                    <w:ind w:right="0"/>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本项目不涉及二氧化硫、氮氧化物排放，新增VOCs实行倍量调剂</w:t>
                  </w:r>
                </w:p>
              </w:tc>
              <w:tc>
                <w:tcPr>
                  <w:tcW w:w="805" w:type="dxa"/>
                  <w:tcBorders>
                    <w:tl2br w:val="nil"/>
                    <w:tr2bl w:val="nil"/>
                  </w:tcBorders>
                  <w:noWrap w:val="0"/>
                  <w:vAlign w:val="center"/>
                </w:tcPr>
                <w:p w14:paraId="0D50828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4374A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50AAA8B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2E31238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2D61717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747EA90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环境风险</w:t>
                  </w:r>
                </w:p>
                <w:p w14:paraId="10FB068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防控</w:t>
                  </w:r>
                </w:p>
              </w:tc>
              <w:tc>
                <w:tcPr>
                  <w:tcW w:w="4744" w:type="dxa"/>
                  <w:tcBorders>
                    <w:tl2br w:val="nil"/>
                    <w:tr2bl w:val="nil"/>
                  </w:tcBorders>
                  <w:noWrap w:val="0"/>
                  <w:vAlign w:val="center"/>
                </w:tcPr>
                <w:p w14:paraId="414F18F6">
                  <w:pPr>
                    <w:pStyle w:val="15"/>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3916" w:type="dxa"/>
                  <w:tcBorders>
                    <w:tl2br w:val="nil"/>
                    <w:tr2bl w:val="nil"/>
                  </w:tcBorders>
                  <w:noWrap w:val="0"/>
                  <w:vAlign w:val="center"/>
                </w:tcPr>
                <w:p w14:paraId="00EA1923">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不涉及化学原料和化学制品制造业、有色金属冶炼和压延加工业等具有潜在土壤污染环境风险的企业</w:t>
                  </w:r>
                </w:p>
              </w:tc>
              <w:tc>
                <w:tcPr>
                  <w:tcW w:w="805" w:type="dxa"/>
                  <w:tcBorders>
                    <w:tl2br w:val="nil"/>
                    <w:tr2bl w:val="nil"/>
                  </w:tcBorders>
                  <w:noWrap w:val="0"/>
                  <w:vAlign w:val="center"/>
                </w:tcPr>
                <w:p w14:paraId="591A046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r w14:paraId="6D1E1F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1" w:type="dxa"/>
                  <w:vMerge w:val="continue"/>
                  <w:tcBorders>
                    <w:tl2br w:val="nil"/>
                    <w:tr2bl w:val="nil"/>
                  </w:tcBorders>
                  <w:noWrap w:val="0"/>
                  <w:vAlign w:val="center"/>
                </w:tcPr>
                <w:p w14:paraId="031F22B2">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1046" w:type="dxa"/>
                  <w:vMerge w:val="continue"/>
                  <w:tcBorders>
                    <w:tl2br w:val="nil"/>
                    <w:tr2bl w:val="nil"/>
                  </w:tcBorders>
                  <w:noWrap w:val="0"/>
                  <w:vAlign w:val="center"/>
                </w:tcPr>
                <w:p w14:paraId="38B99A9B">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869" w:type="dxa"/>
                  <w:vMerge w:val="continue"/>
                  <w:tcBorders>
                    <w:tl2br w:val="nil"/>
                    <w:tr2bl w:val="nil"/>
                  </w:tcBorders>
                  <w:noWrap w:val="0"/>
                  <w:vAlign w:val="center"/>
                </w:tcPr>
                <w:p w14:paraId="365F86D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p>
              </w:tc>
              <w:tc>
                <w:tcPr>
                  <w:tcW w:w="639" w:type="dxa"/>
                  <w:tcBorders>
                    <w:tl2br w:val="nil"/>
                    <w:tr2bl w:val="nil"/>
                  </w:tcBorders>
                  <w:noWrap w:val="0"/>
                  <w:vAlign w:val="center"/>
                </w:tcPr>
                <w:p w14:paraId="3529FFE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资源开发效率要求</w:t>
                  </w:r>
                </w:p>
              </w:tc>
              <w:tc>
                <w:tcPr>
                  <w:tcW w:w="4744" w:type="dxa"/>
                  <w:tcBorders>
                    <w:tl2br w:val="nil"/>
                    <w:tr2bl w:val="nil"/>
                  </w:tcBorders>
                  <w:noWrap w:val="0"/>
                  <w:vAlign w:val="center"/>
                </w:tcPr>
                <w:p w14:paraId="5242250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高污染燃料禁燃区内禁止燃用高污染燃料，禁止新建、扩建燃用高污染燃料的设施。已建的燃用高污染燃料设施，限期改用电、天然气、液化石油气等清洁能源。</w:t>
                  </w:r>
                </w:p>
              </w:tc>
              <w:tc>
                <w:tcPr>
                  <w:tcW w:w="3916" w:type="dxa"/>
                  <w:tcBorders>
                    <w:tl2br w:val="nil"/>
                    <w:tr2bl w:val="nil"/>
                  </w:tcBorders>
                  <w:noWrap w:val="0"/>
                  <w:vAlign w:val="center"/>
                </w:tcPr>
                <w:p w14:paraId="1CCD77DE">
                  <w:pPr>
                    <w:keepNext w:val="0"/>
                    <w:keepLines w:val="0"/>
                    <w:pageBreakBefore w:val="0"/>
                    <w:kinsoku/>
                    <w:wordWrap/>
                    <w:overflowPunct/>
                    <w:topLinePunct w:val="0"/>
                    <w:autoSpaceDE/>
                    <w:autoSpaceDN/>
                    <w:bidi w:val="0"/>
                    <w:adjustRightInd/>
                    <w:spacing w:line="240" w:lineRule="auto"/>
                    <w:textAlignment w:val="auto"/>
                    <w:rPr>
                      <w:rFonts w:hint="eastAsia"/>
                      <w:color w:val="auto"/>
                      <w:sz w:val="21"/>
                      <w:szCs w:val="21"/>
                    </w:rPr>
                  </w:pPr>
                  <w:r>
                    <w:rPr>
                      <w:rFonts w:hint="eastAsia"/>
                      <w:color w:val="auto"/>
                      <w:sz w:val="21"/>
                      <w:szCs w:val="21"/>
                    </w:rPr>
                    <w:t>项目不涉及高污染燃料使用。</w:t>
                  </w:r>
                </w:p>
              </w:tc>
              <w:tc>
                <w:tcPr>
                  <w:tcW w:w="805" w:type="dxa"/>
                  <w:tcBorders>
                    <w:tl2br w:val="nil"/>
                    <w:tr2bl w:val="nil"/>
                  </w:tcBorders>
                  <w:noWrap w:val="0"/>
                  <w:vAlign w:val="center"/>
                </w:tcPr>
                <w:p w14:paraId="04F9975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符合</w:t>
                  </w:r>
                </w:p>
              </w:tc>
            </w:tr>
          </w:tbl>
          <w:p w14:paraId="3AED8A8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4"/>
                <w:szCs w:val="24"/>
                <w:lang w:val="en-US" w:eastAsia="zh-CN" w:bidi="ar-SA"/>
              </w:rPr>
              <w:t>综上所述，</w:t>
            </w:r>
            <w:r>
              <w:rPr>
                <w:rFonts w:hint="eastAsia" w:ascii="Times New Roman" w:hAnsi="Times New Roman" w:eastAsia="宋体" w:cs="Times New Roman"/>
                <w:color w:val="auto"/>
                <w:sz w:val="24"/>
                <w:szCs w:val="24"/>
                <w:lang w:val="en-US" w:eastAsia="zh-CN"/>
              </w:rPr>
              <w:t>对照</w:t>
            </w:r>
            <w:r>
              <w:rPr>
                <w:rFonts w:hint="eastAsia" w:cs="Times New Roman"/>
                <w:color w:val="auto"/>
                <w:sz w:val="24"/>
                <w:szCs w:val="24"/>
                <w:lang w:val="en-US" w:eastAsia="zh-CN"/>
              </w:rPr>
              <w:t>《福州市人民政府办公厅关于印发《福州市生态环境分区管控方案（2023年更新）》的通知》</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榕政办规〔2024〕20号</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lang w:val="en-US" w:eastAsia="zh-CN"/>
              </w:rPr>
              <w:t>、</w:t>
            </w:r>
            <w:r>
              <w:rPr>
                <w:rFonts w:hint="default" w:ascii="Times New Roman" w:hAnsi="Times New Roman" w:eastAsia="宋体" w:cs="Times New Roman"/>
                <w:color w:val="auto"/>
                <w:kern w:val="2"/>
                <w:sz w:val="24"/>
                <w:szCs w:val="24"/>
                <w:lang w:val="en-US" w:eastAsia="zh-CN" w:bidi="ar-SA"/>
              </w:rPr>
              <w:t>《福州市生态环境局关于发布福州市2024年生态环境分区管控动态更新成果的通知》（榕环保综〔2025〕1号）</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项目租赁现有厂房进行扩建，主要从事汽车配件的生产加工，不涉及化学原料和化学制品制造业、有色金属冶炼和压延加工业等具有潜在土壤污染环境风险的</w:t>
            </w:r>
            <w:r>
              <w:rPr>
                <w:rFonts w:hint="eastAsia" w:cs="Times New Roman"/>
                <w:color w:val="auto"/>
                <w:kern w:val="2"/>
                <w:sz w:val="24"/>
                <w:szCs w:val="24"/>
                <w:lang w:val="en-US" w:eastAsia="zh-CN" w:bidi="ar-SA"/>
              </w:rPr>
              <w:t>行业，项目不使用高污染燃料，项目</w:t>
            </w:r>
            <w:r>
              <w:rPr>
                <w:rFonts w:hint="default" w:ascii="Times New Roman" w:hAnsi="Times New Roman" w:eastAsia="宋体" w:cs="Times New Roman"/>
                <w:color w:val="auto"/>
                <w:kern w:val="2"/>
                <w:sz w:val="24"/>
                <w:szCs w:val="24"/>
                <w:lang w:val="en-US" w:eastAsia="zh-CN" w:bidi="ar-SA"/>
              </w:rPr>
              <w:t>建设符合</w:t>
            </w:r>
            <w:r>
              <w:rPr>
                <w:rFonts w:hint="eastAsia" w:ascii="Times New Roman" w:hAnsi="Times New Roman" w:eastAsia="宋体" w:cs="Times New Roman"/>
                <w:color w:val="auto"/>
                <w:sz w:val="24"/>
                <w:szCs w:val="24"/>
                <w:lang w:eastAsia="zh-CN"/>
              </w:rPr>
              <w:t>福</w:t>
            </w:r>
            <w:r>
              <w:rPr>
                <w:rFonts w:hint="default" w:ascii="Times New Roman" w:hAnsi="Times New Roman" w:eastAsia="宋体" w:cs="Times New Roman"/>
                <w:color w:val="auto"/>
                <w:sz w:val="24"/>
                <w:szCs w:val="24"/>
              </w:rPr>
              <w:t>州市生态环境分区管控</w:t>
            </w:r>
            <w:r>
              <w:rPr>
                <w:rFonts w:hint="default" w:ascii="Times New Roman" w:hAnsi="Times New Roman" w:eastAsia="宋体" w:cs="Times New Roman"/>
                <w:color w:val="auto"/>
                <w:kern w:val="2"/>
                <w:sz w:val="24"/>
                <w:szCs w:val="24"/>
                <w:lang w:val="en-US" w:eastAsia="zh-CN" w:bidi="ar-SA"/>
              </w:rPr>
              <w:t>要求</w:t>
            </w:r>
            <w:r>
              <w:rPr>
                <w:rFonts w:hint="default" w:ascii="Times New Roman" w:hAnsi="Times New Roman" w:eastAsia="宋体" w:cs="Times New Roman"/>
                <w:color w:val="auto"/>
                <w:kern w:val="2"/>
                <w:sz w:val="21"/>
                <w:szCs w:val="24"/>
                <w:lang w:val="en-US" w:eastAsia="zh-CN" w:bidi="ar-SA"/>
              </w:rPr>
              <w:t>。</w:t>
            </w:r>
          </w:p>
          <w:p w14:paraId="53F60D65">
            <w:pPr>
              <w:adjustRightInd w:val="0"/>
              <w:snapToGrid w:val="0"/>
              <w:spacing w:before="120" w:beforeLines="50" w:line="360" w:lineRule="auto"/>
              <w:outlineLvl w:val="1"/>
              <w:rPr>
                <w:rFonts w:hint="eastAsia" w:eastAsia="宋体"/>
                <w:b/>
                <w:bCs/>
                <w:color w:val="auto"/>
                <w:sz w:val="24"/>
                <w:lang w:val="en-US" w:eastAsia="zh-CN"/>
              </w:rPr>
            </w:pPr>
            <w:r>
              <w:rPr>
                <w:rFonts w:hint="eastAsia" w:eastAsia="宋体"/>
                <w:b/>
                <w:bCs/>
                <w:color w:val="auto"/>
                <w:sz w:val="24"/>
                <w:lang w:val="en-US" w:eastAsia="zh-CN"/>
              </w:rPr>
              <w:t>6、与挥发性有机物污染防治相关政策符合性分析</w:t>
            </w:r>
          </w:p>
          <w:p w14:paraId="126ADA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本项目与挥发性有机物污染防治相关政策符合性分析详见表1-</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w:t>
            </w:r>
          </w:p>
          <w:p w14:paraId="7ACC1D4D">
            <w:pPr>
              <w:spacing w:before="120" w:beforeLines="50"/>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6</w:t>
            </w:r>
            <w:r>
              <w:rPr>
                <w:rFonts w:hint="eastAsia" w:ascii="Times New Roman" w:hAnsi="Times New Roman" w:eastAsia="宋体" w:cs="Times New Roman"/>
                <w:b/>
                <w:bCs/>
                <w:color w:val="auto"/>
                <w:sz w:val="24"/>
                <w:szCs w:val="24"/>
              </w:rPr>
              <w:t xml:space="preserve"> 挥发性有机物污染防治政策相关内容</w:t>
            </w:r>
          </w:p>
          <w:tbl>
            <w:tblPr>
              <w:tblStyle w:val="35"/>
              <w:tblW w:w="1305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20"/>
              <w:gridCol w:w="2138"/>
              <w:gridCol w:w="6273"/>
              <w:gridCol w:w="3381"/>
              <w:gridCol w:w="742"/>
            </w:tblGrid>
            <w:tr w14:paraId="625ECB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noWrap w:val="0"/>
                  <w:vAlign w:val="center"/>
                </w:tcPr>
                <w:p w14:paraId="43523DEF">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38" w:type="dxa"/>
                  <w:noWrap w:val="0"/>
                  <w:vAlign w:val="center"/>
                </w:tcPr>
                <w:p w14:paraId="03AD226E">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相关文件名称</w:t>
                  </w:r>
                </w:p>
              </w:tc>
              <w:tc>
                <w:tcPr>
                  <w:tcW w:w="6273" w:type="dxa"/>
                  <w:tcBorders>
                    <w:right w:val="single" w:color="auto" w:sz="4" w:space="0"/>
                  </w:tcBorders>
                  <w:noWrap w:val="0"/>
                  <w:vAlign w:val="center"/>
                </w:tcPr>
                <w:p w14:paraId="14B96F1F">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相关内容</w:t>
                  </w:r>
                </w:p>
              </w:tc>
              <w:tc>
                <w:tcPr>
                  <w:tcW w:w="3381" w:type="dxa"/>
                  <w:tcBorders>
                    <w:left w:val="single" w:color="auto" w:sz="4" w:space="0"/>
                    <w:right w:val="single" w:color="auto" w:sz="4" w:space="0"/>
                  </w:tcBorders>
                  <w:noWrap w:val="0"/>
                  <w:vAlign w:val="center"/>
                </w:tcPr>
                <w:p w14:paraId="7F134D3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项目情况</w:t>
                  </w:r>
                </w:p>
              </w:tc>
              <w:tc>
                <w:tcPr>
                  <w:tcW w:w="742" w:type="dxa"/>
                  <w:tcBorders>
                    <w:left w:val="single" w:color="auto" w:sz="4" w:space="0"/>
                  </w:tcBorders>
                  <w:noWrap w:val="0"/>
                  <w:vAlign w:val="center"/>
                </w:tcPr>
                <w:p w14:paraId="3487E10E">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14:paraId="220F81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noWrap w:val="0"/>
                  <w:vAlign w:val="center"/>
                </w:tcPr>
                <w:p w14:paraId="22D84536">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138" w:type="dxa"/>
                  <w:noWrap w:val="0"/>
                  <w:vAlign w:val="center"/>
                </w:tcPr>
                <w:p w14:paraId="2E032D5F">
                  <w:pPr>
                    <w:pStyle w:val="119"/>
                    <w:adjustRightInd w:val="0"/>
                    <w:snapToGrid w:val="0"/>
                    <w:spacing w:line="240" w:lineRule="auto"/>
                    <w:rPr>
                      <w:rFonts w:hint="eastAsia"/>
                      <w:color w:val="auto"/>
                      <w:sz w:val="18"/>
                      <w:szCs w:val="18"/>
                    </w:rPr>
                  </w:pPr>
                  <w:r>
                    <w:rPr>
                      <w:rFonts w:hint="eastAsia"/>
                      <w:color w:val="auto"/>
                      <w:sz w:val="18"/>
                      <w:szCs w:val="18"/>
                    </w:rPr>
                    <w:t>《福建省“十四五”空气质量改善规划》</w:t>
                  </w:r>
                </w:p>
                <w:p w14:paraId="0D805EE3">
                  <w:pPr>
                    <w:pStyle w:val="119"/>
                    <w:adjustRightInd w:val="0"/>
                    <w:snapToGrid w:val="0"/>
                    <w:spacing w:line="240" w:lineRule="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(2022年)</w:t>
                  </w:r>
                </w:p>
              </w:tc>
              <w:tc>
                <w:tcPr>
                  <w:tcW w:w="6273" w:type="dxa"/>
                  <w:tcBorders>
                    <w:right w:val="single" w:color="auto" w:sz="4" w:space="0"/>
                  </w:tcBorders>
                  <w:noWrap w:val="0"/>
                  <w:vAlign w:val="center"/>
                </w:tcPr>
                <w:p w14:paraId="2352FE45">
                  <w:pPr>
                    <w:pStyle w:val="119"/>
                    <w:adjustRightInd w:val="0"/>
                    <w:snapToGrid w:val="0"/>
                    <w:spacing w:line="240" w:lineRule="auto"/>
                    <w:jc w:val="left"/>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推广使用水性、高固体分、无溶剂、粉末等低VOCs含量涂料，</w:t>
                  </w:r>
                  <w:r>
                    <w:rPr>
                      <w:color w:val="auto"/>
                      <w:sz w:val="18"/>
                      <w:szCs w:val="18"/>
                    </w:rPr>
                    <w:t>......</w:t>
                  </w:r>
                  <w:r>
                    <w:rPr>
                      <w:rFonts w:hint="eastAsia"/>
                      <w:color w:val="auto"/>
                      <w:sz w:val="18"/>
                      <w:szCs w:val="18"/>
                    </w:rPr>
                    <w:t>木质家具制造、汽车零部件、工程机械使用比例达到50%以上；</w:t>
                  </w:r>
                  <w:r>
                    <w:rPr>
                      <w:color w:val="auto"/>
                      <w:sz w:val="18"/>
                      <w:szCs w:val="18"/>
                    </w:rPr>
                    <w:t>......</w:t>
                  </w:r>
                  <w:r>
                    <w:rPr>
                      <w:rFonts w:hint="eastAsia"/>
                      <w:color w:val="auto"/>
                      <w:sz w:val="18"/>
                      <w:szCs w:val="18"/>
                    </w:rPr>
                    <w:t>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3381" w:type="dxa"/>
                  <w:vMerge w:val="restart"/>
                  <w:tcBorders>
                    <w:left w:val="single" w:color="auto" w:sz="4" w:space="0"/>
                    <w:right w:val="single" w:color="auto" w:sz="4" w:space="0"/>
                  </w:tcBorders>
                  <w:noWrap w:val="0"/>
                  <w:vAlign w:val="center"/>
                </w:tcPr>
                <w:p w14:paraId="3A58C7C6">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本项目使用PBT、PC/ABS、PA6/PA66、PP、PVC、TPV塑料颗粒</w:t>
                  </w:r>
                  <w:r>
                    <w:rPr>
                      <w:rFonts w:hint="eastAsia"/>
                      <w:color w:val="auto"/>
                      <w:sz w:val="18"/>
                      <w:szCs w:val="18"/>
                      <w:lang w:val="en-US" w:eastAsia="zh-CN"/>
                    </w:rPr>
                    <w:t>均</w:t>
                  </w:r>
                  <w:r>
                    <w:rPr>
                      <w:rFonts w:hint="eastAsia"/>
                      <w:color w:val="auto"/>
                      <w:sz w:val="18"/>
                      <w:szCs w:val="18"/>
                    </w:rPr>
                    <w:t>为原</w:t>
                  </w:r>
                  <w:r>
                    <w:rPr>
                      <w:rFonts w:hint="eastAsia"/>
                      <w:color w:val="auto"/>
                      <w:sz w:val="18"/>
                      <w:szCs w:val="18"/>
                      <w:lang w:val="en-US" w:eastAsia="zh-CN"/>
                    </w:rPr>
                    <w:t>生</w:t>
                  </w:r>
                  <w:r>
                    <w:rPr>
                      <w:rFonts w:hint="eastAsia"/>
                      <w:color w:val="auto"/>
                      <w:sz w:val="18"/>
                      <w:szCs w:val="18"/>
                    </w:rPr>
                    <w:t>料，不外购使用再生料，涂胶工序使用的底涂剂用量较小且因工艺要求暂无低VOCs含量的物料替代，本项目新增VOCs排放，区域内实行倍量替代</w:t>
                  </w:r>
                  <w:r>
                    <w:rPr>
                      <w:rFonts w:hint="eastAsia"/>
                      <w:color w:val="auto"/>
                      <w:sz w:val="18"/>
                      <w:szCs w:val="18"/>
                      <w:lang w:eastAsia="zh-CN"/>
                    </w:rPr>
                    <w:t>。</w:t>
                  </w:r>
                </w:p>
              </w:tc>
              <w:tc>
                <w:tcPr>
                  <w:tcW w:w="742" w:type="dxa"/>
                  <w:tcBorders>
                    <w:left w:val="single" w:color="auto" w:sz="4" w:space="0"/>
                  </w:tcBorders>
                  <w:noWrap w:val="0"/>
                  <w:vAlign w:val="center"/>
                </w:tcPr>
                <w:p w14:paraId="0F59A17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14:paraId="4DA72A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47" w:hRule="atLeast"/>
                <w:jc w:val="center"/>
              </w:trPr>
              <w:tc>
                <w:tcPr>
                  <w:tcW w:w="520" w:type="dxa"/>
                  <w:noWrap w:val="0"/>
                  <w:vAlign w:val="center"/>
                </w:tcPr>
                <w:p w14:paraId="42888DD7">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2138" w:type="dxa"/>
                  <w:noWrap w:val="0"/>
                  <w:vAlign w:val="center"/>
                </w:tcPr>
                <w:p w14:paraId="1B2DDEAD">
                  <w:pPr>
                    <w:pStyle w:val="119"/>
                    <w:adjustRightInd w:val="0"/>
                    <w:snapToGrid w:val="0"/>
                    <w:spacing w:line="240" w:lineRule="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《福州市“十四五”生态环境保护规划》(榕政办〔2021〕123号)</w:t>
                  </w:r>
                </w:p>
              </w:tc>
              <w:tc>
                <w:tcPr>
                  <w:tcW w:w="6273" w:type="dxa"/>
                  <w:tcBorders>
                    <w:right w:val="single" w:color="auto" w:sz="4" w:space="0"/>
                  </w:tcBorders>
                  <w:noWrap w:val="0"/>
                  <w:vAlign w:val="center"/>
                </w:tcPr>
                <w:p w14:paraId="7670F42D">
                  <w:pPr>
                    <w:pStyle w:val="119"/>
                    <w:adjustRightInd w:val="0"/>
                    <w:snapToGrid w:val="0"/>
                    <w:spacing w:line="240" w:lineRule="auto"/>
                    <w:jc w:val="left"/>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强化挥发性有机物整治。</w:t>
                  </w:r>
                  <w:r>
                    <w:rPr>
                      <w:color w:val="auto"/>
                      <w:sz w:val="18"/>
                      <w:szCs w:val="18"/>
                    </w:rPr>
                    <w:t>......</w:t>
                  </w:r>
                  <w:r>
                    <w:rPr>
                      <w:rFonts w:hint="eastAsia"/>
                      <w:color w:val="auto"/>
                      <w:sz w:val="18"/>
                      <w:szCs w:val="18"/>
                    </w:rPr>
                    <w:t>实行挥发性有机物排放倍量替代。加大涉VOCs企业源头替代力度，推广使用低(无)VOCs原辅材料替代，禁止生产高VOCs含量有机溶剂型涂料、油墨和胶黏剂的新、改、扩建项目，推进重点企业“油改水”治理，提高有机溶剂回收率。”</w:t>
                  </w:r>
                </w:p>
              </w:tc>
              <w:tc>
                <w:tcPr>
                  <w:tcW w:w="3381" w:type="dxa"/>
                  <w:vMerge w:val="continue"/>
                  <w:tcBorders>
                    <w:left w:val="single" w:color="auto" w:sz="4" w:space="0"/>
                    <w:right w:val="single" w:color="auto" w:sz="4" w:space="0"/>
                  </w:tcBorders>
                  <w:noWrap w:val="0"/>
                  <w:vAlign w:val="center"/>
                </w:tcPr>
                <w:p w14:paraId="455125FA">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p>
              </w:tc>
              <w:tc>
                <w:tcPr>
                  <w:tcW w:w="742" w:type="dxa"/>
                  <w:tcBorders>
                    <w:left w:val="single" w:color="auto" w:sz="4" w:space="0"/>
                  </w:tcBorders>
                  <w:noWrap w:val="0"/>
                  <w:vAlign w:val="center"/>
                </w:tcPr>
                <w:p w14:paraId="7E107F6B">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符合</w:t>
                  </w:r>
                </w:p>
              </w:tc>
            </w:tr>
            <w:tr w14:paraId="07DC58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1" w:hRule="atLeast"/>
                <w:jc w:val="center"/>
              </w:trPr>
              <w:tc>
                <w:tcPr>
                  <w:tcW w:w="520" w:type="dxa"/>
                  <w:noWrap w:val="0"/>
                  <w:vAlign w:val="center"/>
                </w:tcPr>
                <w:p w14:paraId="0D9F4126">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2138" w:type="dxa"/>
                  <w:noWrap w:val="0"/>
                  <w:vAlign w:val="center"/>
                </w:tcPr>
                <w:p w14:paraId="7450ADD7">
                  <w:pPr>
                    <w:pStyle w:val="119"/>
                    <w:adjustRightInd w:val="0"/>
                    <w:snapToGrid w:val="0"/>
                    <w:spacing w:line="240" w:lineRule="auto"/>
                    <w:rPr>
                      <w:rFonts w:hint="default" w:ascii="Times New Roman" w:hAnsi="Times New Roman" w:eastAsia="宋体" w:cs="Times New Roman"/>
                      <w:color w:val="auto"/>
                      <w:sz w:val="18"/>
                      <w:szCs w:val="18"/>
                      <w:lang w:val="en-US" w:eastAsia="zh-CN"/>
                    </w:rPr>
                  </w:pPr>
                  <w:r>
                    <w:rPr>
                      <w:rFonts w:hint="eastAsia"/>
                      <w:color w:val="auto"/>
                      <w:sz w:val="18"/>
                      <w:szCs w:val="18"/>
                      <w:lang w:eastAsia="zh-CN"/>
                    </w:rPr>
                    <w:t>《</w:t>
                  </w:r>
                  <w:r>
                    <w:rPr>
                      <w:rFonts w:hint="eastAsia"/>
                      <w:color w:val="auto"/>
                      <w:sz w:val="18"/>
                      <w:szCs w:val="18"/>
                    </w:rPr>
                    <w:t>福州市“十四五”空气质量持续改善计划</w:t>
                  </w:r>
                  <w:r>
                    <w:rPr>
                      <w:rFonts w:hint="eastAsia"/>
                      <w:color w:val="auto"/>
                      <w:sz w:val="18"/>
                      <w:szCs w:val="18"/>
                      <w:lang w:eastAsia="zh-CN"/>
                    </w:rPr>
                    <w:t>》</w:t>
                  </w:r>
                </w:p>
              </w:tc>
              <w:tc>
                <w:tcPr>
                  <w:tcW w:w="6273" w:type="dxa"/>
                  <w:tcBorders>
                    <w:right w:val="single" w:color="auto" w:sz="4" w:space="0"/>
                  </w:tcBorders>
                  <w:noWrap w:val="0"/>
                  <w:vAlign w:val="center"/>
                </w:tcPr>
                <w:p w14:paraId="4BCF3C2A">
                  <w:pPr>
                    <w:pStyle w:val="119"/>
                    <w:adjustRightInd w:val="0"/>
                    <w:snapToGrid w:val="0"/>
                    <w:spacing w:line="240" w:lineRule="auto"/>
                    <w:jc w:val="left"/>
                    <w:rPr>
                      <w:rFonts w:hint="default" w:ascii="Times New Roman" w:hAnsi="Times New Roman" w:eastAsia="宋体" w:cs="Times New Roman"/>
                      <w:color w:val="auto"/>
                      <w:sz w:val="18"/>
                      <w:szCs w:val="18"/>
                      <w:lang w:val="en-US" w:eastAsia="zh-CN"/>
                    </w:rPr>
                  </w:pPr>
                  <w:r>
                    <w:rPr>
                      <w:rFonts w:hint="eastAsia"/>
                      <w:color w:val="auto"/>
                      <w:sz w:val="18"/>
                      <w:szCs w:val="18"/>
                    </w:rPr>
                    <w:t>大力推进低VOCs含量原辅材料和产品源头替代</w:t>
                  </w:r>
                  <w:r>
                    <w:rPr>
                      <w:rFonts w:hint="eastAsia"/>
                      <w:color w:val="auto"/>
                      <w:sz w:val="18"/>
                      <w:szCs w:val="18"/>
                      <w:lang w:eastAsia="zh-CN"/>
                    </w:rPr>
                    <w:t>。</w:t>
                  </w:r>
                  <w:r>
                    <w:rPr>
                      <w:rFonts w:hint="eastAsia"/>
                      <w:color w:val="auto"/>
                      <w:sz w:val="18"/>
                      <w:szCs w:val="18"/>
                    </w:rPr>
                    <w:t>加快实施低VOCs含量原辅材料替代。各县（市）区对溶剂型涂料、油墨、胶粘剂、清洗剂使用企业制定低含量原辅材料替代计划，企业应建立原辅材料台账，记录VOCs原辅材料名称、成分、VOCs含量、采购量、使用量等信息，并保存相关证明材料。到2025年，辖区汽车整车制造底漆、中涂、色漆全部使用水性、高固体分、无溶剂、粉末等低VOCs含量涂料；木质家具、汽车零部件、工程机械、钢结构、船舶制造技术成熟的工艺环节，大力推广使用低VOCs含量涂料，中央企业加大使用比例。在房屋建筑和市政工程中，全面推广使用低VOCs含量涂料和胶粘剂。</w:t>
                  </w:r>
                </w:p>
              </w:tc>
              <w:tc>
                <w:tcPr>
                  <w:tcW w:w="3381" w:type="dxa"/>
                  <w:vMerge w:val="continue"/>
                  <w:tcBorders>
                    <w:left w:val="single" w:color="auto" w:sz="4" w:space="0"/>
                    <w:right w:val="single" w:color="auto" w:sz="4" w:space="0"/>
                  </w:tcBorders>
                  <w:noWrap w:val="0"/>
                  <w:vAlign w:val="center"/>
                </w:tcPr>
                <w:p w14:paraId="7DB7B7BC">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p>
              </w:tc>
              <w:tc>
                <w:tcPr>
                  <w:tcW w:w="742" w:type="dxa"/>
                  <w:tcBorders>
                    <w:left w:val="single" w:color="auto" w:sz="4" w:space="0"/>
                  </w:tcBorders>
                  <w:noWrap w:val="0"/>
                  <w:vAlign w:val="center"/>
                </w:tcPr>
                <w:p w14:paraId="3DECCB2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59FE38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685" w:hRule="atLeast"/>
                <w:jc w:val="center"/>
              </w:trPr>
              <w:tc>
                <w:tcPr>
                  <w:tcW w:w="520" w:type="dxa"/>
                  <w:noWrap w:val="0"/>
                  <w:vAlign w:val="center"/>
                </w:tcPr>
                <w:p w14:paraId="66A1D08C">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4</w:t>
                  </w:r>
                </w:p>
              </w:tc>
              <w:tc>
                <w:tcPr>
                  <w:tcW w:w="2138" w:type="dxa"/>
                  <w:noWrap w:val="0"/>
                  <w:vAlign w:val="center"/>
                </w:tcPr>
                <w:p w14:paraId="16FDDAD4">
                  <w:pPr>
                    <w:pStyle w:val="119"/>
                    <w:adjustRightInd w:val="0"/>
                    <w:snapToGrid w:val="0"/>
                    <w:spacing w:line="240" w:lineRule="auto"/>
                    <w:rPr>
                      <w:rFonts w:hint="default" w:ascii="Times New Roman" w:hAnsi="Times New Roman" w:eastAsia="宋体" w:cs="Times New Roman"/>
                      <w:color w:val="auto"/>
                      <w:sz w:val="18"/>
                      <w:szCs w:val="18"/>
                      <w:lang w:val="en-US" w:eastAsia="zh-CN"/>
                    </w:rPr>
                  </w:pPr>
                  <w:r>
                    <w:rPr>
                      <w:color w:val="auto"/>
                      <w:sz w:val="18"/>
                      <w:szCs w:val="18"/>
                    </w:rPr>
                    <w:t>福建省重点行业挥发性有机物污染防治工作方案(闽环保大气〔2017〕6号)</w:t>
                  </w:r>
                </w:p>
              </w:tc>
              <w:tc>
                <w:tcPr>
                  <w:tcW w:w="6273" w:type="dxa"/>
                  <w:tcBorders>
                    <w:right w:val="single" w:color="auto" w:sz="4" w:space="0"/>
                  </w:tcBorders>
                  <w:noWrap w:val="0"/>
                  <w:vAlign w:val="top"/>
                </w:tcPr>
                <w:p w14:paraId="033F8BFF">
                  <w:pPr>
                    <w:pStyle w:val="119"/>
                    <w:adjustRightInd w:val="0"/>
                    <w:snapToGrid w:val="0"/>
                    <w:spacing w:line="240" w:lineRule="auto"/>
                    <w:jc w:val="left"/>
                    <w:rPr>
                      <w:color w:val="auto"/>
                      <w:sz w:val="18"/>
                      <w:szCs w:val="18"/>
                    </w:rPr>
                  </w:pPr>
                  <w:r>
                    <w:rPr>
                      <w:color w:val="auto"/>
                      <w:sz w:val="18"/>
                      <w:szCs w:val="18"/>
                    </w:rPr>
                    <w:t>二、主要任务</w:t>
                  </w:r>
                </w:p>
                <w:p w14:paraId="55D470E4">
                  <w:pPr>
                    <w:pStyle w:val="119"/>
                    <w:adjustRightInd w:val="0"/>
                    <w:snapToGrid w:val="0"/>
                    <w:spacing w:line="240" w:lineRule="auto"/>
                    <w:jc w:val="left"/>
                    <w:rPr>
                      <w:color w:val="auto"/>
                      <w:sz w:val="18"/>
                      <w:szCs w:val="18"/>
                    </w:rPr>
                  </w:pPr>
                  <w:r>
                    <w:rPr>
                      <w:color w:val="auto"/>
                      <w:sz w:val="18"/>
                      <w:szCs w:val="18"/>
                    </w:rPr>
                    <w:t>（三）加快推进重点行业VOCs专项整治</w:t>
                  </w:r>
                </w:p>
                <w:p w14:paraId="1FF88F4C">
                  <w:pPr>
                    <w:pStyle w:val="119"/>
                    <w:adjustRightInd w:val="0"/>
                    <w:snapToGrid w:val="0"/>
                    <w:spacing w:line="240" w:lineRule="auto"/>
                    <w:jc w:val="left"/>
                    <w:rPr>
                      <w:color w:val="auto"/>
                      <w:sz w:val="18"/>
                      <w:szCs w:val="18"/>
                    </w:rPr>
                  </w:pPr>
                  <w:r>
                    <w:rPr>
                      <w:color w:val="auto"/>
                      <w:sz w:val="18"/>
                      <w:szCs w:val="18"/>
                    </w:rPr>
                    <w:t>（2）加强化工企业污染综合整治</w:t>
                  </w:r>
                </w:p>
                <w:p w14:paraId="79D8D82C">
                  <w:pPr>
                    <w:pStyle w:val="119"/>
                    <w:adjustRightInd w:val="0"/>
                    <w:snapToGrid w:val="0"/>
                    <w:spacing w:line="240" w:lineRule="auto"/>
                    <w:jc w:val="left"/>
                    <w:rPr>
                      <w:rFonts w:hint="default" w:ascii="Times New Roman" w:hAnsi="Times New Roman" w:eastAsia="宋体" w:cs="Times New Roman"/>
                      <w:color w:val="auto"/>
                      <w:sz w:val="18"/>
                      <w:szCs w:val="18"/>
                      <w:lang w:val="en-US" w:eastAsia="zh-CN"/>
                    </w:rPr>
                  </w:pPr>
                  <w:r>
                    <w:rPr>
                      <w:color w:val="auto"/>
                      <w:sz w:val="18"/>
                      <w:szCs w:val="18"/>
                    </w:rPr>
                    <w:t>提升有机化工(含有机化学原料、合成材料、日用化工、涂料、油墨、胶粘剂、染料、化学溶剂、试剂生产等)、医药化工、塑料制品企业装备水平，严格控制跑冒滴漏。......排放VOCs的生产工序要在密闭空间或设备中实施，产生的含VOCs废气需进行净化处理，净化效率应不低于80%。</w:t>
                  </w:r>
                </w:p>
              </w:tc>
              <w:tc>
                <w:tcPr>
                  <w:tcW w:w="3381" w:type="dxa"/>
                  <w:tcBorders>
                    <w:left w:val="single" w:color="auto" w:sz="4" w:space="0"/>
                    <w:right w:val="single" w:color="auto" w:sz="4" w:space="0"/>
                  </w:tcBorders>
                  <w:noWrap w:val="0"/>
                  <w:vAlign w:val="center"/>
                </w:tcPr>
                <w:p w14:paraId="23AA9639">
                  <w:pPr>
                    <w:pStyle w:val="119"/>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rPr>
                    <w:t>本项目针对</w:t>
                  </w:r>
                  <w:r>
                    <w:rPr>
                      <w:rFonts w:hint="eastAsia" w:cs="Times New Roman"/>
                      <w:color w:val="auto"/>
                      <w:sz w:val="18"/>
                      <w:szCs w:val="18"/>
                      <w:highlight w:val="none"/>
                      <w:lang w:eastAsia="zh-CN"/>
                    </w:rPr>
                    <w:t>注塑机、复合挤出机、挤出机、涂胶机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的方式，有效捕集产生的VOCs（挥发性有机化合物）</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将产生的VOCs收集后通过“</w:t>
                  </w:r>
                  <w:r>
                    <w:rPr>
                      <w:rFonts w:hint="eastAsia" w:cs="Times New Roman"/>
                      <w:color w:val="auto"/>
                      <w:sz w:val="18"/>
                      <w:szCs w:val="18"/>
                      <w:highlight w:val="none"/>
                      <w:lang w:val="en-US" w:eastAsia="zh-CN"/>
                    </w:rPr>
                    <w:t>二级活性炭吸附装置</w:t>
                  </w:r>
                  <w:r>
                    <w:rPr>
                      <w:rFonts w:hint="default" w:ascii="Times New Roman" w:hAnsi="Times New Roman" w:cs="Times New Roman"/>
                      <w:color w:val="auto"/>
                      <w:sz w:val="18"/>
                      <w:szCs w:val="18"/>
                      <w:highlight w:val="none"/>
                      <w:lang w:val="en-US" w:eastAsia="zh-CN"/>
                    </w:rPr>
                    <w:t>”处理后排放，</w:t>
                  </w:r>
                  <w:r>
                    <w:rPr>
                      <w:rFonts w:hint="default" w:ascii="Times New Roman" w:hAnsi="Times New Roman" w:cs="Times New Roman"/>
                      <w:color w:val="auto"/>
                      <w:sz w:val="18"/>
                      <w:szCs w:val="18"/>
                      <w:highlight w:val="none"/>
                      <w:lang w:eastAsia="zh-CN"/>
                    </w:rPr>
                    <w:t>本项VOCs源强相对较低，本评价净化效率保守取</w:t>
                  </w:r>
                  <w:r>
                    <w:rPr>
                      <w:rFonts w:hint="eastAsia" w:cs="Times New Roman"/>
                      <w:color w:val="auto"/>
                      <w:sz w:val="18"/>
                      <w:szCs w:val="18"/>
                      <w:highlight w:val="none"/>
                      <w:lang w:val="en-US" w:eastAsia="zh-CN"/>
                    </w:rPr>
                    <w:t>8</w:t>
                  </w:r>
                  <w:r>
                    <w:rPr>
                      <w:rFonts w:hint="default" w:ascii="Times New Roman" w:hAnsi="Times New Roman" w:cs="Times New Roman"/>
                      <w:color w:val="auto"/>
                      <w:sz w:val="18"/>
                      <w:szCs w:val="18"/>
                      <w:highlight w:val="none"/>
                      <w:lang w:eastAsia="zh-CN"/>
                    </w:rPr>
                    <w:t>0%。</w:t>
                  </w:r>
                </w:p>
              </w:tc>
              <w:tc>
                <w:tcPr>
                  <w:tcW w:w="742" w:type="dxa"/>
                  <w:tcBorders>
                    <w:left w:val="single" w:color="auto" w:sz="4" w:space="0"/>
                  </w:tcBorders>
                  <w:noWrap w:val="0"/>
                  <w:vAlign w:val="center"/>
                </w:tcPr>
                <w:p w14:paraId="7FBBABA1">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6C9FDF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20" w:type="dxa"/>
                  <w:noWrap w:val="0"/>
                  <w:vAlign w:val="center"/>
                </w:tcPr>
                <w:p w14:paraId="07C699E4">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2138" w:type="dxa"/>
                  <w:noWrap w:val="0"/>
                  <w:vAlign w:val="center"/>
                </w:tcPr>
                <w:p w14:paraId="17A1300C">
                  <w:pPr>
                    <w:pStyle w:val="119"/>
                    <w:adjustRightInd w:val="0"/>
                    <w:snapToGrid w:val="0"/>
                    <w:spacing w:line="240" w:lineRule="auto"/>
                    <w:rPr>
                      <w:rFonts w:hint="default" w:ascii="Times New Roman" w:hAnsi="Times New Roman" w:eastAsia="宋体" w:cs="Times New Roman"/>
                      <w:color w:val="auto"/>
                      <w:kern w:val="2"/>
                      <w:sz w:val="18"/>
                      <w:szCs w:val="18"/>
                      <w:lang w:val="en-US" w:eastAsia="zh-CN" w:bidi="ar-SA"/>
                    </w:rPr>
                  </w:pPr>
                  <w:r>
                    <w:rPr>
                      <w:color w:val="auto"/>
                      <w:sz w:val="18"/>
                      <w:szCs w:val="18"/>
                    </w:rPr>
                    <w:t>《福建省重点行业挥发性有机物排放控制要求(试行)的通知》(闽环保大气〔2017〕9号)</w:t>
                  </w:r>
                </w:p>
              </w:tc>
              <w:tc>
                <w:tcPr>
                  <w:tcW w:w="6273" w:type="dxa"/>
                  <w:tcBorders>
                    <w:right w:val="single" w:color="auto" w:sz="4" w:space="0"/>
                  </w:tcBorders>
                  <w:noWrap w:val="0"/>
                  <w:vAlign w:val="top"/>
                </w:tcPr>
                <w:p w14:paraId="781215B7">
                  <w:pPr>
                    <w:pStyle w:val="111"/>
                    <w:tabs>
                      <w:tab w:val="left" w:pos="4347"/>
                    </w:tabs>
                    <w:snapToGrid w:val="0"/>
                    <w:spacing w:line="240" w:lineRule="auto"/>
                    <w:outlineLvl w:val="2"/>
                    <w:rPr>
                      <w:rFonts w:ascii="Times New Roman"/>
                      <w:color w:val="auto"/>
                      <w:kern w:val="2"/>
                      <w:sz w:val="18"/>
                      <w:szCs w:val="18"/>
                    </w:rPr>
                  </w:pPr>
                  <w:r>
                    <w:rPr>
                      <w:rFonts w:ascii="Times New Roman"/>
                      <w:color w:val="auto"/>
                      <w:kern w:val="2"/>
                      <w:sz w:val="18"/>
                      <w:szCs w:val="18"/>
                    </w:rPr>
                    <w:t>(1)工艺过程控制要求</w:t>
                  </w:r>
                </w:p>
                <w:p w14:paraId="454B3817">
                  <w:pPr>
                    <w:pStyle w:val="111"/>
                    <w:tabs>
                      <w:tab w:val="left" w:pos="4347"/>
                    </w:tabs>
                    <w:snapToGrid w:val="0"/>
                    <w:spacing w:line="240" w:lineRule="auto"/>
                    <w:outlineLvl w:val="2"/>
                    <w:rPr>
                      <w:rFonts w:ascii="Times New Roman"/>
                      <w:color w:val="auto"/>
                      <w:kern w:val="2"/>
                      <w:sz w:val="18"/>
                      <w:szCs w:val="18"/>
                    </w:rPr>
                  </w:pPr>
                  <w:r>
                    <w:rPr>
                      <w:rFonts w:ascii="Times New Roman"/>
                      <w:color w:val="auto"/>
                      <w:kern w:val="2"/>
                      <w:sz w:val="18"/>
                      <w:szCs w:val="18"/>
                    </w:rPr>
                    <w:t>含VOCs物料应储存于密闭容器中。盛装含VOCs物料的容器应存放于储存室内，或至少设置遮阳挡雨等设施；</w:t>
                  </w:r>
                </w:p>
                <w:p w14:paraId="58D8E06C">
                  <w:pPr>
                    <w:pStyle w:val="111"/>
                    <w:tabs>
                      <w:tab w:val="left" w:pos="4347"/>
                    </w:tabs>
                    <w:snapToGrid w:val="0"/>
                    <w:spacing w:line="240" w:lineRule="auto"/>
                    <w:outlineLvl w:val="2"/>
                    <w:rPr>
                      <w:rFonts w:ascii="Times New Roman"/>
                      <w:color w:val="auto"/>
                      <w:kern w:val="2"/>
                      <w:sz w:val="18"/>
                      <w:szCs w:val="18"/>
                    </w:rPr>
                  </w:pPr>
                  <w:r>
                    <w:rPr>
                      <w:rFonts w:ascii="Times New Roman"/>
                      <w:color w:val="auto"/>
                      <w:kern w:val="2"/>
                      <w:sz w:val="18"/>
                      <w:szCs w:val="18"/>
                    </w:rPr>
                    <w:t>(2)其他控制要求</w:t>
                  </w:r>
                </w:p>
                <w:p w14:paraId="7E56F8B7">
                  <w:pPr>
                    <w:pStyle w:val="119"/>
                    <w:adjustRightInd w:val="0"/>
                    <w:snapToGrid w:val="0"/>
                    <w:spacing w:line="240" w:lineRule="auto"/>
                    <w:jc w:val="left"/>
                    <w:rPr>
                      <w:rFonts w:hint="default" w:ascii="Times New Roman" w:hAnsi="Times New Roman" w:eastAsia="宋体" w:cs="Times New Roman"/>
                      <w:color w:val="auto"/>
                      <w:kern w:val="2"/>
                      <w:sz w:val="18"/>
                      <w:szCs w:val="18"/>
                      <w:lang w:val="en-US" w:eastAsia="zh-CN" w:bidi="ar-SA"/>
                    </w:rPr>
                  </w:pPr>
                  <w:r>
                    <w:rPr>
                      <w:color w:val="auto"/>
                      <w:sz w:val="18"/>
                      <w:szCs w:val="18"/>
                    </w:rPr>
                    <w:t>产生有废气</w:t>
                  </w:r>
                  <w:r>
                    <w:rPr>
                      <w:rFonts w:hint="eastAsia"/>
                      <w:color w:val="auto"/>
                      <w:sz w:val="18"/>
                      <w:szCs w:val="18"/>
                    </w:rPr>
                    <w:t>的</w:t>
                  </w:r>
                  <w:r>
                    <w:rPr>
                      <w:color w:val="auto"/>
                      <w:sz w:val="18"/>
                      <w:szCs w:val="18"/>
                    </w:rPr>
                    <w:t>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color w:val="auto"/>
                      <w:sz w:val="18"/>
                      <w:szCs w:val="18"/>
                    </w:rPr>
                    <w:t>。</w:t>
                  </w:r>
                </w:p>
              </w:tc>
              <w:tc>
                <w:tcPr>
                  <w:tcW w:w="3381" w:type="dxa"/>
                  <w:tcBorders>
                    <w:left w:val="single" w:color="auto" w:sz="4" w:space="0"/>
                    <w:right w:val="single" w:color="auto" w:sz="4" w:space="0"/>
                  </w:tcBorders>
                  <w:noWrap w:val="0"/>
                  <w:vAlign w:val="center"/>
                </w:tcPr>
                <w:p w14:paraId="6DB277D3">
                  <w:pPr>
                    <w:pStyle w:val="11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w:t>
                  </w:r>
                  <w:r>
                    <w:rPr>
                      <w:rFonts w:hint="eastAsia"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铝带底涂剂、PP底涂剂</w:t>
                  </w:r>
                  <w:r>
                    <w:rPr>
                      <w:rFonts w:hint="eastAsia" w:ascii="Times New Roman" w:hAnsi="Times New Roman" w:cs="Times New Roman"/>
                      <w:color w:val="auto"/>
                      <w:sz w:val="18"/>
                      <w:szCs w:val="18"/>
                      <w:highlight w:val="none"/>
                      <w:lang w:val="en-US" w:eastAsia="zh-CN"/>
                    </w:rPr>
                    <w:t>采用密闭桶装暂存</w:t>
                  </w:r>
                  <w:r>
                    <w:rPr>
                      <w:rFonts w:hint="default" w:ascii="Times New Roman" w:hAnsi="Times New Roman" w:cs="Times New Roman"/>
                      <w:color w:val="auto"/>
                      <w:sz w:val="18"/>
                      <w:szCs w:val="18"/>
                      <w:lang w:val="en-US" w:eastAsia="zh-CN"/>
                    </w:rPr>
                    <w:t>；</w:t>
                  </w:r>
                </w:p>
                <w:p w14:paraId="7FA4C820">
                  <w:pPr>
                    <w:pStyle w:val="119"/>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r>
                    <w:rPr>
                      <w:rFonts w:hint="eastAsia" w:cs="Times New Roman"/>
                      <w:color w:val="auto"/>
                      <w:sz w:val="18"/>
                      <w:szCs w:val="18"/>
                      <w:lang w:val="en-US" w:eastAsia="zh-CN"/>
                    </w:rPr>
                    <w:t>2）</w:t>
                  </w:r>
                  <w:r>
                    <w:rPr>
                      <w:rFonts w:hint="default" w:ascii="Times New Roman" w:hAnsi="Times New Roman" w:cs="Times New Roman"/>
                      <w:color w:val="auto"/>
                      <w:sz w:val="18"/>
                      <w:szCs w:val="18"/>
                      <w:highlight w:val="none"/>
                    </w:rPr>
                    <w:t>本</w:t>
                  </w:r>
                  <w:r>
                    <w:rPr>
                      <w:rFonts w:hint="eastAsia" w:cs="Times New Roman"/>
                      <w:color w:val="auto"/>
                      <w:sz w:val="18"/>
                      <w:szCs w:val="18"/>
                      <w:highlight w:val="none"/>
                      <w:lang w:val="en-US" w:eastAsia="zh-CN"/>
                    </w:rPr>
                    <w:t>项目</w:t>
                  </w:r>
                  <w:r>
                    <w:rPr>
                      <w:rFonts w:hint="eastAsia" w:cs="Times New Roman"/>
                      <w:color w:val="auto"/>
                      <w:sz w:val="18"/>
                      <w:szCs w:val="18"/>
                      <w:highlight w:val="none"/>
                      <w:lang w:eastAsia="zh-CN"/>
                    </w:rPr>
                    <w:t>注塑机、复合挤出机、挤出机、涂胶机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w:t>
                  </w:r>
                  <w:r>
                    <w:rPr>
                      <w:rFonts w:hint="eastAsia" w:cs="Times New Roman"/>
                      <w:color w:val="auto"/>
                      <w:sz w:val="18"/>
                      <w:szCs w:val="18"/>
                      <w:highlight w:val="none"/>
                      <w:lang w:val="en-US" w:eastAsia="zh-CN"/>
                    </w:rPr>
                    <w:t>，有机废气处理经负压收集</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收集效率≥</w:t>
                  </w:r>
                  <w:r>
                    <w:rPr>
                      <w:rFonts w:hint="eastAsia" w:cs="Times New Roman"/>
                      <w:color w:val="auto"/>
                      <w:sz w:val="18"/>
                      <w:szCs w:val="18"/>
                      <w:highlight w:val="none"/>
                      <w:lang w:val="en-US" w:eastAsia="zh-CN"/>
                    </w:rPr>
                    <w:t>90</w:t>
                  </w:r>
                  <w:r>
                    <w:rPr>
                      <w:rFonts w:hint="default" w:ascii="Times New Roman" w:hAnsi="Times New Roman" w:cs="Times New Roman"/>
                      <w:color w:val="auto"/>
                      <w:sz w:val="18"/>
                      <w:szCs w:val="18"/>
                      <w:highlight w:val="none"/>
                    </w:rPr>
                    <w:t>%</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将产生的</w:t>
                  </w:r>
                  <w:r>
                    <w:rPr>
                      <w:rFonts w:hint="default" w:ascii="Times New Roman" w:hAnsi="Times New Roman" w:cs="Times New Roman"/>
                      <w:color w:val="auto"/>
                      <w:sz w:val="18"/>
                      <w:szCs w:val="18"/>
                      <w:highlight w:val="none"/>
                    </w:rPr>
                    <w:t>VOCs</w:t>
                  </w:r>
                  <w:r>
                    <w:rPr>
                      <w:rFonts w:hint="default" w:ascii="Times New Roman" w:hAnsi="Times New Roman" w:cs="Times New Roman"/>
                      <w:color w:val="auto"/>
                      <w:sz w:val="18"/>
                      <w:szCs w:val="18"/>
                      <w:highlight w:val="none"/>
                      <w:lang w:val="en-US" w:eastAsia="zh-CN"/>
                    </w:rPr>
                    <w:t>收集后通过</w:t>
                  </w:r>
                  <w:r>
                    <w:rPr>
                      <w:rFonts w:hint="eastAsia" w:ascii="Times New Roman" w:hAnsi="Times New Roman" w:cs="Times New Roman"/>
                      <w:color w:val="auto"/>
                      <w:sz w:val="18"/>
                      <w:szCs w:val="18"/>
                      <w:highlight w:val="none"/>
                      <w:lang w:val="en-US" w:eastAsia="zh-CN"/>
                    </w:rPr>
                    <w:t>“</w:t>
                  </w:r>
                  <w:r>
                    <w:rPr>
                      <w:rFonts w:hint="eastAsia" w:cs="Times New Roman"/>
                      <w:color w:val="auto"/>
                      <w:spacing w:val="0"/>
                      <w:sz w:val="18"/>
                      <w:szCs w:val="18"/>
                      <w:highlight w:val="none"/>
                      <w:lang w:val="en-US" w:eastAsia="zh-CN"/>
                    </w:rPr>
                    <w:t>二级活性炭吸附装置</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处理后</w:t>
                  </w:r>
                  <w:r>
                    <w:rPr>
                      <w:rFonts w:hint="eastAsia" w:cs="Times New Roman"/>
                      <w:color w:val="auto"/>
                      <w:spacing w:val="0"/>
                      <w:sz w:val="18"/>
                      <w:szCs w:val="18"/>
                      <w:highlight w:val="none"/>
                      <w:lang w:val="en-US" w:eastAsia="zh-CN"/>
                    </w:rPr>
                    <w:t>25m排气筒</w:t>
                  </w:r>
                  <w:r>
                    <w:rPr>
                      <w:rFonts w:hint="default" w:ascii="Times New Roman" w:hAnsi="Times New Roman" w:cs="Times New Roman"/>
                      <w:color w:val="auto"/>
                      <w:sz w:val="18"/>
                      <w:szCs w:val="18"/>
                      <w:highlight w:val="none"/>
                      <w:lang w:val="en-US" w:eastAsia="zh-CN"/>
                    </w:rPr>
                    <w:t>排放</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拟将</w:t>
                  </w:r>
                  <w:r>
                    <w:rPr>
                      <w:rFonts w:hint="default" w:ascii="Times New Roman" w:hAnsi="Times New Roman" w:cs="Times New Roman"/>
                      <w:color w:val="auto"/>
                      <w:sz w:val="18"/>
                      <w:szCs w:val="18"/>
                      <w:highlight w:val="none"/>
                    </w:rPr>
                    <w:t>更换的</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废活性炭</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袋装密闭暂存于</w:t>
                  </w:r>
                  <w:r>
                    <w:rPr>
                      <w:rFonts w:hint="eastAsia" w:cs="Times New Roman"/>
                      <w:color w:val="auto"/>
                      <w:sz w:val="18"/>
                      <w:szCs w:val="18"/>
                      <w:highlight w:val="none"/>
                      <w:lang w:eastAsia="zh-CN"/>
                    </w:rPr>
                    <w:t>危险废物贮存间</w:t>
                  </w:r>
                  <w:r>
                    <w:rPr>
                      <w:rFonts w:hint="default" w:ascii="Times New Roman" w:hAnsi="Times New Roman" w:cs="Times New Roman"/>
                      <w:color w:val="auto"/>
                      <w:sz w:val="18"/>
                      <w:szCs w:val="18"/>
                      <w:highlight w:val="none"/>
                    </w:rPr>
                    <w:t>内</w:t>
                  </w:r>
                  <w:r>
                    <w:rPr>
                      <w:rFonts w:hint="eastAsia" w:cs="Times New Roman"/>
                      <w:color w:val="auto"/>
                      <w:sz w:val="18"/>
                      <w:szCs w:val="18"/>
                      <w:highlight w:val="none"/>
                      <w:lang w:eastAsia="zh-CN"/>
                    </w:rPr>
                    <w:t>，</w:t>
                  </w:r>
                  <w:r>
                    <w:rPr>
                      <w:rFonts w:hint="eastAsia" w:cs="Times New Roman"/>
                      <w:color w:val="auto"/>
                      <w:sz w:val="18"/>
                      <w:szCs w:val="18"/>
                      <w:highlight w:val="none"/>
                      <w:lang w:val="en-US" w:eastAsia="zh-CN"/>
                    </w:rPr>
                    <w:t>委托有资质单位处置</w:t>
                  </w:r>
                  <w:r>
                    <w:rPr>
                      <w:rFonts w:hint="eastAsia" w:ascii="Times New Roman" w:hAnsi="Times New Roman" w:cs="Times New Roman"/>
                      <w:color w:val="auto"/>
                      <w:sz w:val="18"/>
                      <w:szCs w:val="18"/>
                      <w:highlight w:val="none"/>
                      <w:lang w:eastAsia="zh-CN"/>
                    </w:rPr>
                    <w:t>。</w:t>
                  </w:r>
                </w:p>
              </w:tc>
              <w:tc>
                <w:tcPr>
                  <w:tcW w:w="742" w:type="dxa"/>
                  <w:tcBorders>
                    <w:left w:val="single" w:color="auto" w:sz="4" w:space="0"/>
                  </w:tcBorders>
                  <w:noWrap w:val="0"/>
                  <w:vAlign w:val="center"/>
                </w:tcPr>
                <w:p w14:paraId="686A4CB5">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符合</w:t>
                  </w:r>
                </w:p>
              </w:tc>
            </w:tr>
            <w:tr w14:paraId="21F85D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20" w:type="dxa"/>
                  <w:noWrap w:val="0"/>
                  <w:vAlign w:val="center"/>
                </w:tcPr>
                <w:p w14:paraId="75A1A929">
                  <w:pPr>
                    <w:pStyle w:val="119"/>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21"/>
                      <w:szCs w:val="21"/>
                      <w:lang w:val="en-US" w:eastAsia="zh-CN"/>
                    </w:rPr>
                    <w:t>6</w:t>
                  </w:r>
                </w:p>
              </w:tc>
              <w:tc>
                <w:tcPr>
                  <w:tcW w:w="2138" w:type="dxa"/>
                  <w:noWrap w:val="0"/>
                  <w:vAlign w:val="center"/>
                </w:tcPr>
                <w:p w14:paraId="29EB8708">
                  <w:pPr>
                    <w:pStyle w:val="119"/>
                    <w:adjustRightInd w:val="0"/>
                    <w:snapToGrid w:val="0"/>
                    <w:spacing w:line="240" w:lineRule="auto"/>
                    <w:jc w:val="center"/>
                    <w:rPr>
                      <w:color w:val="auto"/>
                      <w:sz w:val="18"/>
                      <w:szCs w:val="18"/>
                    </w:rPr>
                  </w:pPr>
                  <w:r>
                    <w:rPr>
                      <w:rFonts w:hint="eastAsia" w:ascii="Times New Roman" w:hAnsi="Times New Roman" w:eastAsia="宋体" w:cs="Times New Roman"/>
                      <w:color w:val="auto"/>
                      <w:sz w:val="18"/>
                      <w:szCs w:val="18"/>
                      <w:lang w:val="en-US" w:eastAsia="zh-CN"/>
                    </w:rPr>
                    <w:t>《福建省2020年挥发性有机物治理攻坚实施方案》的通知（闽环保大气〔2020〕6号）</w:t>
                  </w:r>
                </w:p>
              </w:tc>
              <w:tc>
                <w:tcPr>
                  <w:tcW w:w="6273" w:type="dxa"/>
                  <w:tcBorders>
                    <w:right w:val="single" w:color="auto" w:sz="4" w:space="0"/>
                  </w:tcBorders>
                  <w:noWrap w:val="0"/>
                  <w:vAlign w:val="center"/>
                </w:tcPr>
                <w:p w14:paraId="7738B793">
                  <w:pPr>
                    <w:pStyle w:val="119"/>
                    <w:adjustRightInd w:val="0"/>
                    <w:snapToGrid w:val="0"/>
                    <w:spacing w:line="240" w:lineRule="auto"/>
                    <w:jc w:val="lef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（1）大力推进源头替代，有效减少VOCs产生；</w:t>
                  </w:r>
                </w:p>
                <w:p w14:paraId="4435EC4E">
                  <w:pPr>
                    <w:pStyle w:val="119"/>
                    <w:adjustRightInd w:val="0"/>
                    <w:snapToGrid w:val="0"/>
                    <w:spacing w:line="240" w:lineRule="auto"/>
                    <w:jc w:val="lef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68363A7B">
                  <w:pPr>
                    <w:pStyle w:val="119"/>
                    <w:adjustRightInd w:val="0"/>
                    <w:snapToGrid w:val="0"/>
                    <w:spacing w:line="240" w:lineRule="auto"/>
                    <w:jc w:val="left"/>
                    <w:rPr>
                      <w:color w:val="auto"/>
                      <w:sz w:val="18"/>
                      <w:szCs w:val="18"/>
                    </w:rPr>
                  </w:pPr>
                  <w:r>
                    <w:rPr>
                      <w:rFonts w:hint="eastAsia" w:ascii="Times New Roman" w:hAnsi="Times New Roman" w:eastAsia="宋体" w:cs="Times New Roman"/>
                      <w:color w:val="auto"/>
                      <w:sz w:val="18"/>
                      <w:szCs w:val="18"/>
                      <w:lang w:val="en-US" w:eastAsia="zh-CN"/>
                    </w:rPr>
                    <w:t>（3）</w:t>
                  </w:r>
                  <w:r>
                    <w:rPr>
                      <w:rFonts w:hint="eastAsia" w:ascii="Times New Roman" w:hAnsi="Times New Roman" w:eastAsia="宋体" w:cs="Times New Roman"/>
                      <w:color w:val="auto"/>
                      <w:sz w:val="18"/>
                      <w:szCs w:val="18"/>
                    </w:rPr>
                    <w:t>聚焦治污设施“三率”，提升综合治理效率</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rPr>
                    <w:t>除恶臭异味治理外，一般不采用低温等离子、光催化、光氧化等技术。优先采用密闭设备、在密闭空间中操作或采用全密闭集气罩收集方式；</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rPr>
                    <w:t>采用活性炭吸附技术的，应选择碘值不低于800毫克/克的活性炭，并按设计要求足量添加</w:t>
                  </w:r>
                  <w:r>
                    <w:rPr>
                      <w:rFonts w:hint="eastAsia" w:cs="Times New Roman"/>
                      <w:color w:val="auto"/>
                      <w:sz w:val="18"/>
                      <w:szCs w:val="18"/>
                      <w:lang w:eastAsia="zh-CN"/>
                    </w:rPr>
                    <w:t>及</w:t>
                  </w:r>
                  <w:r>
                    <w:rPr>
                      <w:rFonts w:hint="eastAsia" w:ascii="Times New Roman" w:hAnsi="Times New Roman" w:eastAsia="宋体" w:cs="Times New Roman"/>
                      <w:color w:val="auto"/>
                      <w:sz w:val="18"/>
                      <w:szCs w:val="18"/>
                    </w:rPr>
                    <w:t>时更换。</w:t>
                  </w:r>
                </w:p>
              </w:tc>
              <w:tc>
                <w:tcPr>
                  <w:tcW w:w="3381" w:type="dxa"/>
                  <w:tcBorders>
                    <w:left w:val="single" w:color="auto" w:sz="4" w:space="0"/>
                    <w:right w:val="single" w:color="auto" w:sz="4" w:space="0"/>
                  </w:tcBorders>
                  <w:noWrap w:val="0"/>
                  <w:vAlign w:val="center"/>
                </w:tcPr>
                <w:p w14:paraId="04715C82">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w:t>
                  </w:r>
                  <w:r>
                    <w:rPr>
                      <w:rFonts w:hint="eastAsia" w:cs="Times New Roman"/>
                      <w:color w:val="auto"/>
                      <w:kern w:val="2"/>
                      <w:sz w:val="18"/>
                      <w:szCs w:val="18"/>
                      <w:highlight w:val="none"/>
                      <w:lang w:val="en-US" w:eastAsia="zh-CN" w:bidi="ar-SA"/>
                    </w:rPr>
                    <w:t>本项目使用PBT、PC/ABS、PA6/PA66、PP、PVC、TPV塑料颗粒为原生料，不外购使用再生料，涂胶工序使用的底涂剂用量较小且因工艺要求暂无低VOCs含量的物料替代</w:t>
                  </w:r>
                  <w:r>
                    <w:rPr>
                      <w:rFonts w:hint="eastAsia" w:ascii="Times New Roman" w:hAnsi="Times New Roman" w:eastAsia="宋体" w:cs="Times New Roman"/>
                      <w:color w:val="auto"/>
                      <w:sz w:val="18"/>
                      <w:szCs w:val="18"/>
                      <w:highlight w:val="none"/>
                      <w:lang w:val="en-US" w:eastAsia="zh-CN"/>
                    </w:rPr>
                    <w:t>；</w:t>
                  </w:r>
                </w:p>
                <w:p w14:paraId="17A26E38">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2"/>
                      <w:sz w:val="18"/>
                      <w:szCs w:val="18"/>
                      <w:highlight w:val="none"/>
                      <w:lang w:val="en-US" w:eastAsia="zh-CN" w:bidi="ar-SA"/>
                    </w:rPr>
                    <w:t>（2）</w:t>
                  </w:r>
                  <w:r>
                    <w:rPr>
                      <w:rFonts w:hint="eastAsia"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铝带底涂剂、PP底涂剂</w:t>
                  </w:r>
                  <w:r>
                    <w:rPr>
                      <w:rFonts w:hint="eastAsia" w:ascii="Times New Roman" w:hAnsi="Times New Roman" w:cs="Times New Roman"/>
                      <w:color w:val="auto"/>
                      <w:sz w:val="18"/>
                      <w:szCs w:val="18"/>
                      <w:highlight w:val="none"/>
                      <w:lang w:val="en-US" w:eastAsia="zh-CN"/>
                    </w:rPr>
                    <w:t>采用密闭桶装暂存</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本</w:t>
                  </w:r>
                  <w:r>
                    <w:rPr>
                      <w:rFonts w:hint="eastAsia" w:cs="Times New Roman"/>
                      <w:color w:val="auto"/>
                      <w:sz w:val="18"/>
                      <w:szCs w:val="18"/>
                      <w:highlight w:val="none"/>
                      <w:lang w:val="en-US" w:eastAsia="zh-CN"/>
                    </w:rPr>
                    <w:t>项目</w:t>
                  </w:r>
                  <w:r>
                    <w:rPr>
                      <w:rFonts w:hint="eastAsia" w:cs="Times New Roman"/>
                      <w:color w:val="auto"/>
                      <w:sz w:val="18"/>
                      <w:szCs w:val="18"/>
                      <w:highlight w:val="none"/>
                      <w:lang w:eastAsia="zh-CN"/>
                    </w:rPr>
                    <w:t>注塑机、复合挤出机、挤出机、涂胶机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w:t>
                  </w:r>
                  <w:r>
                    <w:rPr>
                      <w:rFonts w:hint="eastAsia" w:cs="Times New Roman"/>
                      <w:color w:val="auto"/>
                      <w:sz w:val="18"/>
                      <w:szCs w:val="18"/>
                      <w:highlight w:val="none"/>
                      <w:lang w:val="en-US" w:eastAsia="zh-CN"/>
                    </w:rPr>
                    <w:t>，有机废气处理经负压收集</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收集效率≥</w:t>
                  </w:r>
                  <w:r>
                    <w:rPr>
                      <w:rFonts w:hint="eastAsia" w:cs="Times New Roman"/>
                      <w:color w:val="auto"/>
                      <w:sz w:val="18"/>
                      <w:szCs w:val="18"/>
                      <w:highlight w:val="none"/>
                      <w:lang w:val="en-US" w:eastAsia="zh-CN"/>
                    </w:rPr>
                    <w:t>90</w:t>
                  </w:r>
                  <w:r>
                    <w:rPr>
                      <w:rFonts w:hint="default" w:ascii="Times New Roman" w:hAnsi="Times New Roman" w:cs="Times New Roman"/>
                      <w:color w:val="auto"/>
                      <w:sz w:val="18"/>
                      <w:szCs w:val="18"/>
                      <w:highlight w:val="none"/>
                    </w:rPr>
                    <w:t>%</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将产生的</w:t>
                  </w:r>
                  <w:r>
                    <w:rPr>
                      <w:rFonts w:hint="default" w:ascii="Times New Roman" w:hAnsi="Times New Roman" w:cs="Times New Roman"/>
                      <w:color w:val="auto"/>
                      <w:sz w:val="18"/>
                      <w:szCs w:val="18"/>
                      <w:highlight w:val="none"/>
                    </w:rPr>
                    <w:t>VOCs</w:t>
                  </w:r>
                  <w:r>
                    <w:rPr>
                      <w:rFonts w:hint="default" w:ascii="Times New Roman" w:hAnsi="Times New Roman" w:cs="Times New Roman"/>
                      <w:color w:val="auto"/>
                      <w:sz w:val="18"/>
                      <w:szCs w:val="18"/>
                      <w:highlight w:val="none"/>
                      <w:lang w:val="en-US" w:eastAsia="zh-CN"/>
                    </w:rPr>
                    <w:t>收集后通过</w:t>
                  </w:r>
                  <w:r>
                    <w:rPr>
                      <w:rFonts w:hint="eastAsia" w:ascii="Times New Roman" w:hAnsi="Times New Roman" w:cs="Times New Roman"/>
                      <w:color w:val="auto"/>
                      <w:sz w:val="18"/>
                      <w:szCs w:val="18"/>
                      <w:highlight w:val="none"/>
                      <w:lang w:val="en-US" w:eastAsia="zh-CN"/>
                    </w:rPr>
                    <w:t>“</w:t>
                  </w:r>
                  <w:r>
                    <w:rPr>
                      <w:rFonts w:hint="eastAsia" w:cs="Times New Roman"/>
                      <w:color w:val="auto"/>
                      <w:spacing w:val="0"/>
                      <w:sz w:val="18"/>
                      <w:szCs w:val="18"/>
                      <w:highlight w:val="none"/>
                      <w:lang w:val="en-US" w:eastAsia="zh-CN"/>
                    </w:rPr>
                    <w:t>二级活性炭吸附装置</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处理后</w:t>
                  </w:r>
                  <w:r>
                    <w:rPr>
                      <w:rFonts w:hint="eastAsia" w:cs="Times New Roman"/>
                      <w:color w:val="auto"/>
                      <w:spacing w:val="0"/>
                      <w:sz w:val="18"/>
                      <w:szCs w:val="18"/>
                      <w:highlight w:val="none"/>
                      <w:lang w:val="en-US" w:eastAsia="zh-CN"/>
                    </w:rPr>
                    <w:t>25m排气筒</w:t>
                  </w:r>
                  <w:r>
                    <w:rPr>
                      <w:rFonts w:hint="default" w:ascii="Times New Roman" w:hAnsi="Times New Roman" w:cs="Times New Roman"/>
                      <w:color w:val="auto"/>
                      <w:sz w:val="18"/>
                      <w:szCs w:val="18"/>
                      <w:highlight w:val="none"/>
                      <w:lang w:val="en-US" w:eastAsia="zh-CN"/>
                    </w:rPr>
                    <w:t>排放</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拟将</w:t>
                  </w:r>
                  <w:r>
                    <w:rPr>
                      <w:rFonts w:hint="default" w:ascii="Times New Roman" w:hAnsi="Times New Roman" w:cs="Times New Roman"/>
                      <w:color w:val="auto"/>
                      <w:sz w:val="18"/>
                      <w:szCs w:val="18"/>
                      <w:highlight w:val="none"/>
                    </w:rPr>
                    <w:t>更换的</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废活性炭</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袋装密闭暂存于</w:t>
                  </w:r>
                  <w:r>
                    <w:rPr>
                      <w:rFonts w:hint="eastAsia" w:cs="Times New Roman"/>
                      <w:color w:val="auto"/>
                      <w:sz w:val="18"/>
                      <w:szCs w:val="18"/>
                      <w:highlight w:val="none"/>
                      <w:lang w:eastAsia="zh-CN"/>
                    </w:rPr>
                    <w:t>危险废物贮存间</w:t>
                  </w:r>
                  <w:r>
                    <w:rPr>
                      <w:rFonts w:hint="default" w:ascii="Times New Roman" w:hAnsi="Times New Roman" w:cs="Times New Roman"/>
                      <w:color w:val="auto"/>
                      <w:sz w:val="18"/>
                      <w:szCs w:val="18"/>
                      <w:highlight w:val="none"/>
                    </w:rPr>
                    <w:t>内</w:t>
                  </w:r>
                  <w:r>
                    <w:rPr>
                      <w:rFonts w:hint="eastAsia" w:cs="Times New Roman"/>
                      <w:color w:val="auto"/>
                      <w:sz w:val="18"/>
                      <w:szCs w:val="18"/>
                      <w:highlight w:val="none"/>
                      <w:lang w:eastAsia="zh-CN"/>
                    </w:rPr>
                    <w:t>，</w:t>
                  </w:r>
                  <w:r>
                    <w:rPr>
                      <w:rFonts w:hint="eastAsia" w:cs="Times New Roman"/>
                      <w:color w:val="auto"/>
                      <w:sz w:val="18"/>
                      <w:szCs w:val="18"/>
                      <w:highlight w:val="none"/>
                      <w:lang w:val="en-US" w:eastAsia="zh-CN"/>
                    </w:rPr>
                    <w:t>委托有资质单位处置。</w:t>
                  </w:r>
                </w:p>
              </w:tc>
              <w:tc>
                <w:tcPr>
                  <w:tcW w:w="742" w:type="dxa"/>
                  <w:tcBorders>
                    <w:left w:val="single" w:color="auto" w:sz="4" w:space="0"/>
                  </w:tcBorders>
                  <w:noWrap w:val="0"/>
                  <w:vAlign w:val="center"/>
                </w:tcPr>
                <w:p w14:paraId="4C18E7F0">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21"/>
                      <w:szCs w:val="21"/>
                      <w:lang w:val="en-US" w:eastAsia="zh-CN"/>
                    </w:rPr>
                    <w:t>符合</w:t>
                  </w:r>
                </w:p>
              </w:tc>
            </w:tr>
            <w:tr w14:paraId="555856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noWrap w:val="0"/>
                  <w:vAlign w:val="center"/>
                </w:tcPr>
                <w:p w14:paraId="035EB196">
                  <w:pPr>
                    <w:pStyle w:val="119"/>
                    <w:adjustRightInd w:val="0"/>
                    <w:snapToGrid w:val="0"/>
                    <w:spacing w:line="240" w:lineRule="auto"/>
                    <w:rPr>
                      <w:rFonts w:hint="default" w:ascii="Times New Roman" w:hAnsi="Times New Roman" w:eastAsia="宋体" w:cs="Times New Roman"/>
                      <w:color w:val="auto"/>
                      <w:sz w:val="21"/>
                      <w:szCs w:val="21"/>
                      <w:lang w:val="en-US" w:eastAsia="zh-CN"/>
                    </w:rPr>
                  </w:pPr>
                  <w:r>
                    <w:rPr>
                      <w:rFonts w:hint="eastAsia"/>
                      <w:color w:val="auto"/>
                      <w:sz w:val="18"/>
                      <w:szCs w:val="18"/>
                      <w:lang w:val="en-US" w:eastAsia="zh-CN"/>
                    </w:rPr>
                    <w:t>7</w:t>
                  </w:r>
                </w:p>
              </w:tc>
              <w:tc>
                <w:tcPr>
                  <w:tcW w:w="2138" w:type="dxa"/>
                  <w:noWrap w:val="0"/>
                  <w:vAlign w:val="center"/>
                </w:tcPr>
                <w:p w14:paraId="7ECDA618">
                  <w:pPr>
                    <w:pStyle w:val="119"/>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eastAsia="zh-CN"/>
                    </w:rPr>
                    <w:t>福州市生态环境保护委员会办公室关于印发</w:t>
                  </w:r>
                  <w:r>
                    <w:rPr>
                      <w:rFonts w:hint="default" w:ascii="Times New Roman" w:hAnsi="Times New Roman" w:cs="Times New Roman"/>
                      <w:color w:val="auto"/>
                      <w:sz w:val="18"/>
                      <w:szCs w:val="18"/>
                      <w:lang w:val="en-US" w:eastAsia="zh-CN"/>
                    </w:rPr>
                    <w:t>2022年度福州市蓝天碧海净土保卫战行动计划通知</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lang w:eastAsia="zh-CN"/>
                    </w:rPr>
                    <w:t>榕环委办</w:t>
                  </w:r>
                  <w:r>
                    <w:rPr>
                      <w:rFonts w:hint="default" w:ascii="Times New Roman" w:hAnsi="Times New Roman" w:cs="Times New Roman"/>
                      <w:color w:val="auto"/>
                      <w:sz w:val="18"/>
                      <w:szCs w:val="18"/>
                      <w:lang w:val="en-US" w:eastAsia="zh-CN"/>
                    </w:rPr>
                    <w:t>[2022]49号</w:t>
                  </w:r>
                  <w:r>
                    <w:rPr>
                      <w:rFonts w:hint="eastAsia" w:ascii="Times New Roman" w:hAnsi="Times New Roman" w:cs="Times New Roman"/>
                      <w:color w:val="auto"/>
                      <w:sz w:val="18"/>
                      <w:szCs w:val="18"/>
                      <w:lang w:val="en-US" w:eastAsia="zh-CN"/>
                    </w:rPr>
                    <w:t>）</w:t>
                  </w:r>
                </w:p>
              </w:tc>
              <w:tc>
                <w:tcPr>
                  <w:tcW w:w="6273" w:type="dxa"/>
                  <w:tcBorders>
                    <w:right w:val="single" w:color="auto" w:sz="4" w:space="0"/>
                  </w:tcBorders>
                  <w:noWrap w:val="0"/>
                  <w:vAlign w:val="center"/>
                </w:tcPr>
                <w:p w14:paraId="4DC2A4FC">
                  <w:pPr>
                    <w:pStyle w:val="119"/>
                    <w:adjustRightInd w:val="0"/>
                    <w:snapToGrid w:val="0"/>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18"/>
                      <w:szCs w:val="18"/>
                    </w:rPr>
                    <w:t>四是严格涉VOCs建设项目环境影响评价审批。新、改、扩建涉VOCs排放项目，应使用低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无</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VOCs涂料、粘胶剂等，实施新建项目VOCs排放区域内1.2及以上倍量替代。VOCs年排放量大于5吨的新建项目投运前应安装VOCs在线监控设备，并接入市生态云平台。</w:t>
                  </w:r>
                </w:p>
              </w:tc>
              <w:tc>
                <w:tcPr>
                  <w:tcW w:w="3381" w:type="dxa"/>
                  <w:tcBorders>
                    <w:left w:val="single" w:color="auto" w:sz="4" w:space="0"/>
                    <w:right w:val="single" w:color="auto" w:sz="4" w:space="0"/>
                  </w:tcBorders>
                  <w:noWrap w:val="0"/>
                  <w:vAlign w:val="center"/>
                </w:tcPr>
                <w:p w14:paraId="7ACF34C5">
                  <w:pPr>
                    <w:pStyle w:val="119"/>
                    <w:adjustRightInd w:val="0"/>
                    <w:snapToGrid w:val="0"/>
                    <w:spacing w:line="240" w:lineRule="auto"/>
                    <w:jc w:val="lef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18"/>
                      <w:szCs w:val="18"/>
                      <w:highlight w:val="none"/>
                      <w:lang w:val="en-US" w:eastAsia="zh-CN"/>
                    </w:rPr>
                    <w:t>项目VOCs排放拟实行区域内倍量替代，</w:t>
                  </w:r>
                  <w:r>
                    <w:rPr>
                      <w:rFonts w:hint="default" w:ascii="Times New Roman" w:hAnsi="Times New Roman" w:cs="Times New Roman"/>
                      <w:color w:val="auto"/>
                      <w:kern w:val="2"/>
                      <w:sz w:val="18"/>
                      <w:szCs w:val="18"/>
                      <w:highlight w:val="none"/>
                      <w:lang w:val="en-US" w:eastAsia="zh-CN" w:bidi="ar-SA"/>
                    </w:rPr>
                    <w:t>项目</w:t>
                  </w:r>
                  <w:r>
                    <w:rPr>
                      <w:rFonts w:hint="eastAsia" w:ascii="Times New Roman" w:hAnsi="Times New Roman" w:cs="Times New Roman"/>
                      <w:color w:val="auto"/>
                      <w:kern w:val="2"/>
                      <w:sz w:val="18"/>
                      <w:szCs w:val="18"/>
                      <w:highlight w:val="none"/>
                      <w:lang w:val="en-US" w:eastAsia="zh-CN" w:bidi="ar-SA"/>
                    </w:rPr>
                    <w:t>扩建后全厂</w:t>
                  </w:r>
                  <w:r>
                    <w:rPr>
                      <w:rFonts w:hint="default" w:ascii="Times New Roman" w:hAnsi="Times New Roman" w:cs="Times New Roman"/>
                      <w:color w:val="auto"/>
                      <w:kern w:val="2"/>
                      <w:sz w:val="18"/>
                      <w:szCs w:val="18"/>
                      <w:highlight w:val="none"/>
                      <w:lang w:val="en-US" w:eastAsia="zh-CN" w:bidi="ar-SA"/>
                    </w:rPr>
                    <w:t>VOCs</w:t>
                  </w:r>
                  <w:r>
                    <w:rPr>
                      <w:rFonts w:hint="default" w:ascii="Times New Roman" w:hAnsi="Times New Roman" w:cs="Times New Roman"/>
                      <w:b w:val="0"/>
                      <w:bCs w:val="0"/>
                      <w:color w:val="auto"/>
                      <w:sz w:val="18"/>
                      <w:szCs w:val="18"/>
                      <w:highlight w:val="none"/>
                    </w:rPr>
                    <w:t>年排放量</w:t>
                  </w:r>
                  <w:r>
                    <w:rPr>
                      <w:rFonts w:hint="eastAsia" w:cs="Times New Roman"/>
                      <w:b w:val="0"/>
                      <w:bCs w:val="0"/>
                      <w:color w:val="auto"/>
                      <w:sz w:val="18"/>
                      <w:szCs w:val="18"/>
                      <w:highlight w:val="none"/>
                      <w:lang w:val="en-US" w:eastAsia="zh-CN"/>
                    </w:rPr>
                    <w:t>0.857 t/a，</w:t>
                  </w:r>
                  <w:r>
                    <w:rPr>
                      <w:rFonts w:hint="default" w:ascii="Times New Roman" w:hAnsi="Times New Roman" w:cs="Times New Roman"/>
                      <w:b w:val="0"/>
                      <w:bCs w:val="0"/>
                      <w:color w:val="auto"/>
                      <w:sz w:val="18"/>
                      <w:szCs w:val="18"/>
                      <w:highlight w:val="none"/>
                      <w:lang w:val="en-US" w:eastAsia="zh-CN"/>
                    </w:rPr>
                    <w:t>远小于5</w:t>
                  </w:r>
                  <w:r>
                    <w:rPr>
                      <w:rFonts w:hint="default" w:ascii="Times New Roman" w:hAnsi="Times New Roman" w:cs="Times New Roman"/>
                      <w:b w:val="0"/>
                      <w:bCs w:val="0"/>
                      <w:color w:val="auto"/>
                      <w:sz w:val="18"/>
                      <w:szCs w:val="18"/>
                      <w:highlight w:val="none"/>
                    </w:rPr>
                    <w:t>吨</w:t>
                  </w:r>
                  <w:r>
                    <w:rPr>
                      <w:rFonts w:hint="default" w:ascii="Times New Roman" w:hAnsi="Times New Roman" w:cs="Times New Roman"/>
                      <w:b w:val="0"/>
                      <w:bCs w:val="0"/>
                      <w:color w:val="auto"/>
                      <w:sz w:val="18"/>
                      <w:szCs w:val="18"/>
                      <w:highlight w:val="none"/>
                      <w:lang w:eastAsia="zh-CN"/>
                    </w:rPr>
                    <w:t>，</w:t>
                  </w:r>
                  <w:r>
                    <w:rPr>
                      <w:rFonts w:hint="default" w:ascii="Times New Roman" w:hAnsi="Times New Roman" w:cs="Times New Roman"/>
                      <w:color w:val="auto"/>
                      <w:kern w:val="2"/>
                      <w:sz w:val="18"/>
                      <w:szCs w:val="18"/>
                      <w:highlight w:val="none"/>
                      <w:lang w:val="en-US" w:eastAsia="zh-CN" w:bidi="ar-SA"/>
                    </w:rPr>
                    <w:t>不需</w:t>
                  </w:r>
                  <w:r>
                    <w:rPr>
                      <w:rFonts w:hint="default" w:ascii="Times New Roman" w:hAnsi="Times New Roman" w:cs="Times New Roman"/>
                      <w:b w:val="0"/>
                      <w:bCs w:val="0"/>
                      <w:color w:val="auto"/>
                      <w:sz w:val="18"/>
                      <w:szCs w:val="18"/>
                      <w:highlight w:val="none"/>
                    </w:rPr>
                    <w:t>安装VOCs在线监控设备</w:t>
                  </w:r>
                  <w:r>
                    <w:rPr>
                      <w:rFonts w:hint="default" w:ascii="Times New Roman" w:hAnsi="Times New Roman" w:cs="Times New Roman"/>
                      <w:b w:val="0"/>
                      <w:bCs w:val="0"/>
                      <w:color w:val="auto"/>
                      <w:sz w:val="18"/>
                      <w:szCs w:val="18"/>
                      <w:highlight w:val="none"/>
                      <w:lang w:eastAsia="zh-CN"/>
                    </w:rPr>
                    <w:t>。</w:t>
                  </w:r>
                </w:p>
              </w:tc>
              <w:tc>
                <w:tcPr>
                  <w:tcW w:w="742" w:type="dxa"/>
                  <w:tcBorders>
                    <w:left w:val="single" w:color="auto" w:sz="4" w:space="0"/>
                  </w:tcBorders>
                  <w:noWrap w:val="0"/>
                  <w:vAlign w:val="center"/>
                </w:tcPr>
                <w:p w14:paraId="3F6D314F">
                  <w:pPr>
                    <w:pStyle w:val="11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符合</w:t>
                  </w:r>
                </w:p>
              </w:tc>
            </w:tr>
            <w:tr w14:paraId="053990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restart"/>
                  <w:noWrap w:val="0"/>
                  <w:vAlign w:val="center"/>
                </w:tcPr>
                <w:p w14:paraId="2708078E">
                  <w:pPr>
                    <w:pStyle w:val="119"/>
                    <w:adjustRightInd w:val="0"/>
                    <w:snapToGrid w:val="0"/>
                    <w:spacing w:line="240" w:lineRule="auto"/>
                    <w:rPr>
                      <w:rFonts w:hint="default"/>
                      <w:color w:val="auto"/>
                      <w:sz w:val="18"/>
                      <w:szCs w:val="18"/>
                      <w:lang w:val="en-US" w:eastAsia="zh-CN"/>
                    </w:rPr>
                  </w:pPr>
                  <w:r>
                    <w:rPr>
                      <w:rFonts w:hint="eastAsia"/>
                      <w:color w:val="auto"/>
                      <w:sz w:val="18"/>
                      <w:szCs w:val="18"/>
                      <w:lang w:val="en-US" w:eastAsia="zh-CN"/>
                    </w:rPr>
                    <w:t>8</w:t>
                  </w:r>
                </w:p>
              </w:tc>
              <w:tc>
                <w:tcPr>
                  <w:tcW w:w="2138" w:type="dxa"/>
                  <w:vMerge w:val="restart"/>
                  <w:noWrap w:val="0"/>
                  <w:vAlign w:val="center"/>
                </w:tcPr>
                <w:p w14:paraId="5EA67FBD">
                  <w:pPr>
                    <w:pStyle w:val="119"/>
                    <w:adjustRightInd w:val="0"/>
                    <w:snapToGrid w:val="0"/>
                    <w:spacing w:line="240" w:lineRule="auto"/>
                    <w:rPr>
                      <w:color w:val="auto"/>
                      <w:sz w:val="18"/>
                      <w:szCs w:val="18"/>
                    </w:rPr>
                  </w:pPr>
                  <w:r>
                    <w:rPr>
                      <w:rFonts w:hint="eastAsia"/>
                      <w:color w:val="auto"/>
                      <w:sz w:val="18"/>
                      <w:szCs w:val="18"/>
                    </w:rPr>
                    <w:t>《挥发性有机物无组织排放控制标准》(GB37822-2019)</w:t>
                  </w:r>
                </w:p>
              </w:tc>
              <w:tc>
                <w:tcPr>
                  <w:tcW w:w="6273" w:type="dxa"/>
                  <w:tcBorders>
                    <w:right w:val="single" w:color="auto" w:sz="4" w:space="0"/>
                  </w:tcBorders>
                  <w:noWrap w:val="0"/>
                  <w:vAlign w:val="center"/>
                </w:tcPr>
                <w:p w14:paraId="102C96F8">
                  <w:pPr>
                    <w:pStyle w:val="119"/>
                    <w:adjustRightInd w:val="0"/>
                    <w:snapToGrid w:val="0"/>
                    <w:spacing w:line="240" w:lineRule="auto"/>
                    <w:jc w:val="left"/>
                    <w:rPr>
                      <w:color w:val="auto"/>
                      <w:sz w:val="18"/>
                      <w:szCs w:val="18"/>
                    </w:rPr>
                  </w:pPr>
                  <w:r>
                    <w:rPr>
                      <w:color w:val="auto"/>
                      <w:sz w:val="18"/>
                      <w:szCs w:val="18"/>
                    </w:rPr>
                    <w:t>5.1.1VOCs物料应储存于密闭的容器、包装袋、储罐、储库、料仓中。</w:t>
                  </w:r>
                </w:p>
                <w:p w14:paraId="4DF91D35">
                  <w:pPr>
                    <w:pStyle w:val="119"/>
                    <w:adjustRightInd w:val="0"/>
                    <w:snapToGrid w:val="0"/>
                    <w:spacing w:line="240" w:lineRule="auto"/>
                    <w:jc w:val="left"/>
                    <w:rPr>
                      <w:color w:val="auto"/>
                      <w:sz w:val="18"/>
                      <w:szCs w:val="18"/>
                    </w:rPr>
                  </w:pPr>
                  <w:r>
                    <w:rPr>
                      <w:color w:val="auto"/>
                      <w:sz w:val="18"/>
                      <w:szCs w:val="18"/>
                    </w:rPr>
                    <w:t>5.1.2盛装VOCs物料的容器或包装袋应存放于室内，或存放于设置有雨棚、遮阳和防渗设施的专用场地。盛装VOCs物料的容器或包装袋在非取用状态时应加盖、封口，保持密闭。</w:t>
                  </w:r>
                </w:p>
              </w:tc>
              <w:tc>
                <w:tcPr>
                  <w:tcW w:w="3381" w:type="dxa"/>
                  <w:tcBorders>
                    <w:left w:val="single" w:color="auto" w:sz="4" w:space="0"/>
                    <w:right w:val="single" w:color="auto" w:sz="4" w:space="0"/>
                  </w:tcBorders>
                  <w:noWrap w:val="0"/>
                  <w:vAlign w:val="center"/>
                </w:tcPr>
                <w:p w14:paraId="127F9FC2">
                  <w:pPr>
                    <w:pStyle w:val="11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18"/>
                      <w:szCs w:val="18"/>
                      <w:highlight w:val="none"/>
                      <w:lang w:val="en-US" w:eastAsia="zh-CN"/>
                    </w:rPr>
                    <w:t>项目</w:t>
                  </w:r>
                  <w:r>
                    <w:rPr>
                      <w:rFonts w:hint="eastAsia" w:cs="Times New Roman"/>
                      <w:color w:val="auto"/>
                      <w:sz w:val="18"/>
                      <w:szCs w:val="18"/>
                      <w:highlight w:val="none"/>
                      <w:lang w:val="en-US" w:eastAsia="zh-CN"/>
                    </w:rPr>
                    <w:t>铝带底涂剂、PP底涂剂</w:t>
                  </w:r>
                  <w:r>
                    <w:rPr>
                      <w:rFonts w:hint="eastAsia" w:ascii="Times New Roman" w:hAnsi="Times New Roman" w:cs="Times New Roman"/>
                      <w:color w:val="auto"/>
                      <w:sz w:val="18"/>
                      <w:szCs w:val="18"/>
                      <w:highlight w:val="none"/>
                      <w:lang w:val="en-US" w:eastAsia="zh-CN"/>
                    </w:rPr>
                    <w:t>采用密闭桶装暂存。</w:t>
                  </w:r>
                </w:p>
              </w:tc>
              <w:tc>
                <w:tcPr>
                  <w:tcW w:w="742" w:type="dxa"/>
                  <w:tcBorders>
                    <w:left w:val="single" w:color="auto" w:sz="4" w:space="0"/>
                  </w:tcBorders>
                  <w:noWrap w:val="0"/>
                  <w:vAlign w:val="center"/>
                </w:tcPr>
                <w:p w14:paraId="5E5306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342F82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5ACCD6B2">
                  <w:pPr>
                    <w:pStyle w:val="119"/>
                    <w:adjustRightInd w:val="0"/>
                    <w:snapToGrid w:val="0"/>
                    <w:spacing w:line="240" w:lineRule="auto"/>
                    <w:rPr>
                      <w:rFonts w:hint="eastAsia"/>
                      <w:color w:val="auto"/>
                      <w:sz w:val="18"/>
                      <w:szCs w:val="18"/>
                      <w:lang w:val="en-US" w:eastAsia="zh-CN"/>
                    </w:rPr>
                  </w:pPr>
                </w:p>
              </w:tc>
              <w:tc>
                <w:tcPr>
                  <w:tcW w:w="2138" w:type="dxa"/>
                  <w:vMerge w:val="continue"/>
                  <w:noWrap w:val="0"/>
                  <w:vAlign w:val="center"/>
                </w:tcPr>
                <w:p w14:paraId="648F53EC">
                  <w:pPr>
                    <w:pStyle w:val="119"/>
                    <w:adjustRightInd w:val="0"/>
                    <w:snapToGrid w:val="0"/>
                    <w:spacing w:line="240" w:lineRule="auto"/>
                    <w:rPr>
                      <w:color w:val="auto"/>
                      <w:sz w:val="18"/>
                      <w:szCs w:val="18"/>
                    </w:rPr>
                  </w:pPr>
                </w:p>
              </w:tc>
              <w:tc>
                <w:tcPr>
                  <w:tcW w:w="6273" w:type="dxa"/>
                  <w:tcBorders>
                    <w:right w:val="single" w:color="auto" w:sz="4" w:space="0"/>
                  </w:tcBorders>
                  <w:noWrap w:val="0"/>
                  <w:vAlign w:val="center"/>
                </w:tcPr>
                <w:p w14:paraId="5DDF6CC3">
                  <w:pPr>
                    <w:pStyle w:val="119"/>
                    <w:adjustRightInd w:val="0"/>
                    <w:snapToGrid w:val="0"/>
                    <w:spacing w:line="240" w:lineRule="auto"/>
                    <w:jc w:val="left"/>
                    <w:rPr>
                      <w:color w:val="auto"/>
                      <w:sz w:val="18"/>
                      <w:szCs w:val="18"/>
                    </w:rPr>
                  </w:pPr>
                  <w:r>
                    <w:rPr>
                      <w:color w:val="auto"/>
                      <w:sz w:val="18"/>
                      <w:szCs w:val="18"/>
                    </w:rPr>
                    <w:t>6.1.1 液态VOC物料应采用密闭管道输送。采用非管道输送方式转移液态VOC物料时，应采用密闭容器、罐车。</w:t>
                  </w:r>
                </w:p>
              </w:tc>
              <w:tc>
                <w:tcPr>
                  <w:tcW w:w="3381" w:type="dxa"/>
                  <w:tcBorders>
                    <w:left w:val="single" w:color="auto" w:sz="4" w:space="0"/>
                    <w:right w:val="single" w:color="auto" w:sz="4" w:space="0"/>
                  </w:tcBorders>
                  <w:noWrap w:val="0"/>
                  <w:vAlign w:val="center"/>
                </w:tcPr>
                <w:p w14:paraId="27F88728">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18"/>
                      <w:szCs w:val="18"/>
                      <w:highlight w:val="none"/>
                      <w:lang w:val="en-US" w:eastAsia="zh-CN"/>
                    </w:rPr>
                    <w:t>项目不涉及粉状、粒状VOCs物料，液态VOC物料采用密闭桶装及输送</w:t>
                  </w:r>
                  <w:r>
                    <w:rPr>
                      <w:rFonts w:hint="eastAsia" w:cs="Times New Roman"/>
                      <w:b w:val="0"/>
                      <w:bCs w:val="0"/>
                      <w:color w:val="auto"/>
                      <w:sz w:val="18"/>
                      <w:szCs w:val="18"/>
                      <w:highlight w:val="none"/>
                      <w:lang w:val="en-US" w:eastAsia="zh-CN"/>
                    </w:rPr>
                    <w:t>。</w:t>
                  </w:r>
                </w:p>
              </w:tc>
              <w:tc>
                <w:tcPr>
                  <w:tcW w:w="742" w:type="dxa"/>
                  <w:tcBorders>
                    <w:left w:val="single" w:color="auto" w:sz="4" w:space="0"/>
                  </w:tcBorders>
                  <w:noWrap w:val="0"/>
                  <w:vAlign w:val="center"/>
                </w:tcPr>
                <w:p w14:paraId="6D78A5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05962E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0B69C663">
                  <w:pPr>
                    <w:pStyle w:val="119"/>
                    <w:adjustRightInd w:val="0"/>
                    <w:snapToGrid w:val="0"/>
                    <w:spacing w:line="240" w:lineRule="auto"/>
                    <w:rPr>
                      <w:rFonts w:hint="eastAsia"/>
                      <w:color w:val="auto"/>
                      <w:sz w:val="18"/>
                      <w:szCs w:val="18"/>
                      <w:lang w:val="en-US" w:eastAsia="zh-CN"/>
                    </w:rPr>
                  </w:pPr>
                </w:p>
              </w:tc>
              <w:tc>
                <w:tcPr>
                  <w:tcW w:w="2138" w:type="dxa"/>
                  <w:vMerge w:val="continue"/>
                  <w:noWrap w:val="0"/>
                  <w:vAlign w:val="center"/>
                </w:tcPr>
                <w:p w14:paraId="055E3C7E">
                  <w:pPr>
                    <w:pStyle w:val="119"/>
                    <w:adjustRightInd w:val="0"/>
                    <w:snapToGrid w:val="0"/>
                    <w:spacing w:line="240" w:lineRule="auto"/>
                    <w:rPr>
                      <w:color w:val="auto"/>
                      <w:sz w:val="18"/>
                      <w:szCs w:val="18"/>
                    </w:rPr>
                  </w:pPr>
                </w:p>
              </w:tc>
              <w:tc>
                <w:tcPr>
                  <w:tcW w:w="6273" w:type="dxa"/>
                  <w:tcBorders>
                    <w:right w:val="single" w:color="auto" w:sz="4" w:space="0"/>
                  </w:tcBorders>
                  <w:noWrap w:val="0"/>
                  <w:vAlign w:val="center"/>
                </w:tcPr>
                <w:p w14:paraId="48533CD6">
                  <w:pPr>
                    <w:pStyle w:val="119"/>
                    <w:adjustRightInd w:val="0"/>
                    <w:snapToGrid w:val="0"/>
                    <w:spacing w:line="240" w:lineRule="auto"/>
                    <w:jc w:val="left"/>
                    <w:rPr>
                      <w:color w:val="auto"/>
                      <w:sz w:val="18"/>
                      <w:szCs w:val="18"/>
                    </w:rPr>
                  </w:pPr>
                  <w:r>
                    <w:rPr>
                      <w:color w:val="auto"/>
                      <w:sz w:val="18"/>
                      <w:szCs w:val="18"/>
                    </w:rPr>
                    <w:t>7.3.1 企业应建立台账，记录含VOCs原辅材料和含VOCs产品的名称、使用量、回收量、废弃量、去向以及VOCs含量等信息。台账保存期限不少于3年。</w:t>
                  </w:r>
                </w:p>
                <w:p w14:paraId="126F44E5">
                  <w:pPr>
                    <w:pStyle w:val="119"/>
                    <w:adjustRightInd w:val="0"/>
                    <w:snapToGrid w:val="0"/>
                    <w:spacing w:line="240" w:lineRule="auto"/>
                    <w:jc w:val="left"/>
                    <w:rPr>
                      <w:color w:val="auto"/>
                      <w:sz w:val="18"/>
                      <w:szCs w:val="18"/>
                    </w:rPr>
                  </w:pPr>
                  <w:r>
                    <w:rPr>
                      <w:color w:val="auto"/>
                      <w:sz w:val="18"/>
                      <w:szCs w:val="18"/>
                    </w:rPr>
                    <w:t>7.3.3 载有VOC物料的设备及其管道在开停工车、检维修和清洗时，应在退料阶段将残存物料退净，并用密闭容器盛装，退料过程废气应排至VOCs废气收集处理系统:清洗及吹扫过程排气应排至VOCs 废气收集处理系统。</w:t>
                  </w:r>
                </w:p>
              </w:tc>
              <w:tc>
                <w:tcPr>
                  <w:tcW w:w="3381" w:type="dxa"/>
                  <w:tcBorders>
                    <w:left w:val="single" w:color="auto" w:sz="4" w:space="0"/>
                    <w:right w:val="single" w:color="auto" w:sz="4" w:space="0"/>
                  </w:tcBorders>
                  <w:noWrap w:val="0"/>
                  <w:vAlign w:val="center"/>
                </w:tcPr>
                <w:p w14:paraId="04918FA5">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ar-SA"/>
                    </w:rPr>
                    <w:t>7.3.1项目将严格按照要求制定</w:t>
                  </w:r>
                  <w:r>
                    <w:rPr>
                      <w:rFonts w:hint="default" w:ascii="Times New Roman" w:hAnsi="Times New Roman" w:eastAsia="宋体" w:cs="Times New Roman"/>
                      <w:b w:val="0"/>
                      <w:bCs w:val="0"/>
                      <w:color w:val="auto"/>
                      <w:sz w:val="18"/>
                      <w:szCs w:val="18"/>
                      <w:highlight w:val="none"/>
                      <w:lang w:val="en-US" w:eastAsia="zh-CN"/>
                    </w:rPr>
                    <w:t>含VOCs原辅材料</w:t>
                  </w:r>
                  <w:r>
                    <w:rPr>
                      <w:rFonts w:hint="eastAsia" w:ascii="Times New Roman" w:hAnsi="Times New Roman" w:eastAsia="宋体" w:cs="Times New Roman"/>
                      <w:b w:val="0"/>
                      <w:bCs w:val="0"/>
                      <w:color w:val="auto"/>
                      <w:sz w:val="18"/>
                      <w:szCs w:val="18"/>
                      <w:highlight w:val="none"/>
                      <w:lang w:val="en-US" w:eastAsia="zh-CN"/>
                    </w:rPr>
                    <w:t>购买台账，</w:t>
                  </w:r>
                  <w:r>
                    <w:rPr>
                      <w:rFonts w:hint="default" w:ascii="Times New Roman" w:hAnsi="Times New Roman" w:eastAsia="宋体" w:cs="Times New Roman"/>
                      <w:b w:val="0"/>
                      <w:bCs w:val="0"/>
                      <w:color w:val="auto"/>
                      <w:sz w:val="18"/>
                      <w:szCs w:val="18"/>
                      <w:highlight w:val="none"/>
                      <w:lang w:val="en-US" w:eastAsia="zh-CN"/>
                    </w:rPr>
                    <w:t>台账保存期限不少于3年</w:t>
                  </w:r>
                  <w:r>
                    <w:rPr>
                      <w:rFonts w:hint="eastAsia" w:ascii="Times New Roman" w:hAnsi="Times New Roman" w:eastAsia="宋体" w:cs="Times New Roman"/>
                      <w:b w:val="0"/>
                      <w:bCs w:val="0"/>
                      <w:color w:val="auto"/>
                      <w:sz w:val="18"/>
                      <w:szCs w:val="18"/>
                      <w:highlight w:val="none"/>
                      <w:lang w:val="en-US" w:eastAsia="zh-CN"/>
                    </w:rPr>
                    <w:t>。</w:t>
                  </w:r>
                </w:p>
                <w:p w14:paraId="766392A2">
                  <w:pPr>
                    <w:pStyle w:val="119"/>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7.3.3</w:t>
                  </w:r>
                  <w:r>
                    <w:rPr>
                      <w:rFonts w:hint="eastAsia"/>
                      <w:color w:val="auto"/>
                      <w:sz w:val="18"/>
                      <w:szCs w:val="18"/>
                      <w:highlight w:val="none"/>
                    </w:rPr>
                    <w:t>项目在退料过程废气将排至VOCs废气收集处理系统；清洗及吹扫过程排气将排至VOCs废气收集处理系统处理达标后排放。</w:t>
                  </w:r>
                </w:p>
              </w:tc>
              <w:tc>
                <w:tcPr>
                  <w:tcW w:w="742" w:type="dxa"/>
                  <w:tcBorders>
                    <w:left w:val="single" w:color="auto" w:sz="4" w:space="0"/>
                  </w:tcBorders>
                  <w:noWrap w:val="0"/>
                  <w:vAlign w:val="center"/>
                </w:tcPr>
                <w:p w14:paraId="26ADE6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2BD5EE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520" w:type="dxa"/>
                  <w:vMerge w:val="continue"/>
                  <w:noWrap w:val="0"/>
                  <w:vAlign w:val="center"/>
                </w:tcPr>
                <w:p w14:paraId="0764442D">
                  <w:pPr>
                    <w:pStyle w:val="119"/>
                    <w:adjustRightInd w:val="0"/>
                    <w:snapToGrid w:val="0"/>
                    <w:spacing w:line="240" w:lineRule="auto"/>
                    <w:rPr>
                      <w:rFonts w:hint="eastAsia"/>
                      <w:color w:val="auto"/>
                      <w:sz w:val="18"/>
                      <w:szCs w:val="18"/>
                      <w:lang w:val="en-US" w:eastAsia="zh-CN"/>
                    </w:rPr>
                  </w:pPr>
                </w:p>
              </w:tc>
              <w:tc>
                <w:tcPr>
                  <w:tcW w:w="2138" w:type="dxa"/>
                  <w:vMerge w:val="continue"/>
                  <w:noWrap w:val="0"/>
                  <w:vAlign w:val="center"/>
                </w:tcPr>
                <w:p w14:paraId="63B56F92">
                  <w:pPr>
                    <w:pStyle w:val="119"/>
                    <w:adjustRightInd w:val="0"/>
                    <w:snapToGrid w:val="0"/>
                    <w:spacing w:line="240" w:lineRule="auto"/>
                    <w:rPr>
                      <w:color w:val="auto"/>
                      <w:sz w:val="18"/>
                      <w:szCs w:val="18"/>
                    </w:rPr>
                  </w:pPr>
                </w:p>
              </w:tc>
              <w:tc>
                <w:tcPr>
                  <w:tcW w:w="6273" w:type="dxa"/>
                  <w:tcBorders>
                    <w:right w:val="single" w:color="auto" w:sz="4" w:space="0"/>
                  </w:tcBorders>
                  <w:noWrap w:val="0"/>
                  <w:vAlign w:val="center"/>
                </w:tcPr>
                <w:p w14:paraId="5F657631">
                  <w:pPr>
                    <w:pStyle w:val="119"/>
                    <w:adjustRightInd w:val="0"/>
                    <w:snapToGrid w:val="0"/>
                    <w:spacing w:line="240" w:lineRule="auto"/>
                    <w:jc w:val="left"/>
                    <w:rPr>
                      <w:color w:val="auto"/>
                      <w:sz w:val="18"/>
                      <w:szCs w:val="18"/>
                    </w:rPr>
                  </w:pPr>
                  <w:r>
                    <w:rPr>
                      <w:color w:val="auto"/>
                      <w:sz w:val="18"/>
                      <w:szCs w:val="18"/>
                    </w:rPr>
                    <w:t>10.1.2 VOCs废气收集处理系统应与生产工艺设备同步运行。VOCs废气收集处理系统发生故障或检修时，对应的生产工艺设备应停止运行，待检修完毕后同步投入使用</w:t>
                  </w:r>
                  <w:r>
                    <w:rPr>
                      <w:rFonts w:hint="eastAsia"/>
                      <w:color w:val="auto"/>
                      <w:sz w:val="18"/>
                      <w:szCs w:val="18"/>
                    </w:rPr>
                    <w:t>：</w:t>
                  </w:r>
                  <w:r>
                    <w:rPr>
                      <w:color w:val="auto"/>
                      <w:sz w:val="18"/>
                      <w:szCs w:val="18"/>
                    </w:rPr>
                    <w:t>生产工艺设备不能停止运行或不能及时停止运行的，应设置废气应急处理设施或采取其他替代措施。</w:t>
                  </w:r>
                </w:p>
                <w:p w14:paraId="2E85B983">
                  <w:pPr>
                    <w:pStyle w:val="119"/>
                    <w:adjustRightInd w:val="0"/>
                    <w:snapToGrid w:val="0"/>
                    <w:spacing w:line="240" w:lineRule="auto"/>
                    <w:jc w:val="left"/>
                    <w:rPr>
                      <w:color w:val="auto"/>
                      <w:sz w:val="18"/>
                      <w:szCs w:val="18"/>
                    </w:rPr>
                  </w:pPr>
                  <w:r>
                    <w:rPr>
                      <w:color w:val="auto"/>
                      <w:sz w:val="18"/>
                      <w:szCs w:val="18"/>
                    </w:rPr>
                    <w:t>10.2.1企业应考虑生产工艺、操作方式、废气性质、处理方法等因素，对VOCs废气进行分类收集。</w:t>
                  </w:r>
                </w:p>
                <w:p w14:paraId="43BC9C83">
                  <w:pPr>
                    <w:pStyle w:val="119"/>
                    <w:adjustRightInd w:val="0"/>
                    <w:snapToGrid w:val="0"/>
                    <w:spacing w:line="240" w:lineRule="auto"/>
                    <w:jc w:val="left"/>
                    <w:rPr>
                      <w:color w:val="auto"/>
                      <w:sz w:val="18"/>
                      <w:szCs w:val="18"/>
                    </w:rPr>
                  </w:pPr>
                  <w:r>
                    <w:rPr>
                      <w:color w:val="auto"/>
                      <w:sz w:val="18"/>
                      <w:szCs w:val="18"/>
                    </w:rPr>
                    <w:t>10.4 记录要求</w:t>
                  </w:r>
                  <w:r>
                    <w:rPr>
                      <w:rFonts w:hint="eastAsia"/>
                      <w:color w:val="auto"/>
                      <w:sz w:val="18"/>
                      <w:szCs w:val="18"/>
                    </w:rPr>
                    <w:t>：</w:t>
                  </w:r>
                  <w:r>
                    <w:rPr>
                      <w:color w:val="auto"/>
                      <w:sz w:val="18"/>
                      <w:szCs w:val="18"/>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3381" w:type="dxa"/>
                  <w:tcBorders>
                    <w:left w:val="single" w:color="auto" w:sz="4" w:space="0"/>
                    <w:right w:val="single" w:color="auto" w:sz="4" w:space="0"/>
                  </w:tcBorders>
                  <w:noWrap w:val="0"/>
                  <w:vAlign w:val="center"/>
                </w:tcPr>
                <w:p w14:paraId="01D56309">
                  <w:pPr>
                    <w:pStyle w:val="119"/>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ar-SA"/>
                    </w:rPr>
                    <w:t>10.1.2项目</w:t>
                  </w:r>
                  <w:r>
                    <w:rPr>
                      <w:rFonts w:hint="default" w:ascii="Times New Roman" w:hAnsi="Times New Roman" w:eastAsia="宋体" w:cs="Times New Roman"/>
                      <w:b w:val="0"/>
                      <w:bCs w:val="0"/>
                      <w:color w:val="auto"/>
                      <w:sz w:val="18"/>
                      <w:szCs w:val="18"/>
                      <w:highlight w:val="none"/>
                      <w:lang w:val="en-US" w:eastAsia="zh-CN"/>
                    </w:rPr>
                    <w:t>废气收集处理系统</w:t>
                  </w:r>
                  <w:r>
                    <w:rPr>
                      <w:rFonts w:hint="eastAsia" w:ascii="Times New Roman" w:hAnsi="Times New Roman" w:eastAsia="宋体" w:cs="Times New Roman"/>
                      <w:b w:val="0"/>
                      <w:bCs w:val="0"/>
                      <w:color w:val="auto"/>
                      <w:sz w:val="18"/>
                      <w:szCs w:val="18"/>
                      <w:highlight w:val="none"/>
                      <w:lang w:val="en-US" w:eastAsia="zh-CN"/>
                    </w:rPr>
                    <w:t>将</w:t>
                  </w:r>
                  <w:r>
                    <w:rPr>
                      <w:rFonts w:hint="default" w:ascii="Times New Roman" w:hAnsi="Times New Roman" w:eastAsia="宋体" w:cs="Times New Roman"/>
                      <w:b w:val="0"/>
                      <w:bCs w:val="0"/>
                      <w:color w:val="auto"/>
                      <w:sz w:val="18"/>
                      <w:szCs w:val="18"/>
                      <w:highlight w:val="none"/>
                      <w:lang w:val="en-US" w:eastAsia="zh-CN"/>
                    </w:rPr>
                    <w:t>与生产工艺设备同步运行。VOCs废气收集处理系统发生故障或检修时，对应的生产工艺设备应停止运行，待检修完毕后同步投入使用</w:t>
                  </w:r>
                  <w:r>
                    <w:rPr>
                      <w:rFonts w:hint="eastAsia" w:ascii="Times New Roman" w:hAnsi="Times New Roman" w:eastAsia="宋体" w:cs="Times New Roman"/>
                      <w:b w:val="0"/>
                      <w:bCs w:val="0"/>
                      <w:color w:val="auto"/>
                      <w:sz w:val="18"/>
                      <w:szCs w:val="18"/>
                      <w:highlight w:val="none"/>
                      <w:lang w:val="en-US" w:eastAsia="zh-CN"/>
                    </w:rPr>
                    <w:t>。</w:t>
                  </w:r>
                </w:p>
                <w:p w14:paraId="3EBDDA2D">
                  <w:pPr>
                    <w:pStyle w:val="119"/>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10.2.1</w:t>
                  </w:r>
                  <w:r>
                    <w:rPr>
                      <w:rFonts w:hint="default" w:ascii="Times New Roman" w:hAnsi="Times New Roman" w:cs="Times New Roman"/>
                      <w:color w:val="auto"/>
                      <w:sz w:val="18"/>
                      <w:szCs w:val="18"/>
                      <w:highlight w:val="none"/>
                    </w:rPr>
                    <w:t>本</w:t>
                  </w:r>
                  <w:r>
                    <w:rPr>
                      <w:rFonts w:hint="eastAsia" w:cs="Times New Roman"/>
                      <w:color w:val="auto"/>
                      <w:sz w:val="18"/>
                      <w:szCs w:val="18"/>
                      <w:highlight w:val="none"/>
                      <w:lang w:val="en-US" w:eastAsia="zh-CN"/>
                    </w:rPr>
                    <w:t>项目</w:t>
                  </w:r>
                  <w:r>
                    <w:rPr>
                      <w:rFonts w:hint="eastAsia" w:cs="Times New Roman"/>
                      <w:color w:val="auto"/>
                      <w:sz w:val="18"/>
                      <w:szCs w:val="18"/>
                      <w:highlight w:val="none"/>
                      <w:lang w:eastAsia="zh-CN"/>
                    </w:rPr>
                    <w:t>注塑机、复合挤出机、挤出机、涂胶机</w:t>
                  </w:r>
                  <w:r>
                    <w:rPr>
                      <w:rFonts w:hint="default" w:ascii="Times New Roman" w:hAnsi="Times New Roman" w:cs="Times New Roman"/>
                      <w:color w:val="auto"/>
                      <w:sz w:val="18"/>
                      <w:szCs w:val="18"/>
                      <w:highlight w:val="none"/>
                    </w:rPr>
                    <w:t>等生产设备，采用</w:t>
                  </w:r>
                  <w:r>
                    <w:rPr>
                      <w:rFonts w:hint="eastAsia" w:cs="Times New Roman"/>
                      <w:b/>
                      <w:bCs/>
                      <w:color w:val="auto"/>
                      <w:sz w:val="18"/>
                      <w:szCs w:val="18"/>
                      <w:highlight w:val="none"/>
                      <w:lang w:eastAsia="zh-CN"/>
                    </w:rPr>
                    <w:t>车间密闭</w:t>
                  </w:r>
                  <w:r>
                    <w:rPr>
                      <w:rFonts w:hint="default" w:ascii="Times New Roman" w:hAnsi="Times New Roman" w:cs="Times New Roman"/>
                      <w:b/>
                      <w:bCs/>
                      <w:color w:val="auto"/>
                      <w:sz w:val="18"/>
                      <w:szCs w:val="18"/>
                      <w:highlight w:val="none"/>
                    </w:rPr>
                    <w:t>结合</w:t>
                  </w:r>
                  <w:r>
                    <w:rPr>
                      <w:rFonts w:hint="eastAsia" w:cs="Times New Roman"/>
                      <w:b/>
                      <w:bCs/>
                      <w:color w:val="auto"/>
                      <w:sz w:val="18"/>
                      <w:szCs w:val="18"/>
                      <w:highlight w:val="none"/>
                      <w:lang w:eastAsia="zh-CN"/>
                    </w:rPr>
                    <w:t>集气罩负压收集</w:t>
                  </w:r>
                  <w:r>
                    <w:rPr>
                      <w:rFonts w:hint="default" w:ascii="Times New Roman" w:hAnsi="Times New Roman" w:cs="Times New Roman"/>
                      <w:color w:val="auto"/>
                      <w:sz w:val="18"/>
                      <w:szCs w:val="18"/>
                      <w:highlight w:val="none"/>
                    </w:rPr>
                    <w:t>的方式</w:t>
                  </w:r>
                  <w:r>
                    <w:rPr>
                      <w:rFonts w:hint="eastAsia" w:cs="Times New Roman"/>
                      <w:color w:val="auto"/>
                      <w:sz w:val="18"/>
                      <w:szCs w:val="18"/>
                      <w:highlight w:val="none"/>
                      <w:lang w:val="en-US" w:eastAsia="zh-CN"/>
                    </w:rPr>
                    <w:t>，有机废气处理经负压收集</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收集效率≥</w:t>
                  </w:r>
                  <w:r>
                    <w:rPr>
                      <w:rFonts w:hint="eastAsia" w:cs="Times New Roman"/>
                      <w:color w:val="auto"/>
                      <w:sz w:val="18"/>
                      <w:szCs w:val="18"/>
                      <w:highlight w:val="none"/>
                      <w:lang w:val="en-US" w:eastAsia="zh-CN"/>
                    </w:rPr>
                    <w:t>90</w:t>
                  </w:r>
                  <w:r>
                    <w:rPr>
                      <w:rFonts w:hint="default" w:ascii="Times New Roman" w:hAnsi="Times New Roman" w:cs="Times New Roman"/>
                      <w:color w:val="auto"/>
                      <w:sz w:val="18"/>
                      <w:szCs w:val="18"/>
                      <w:highlight w:val="none"/>
                    </w:rPr>
                    <w:t>%</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将产生的</w:t>
                  </w:r>
                  <w:r>
                    <w:rPr>
                      <w:rFonts w:hint="default" w:ascii="Times New Roman" w:hAnsi="Times New Roman" w:cs="Times New Roman"/>
                      <w:color w:val="auto"/>
                      <w:sz w:val="18"/>
                      <w:szCs w:val="18"/>
                      <w:highlight w:val="none"/>
                    </w:rPr>
                    <w:t>VOCs</w:t>
                  </w:r>
                  <w:r>
                    <w:rPr>
                      <w:rFonts w:hint="default" w:ascii="Times New Roman" w:hAnsi="Times New Roman" w:cs="Times New Roman"/>
                      <w:color w:val="auto"/>
                      <w:sz w:val="18"/>
                      <w:szCs w:val="18"/>
                      <w:highlight w:val="none"/>
                      <w:lang w:val="en-US" w:eastAsia="zh-CN"/>
                    </w:rPr>
                    <w:t>收集后通过</w:t>
                  </w:r>
                  <w:r>
                    <w:rPr>
                      <w:rFonts w:hint="eastAsia" w:ascii="Times New Roman" w:hAnsi="Times New Roman" w:cs="Times New Roman"/>
                      <w:color w:val="auto"/>
                      <w:sz w:val="18"/>
                      <w:szCs w:val="18"/>
                      <w:highlight w:val="none"/>
                      <w:lang w:val="en-US" w:eastAsia="zh-CN"/>
                    </w:rPr>
                    <w:t>“</w:t>
                  </w:r>
                  <w:r>
                    <w:rPr>
                      <w:rFonts w:hint="eastAsia" w:cs="Times New Roman"/>
                      <w:color w:val="auto"/>
                      <w:spacing w:val="0"/>
                      <w:sz w:val="18"/>
                      <w:szCs w:val="18"/>
                      <w:highlight w:val="none"/>
                      <w:lang w:val="en-US" w:eastAsia="zh-CN"/>
                    </w:rPr>
                    <w:t>二级活性炭吸附装置</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处理后</w:t>
                  </w:r>
                  <w:r>
                    <w:rPr>
                      <w:rFonts w:hint="eastAsia" w:cs="Times New Roman"/>
                      <w:color w:val="auto"/>
                      <w:spacing w:val="0"/>
                      <w:sz w:val="18"/>
                      <w:szCs w:val="18"/>
                      <w:highlight w:val="none"/>
                      <w:lang w:val="en-US" w:eastAsia="zh-CN"/>
                    </w:rPr>
                    <w:t>25m排气筒</w:t>
                  </w:r>
                  <w:r>
                    <w:rPr>
                      <w:rFonts w:hint="default" w:ascii="Times New Roman" w:hAnsi="Times New Roman" w:cs="Times New Roman"/>
                      <w:color w:val="auto"/>
                      <w:sz w:val="18"/>
                      <w:szCs w:val="18"/>
                      <w:highlight w:val="none"/>
                      <w:lang w:val="en-US" w:eastAsia="zh-CN"/>
                    </w:rPr>
                    <w:t>排放</w:t>
                  </w:r>
                  <w:r>
                    <w:rPr>
                      <w:rFonts w:hint="eastAsia" w:cs="Times New Roman"/>
                      <w:color w:val="auto"/>
                      <w:sz w:val="18"/>
                      <w:szCs w:val="18"/>
                      <w:highlight w:val="none"/>
                      <w:lang w:val="en-US" w:eastAsia="zh-CN"/>
                    </w:rPr>
                    <w:t>。</w:t>
                  </w:r>
                </w:p>
                <w:p w14:paraId="6E3BB006">
                  <w:pPr>
                    <w:pStyle w:val="119"/>
                    <w:adjustRightInd w:val="0"/>
                    <w:snapToGrid w:val="0"/>
                    <w:spacing w:line="240" w:lineRule="auto"/>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18"/>
                      <w:szCs w:val="18"/>
                      <w:highlight w:val="none"/>
                      <w:lang w:val="en-US" w:eastAsia="zh-CN"/>
                    </w:rPr>
                    <w:t>10.4项目</w:t>
                  </w:r>
                  <w:r>
                    <w:rPr>
                      <w:rFonts w:hint="eastAsia" w:ascii="Times New Roman" w:hAnsi="Times New Roman" w:cs="Times New Roman"/>
                      <w:color w:val="auto"/>
                      <w:kern w:val="2"/>
                      <w:sz w:val="18"/>
                      <w:szCs w:val="18"/>
                      <w:highlight w:val="none"/>
                      <w:lang w:val="en-US" w:eastAsia="zh-CN" w:bidi="ar-SA"/>
                    </w:rPr>
                    <w:t>将严格按照要求制定</w:t>
                  </w:r>
                  <w:r>
                    <w:rPr>
                      <w:rFonts w:hint="default" w:ascii="Times New Roman" w:hAnsi="Times New Roman" w:eastAsia="宋体" w:cs="Times New Roman"/>
                      <w:b w:val="0"/>
                      <w:bCs w:val="0"/>
                      <w:color w:val="auto"/>
                      <w:sz w:val="18"/>
                      <w:szCs w:val="18"/>
                      <w:highlight w:val="none"/>
                      <w:lang w:val="en-US" w:eastAsia="zh-CN"/>
                    </w:rPr>
                    <w:t>废气收集系统、VOCs处理设施</w:t>
                  </w:r>
                  <w:r>
                    <w:rPr>
                      <w:rFonts w:hint="eastAsia" w:ascii="Times New Roman" w:hAnsi="Times New Roman" w:eastAsia="宋体" w:cs="Times New Roman"/>
                      <w:b w:val="0"/>
                      <w:bCs w:val="0"/>
                      <w:color w:val="auto"/>
                      <w:sz w:val="18"/>
                      <w:szCs w:val="18"/>
                      <w:highlight w:val="none"/>
                      <w:lang w:val="en-US" w:eastAsia="zh-CN"/>
                    </w:rPr>
                    <w:t>运行台账，</w:t>
                  </w:r>
                  <w:r>
                    <w:rPr>
                      <w:rFonts w:hint="default" w:ascii="Times New Roman" w:hAnsi="Times New Roman" w:eastAsia="宋体" w:cs="Times New Roman"/>
                      <w:b w:val="0"/>
                      <w:bCs w:val="0"/>
                      <w:color w:val="auto"/>
                      <w:sz w:val="18"/>
                      <w:szCs w:val="18"/>
                      <w:highlight w:val="none"/>
                      <w:lang w:val="en-US" w:eastAsia="zh-CN"/>
                    </w:rPr>
                    <w:t>台账保存期限不少于3年</w:t>
                  </w:r>
                  <w:r>
                    <w:rPr>
                      <w:rFonts w:hint="eastAsia" w:ascii="Times New Roman" w:hAnsi="Times New Roman" w:eastAsia="宋体" w:cs="Times New Roman"/>
                      <w:b w:val="0"/>
                      <w:bCs w:val="0"/>
                      <w:color w:val="auto"/>
                      <w:sz w:val="18"/>
                      <w:szCs w:val="18"/>
                      <w:highlight w:val="none"/>
                      <w:lang w:val="en-US" w:eastAsia="zh-CN"/>
                    </w:rPr>
                    <w:t>。</w:t>
                  </w:r>
                </w:p>
              </w:tc>
              <w:tc>
                <w:tcPr>
                  <w:tcW w:w="742" w:type="dxa"/>
                  <w:tcBorders>
                    <w:left w:val="single" w:color="auto" w:sz="4" w:space="0"/>
                  </w:tcBorders>
                  <w:noWrap w:val="0"/>
                  <w:vAlign w:val="center"/>
                </w:tcPr>
                <w:p w14:paraId="6D60B8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20EF6552">
            <w:pPr>
              <w:adjustRightInd w:val="0"/>
              <w:snapToGrid w:val="0"/>
              <w:spacing w:before="120" w:beforeLines="50" w:line="360" w:lineRule="auto"/>
              <w:ind w:firstLine="480" w:firstLineChars="200"/>
              <w:outlineLvl w:val="1"/>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color w:val="auto"/>
                <w:kern w:val="2"/>
                <w:sz w:val="24"/>
                <w:szCs w:val="24"/>
                <w:lang w:val="en-US" w:eastAsia="zh-CN" w:bidi="ar-SA"/>
              </w:rPr>
              <w:t>综上所述，对照挥发性有机物污染防治政策相关内容</w:t>
            </w:r>
            <w:r>
              <w:rPr>
                <w:rFonts w:hint="eastAsia" w:cs="Times New Roman"/>
                <w:color w:val="auto"/>
                <w:kern w:val="2"/>
                <w:sz w:val="24"/>
                <w:szCs w:val="24"/>
                <w:lang w:val="en-US" w:eastAsia="zh-CN" w:bidi="ar-SA"/>
              </w:rPr>
              <w:t>，本项目使用塑料颗粒均为原生料，不外购使用再生料，项目铝带底涂剂、PP底涂剂采用密闭桶装暂存；项目注塑机、复合挤出机、挤出机、涂胶机等生产设备，采用车间密闭结合集气罩负压收集的方式，有机废气处理经负压收集，收集效率≥90%，将产生的VOCs收集后通过“二级活性炭吸附装置”处理后25m排气筒排放。项目新增VOCs排放，区域内实行倍量替代，项目</w:t>
            </w:r>
            <w:r>
              <w:rPr>
                <w:rFonts w:hint="default" w:ascii="Times New Roman" w:hAnsi="Times New Roman" w:eastAsia="宋体" w:cs="Times New Roman"/>
                <w:color w:val="auto"/>
                <w:kern w:val="2"/>
                <w:sz w:val="24"/>
                <w:szCs w:val="24"/>
                <w:lang w:val="en-US" w:eastAsia="zh-CN" w:bidi="ar-SA"/>
              </w:rPr>
              <w:t>建设符合</w:t>
            </w:r>
            <w:r>
              <w:rPr>
                <w:rFonts w:hint="eastAsia" w:ascii="Times New Roman" w:hAnsi="Times New Roman" w:eastAsia="宋体" w:cs="Times New Roman"/>
                <w:color w:val="auto"/>
                <w:sz w:val="24"/>
                <w:szCs w:val="24"/>
                <w:lang w:eastAsia="zh-CN"/>
              </w:rPr>
              <w:t>有机物污染防治政策相关内容</w:t>
            </w:r>
            <w:r>
              <w:rPr>
                <w:rFonts w:hint="eastAsia" w:cs="Times New Roman"/>
                <w:color w:val="auto"/>
                <w:sz w:val="24"/>
                <w:szCs w:val="24"/>
                <w:lang w:eastAsia="zh-CN"/>
              </w:rPr>
              <w:t>。</w:t>
            </w:r>
          </w:p>
          <w:p w14:paraId="5509EB24">
            <w:pPr>
              <w:adjustRightInd w:val="0"/>
              <w:snapToGrid w:val="0"/>
              <w:spacing w:before="120" w:beforeLines="50" w:line="360" w:lineRule="auto"/>
              <w:outlineLvl w:val="1"/>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7、与</w:t>
            </w:r>
            <w:r>
              <w:rPr>
                <w:rFonts w:hint="default" w:ascii="Times New Roman" w:hAnsi="Times New Roman" w:eastAsia="宋体" w:cs="Times New Roman"/>
                <w:b/>
                <w:bCs/>
                <w:color w:val="auto"/>
                <w:sz w:val="24"/>
                <w:lang w:val="en-GB" w:eastAsia="zh-CN"/>
              </w:rPr>
              <w:t>“三区三线”</w:t>
            </w:r>
            <w:r>
              <w:rPr>
                <w:rFonts w:hint="eastAsia" w:ascii="Times New Roman" w:hAnsi="Times New Roman" w:eastAsia="宋体" w:cs="Times New Roman"/>
                <w:b/>
                <w:bCs/>
                <w:color w:val="auto"/>
                <w:sz w:val="24"/>
                <w:lang w:val="en-US" w:eastAsia="zh-CN"/>
              </w:rPr>
              <w:t>符合性分析</w:t>
            </w:r>
          </w:p>
          <w:p w14:paraId="6686BA2B">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eastAsia="宋体" w:cs="Times New Roman"/>
                <w:color w:val="auto"/>
                <w:kern w:val="2"/>
                <w:sz w:val="21"/>
                <w:szCs w:val="24"/>
                <w:lang w:val="en-US" w:eastAsia="zh-CN" w:bidi="ar-SA"/>
              </w:rPr>
            </w:pPr>
            <w:bookmarkStart w:id="9" w:name="_Toc28805"/>
            <w:bookmarkStart w:id="10" w:name="_Toc1958"/>
            <w:bookmarkStart w:id="11" w:name="_Toc16591"/>
            <w:bookmarkStart w:id="12" w:name="_Toc19223"/>
            <w:r>
              <w:rPr>
                <w:rFonts w:hint="default" w:ascii="Times New Roman" w:hAnsi="Times New Roman" w:eastAsia="宋体" w:cs="Times New Roman"/>
                <w:color w:val="auto"/>
                <w:sz w:val="24"/>
                <w:szCs w:val="24"/>
                <w:lang w:val="en-US" w:eastAsia="zh-CN"/>
              </w:rPr>
              <w:t>根据《自然资源部办公厅关于北京等省（区、市）启用“三区三线”划定成果作为报批建设项目用地用海依据的函》（自然资办函〔2022〕2207号），福建省已按照《全国国土空间规划纲要（2021—2035年）》确定的耕地和永久基本农田保护红线任务和《全国“三区三线”划定规则》，完成了“三区三线”划定工作，划定成果符合质检要求，从即日起正式启用。本项目位于</w:t>
            </w:r>
            <w:r>
              <w:rPr>
                <w:rFonts w:hint="eastAsia"/>
                <w:color w:val="auto"/>
                <w:sz w:val="24"/>
                <w:szCs w:val="24"/>
                <w:lang w:eastAsia="zh-CN"/>
              </w:rPr>
              <w:t>福建省福州市福清市音西街道福建三锋汽配开发有限公司厂区内（租赁</w:t>
            </w:r>
            <w:r>
              <w:rPr>
                <w:rFonts w:hint="eastAsia"/>
                <w:b w:val="0"/>
                <w:bCs w:val="0"/>
                <w:color w:val="auto"/>
                <w:sz w:val="24"/>
                <w:szCs w:val="24"/>
                <w:lang w:val="en-US" w:eastAsia="zh-CN"/>
              </w:rPr>
              <w:t>福建三锋汽配开发有限公司</w:t>
            </w:r>
            <w:r>
              <w:rPr>
                <w:rFonts w:hint="eastAsia"/>
                <w:color w:val="auto"/>
                <w:sz w:val="24"/>
                <w:szCs w:val="24"/>
                <w:lang w:eastAsia="zh-CN"/>
              </w:rPr>
              <w:t>厂房四局部一层、厂房五一至三层）</w:t>
            </w:r>
            <w:r>
              <w:rPr>
                <w:rFonts w:hint="default" w:ascii="Times New Roman" w:hAnsi="Times New Roman" w:eastAsia="宋体" w:cs="Times New Roman"/>
                <w:color w:val="auto"/>
                <w:sz w:val="24"/>
                <w:szCs w:val="24"/>
                <w:lang w:val="en-US" w:eastAsia="zh-CN"/>
              </w:rPr>
              <w:t>，经调阅“三区三线”划定成果，本项目不占用永久基本农田、不占用生态保护红线，工程位于城镇开发边界范围内，能够符合城镇集中建设区的功能定位。</w:t>
            </w:r>
            <w:bookmarkEnd w:id="9"/>
            <w:bookmarkEnd w:id="10"/>
            <w:bookmarkEnd w:id="11"/>
            <w:bookmarkEnd w:id="12"/>
          </w:p>
        </w:tc>
      </w:tr>
    </w:tbl>
    <w:p w14:paraId="239082E1">
      <w:pPr>
        <w:pStyle w:val="30"/>
        <w:jc w:val="both"/>
        <w:outlineLvl w:val="0"/>
        <w:rPr>
          <w:rFonts w:hint="default" w:ascii="Times New Roman" w:hAnsi="Times New Roman" w:eastAsia="宋体" w:cs="Times New Roman"/>
          <w:snapToGrid w:val="0"/>
          <w:color w:val="auto"/>
          <w:sz w:val="30"/>
          <w:szCs w:val="30"/>
          <w:vertAlign w:val="baseline"/>
        </w:rPr>
        <w:sectPr>
          <w:footerReference r:id="rId7" w:type="default"/>
          <w:pgSz w:w="16838" w:h="11906" w:orient="landscape"/>
          <w:pgMar w:top="1417" w:right="1417" w:bottom="1417" w:left="1417" w:header="851" w:footer="1077" w:gutter="0"/>
          <w:pgBorders>
            <w:top w:val="none" w:sz="0" w:space="0"/>
            <w:left w:val="none" w:sz="0" w:space="0"/>
            <w:bottom w:val="none" w:sz="0" w:space="0"/>
            <w:right w:val="none" w:sz="0" w:space="0"/>
          </w:pgBorders>
          <w:pgNumType w:start="10"/>
          <w:cols w:space="720" w:num="1"/>
          <w:docGrid w:linePitch="312" w:charSpace="0"/>
        </w:sectPr>
      </w:pPr>
    </w:p>
    <w:p w14:paraId="528112E8">
      <w:pPr>
        <w:pStyle w:val="30"/>
        <w:numPr>
          <w:ilvl w:val="0"/>
          <w:numId w:val="5"/>
        </w:numPr>
        <w:ind w:left="0" w:leftChars="0" w:firstLine="0" w:firstLineChars="0"/>
        <w:jc w:val="center"/>
        <w:outlineLvl w:val="0"/>
        <w:rPr>
          <w:rFonts w:ascii="Times New Roman" w:hAnsi="Times New Roman" w:eastAsia="黑体"/>
          <w:snapToGrid w:val="0"/>
          <w:color w:val="auto"/>
          <w:sz w:val="30"/>
          <w:szCs w:val="30"/>
        </w:rPr>
      </w:pPr>
      <w:bookmarkStart w:id="13" w:name="_Toc28601"/>
      <w:bookmarkStart w:id="14" w:name="_Toc30059"/>
      <w:r>
        <w:rPr>
          <w:rFonts w:ascii="Times New Roman" w:hAnsi="Times New Roman" w:eastAsia="黑体"/>
          <w:snapToGrid w:val="0"/>
          <w:color w:val="auto"/>
          <w:sz w:val="30"/>
          <w:szCs w:val="30"/>
        </w:rPr>
        <w:t>建设项目工程分析</w:t>
      </w:r>
      <w:bookmarkEnd w:id="13"/>
      <w:bookmarkEnd w:id="14"/>
    </w:p>
    <w:tbl>
      <w:tblPr>
        <w:tblStyle w:val="35"/>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785"/>
      </w:tblGrid>
      <w:tr w14:paraId="1D714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14:paraId="0AED8F7D">
            <w:pPr>
              <w:pStyle w:val="30"/>
              <w:adjustRightInd w:val="0"/>
              <w:snapToGrid w:val="0"/>
              <w:spacing w:before="0" w:beforeAutospacing="0" w:after="0" w:afterAutospacing="0"/>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rPr>
              <w:t>建设内容</w:t>
            </w:r>
          </w:p>
        </w:tc>
        <w:tc>
          <w:tcPr>
            <w:tcW w:w="8785" w:type="dxa"/>
            <w:noWrap w:val="0"/>
            <w:vAlign w:val="top"/>
          </w:tcPr>
          <w:p w14:paraId="051DC51F">
            <w:pPr>
              <w:adjustRightInd w:val="0"/>
              <w:snapToGrid w:val="0"/>
              <w:spacing w:before="120" w:beforeLines="50" w:line="360" w:lineRule="auto"/>
              <w:outlineLvl w:val="1"/>
              <w:rPr>
                <w:rFonts w:eastAsia="宋体"/>
                <w:b/>
                <w:bCs/>
                <w:color w:val="auto"/>
                <w:sz w:val="28"/>
                <w:szCs w:val="28"/>
              </w:rPr>
            </w:pPr>
            <w:r>
              <w:rPr>
                <w:rFonts w:eastAsia="宋体"/>
                <w:b/>
                <w:bCs/>
                <w:color w:val="auto"/>
                <w:sz w:val="28"/>
                <w:szCs w:val="28"/>
              </w:rPr>
              <w:t>2.1 项目由来</w:t>
            </w:r>
          </w:p>
          <w:p w14:paraId="0DB1AA77">
            <w:pPr>
              <w:pStyle w:val="8"/>
              <w:spacing w:line="360" w:lineRule="auto"/>
              <w:ind w:firstLine="480" w:firstLineChars="200"/>
              <w:rPr>
                <w:rFonts w:hint="eastAsia" w:eastAsia="宋体"/>
                <w:color w:val="auto"/>
                <w:sz w:val="24"/>
                <w:lang w:eastAsia="zh-CN"/>
              </w:rPr>
            </w:pPr>
            <w:r>
              <w:rPr>
                <w:rFonts w:hint="eastAsia"/>
                <w:color w:val="auto"/>
                <w:sz w:val="24"/>
                <w:lang w:eastAsia="zh-CN"/>
              </w:rPr>
              <w:t>福建铠盾材料科技有限公司</w:t>
            </w:r>
            <w:r>
              <w:rPr>
                <w:rFonts w:hint="eastAsia"/>
                <w:color w:val="auto"/>
                <w:sz w:val="24"/>
              </w:rPr>
              <w:t>（</w:t>
            </w:r>
            <w:r>
              <w:rPr>
                <w:rFonts w:hint="eastAsia" w:ascii="Times New Roman" w:hAnsi="Times New Roman" w:eastAsia="宋体" w:cs="Times New Roman"/>
                <w:color w:val="auto"/>
                <w:sz w:val="24"/>
                <w:szCs w:val="24"/>
                <w:highlight w:val="none"/>
                <w:lang w:val="en-US" w:eastAsia="zh-CN"/>
              </w:rPr>
              <w:t>以下简称“</w:t>
            </w:r>
            <w:r>
              <w:rPr>
                <w:rFonts w:hint="eastAsia" w:cs="Times New Roman"/>
                <w:color w:val="auto"/>
                <w:sz w:val="24"/>
                <w:szCs w:val="24"/>
                <w:lang w:val="en-US" w:eastAsia="zh-CN"/>
              </w:rPr>
              <w:t>铠盾公司</w:t>
            </w:r>
            <w:r>
              <w:rPr>
                <w:rFonts w:hint="eastAsia" w:ascii="Times New Roman" w:hAnsi="Times New Roman" w:eastAsia="宋体" w:cs="Times New Roman"/>
                <w:color w:val="auto"/>
                <w:sz w:val="24"/>
                <w:szCs w:val="24"/>
                <w:highlight w:val="none"/>
                <w:lang w:val="en-US" w:eastAsia="zh-CN"/>
              </w:rPr>
              <w:t>”</w:t>
            </w:r>
            <w:r>
              <w:rPr>
                <w:rFonts w:hint="eastAsia"/>
                <w:color w:val="auto"/>
                <w:sz w:val="24"/>
              </w:rPr>
              <w:t>）成立于2021年07月21日</w:t>
            </w:r>
            <w:r>
              <w:rPr>
                <w:rFonts w:hint="eastAsia"/>
                <w:color w:val="auto"/>
                <w:sz w:val="24"/>
                <w:lang w:val="en-US" w:eastAsia="zh-CN"/>
              </w:rPr>
              <w:t>，</w:t>
            </w:r>
            <w:r>
              <w:rPr>
                <w:rFonts w:hint="eastAsia"/>
                <w:color w:val="auto"/>
                <w:sz w:val="24"/>
              </w:rPr>
              <w:t>选址位于福建省福州市福清市音西街道清繁大道1号</w:t>
            </w:r>
            <w:r>
              <w:rPr>
                <w:rFonts w:hint="eastAsia"/>
                <w:color w:val="auto"/>
                <w:sz w:val="24"/>
                <w:lang w:eastAsia="zh-CN"/>
              </w:rPr>
              <w:t>，</w:t>
            </w:r>
            <w:r>
              <w:rPr>
                <w:rFonts w:hint="eastAsia"/>
                <w:color w:val="auto"/>
                <w:sz w:val="24"/>
              </w:rPr>
              <w:t>主要从事汽车零部件及配件制造；密封件制造</w:t>
            </w:r>
            <w:r>
              <w:rPr>
                <w:rFonts w:hint="eastAsia"/>
                <w:color w:val="auto"/>
                <w:sz w:val="24"/>
                <w:lang w:eastAsia="zh-CN"/>
              </w:rPr>
              <w:t>；</w:t>
            </w:r>
            <w:r>
              <w:rPr>
                <w:rFonts w:hint="eastAsia"/>
                <w:color w:val="auto"/>
                <w:sz w:val="24"/>
              </w:rPr>
              <w:t>机械设备研发；塑料制品制造；塑料制品销售；玻璃制造；技术玻璃制品制造</w:t>
            </w:r>
            <w:r>
              <w:rPr>
                <w:rFonts w:hint="eastAsia"/>
                <w:color w:val="auto"/>
                <w:sz w:val="24"/>
                <w:lang w:eastAsia="zh-CN"/>
              </w:rPr>
              <w:t>等。</w:t>
            </w:r>
          </w:p>
          <w:p w14:paraId="7C331D61">
            <w:pPr>
              <w:adjustRightInd w:val="0"/>
              <w:snapToGrid w:val="0"/>
              <w:spacing w:line="360" w:lineRule="auto"/>
              <w:ind w:firstLine="480" w:firstLineChars="200"/>
              <w:rPr>
                <w:rFonts w:eastAsia="宋体"/>
                <w:color w:val="auto"/>
                <w:sz w:val="24"/>
              </w:rPr>
            </w:pPr>
            <w:r>
              <w:rPr>
                <w:rFonts w:hint="eastAsia"/>
                <w:color w:val="auto"/>
                <w:sz w:val="24"/>
              </w:rPr>
              <w:t>企业于20</w:t>
            </w:r>
            <w:r>
              <w:rPr>
                <w:rFonts w:hint="eastAsia"/>
                <w:color w:val="auto"/>
                <w:sz w:val="24"/>
                <w:lang w:val="en-US" w:eastAsia="zh-CN"/>
              </w:rPr>
              <w:t>24</w:t>
            </w:r>
            <w:r>
              <w:rPr>
                <w:rFonts w:hint="eastAsia"/>
                <w:color w:val="auto"/>
                <w:sz w:val="24"/>
              </w:rPr>
              <w:t>年</w:t>
            </w:r>
            <w:r>
              <w:rPr>
                <w:rFonts w:hint="eastAsia"/>
                <w:color w:val="auto"/>
                <w:sz w:val="24"/>
                <w:lang w:val="en-US" w:eastAsia="zh-CN"/>
              </w:rPr>
              <w:t>5</w:t>
            </w:r>
            <w:r>
              <w:rPr>
                <w:rFonts w:hint="eastAsia"/>
                <w:color w:val="auto"/>
                <w:sz w:val="24"/>
              </w:rPr>
              <w:t>月委托福建</w:t>
            </w:r>
            <w:r>
              <w:rPr>
                <w:rFonts w:hint="eastAsia"/>
                <w:color w:val="auto"/>
                <w:sz w:val="24"/>
                <w:lang w:val="en-US" w:eastAsia="zh-CN"/>
              </w:rPr>
              <w:t>省泉州清澈环保有限公司</w:t>
            </w:r>
            <w:r>
              <w:rPr>
                <w:rFonts w:hint="eastAsia"/>
                <w:color w:val="auto"/>
                <w:sz w:val="24"/>
              </w:rPr>
              <w:t>编制了《福建铠盾材料科技有限公司年加工特种玻璃6万片、加工塑料密封件600万件</w:t>
            </w:r>
            <w:r>
              <w:rPr>
                <w:rFonts w:hint="eastAsia"/>
                <w:color w:val="auto"/>
                <w:sz w:val="24"/>
                <w:lang w:val="en-US" w:eastAsia="zh-CN"/>
              </w:rPr>
              <w:t>项目</w:t>
            </w:r>
            <w:r>
              <w:rPr>
                <w:rFonts w:hint="eastAsia"/>
                <w:color w:val="auto"/>
                <w:sz w:val="24"/>
              </w:rPr>
              <w:t>环境影响报告表》，并于20</w:t>
            </w:r>
            <w:r>
              <w:rPr>
                <w:rFonts w:hint="eastAsia"/>
                <w:color w:val="auto"/>
                <w:sz w:val="24"/>
                <w:lang w:val="en-US" w:eastAsia="zh-CN"/>
              </w:rPr>
              <w:t>24</w:t>
            </w:r>
            <w:r>
              <w:rPr>
                <w:rFonts w:hint="eastAsia"/>
                <w:color w:val="auto"/>
                <w:sz w:val="24"/>
              </w:rPr>
              <w:t>年</w:t>
            </w:r>
            <w:r>
              <w:rPr>
                <w:rFonts w:hint="eastAsia"/>
                <w:color w:val="auto"/>
                <w:sz w:val="24"/>
                <w:lang w:val="en-US" w:eastAsia="zh-CN"/>
              </w:rPr>
              <w:t>8</w:t>
            </w:r>
            <w:r>
              <w:rPr>
                <w:rFonts w:hint="eastAsia"/>
                <w:color w:val="auto"/>
                <w:sz w:val="24"/>
              </w:rPr>
              <w:t>月</w:t>
            </w:r>
            <w:r>
              <w:rPr>
                <w:rFonts w:hint="eastAsia"/>
                <w:color w:val="auto"/>
                <w:sz w:val="24"/>
                <w:lang w:val="en-US" w:eastAsia="zh-CN"/>
              </w:rPr>
              <w:t>12</w:t>
            </w:r>
            <w:r>
              <w:rPr>
                <w:rFonts w:hint="eastAsia"/>
                <w:color w:val="auto"/>
                <w:sz w:val="24"/>
              </w:rPr>
              <w:t>日取得了</w:t>
            </w:r>
            <w:r>
              <w:rPr>
                <w:rFonts w:hint="eastAsia"/>
                <w:color w:val="auto"/>
                <w:sz w:val="24"/>
                <w:lang w:val="en-US" w:eastAsia="zh-CN"/>
              </w:rPr>
              <w:t>福州市福清生态环境局</w:t>
            </w:r>
            <w:r>
              <w:rPr>
                <w:rFonts w:hint="eastAsia"/>
                <w:color w:val="auto"/>
                <w:sz w:val="24"/>
              </w:rPr>
              <w:t>批复，审批文号：</w:t>
            </w:r>
            <w:r>
              <w:rPr>
                <w:rFonts w:hint="eastAsia"/>
                <w:color w:val="auto"/>
                <w:sz w:val="24"/>
                <w:lang w:val="en-US" w:eastAsia="zh-CN"/>
              </w:rPr>
              <w:t>榕融</w:t>
            </w:r>
            <w:r>
              <w:rPr>
                <w:rFonts w:hint="eastAsia"/>
                <w:color w:val="auto"/>
                <w:sz w:val="24"/>
              </w:rPr>
              <w:t>环评[20</w:t>
            </w:r>
            <w:r>
              <w:rPr>
                <w:rFonts w:hint="eastAsia"/>
                <w:color w:val="auto"/>
                <w:sz w:val="24"/>
                <w:lang w:val="en-US" w:eastAsia="zh-CN"/>
              </w:rPr>
              <w:t>24</w:t>
            </w:r>
            <w:r>
              <w:rPr>
                <w:rFonts w:hint="eastAsia"/>
                <w:color w:val="auto"/>
                <w:sz w:val="24"/>
              </w:rPr>
              <w:t>]</w:t>
            </w:r>
            <w:r>
              <w:rPr>
                <w:rFonts w:hint="eastAsia"/>
                <w:color w:val="auto"/>
                <w:sz w:val="24"/>
                <w:lang w:val="en-US" w:eastAsia="zh-CN"/>
              </w:rPr>
              <w:t>76</w:t>
            </w:r>
            <w:r>
              <w:rPr>
                <w:rFonts w:hint="eastAsia"/>
                <w:color w:val="auto"/>
                <w:sz w:val="24"/>
              </w:rPr>
              <w:t>号。</w:t>
            </w:r>
            <w:r>
              <w:rPr>
                <w:rFonts w:hint="eastAsia" w:hAnsi="宋体" w:eastAsia="宋体"/>
                <w:color w:val="auto"/>
                <w:sz w:val="24"/>
              </w:rPr>
              <w:t>该项目</w:t>
            </w:r>
            <w:r>
              <w:rPr>
                <w:rFonts w:hint="eastAsia"/>
                <w:color w:val="auto"/>
                <w:sz w:val="24"/>
                <w:lang w:val="en-US" w:eastAsia="zh-CN"/>
              </w:rPr>
              <w:t>于2025年1月</w:t>
            </w:r>
            <w:r>
              <w:rPr>
                <w:rFonts w:hint="eastAsia" w:hAnsi="宋体" w:eastAsia="宋体"/>
                <w:color w:val="auto"/>
                <w:sz w:val="24"/>
              </w:rPr>
              <w:t>进行了自主验收，验收规模</w:t>
            </w:r>
            <w:r>
              <w:rPr>
                <w:rFonts w:hint="eastAsia" w:hAnsi="宋体" w:eastAsia="宋体"/>
                <w:color w:val="auto"/>
                <w:sz w:val="24"/>
                <w:lang w:eastAsia="zh-CN"/>
              </w:rPr>
              <w:t>为：</w:t>
            </w:r>
            <w:r>
              <w:rPr>
                <w:rFonts w:hint="eastAsia" w:hAnsi="宋体" w:eastAsia="宋体"/>
                <w:color w:val="auto"/>
                <w:sz w:val="24"/>
              </w:rPr>
              <w:t>年加工特种玻璃6万片、加工塑料密封件600万件</w:t>
            </w:r>
            <w:r>
              <w:rPr>
                <w:rFonts w:hint="eastAsia"/>
                <w:color w:val="auto"/>
                <w:sz w:val="24"/>
              </w:rPr>
              <w:t>。</w:t>
            </w:r>
            <w:r>
              <w:rPr>
                <w:rFonts w:hAnsi="宋体" w:eastAsia="宋体"/>
                <w:color w:val="auto"/>
                <w:sz w:val="24"/>
              </w:rPr>
              <w:t>企业于</w:t>
            </w:r>
            <w:r>
              <w:rPr>
                <w:rFonts w:eastAsia="宋体"/>
                <w:color w:val="auto"/>
                <w:sz w:val="24"/>
              </w:rPr>
              <w:t>202</w:t>
            </w:r>
            <w:r>
              <w:rPr>
                <w:rFonts w:hint="eastAsia"/>
                <w:color w:val="auto"/>
                <w:sz w:val="24"/>
                <w:lang w:val="en-US" w:eastAsia="zh-CN"/>
              </w:rPr>
              <w:t>4</w:t>
            </w:r>
            <w:r>
              <w:rPr>
                <w:rFonts w:hAnsi="宋体" w:eastAsia="宋体"/>
                <w:color w:val="auto"/>
                <w:sz w:val="24"/>
              </w:rPr>
              <w:t>年</w:t>
            </w:r>
            <w:r>
              <w:rPr>
                <w:rFonts w:eastAsia="宋体"/>
                <w:color w:val="auto"/>
                <w:sz w:val="24"/>
              </w:rPr>
              <w:t>0</w:t>
            </w:r>
            <w:r>
              <w:rPr>
                <w:rFonts w:hint="eastAsia"/>
                <w:color w:val="auto"/>
                <w:sz w:val="24"/>
                <w:lang w:val="en-US" w:eastAsia="zh-CN"/>
              </w:rPr>
              <w:t>8</w:t>
            </w:r>
            <w:r>
              <w:rPr>
                <w:rFonts w:hAnsi="宋体" w:eastAsia="宋体"/>
                <w:color w:val="auto"/>
                <w:sz w:val="24"/>
              </w:rPr>
              <w:t>月</w:t>
            </w:r>
            <w:r>
              <w:rPr>
                <w:rFonts w:hint="eastAsia"/>
                <w:color w:val="auto"/>
                <w:sz w:val="24"/>
                <w:lang w:val="en-US" w:eastAsia="zh-CN"/>
              </w:rPr>
              <w:t>14</w:t>
            </w:r>
            <w:r>
              <w:rPr>
                <w:rFonts w:hAnsi="宋体" w:eastAsia="宋体"/>
                <w:color w:val="auto"/>
                <w:sz w:val="24"/>
              </w:rPr>
              <w:t>日</w:t>
            </w:r>
            <w:r>
              <w:rPr>
                <w:rFonts w:hint="eastAsia" w:hAnsi="宋体" w:eastAsia="宋体"/>
                <w:color w:val="auto"/>
                <w:sz w:val="24"/>
              </w:rPr>
              <w:t>进行了排污登记，登记编号：91350181MA8TLPKJ3C001Y</w:t>
            </w:r>
            <w:r>
              <w:rPr>
                <w:rFonts w:hAnsi="宋体" w:eastAsia="宋体"/>
                <w:color w:val="auto"/>
                <w:sz w:val="24"/>
              </w:rPr>
              <w:t>。</w:t>
            </w:r>
          </w:p>
          <w:p w14:paraId="4844655E">
            <w:pPr>
              <w:snapToGrid w:val="0"/>
              <w:spacing w:line="360" w:lineRule="auto"/>
              <w:ind w:firstLine="480" w:firstLineChars="200"/>
              <w:rPr>
                <w:rFonts w:hint="default" w:eastAsia="宋体"/>
                <w:bCs/>
                <w:color w:val="auto"/>
                <w:sz w:val="24"/>
                <w:lang w:val="en-US" w:eastAsia="zh-CN"/>
              </w:rPr>
            </w:pPr>
            <w:r>
              <w:rPr>
                <w:rFonts w:hint="eastAsia" w:cs="Times New Roman"/>
                <w:b w:val="0"/>
                <w:bCs w:val="0"/>
                <w:color w:val="auto"/>
                <w:sz w:val="24"/>
                <w:szCs w:val="24"/>
                <w:highlight w:val="none"/>
                <w:lang w:eastAsia="zh-CN"/>
              </w:rPr>
              <w:t>为满足市场发展需求并推动企业战略升级，铠盾公司在现有年产特种玻璃6万片、塑料密封件600万件的基础上，拟投资5000万元实施产能扩建项目：在保留现有厂房五生产功能的基础上，</w:t>
            </w:r>
            <w:r>
              <w:rPr>
                <w:rFonts w:hint="eastAsia" w:cs="Times New Roman"/>
                <w:b w:val="0"/>
                <w:bCs w:val="0"/>
                <w:color w:val="auto"/>
                <w:sz w:val="24"/>
                <w:szCs w:val="24"/>
                <w:highlight w:val="none"/>
                <w:lang w:val="en-US" w:eastAsia="zh-CN"/>
              </w:rPr>
              <w:t>购置</w:t>
            </w:r>
            <w:r>
              <w:rPr>
                <w:rFonts w:hint="eastAsia" w:cs="Times New Roman"/>
                <w:b w:val="0"/>
                <w:bCs w:val="0"/>
                <w:color w:val="auto"/>
                <w:sz w:val="24"/>
                <w:szCs w:val="24"/>
                <w:highlight w:val="none"/>
                <w:lang w:eastAsia="zh-CN"/>
              </w:rPr>
              <w:t>PBT、PA6/PA66、TPV、PP、铝带等原材料，</w:t>
            </w:r>
            <w:r>
              <w:rPr>
                <w:rFonts w:hint="eastAsia" w:cs="Times New Roman"/>
                <w:b w:val="0"/>
                <w:bCs w:val="0"/>
                <w:color w:val="auto"/>
                <w:sz w:val="24"/>
                <w:szCs w:val="24"/>
                <w:highlight w:val="none"/>
                <w:lang w:val="en-US" w:eastAsia="zh-CN"/>
              </w:rPr>
              <w:t>用于年加工300万件注塑件、年加工1200万件下卡条，同时租赁</w:t>
            </w:r>
            <w:r>
              <w:rPr>
                <w:rFonts w:hint="eastAsia" w:cs="Times New Roman"/>
                <w:b w:val="0"/>
                <w:bCs w:val="0"/>
                <w:color w:val="auto"/>
                <w:sz w:val="24"/>
                <w:szCs w:val="24"/>
                <w:highlight w:val="none"/>
                <w:lang w:eastAsia="zh-CN"/>
              </w:rPr>
              <w:t>福建三锋汽配开发有限公司</w:t>
            </w:r>
            <w:r>
              <w:rPr>
                <w:rFonts w:hint="eastAsia" w:cs="Times New Roman"/>
                <w:b w:val="0"/>
                <w:bCs w:val="0"/>
                <w:color w:val="auto"/>
                <w:sz w:val="24"/>
                <w:szCs w:val="24"/>
                <w:highlight w:val="none"/>
                <w:lang w:val="en-US" w:eastAsia="zh-CN"/>
              </w:rPr>
              <w:t>厂房四</w:t>
            </w:r>
            <w:r>
              <w:rPr>
                <w:rFonts w:hint="eastAsia" w:cs="Times New Roman"/>
                <w:b w:val="0"/>
                <w:bCs w:val="0"/>
                <w:color w:val="auto"/>
                <w:sz w:val="24"/>
                <w:szCs w:val="24"/>
                <w:highlight w:val="none"/>
                <w:lang w:eastAsia="zh-CN"/>
              </w:rPr>
              <w:t>一层局部区域，</w:t>
            </w:r>
            <w:r>
              <w:rPr>
                <w:rFonts w:hint="eastAsia" w:cs="Times New Roman"/>
                <w:b w:val="0"/>
                <w:bCs w:val="0"/>
                <w:color w:val="auto"/>
                <w:sz w:val="24"/>
                <w:szCs w:val="24"/>
                <w:highlight w:val="none"/>
                <w:lang w:val="en-US" w:eastAsia="zh-CN"/>
              </w:rPr>
              <w:t>购置</w:t>
            </w:r>
            <w:r>
              <w:rPr>
                <w:rFonts w:hint="eastAsia" w:cs="Times New Roman"/>
                <w:b w:val="0"/>
                <w:bCs w:val="0"/>
                <w:color w:val="auto"/>
                <w:sz w:val="24"/>
                <w:szCs w:val="24"/>
                <w:highlight w:val="none"/>
                <w:lang w:eastAsia="zh-CN"/>
              </w:rPr>
              <w:t>金属钣金</w:t>
            </w:r>
            <w:r>
              <w:rPr>
                <w:rFonts w:hint="eastAsia" w:cs="Times New Roman"/>
                <w:b w:val="0"/>
                <w:bCs w:val="0"/>
                <w:color w:val="auto"/>
                <w:sz w:val="24"/>
                <w:szCs w:val="24"/>
                <w:highlight w:val="none"/>
                <w:lang w:val="en-US" w:eastAsia="zh-CN"/>
              </w:rPr>
              <w:t>进行钣金件加工，厂房面积2000m</w:t>
            </w:r>
            <w:r>
              <w:rPr>
                <w:rFonts w:hint="eastAsia" w:cs="Times New Roman"/>
                <w:b w:val="0"/>
                <w:bCs w:val="0"/>
                <w:color w:val="auto"/>
                <w:sz w:val="24"/>
                <w:szCs w:val="24"/>
                <w:highlight w:val="none"/>
                <w:vertAlign w:val="superscript"/>
                <w:lang w:val="en-US" w:eastAsia="zh-CN"/>
              </w:rPr>
              <w:t>2</w:t>
            </w:r>
            <w:r>
              <w:rPr>
                <w:rFonts w:hint="eastAsia" w:cs="Times New Roman"/>
                <w:b w:val="0"/>
                <w:bCs w:val="0"/>
                <w:color w:val="auto"/>
                <w:sz w:val="24"/>
                <w:szCs w:val="24"/>
                <w:highlight w:val="none"/>
                <w:lang w:val="en-US" w:eastAsia="zh-CN"/>
              </w:rPr>
              <w:t>，年加工</w:t>
            </w:r>
            <w:r>
              <w:rPr>
                <w:rFonts w:hint="eastAsia" w:cs="Times New Roman"/>
                <w:b w:val="0"/>
                <w:bCs w:val="0"/>
                <w:color w:val="auto"/>
                <w:sz w:val="24"/>
                <w:szCs w:val="24"/>
                <w:highlight w:val="none"/>
                <w:lang w:eastAsia="zh-CN"/>
              </w:rPr>
              <w:t>1000万件钣金件。</w:t>
            </w:r>
            <w:r>
              <w:rPr>
                <w:rFonts w:hAnsi="宋体" w:eastAsia="宋体"/>
                <w:color w:val="auto"/>
                <w:sz w:val="24"/>
              </w:rPr>
              <w:t>该项目于</w:t>
            </w:r>
            <w:r>
              <w:rPr>
                <w:rFonts w:eastAsia="宋体"/>
                <w:color w:val="auto"/>
                <w:sz w:val="24"/>
              </w:rPr>
              <w:t>202</w:t>
            </w:r>
            <w:r>
              <w:rPr>
                <w:rFonts w:hint="eastAsia" w:eastAsia="宋体"/>
                <w:color w:val="auto"/>
                <w:sz w:val="24"/>
                <w:lang w:val="en-US" w:eastAsia="zh-CN"/>
              </w:rPr>
              <w:t>5</w:t>
            </w:r>
            <w:r>
              <w:rPr>
                <w:rFonts w:hAnsi="宋体" w:eastAsia="宋体"/>
                <w:color w:val="auto"/>
                <w:sz w:val="24"/>
              </w:rPr>
              <w:t>年</w:t>
            </w:r>
            <w:r>
              <w:rPr>
                <w:rFonts w:eastAsia="宋体"/>
                <w:color w:val="auto"/>
                <w:sz w:val="24"/>
              </w:rPr>
              <w:t>0</w:t>
            </w:r>
            <w:r>
              <w:rPr>
                <w:rFonts w:hint="eastAsia"/>
                <w:color w:val="auto"/>
                <w:sz w:val="24"/>
                <w:lang w:val="en-US" w:eastAsia="zh-CN"/>
              </w:rPr>
              <w:t>9</w:t>
            </w:r>
            <w:r>
              <w:rPr>
                <w:rFonts w:hAnsi="宋体" w:eastAsia="宋体"/>
                <w:color w:val="auto"/>
                <w:sz w:val="24"/>
              </w:rPr>
              <w:t>月</w:t>
            </w:r>
            <w:r>
              <w:rPr>
                <w:rFonts w:hint="eastAsia"/>
                <w:color w:val="auto"/>
                <w:sz w:val="24"/>
                <w:lang w:val="en-US" w:eastAsia="zh-CN"/>
              </w:rPr>
              <w:t>02</w:t>
            </w:r>
            <w:r>
              <w:rPr>
                <w:rFonts w:hAnsi="宋体" w:eastAsia="宋体"/>
                <w:color w:val="auto"/>
                <w:sz w:val="24"/>
              </w:rPr>
              <w:t>日取得</w:t>
            </w:r>
            <w:r>
              <w:rPr>
                <w:rFonts w:hint="eastAsia" w:hAnsi="宋体"/>
                <w:color w:val="auto"/>
                <w:sz w:val="24"/>
                <w:lang w:val="en-US" w:eastAsia="zh-CN"/>
              </w:rPr>
              <w:t>福清市</w:t>
            </w:r>
            <w:r>
              <w:rPr>
                <w:rFonts w:hint="eastAsia" w:hAnsi="宋体" w:eastAsia="宋体"/>
                <w:color w:val="auto"/>
                <w:sz w:val="24"/>
              </w:rPr>
              <w:t>工业和信息化局</w:t>
            </w:r>
            <w:r>
              <w:rPr>
                <w:rFonts w:hAnsi="宋体" w:eastAsia="宋体"/>
                <w:color w:val="auto"/>
                <w:sz w:val="24"/>
              </w:rPr>
              <w:t>的备案，备案编号：</w:t>
            </w:r>
            <w:r>
              <w:rPr>
                <w:rFonts w:hint="eastAsia" w:hAnsi="宋体" w:eastAsia="宋体"/>
                <w:color w:val="auto"/>
                <w:sz w:val="24"/>
              </w:rPr>
              <w:t>闽工信备[2025]A060082号</w:t>
            </w:r>
            <w:r>
              <w:rPr>
                <w:rFonts w:hAnsi="宋体" w:eastAsia="宋体"/>
                <w:color w:val="auto"/>
                <w:sz w:val="24"/>
              </w:rPr>
              <w:t>。</w:t>
            </w:r>
          </w:p>
          <w:p w14:paraId="4164C46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AnsiTheme="minorEastAsia" w:eastAsiaTheme="minorEastAsia"/>
                <w:color w:val="auto"/>
                <w:sz w:val="24"/>
              </w:rPr>
              <w:t>本项目</w:t>
            </w:r>
            <w:r>
              <w:rPr>
                <w:rFonts w:hint="eastAsia" w:hAnsiTheme="minorEastAsia" w:eastAsiaTheme="minorEastAsia"/>
                <w:color w:val="auto"/>
                <w:sz w:val="24"/>
                <w:lang w:val="en-US" w:eastAsia="zh-CN"/>
              </w:rPr>
              <w:t>主要产品为注塑件、下卡条、钣金件，</w:t>
            </w:r>
            <w:r>
              <w:rPr>
                <w:rFonts w:hAnsiTheme="minorEastAsia" w:eastAsiaTheme="minorEastAsia"/>
                <w:color w:val="auto"/>
                <w:sz w:val="24"/>
              </w:rPr>
              <w:t>行业类别</w:t>
            </w:r>
            <w:r>
              <w:rPr>
                <w:rFonts w:hint="eastAsia" w:hAnsiTheme="minorEastAsia" w:eastAsiaTheme="minorEastAsia"/>
                <w:color w:val="auto"/>
                <w:sz w:val="24"/>
                <w:lang w:val="en-US" w:eastAsia="zh-CN"/>
              </w:rPr>
              <w:t>分别</w:t>
            </w:r>
            <w:r>
              <w:rPr>
                <w:rFonts w:hAnsiTheme="minorEastAsia" w:eastAsiaTheme="minorEastAsia"/>
                <w:color w:val="auto"/>
                <w:sz w:val="24"/>
              </w:rPr>
              <w:t>为</w:t>
            </w:r>
            <w:r>
              <w:rPr>
                <w:rFonts w:hint="eastAsia" w:hAnsiTheme="minorEastAsia" w:eastAsiaTheme="minorEastAsia"/>
                <w:color w:val="auto"/>
                <w:sz w:val="24"/>
                <w:lang w:val="en-US" w:eastAsia="zh-CN"/>
              </w:rPr>
              <w:t>C2929塑料零件及其他塑料制品制造</w:t>
            </w:r>
            <w:r>
              <w:rPr>
                <w:rFonts w:hint="eastAsia" w:ascii="Times New Roman" w:cs="Times New Roman" w:hAnsiTheme="minorEastAsia" w:eastAsiaTheme="minorEastAsia"/>
                <w:color w:val="auto"/>
                <w:sz w:val="24"/>
                <w:lang w:val="en-US" w:eastAsia="zh-CN"/>
              </w:rPr>
              <w:t>、</w:t>
            </w:r>
            <w:r>
              <w:rPr>
                <w:rFonts w:ascii="Times New Roman" w:cs="Times New Roman" w:hAnsiTheme="minorEastAsia" w:eastAsiaTheme="minorEastAsia"/>
                <w:color w:val="auto"/>
                <w:sz w:val="24"/>
              </w:rPr>
              <w:t>C</w:t>
            </w:r>
            <w:r>
              <w:rPr>
                <w:rFonts w:hint="eastAsia" w:ascii="Times New Roman" w:cs="Times New Roman" w:hAnsiTheme="minorEastAsia" w:eastAsiaTheme="minorEastAsia"/>
                <w:color w:val="auto"/>
                <w:sz w:val="24"/>
                <w:lang w:val="en-US" w:eastAsia="zh-CN"/>
              </w:rPr>
              <w:t>3311</w:t>
            </w:r>
            <w:r>
              <w:rPr>
                <w:rFonts w:hint="default" w:ascii="Times New Roman" w:cs="Times New Roman" w:hAnsiTheme="minorEastAsia" w:eastAsiaTheme="minorEastAsia"/>
                <w:color w:val="auto"/>
                <w:sz w:val="24"/>
              </w:rPr>
              <w:t>4金属结构制造</w:t>
            </w:r>
            <w:r>
              <w:rPr>
                <w:rFonts w:hint="eastAsia" w:cs="Times New Roman" w:hAnsiTheme="minorEastAsia" w:eastAsiaTheme="minorEastAsia"/>
                <w:color w:val="auto"/>
                <w:sz w:val="24"/>
                <w:lang w:eastAsia="zh-CN"/>
              </w:rPr>
              <w:t>、</w:t>
            </w:r>
            <w:r>
              <w:rPr>
                <w:rFonts w:hint="eastAsia" w:cs="Times New Roman" w:hAnsiTheme="minorEastAsia" w:eastAsiaTheme="minorEastAsia"/>
                <w:color w:val="auto"/>
                <w:sz w:val="24"/>
                <w:lang w:val="en-US" w:eastAsia="zh-CN"/>
              </w:rPr>
              <w:t>C3670汽车零部件及配件制造</w:t>
            </w:r>
            <w:r>
              <w:rPr>
                <w:rFonts w:ascii="Times New Roman" w:cs="Times New Roman" w:hAnsiTheme="minorEastAsia" w:eastAsiaTheme="minorEastAsia"/>
                <w:color w:val="auto"/>
                <w:sz w:val="24"/>
              </w:rPr>
              <w:t>，</w:t>
            </w:r>
            <w:r>
              <w:rPr>
                <w:rFonts w:hint="eastAsia" w:hAnsiTheme="minorEastAsia" w:eastAsiaTheme="minorEastAsia"/>
                <w:color w:val="auto"/>
                <w:sz w:val="24"/>
                <w:lang w:val="en-US" w:eastAsia="zh-CN"/>
              </w:rPr>
              <w:t>生产</w:t>
            </w:r>
            <w:r>
              <w:rPr>
                <w:rFonts w:hint="eastAsia" w:hAnsiTheme="minorEastAsia" w:eastAsiaTheme="minorEastAsia"/>
                <w:color w:val="auto"/>
                <w:sz w:val="24"/>
              </w:rPr>
              <w:t>工艺</w:t>
            </w:r>
            <w:r>
              <w:rPr>
                <w:rFonts w:hint="eastAsia"/>
                <w:color w:val="auto"/>
                <w:sz w:val="24"/>
              </w:rPr>
              <w:t>不涉及电镀工艺，</w:t>
            </w:r>
            <w:r>
              <w:rPr>
                <w:rFonts w:hint="eastAsia"/>
                <w:color w:val="auto"/>
                <w:sz w:val="24"/>
                <w:lang w:val="en-US" w:eastAsia="zh-CN"/>
              </w:rPr>
              <w:t>不使用再生塑料，</w:t>
            </w:r>
            <w:r>
              <w:rPr>
                <w:rFonts w:hint="eastAsia" w:hAnsiTheme="minorEastAsia" w:eastAsiaTheme="minorEastAsia"/>
                <w:color w:val="auto"/>
                <w:sz w:val="24"/>
                <w:lang w:val="en-US" w:eastAsia="zh-CN"/>
              </w:rPr>
              <w:t>项目使用的铝带底涂剂和PP底涂剂为溶剂型胶粘剂，用量为1吨/年，属于年用溶剂型胶粘剂10吨以下的项目。根据《中华人民共和国环境影响评价法》（2018年12月29日修订）和《建设项目环境影响评价分类管理名录》（2021年版），本项目涉及环评类别见</w:t>
            </w:r>
            <w:r>
              <w:rPr>
                <w:rFonts w:hint="eastAsia" w:hAnsiTheme="minorEastAsia" w:eastAsiaTheme="minorEastAsia"/>
                <w:b w:val="0"/>
                <w:bCs w:val="0"/>
                <w:color w:val="auto"/>
                <w:sz w:val="24"/>
                <w:szCs w:val="24"/>
                <w:highlight w:val="none"/>
              </w:rPr>
              <w:t>表2-1</w:t>
            </w:r>
            <w:r>
              <w:rPr>
                <w:rFonts w:hint="eastAsia" w:hAnsiTheme="minorEastAsia" w:eastAsiaTheme="minorEastAsia"/>
                <w:color w:val="auto"/>
                <w:sz w:val="24"/>
                <w:lang w:val="en-US" w:eastAsia="zh-CN"/>
              </w:rPr>
              <w:t>。根据《建设项目环境影响评价分类管理名录》（2021年版）第四条“建设内容涉及本名录中两个及以上项目类别的建设项目，其环境影响评价类别按照其中单项等级最高的确定”的原则，本项目应编制环境影响报告表。</w:t>
            </w:r>
          </w:p>
          <w:p w14:paraId="598E3CB8">
            <w:pPr>
              <w:pStyle w:val="8"/>
              <w:spacing w:line="360" w:lineRule="auto"/>
              <w:ind w:firstLine="480" w:firstLineChars="200"/>
              <w:rPr>
                <w:rFonts w:hint="eastAsia"/>
                <w:color w:val="auto"/>
                <w:sz w:val="24"/>
                <w:lang w:val="en-US" w:eastAsia="zh-CN"/>
              </w:rPr>
            </w:pPr>
          </w:p>
          <w:p w14:paraId="401D970D">
            <w:pPr>
              <w:pStyle w:val="165"/>
              <w:ind w:firstLine="480"/>
              <w:rPr>
                <w:rFonts w:hint="eastAsia"/>
                <w:color w:val="auto"/>
              </w:rPr>
            </w:pPr>
            <w:r>
              <w:rPr>
                <w:rFonts w:hint="eastAsia"/>
                <w:color w:val="auto"/>
              </w:rPr>
              <w:t>表2-1  建设项目环境影响评价分类管理名录(摘录)</w:t>
            </w:r>
          </w:p>
          <w:tbl>
            <w:tblPr>
              <w:tblStyle w:val="35"/>
              <w:tblW w:w="8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523"/>
              <w:gridCol w:w="2524"/>
              <w:gridCol w:w="2806"/>
              <w:gridCol w:w="1062"/>
            </w:tblGrid>
            <w:tr w14:paraId="7DC8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0" w:type="dxa"/>
                  <w:gridSpan w:val="2"/>
                  <w:tcBorders>
                    <w:top w:val="single" w:color="auto" w:sz="12" w:space="0"/>
                    <w:left w:val="nil"/>
                    <w:bottom w:val="single" w:color="auto" w:sz="4" w:space="0"/>
                    <w:tl2br w:val="single" w:color="auto" w:sz="4" w:space="0"/>
                  </w:tcBorders>
                  <w:shd w:val="clear" w:color="auto" w:fill="auto"/>
                  <w:noWrap w:val="0"/>
                  <w:vAlign w:val="top"/>
                </w:tcPr>
                <w:p w14:paraId="45A8E73B">
                  <w:pPr>
                    <w:keepNext w:val="0"/>
                    <w:keepLines w:val="0"/>
                    <w:pageBreakBefore w:val="0"/>
                    <w:widowControl w:val="0"/>
                    <w:kinsoku/>
                    <w:wordWrap/>
                    <w:overflowPunct/>
                    <w:topLinePunct w:val="0"/>
                    <w:autoSpaceDE/>
                    <w:autoSpaceDN/>
                    <w:bidi w:val="0"/>
                    <w:adjustRightInd w:val="0"/>
                    <w:snapToGrid w:val="0"/>
                    <w:spacing w:line="240" w:lineRule="auto"/>
                    <w:jc w:val="right"/>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环评类别</w:t>
                  </w:r>
                </w:p>
                <w:p w14:paraId="2E932E84">
                  <w:pPr>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项目类别</w:t>
                  </w:r>
                </w:p>
              </w:tc>
              <w:tc>
                <w:tcPr>
                  <w:tcW w:w="2524" w:type="dxa"/>
                  <w:tcBorders>
                    <w:top w:val="single" w:color="auto" w:sz="12" w:space="0"/>
                    <w:bottom w:val="single" w:color="auto" w:sz="4" w:space="0"/>
                  </w:tcBorders>
                  <w:shd w:val="clear" w:color="auto" w:fill="auto"/>
                  <w:noWrap w:val="0"/>
                  <w:vAlign w:val="center"/>
                </w:tcPr>
                <w:p w14:paraId="0B5AD3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报告书</w:t>
                  </w:r>
                </w:p>
              </w:tc>
              <w:tc>
                <w:tcPr>
                  <w:tcW w:w="2806" w:type="dxa"/>
                  <w:tcBorders>
                    <w:top w:val="single" w:color="auto" w:sz="12" w:space="0"/>
                    <w:bottom w:val="single" w:color="auto" w:sz="4" w:space="0"/>
                  </w:tcBorders>
                  <w:shd w:val="clear" w:color="auto" w:fill="D7D7D7" w:themeFill="background1" w:themeFillShade="D8"/>
                  <w:noWrap w:val="0"/>
                  <w:vAlign w:val="center"/>
                </w:tcPr>
                <w:p w14:paraId="78AA74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报告表</w:t>
                  </w:r>
                </w:p>
              </w:tc>
              <w:tc>
                <w:tcPr>
                  <w:tcW w:w="1062" w:type="dxa"/>
                  <w:tcBorders>
                    <w:top w:val="single" w:color="auto" w:sz="12" w:space="0"/>
                    <w:bottom w:val="single" w:color="auto" w:sz="4" w:space="0"/>
                    <w:right w:val="nil"/>
                  </w:tcBorders>
                  <w:noWrap w:val="0"/>
                  <w:vAlign w:val="center"/>
                </w:tcPr>
                <w:p w14:paraId="6D6F72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登记表</w:t>
                  </w:r>
                </w:p>
              </w:tc>
            </w:tr>
            <w:tr w14:paraId="5851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2" w:type="dxa"/>
                  <w:gridSpan w:val="5"/>
                  <w:tcBorders>
                    <w:top w:val="single" w:color="auto" w:sz="4" w:space="0"/>
                    <w:left w:val="nil"/>
                    <w:right w:val="nil"/>
                  </w:tcBorders>
                  <w:shd w:val="clear" w:color="auto" w:fill="D7D7D7" w:themeFill="background1" w:themeFillShade="D8"/>
                  <w:noWrap w:val="0"/>
                  <w:vAlign w:val="center"/>
                </w:tcPr>
                <w:p w14:paraId="06FA9D68">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黑体" w:cs="Times New Roman"/>
                      <w:color w:val="auto"/>
                      <w:sz w:val="18"/>
                      <w:szCs w:val="18"/>
                      <w:highlight w:val="none"/>
                      <w:lang w:eastAsia="zh-CN"/>
                    </w:rPr>
                  </w:pPr>
                  <w:r>
                    <w:rPr>
                      <w:rFonts w:hint="eastAsia"/>
                      <w:color w:val="auto"/>
                      <w:sz w:val="18"/>
                      <w:szCs w:val="18"/>
                      <w:highlight w:val="none"/>
                    </w:rPr>
                    <w:t>二十</w:t>
                  </w:r>
                  <w:r>
                    <w:rPr>
                      <w:rFonts w:hint="eastAsia"/>
                      <w:color w:val="auto"/>
                      <w:sz w:val="18"/>
                      <w:szCs w:val="18"/>
                      <w:highlight w:val="none"/>
                      <w:lang w:eastAsia="zh-CN"/>
                    </w:rPr>
                    <w:t>六</w:t>
                  </w:r>
                  <w:r>
                    <w:rPr>
                      <w:rFonts w:hint="eastAsia"/>
                      <w:color w:val="auto"/>
                      <w:sz w:val="18"/>
                      <w:szCs w:val="18"/>
                      <w:highlight w:val="none"/>
                    </w:rPr>
                    <w:t>、</w:t>
                  </w:r>
                  <w:r>
                    <w:rPr>
                      <w:rFonts w:hint="eastAsia"/>
                      <w:color w:val="auto"/>
                      <w:sz w:val="18"/>
                      <w:szCs w:val="18"/>
                      <w:highlight w:val="none"/>
                      <w:lang w:val="en-US" w:eastAsia="zh-CN"/>
                    </w:rPr>
                    <w:t>橡胶和塑料制品业</w:t>
                  </w:r>
                  <w:r>
                    <w:rPr>
                      <w:rFonts w:hint="default" w:ascii="Times New Roman" w:hAnsi="Times New Roman" w:eastAsia="黑体" w:cs="Times New Roman"/>
                      <w:color w:val="auto"/>
                      <w:sz w:val="18"/>
                      <w:szCs w:val="18"/>
                      <w:highlight w:val="none"/>
                    </w:rPr>
                    <w:t>2</w:t>
                  </w:r>
                  <w:r>
                    <w:rPr>
                      <w:rFonts w:hint="eastAsia" w:eastAsia="黑体" w:cs="Times New Roman"/>
                      <w:color w:val="auto"/>
                      <w:sz w:val="18"/>
                      <w:szCs w:val="18"/>
                      <w:highlight w:val="none"/>
                      <w:lang w:val="en-US" w:eastAsia="zh-CN"/>
                    </w:rPr>
                    <w:t>9</w:t>
                  </w:r>
                </w:p>
              </w:tc>
            </w:tr>
            <w:tr w14:paraId="50D2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left w:val="nil"/>
                  </w:tcBorders>
                  <w:shd w:val="clear" w:color="auto" w:fill="auto"/>
                  <w:noWrap w:val="0"/>
                  <w:vAlign w:val="center"/>
                </w:tcPr>
                <w:p w14:paraId="11374F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53</w:t>
                  </w:r>
                </w:p>
              </w:tc>
              <w:tc>
                <w:tcPr>
                  <w:tcW w:w="1523" w:type="dxa"/>
                  <w:tcBorders>
                    <w:left w:val="single" w:color="auto" w:sz="4" w:space="0"/>
                  </w:tcBorders>
                  <w:shd w:val="clear" w:color="auto" w:fill="auto"/>
                  <w:noWrap w:val="0"/>
                  <w:vAlign w:val="center"/>
                </w:tcPr>
                <w:p w14:paraId="7FDE0F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olor w:val="auto"/>
                      <w:sz w:val="18"/>
                      <w:szCs w:val="18"/>
                      <w:highlight w:val="none"/>
                      <w:lang w:val="en-US" w:eastAsia="zh-CN"/>
                    </w:rPr>
                    <w:t>塑料制品业292</w:t>
                  </w:r>
                </w:p>
              </w:tc>
              <w:tc>
                <w:tcPr>
                  <w:tcW w:w="2524" w:type="dxa"/>
                  <w:shd w:val="clear" w:color="auto" w:fill="auto"/>
                  <w:noWrap w:val="0"/>
                  <w:vAlign w:val="center"/>
                </w:tcPr>
                <w:p w14:paraId="41D7D1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b w:val="0"/>
                      <w:bCs w:val="0"/>
                      <w:color w:val="auto"/>
                      <w:sz w:val="18"/>
                      <w:szCs w:val="18"/>
                      <w:highlight w:val="none"/>
                      <w:lang w:val="en-US" w:eastAsia="zh-CN"/>
                    </w:rPr>
                    <w:t>以再生塑料为原料生产的；有电镀工艺的；年用溶剂型胶粘剂10吨及以上的；年用溶剂型涂料（含稀释剂）10吨及以上的</w:t>
                  </w:r>
                </w:p>
              </w:tc>
              <w:tc>
                <w:tcPr>
                  <w:tcW w:w="2806" w:type="dxa"/>
                  <w:shd w:val="clear" w:color="auto" w:fill="D7D7D7" w:themeFill="background1" w:themeFillShade="D8"/>
                  <w:noWrap w:val="0"/>
                  <w:vAlign w:val="center"/>
                </w:tcPr>
                <w:p w14:paraId="7862DA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eastAsia="zh-CN"/>
                    </w:rPr>
                  </w:pPr>
                  <w:r>
                    <w:rPr>
                      <w:rFonts w:hint="eastAsia"/>
                      <w:color w:val="auto"/>
                      <w:sz w:val="18"/>
                      <w:szCs w:val="18"/>
                      <w:highlight w:val="none"/>
                      <w:lang w:val="en-US" w:eastAsia="zh-CN"/>
                    </w:rPr>
                    <w:t>其他（年用非溶剂</w:t>
                  </w:r>
                  <w:r>
                    <w:rPr>
                      <w:rFonts w:hint="eastAsia"/>
                      <w:color w:val="auto"/>
                      <w:sz w:val="18"/>
                      <w:szCs w:val="18"/>
                      <w:highlight w:val="none"/>
                      <w:shd w:val="clear" w:fill="FFFFFF" w:themeFill="background1"/>
                      <w:lang w:val="en-US" w:eastAsia="zh-CN"/>
                    </w:rPr>
                    <w:t>型低VOCs含量涂料10吨以下的除外）</w:t>
                  </w:r>
                </w:p>
              </w:tc>
              <w:tc>
                <w:tcPr>
                  <w:tcW w:w="1062" w:type="dxa"/>
                  <w:tcBorders>
                    <w:right w:val="nil"/>
                  </w:tcBorders>
                  <w:shd w:val="clear" w:color="auto" w:fill="FFFFFF" w:themeFill="background1"/>
                  <w:noWrap w:val="0"/>
                  <w:vAlign w:val="center"/>
                </w:tcPr>
                <w:p w14:paraId="04A52C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r>
            <w:tr w14:paraId="3C05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2" w:type="dxa"/>
                  <w:gridSpan w:val="5"/>
                  <w:tcBorders>
                    <w:left w:val="nil"/>
                    <w:right w:val="nil"/>
                  </w:tcBorders>
                  <w:shd w:val="clear" w:color="auto" w:fill="D7D7D7" w:themeFill="background1" w:themeFillShade="D8"/>
                  <w:noWrap w:val="0"/>
                  <w:vAlign w:val="center"/>
                </w:tcPr>
                <w:p w14:paraId="6910586A">
                  <w:pPr>
                    <w:spacing w:line="240" w:lineRule="auto"/>
                    <w:rPr>
                      <w:rFonts w:hint="default" w:ascii="Times New Roman" w:hAnsi="Times New Roman" w:eastAsia="宋体" w:cs="Times New Roman"/>
                      <w:color w:val="auto"/>
                      <w:sz w:val="18"/>
                      <w:szCs w:val="18"/>
                      <w:highlight w:val="none"/>
                      <w:lang w:val="en-US" w:eastAsia="zh-CN"/>
                    </w:rPr>
                  </w:pPr>
                  <w:r>
                    <w:rPr>
                      <w:rFonts w:hAnsiTheme="minorEastAsia" w:eastAsiaTheme="minorEastAsia"/>
                      <w:color w:val="auto"/>
                      <w:sz w:val="18"/>
                      <w:szCs w:val="18"/>
                    </w:rPr>
                    <w:t>三十、</w:t>
                  </w:r>
                  <w:r>
                    <w:rPr>
                      <w:rFonts w:hint="eastAsia" w:hAnsiTheme="minorEastAsia" w:eastAsiaTheme="minorEastAsia"/>
                      <w:color w:val="auto"/>
                      <w:sz w:val="18"/>
                      <w:szCs w:val="18"/>
                    </w:rPr>
                    <w:t>金属制品业33</w:t>
                  </w:r>
                </w:p>
              </w:tc>
            </w:tr>
            <w:tr w14:paraId="13DB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left w:val="nil"/>
                  </w:tcBorders>
                  <w:shd w:val="clear" w:color="auto" w:fill="auto"/>
                  <w:noWrap w:val="0"/>
                  <w:vAlign w:val="center"/>
                </w:tcPr>
                <w:p w14:paraId="33F23A23">
                  <w:pPr>
                    <w:spacing w:line="240" w:lineRule="auto"/>
                    <w:jc w:val="center"/>
                    <w:rPr>
                      <w:rFonts w:hint="default" w:eastAsia="宋体"/>
                      <w:color w:val="auto"/>
                      <w:sz w:val="18"/>
                      <w:szCs w:val="18"/>
                      <w:highlight w:val="none"/>
                      <w:lang w:val="en-US" w:eastAsia="zh-CN"/>
                    </w:rPr>
                  </w:pPr>
                  <w:r>
                    <w:rPr>
                      <w:rFonts w:hint="eastAsia"/>
                      <w:color w:val="auto"/>
                      <w:sz w:val="18"/>
                      <w:szCs w:val="18"/>
                      <w:lang w:val="en-US" w:eastAsia="zh-CN"/>
                    </w:rPr>
                    <w:t>66</w:t>
                  </w:r>
                </w:p>
              </w:tc>
              <w:tc>
                <w:tcPr>
                  <w:tcW w:w="1523" w:type="dxa"/>
                  <w:tcBorders>
                    <w:left w:val="nil"/>
                  </w:tcBorders>
                  <w:shd w:val="clear" w:color="auto" w:fill="auto"/>
                  <w:noWrap w:val="0"/>
                  <w:vAlign w:val="center"/>
                </w:tcPr>
                <w:p w14:paraId="5864E423">
                  <w:pPr>
                    <w:spacing w:line="240" w:lineRule="auto"/>
                    <w:jc w:val="center"/>
                    <w:rPr>
                      <w:rFonts w:hint="eastAsia"/>
                      <w:color w:val="auto"/>
                      <w:sz w:val="18"/>
                      <w:szCs w:val="18"/>
                    </w:rPr>
                  </w:pPr>
                  <w:r>
                    <w:rPr>
                      <w:rFonts w:hint="eastAsia"/>
                      <w:b w:val="0"/>
                      <w:bCs w:val="0"/>
                      <w:color w:val="auto"/>
                      <w:sz w:val="18"/>
                      <w:szCs w:val="18"/>
                    </w:rPr>
                    <w:t>结构性金属制品制造331</w:t>
                  </w:r>
                </w:p>
              </w:tc>
              <w:tc>
                <w:tcPr>
                  <w:tcW w:w="2524" w:type="dxa"/>
                  <w:shd w:val="clear" w:color="auto" w:fill="auto"/>
                  <w:noWrap w:val="0"/>
                  <w:vAlign w:val="center"/>
                </w:tcPr>
                <w:p w14:paraId="45927C08">
                  <w:pPr>
                    <w:spacing w:line="240" w:lineRule="auto"/>
                    <w:jc w:val="center"/>
                    <w:rPr>
                      <w:rFonts w:hint="eastAsia" w:cs="Times New Roman"/>
                      <w:b w:val="0"/>
                      <w:bCs w:val="0"/>
                      <w:color w:val="auto"/>
                      <w:sz w:val="18"/>
                      <w:szCs w:val="18"/>
                      <w:highlight w:val="none"/>
                      <w:lang w:val="en-US" w:eastAsia="zh-CN"/>
                    </w:rPr>
                  </w:pPr>
                  <w:r>
                    <w:rPr>
                      <w:rFonts w:hint="eastAsia" w:eastAsiaTheme="minorEastAsia"/>
                      <w:color w:val="auto"/>
                      <w:sz w:val="18"/>
                      <w:szCs w:val="18"/>
                    </w:rPr>
                    <w:t>有电镀工艺的</w:t>
                  </w:r>
                  <w:r>
                    <w:rPr>
                      <w:rFonts w:hint="eastAsia" w:eastAsiaTheme="minorEastAsia"/>
                      <w:color w:val="auto"/>
                      <w:sz w:val="18"/>
                      <w:szCs w:val="18"/>
                      <w:lang w:eastAsia="zh-CN"/>
                    </w:rPr>
                    <w:t>；</w:t>
                  </w:r>
                  <w:r>
                    <w:rPr>
                      <w:rFonts w:hint="eastAsia" w:eastAsiaTheme="minorEastAsia"/>
                      <w:color w:val="auto"/>
                      <w:sz w:val="18"/>
                      <w:szCs w:val="18"/>
                    </w:rPr>
                    <w:t>年用溶剂型涂料(含稀释剂)10吨及以上的</w:t>
                  </w:r>
                </w:p>
              </w:tc>
              <w:tc>
                <w:tcPr>
                  <w:tcW w:w="2806" w:type="dxa"/>
                  <w:shd w:val="clear" w:color="auto" w:fill="D7D7D7" w:themeFill="background1" w:themeFillShade="D8"/>
                  <w:noWrap w:val="0"/>
                  <w:vAlign w:val="center"/>
                </w:tcPr>
                <w:p w14:paraId="5CDFFB49">
                  <w:pPr>
                    <w:spacing w:line="240" w:lineRule="auto"/>
                    <w:jc w:val="center"/>
                    <w:rPr>
                      <w:rFonts w:hint="eastAsia"/>
                      <w:color w:val="auto"/>
                      <w:sz w:val="18"/>
                      <w:szCs w:val="18"/>
                      <w:highlight w:val="none"/>
                      <w:lang w:val="en-US" w:eastAsia="zh-CN"/>
                    </w:rPr>
                  </w:pPr>
                  <w:r>
                    <w:rPr>
                      <w:rFonts w:hint="eastAsia" w:hAnsiTheme="minorEastAsia" w:eastAsiaTheme="minorEastAsia"/>
                      <w:color w:val="auto"/>
                      <w:sz w:val="18"/>
                      <w:szCs w:val="18"/>
                    </w:rPr>
                    <w:t>其他(仅分割、焊接、组装的除外</w:t>
                  </w:r>
                  <w:r>
                    <w:rPr>
                      <w:rFonts w:hint="eastAsia" w:hAnsiTheme="minorEastAsia" w:eastAsiaTheme="minorEastAsia"/>
                      <w:color w:val="auto"/>
                      <w:sz w:val="18"/>
                      <w:szCs w:val="18"/>
                      <w:lang w:eastAsia="zh-CN"/>
                    </w:rPr>
                    <w:t>；</w:t>
                  </w:r>
                  <w:r>
                    <w:rPr>
                      <w:rFonts w:hint="eastAsia" w:hAnsiTheme="minorEastAsia" w:eastAsiaTheme="minorEastAsia"/>
                      <w:color w:val="auto"/>
                      <w:sz w:val="18"/>
                      <w:szCs w:val="18"/>
                    </w:rPr>
                    <w:t>年用非溶剂型低VOCs含量涂料10吨以下的除外)</w:t>
                  </w:r>
                </w:p>
              </w:tc>
              <w:tc>
                <w:tcPr>
                  <w:tcW w:w="1062" w:type="dxa"/>
                  <w:tcBorders>
                    <w:right w:val="nil"/>
                  </w:tcBorders>
                  <w:shd w:val="clear" w:color="auto" w:fill="FFFFFF" w:themeFill="background1"/>
                  <w:noWrap w:val="0"/>
                  <w:vAlign w:val="center"/>
                </w:tcPr>
                <w:p w14:paraId="280A3D33">
                  <w:pPr>
                    <w:adjustRightInd w:val="0"/>
                    <w:snapToGrid w:val="0"/>
                    <w:spacing w:line="240" w:lineRule="auto"/>
                    <w:jc w:val="center"/>
                    <w:textAlignment w:val="baseline"/>
                    <w:rPr>
                      <w:rFonts w:hint="default" w:ascii="Times New Roman" w:hAnsi="Times New Roman" w:eastAsia="宋体" w:cs="Times New Roman"/>
                      <w:color w:val="auto"/>
                      <w:sz w:val="18"/>
                      <w:szCs w:val="18"/>
                      <w:highlight w:val="none"/>
                      <w:lang w:val="en-US" w:eastAsia="zh-CN"/>
                    </w:rPr>
                  </w:pPr>
                  <w:r>
                    <w:rPr>
                      <w:rFonts w:eastAsiaTheme="minorEastAsia"/>
                      <w:color w:val="auto"/>
                      <w:sz w:val="18"/>
                      <w:szCs w:val="18"/>
                    </w:rPr>
                    <w:t>/</w:t>
                  </w:r>
                </w:p>
              </w:tc>
            </w:tr>
            <w:tr w14:paraId="7F5A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2" w:type="dxa"/>
                  <w:gridSpan w:val="5"/>
                  <w:tcBorders>
                    <w:left w:val="nil"/>
                    <w:right w:val="nil"/>
                  </w:tcBorders>
                  <w:shd w:val="clear" w:color="auto" w:fill="D7D7D7" w:themeFill="background1" w:themeFillShade="D8"/>
                  <w:noWrap w:val="0"/>
                  <w:vAlign w:val="center"/>
                </w:tcPr>
                <w:p w14:paraId="34C15356">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eastAsia="宋体"/>
                      <w:color w:val="auto"/>
                      <w:sz w:val="18"/>
                      <w:szCs w:val="18"/>
                      <w:lang w:val="en-US" w:eastAsia="zh-CN"/>
                    </w:rPr>
                  </w:pPr>
                  <w:r>
                    <w:rPr>
                      <w:rFonts w:hint="eastAsia" w:cs="Times New Roman"/>
                      <w:color w:val="auto"/>
                      <w:sz w:val="18"/>
                      <w:szCs w:val="18"/>
                      <w:highlight w:val="none"/>
                      <w:lang w:val="en-US" w:eastAsia="zh-CN"/>
                    </w:rPr>
                    <w:t>三十三、汽车制造业 36</w:t>
                  </w:r>
                </w:p>
              </w:tc>
            </w:tr>
            <w:tr w14:paraId="3C08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7" w:type="dxa"/>
                  <w:tcBorders>
                    <w:left w:val="nil"/>
                    <w:bottom w:val="single" w:color="auto" w:sz="12" w:space="0"/>
                  </w:tcBorders>
                  <w:shd w:val="clear" w:color="auto" w:fill="auto"/>
                  <w:noWrap w:val="0"/>
                  <w:vAlign w:val="center"/>
                </w:tcPr>
                <w:p w14:paraId="54D64C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sz w:val="18"/>
                      <w:szCs w:val="18"/>
                      <w:lang w:val="en-US" w:eastAsia="zh-CN"/>
                    </w:rPr>
                  </w:pPr>
                  <w:r>
                    <w:rPr>
                      <w:rFonts w:hint="eastAsia"/>
                      <w:color w:val="auto"/>
                      <w:sz w:val="18"/>
                      <w:szCs w:val="18"/>
                      <w:highlight w:val="none"/>
                      <w:lang w:val="en-US" w:eastAsia="zh-CN"/>
                    </w:rPr>
                    <w:t>71</w:t>
                  </w:r>
                </w:p>
              </w:tc>
              <w:tc>
                <w:tcPr>
                  <w:tcW w:w="1523" w:type="dxa"/>
                  <w:tcBorders>
                    <w:left w:val="nil"/>
                    <w:bottom w:val="single" w:color="auto" w:sz="12" w:space="0"/>
                  </w:tcBorders>
                  <w:shd w:val="clear" w:color="auto" w:fill="auto"/>
                  <w:noWrap w:val="0"/>
                  <w:vAlign w:val="center"/>
                </w:tcPr>
                <w:p w14:paraId="3759E4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b w:val="0"/>
                      <w:bCs w:val="0"/>
                      <w:color w:val="auto"/>
                      <w:sz w:val="18"/>
                      <w:szCs w:val="18"/>
                      <w:lang w:val="en-US"/>
                    </w:rPr>
                  </w:pPr>
                  <w:r>
                    <w:rPr>
                      <w:rFonts w:hint="default" w:ascii="Times New Roman" w:hAnsi="Times New Roman" w:eastAsia="宋体" w:cs="Times New Roman"/>
                      <w:color w:val="auto"/>
                      <w:sz w:val="18"/>
                      <w:szCs w:val="18"/>
                    </w:rPr>
                    <w:t>汽车零部件及配件制造</w:t>
                  </w:r>
                  <w:r>
                    <w:rPr>
                      <w:rFonts w:hint="default" w:ascii="Times New Roman" w:hAnsi="Times New Roman" w:eastAsia="宋体" w:cs="Times New Roman"/>
                      <w:color w:val="auto"/>
                      <w:sz w:val="18"/>
                      <w:szCs w:val="18"/>
                      <w:lang w:val="en-US" w:eastAsia="zh-CN"/>
                    </w:rPr>
                    <w:t>367</w:t>
                  </w:r>
                </w:p>
              </w:tc>
              <w:tc>
                <w:tcPr>
                  <w:tcW w:w="2524" w:type="dxa"/>
                  <w:tcBorders>
                    <w:bottom w:val="single" w:color="auto" w:sz="12" w:space="0"/>
                  </w:tcBorders>
                  <w:shd w:val="clear" w:color="auto" w:fill="auto"/>
                  <w:noWrap w:val="0"/>
                  <w:vAlign w:val="center"/>
                </w:tcPr>
                <w:p w14:paraId="2447676C">
                  <w:pPr>
                    <w:adjustRightInd w:val="0"/>
                    <w:snapToGrid w:val="0"/>
                    <w:spacing w:line="240" w:lineRule="auto"/>
                    <w:jc w:val="center"/>
                    <w:textAlignment w:val="baseline"/>
                    <w:rPr>
                      <w:rFonts w:hint="eastAsia" w:eastAsiaTheme="minorEastAsia"/>
                      <w:color w:val="auto"/>
                      <w:sz w:val="18"/>
                      <w:szCs w:val="18"/>
                    </w:rPr>
                  </w:pPr>
                  <w:r>
                    <w:rPr>
                      <w:rFonts w:hint="default" w:ascii="Times New Roman" w:hAnsi="Times New Roman" w:eastAsia="宋体" w:cs="Times New Roman"/>
                      <w:color w:val="auto"/>
                      <w:sz w:val="18"/>
                      <w:szCs w:val="18"/>
                    </w:rPr>
                    <w:t>汽车整车制造（仅组装的除外）；汽车用发动机制造（仅组装的除外）；有电镀工艺的；年用溶剂型涂料（含稀释剂）10吨及以上的</w:t>
                  </w:r>
                </w:p>
              </w:tc>
              <w:tc>
                <w:tcPr>
                  <w:tcW w:w="2806" w:type="dxa"/>
                  <w:tcBorders>
                    <w:bottom w:val="single" w:color="auto" w:sz="12" w:space="0"/>
                  </w:tcBorders>
                  <w:shd w:val="clear" w:color="auto" w:fill="D7D7D7" w:themeFill="background1" w:themeFillShade="D8"/>
                  <w:noWrap w:val="0"/>
                  <w:vAlign w:val="center"/>
                </w:tcPr>
                <w:p w14:paraId="41F03D6E">
                  <w:pPr>
                    <w:adjustRightInd w:val="0"/>
                    <w:snapToGrid w:val="0"/>
                    <w:spacing w:line="240" w:lineRule="auto"/>
                    <w:jc w:val="center"/>
                    <w:textAlignment w:val="baseline"/>
                    <w:rPr>
                      <w:rFonts w:hint="eastAsia" w:hAnsiTheme="minorEastAsia" w:eastAsiaTheme="minorEastAsia"/>
                      <w:color w:val="auto"/>
                      <w:sz w:val="18"/>
                      <w:szCs w:val="18"/>
                    </w:rPr>
                  </w:pPr>
                  <w:r>
                    <w:rPr>
                      <w:rFonts w:hint="default" w:ascii="Times New Roman" w:hAnsi="Times New Roman" w:eastAsia="宋体" w:cs="Times New Roman"/>
                      <w:color w:val="auto"/>
                      <w:sz w:val="18"/>
                      <w:szCs w:val="18"/>
                    </w:rPr>
                    <w:t>其他（年用非溶剂型低VOCs含量涂料10吨以下的除外）</w:t>
                  </w:r>
                </w:p>
              </w:tc>
              <w:tc>
                <w:tcPr>
                  <w:tcW w:w="1062" w:type="dxa"/>
                  <w:tcBorders>
                    <w:bottom w:val="single" w:color="auto" w:sz="12" w:space="0"/>
                    <w:right w:val="nil"/>
                  </w:tcBorders>
                  <w:shd w:val="clear" w:color="auto" w:fill="auto"/>
                  <w:noWrap w:val="0"/>
                  <w:vAlign w:val="center"/>
                </w:tcPr>
                <w:p w14:paraId="0849885E">
                  <w:pPr>
                    <w:adjustRightInd w:val="0"/>
                    <w:snapToGrid w:val="0"/>
                    <w:spacing w:line="240" w:lineRule="auto"/>
                    <w:jc w:val="center"/>
                    <w:textAlignment w:val="baseline"/>
                    <w:rPr>
                      <w:rFonts w:eastAsiaTheme="minorEastAsia"/>
                      <w:color w:val="auto"/>
                      <w:sz w:val="18"/>
                      <w:szCs w:val="18"/>
                    </w:rPr>
                  </w:pPr>
                  <w:r>
                    <w:rPr>
                      <w:color w:val="auto"/>
                      <w:sz w:val="18"/>
                      <w:szCs w:val="18"/>
                    </w:rPr>
                    <w:t>/</w:t>
                  </w:r>
                </w:p>
              </w:tc>
            </w:tr>
          </w:tbl>
          <w:p w14:paraId="27CC47BD">
            <w:pPr>
              <w:pStyle w:val="8"/>
              <w:spacing w:before="157" w:beforeLines="50" w:line="360" w:lineRule="auto"/>
              <w:ind w:firstLine="480" w:firstLineChars="200"/>
              <w:rPr>
                <w:rFonts w:hint="eastAsia"/>
                <w:color w:val="auto"/>
                <w:sz w:val="24"/>
              </w:rPr>
            </w:pPr>
            <w:r>
              <w:rPr>
                <w:rFonts w:hint="eastAsia"/>
                <w:color w:val="auto"/>
                <w:sz w:val="24"/>
              </w:rPr>
              <w:t>为此，</w:t>
            </w:r>
            <w:r>
              <w:rPr>
                <w:rFonts w:hint="eastAsia"/>
                <w:color w:val="auto"/>
                <w:kern w:val="0"/>
                <w:sz w:val="24"/>
                <w:lang w:eastAsia="zh-CN"/>
              </w:rPr>
              <w:t>福建铠盾材料科技有限公司</w:t>
            </w:r>
            <w:r>
              <w:rPr>
                <w:rFonts w:hint="eastAsia"/>
                <w:color w:val="auto"/>
                <w:kern w:val="0"/>
                <w:sz w:val="24"/>
                <w:lang w:val="en-US" w:eastAsia="zh-CN"/>
              </w:rPr>
              <w:t>委托</w:t>
            </w:r>
            <w:r>
              <w:rPr>
                <w:rFonts w:hint="eastAsia"/>
                <w:color w:val="auto"/>
                <w:sz w:val="24"/>
              </w:rPr>
              <w:t>福建绿川环保科技有限公司负责该项目环境影响评价工作，自接受委托之日起，</w:t>
            </w:r>
            <w:r>
              <w:rPr>
                <w:rFonts w:hint="eastAsia"/>
                <w:color w:val="auto"/>
                <w:sz w:val="24"/>
                <w:lang w:val="en-US" w:eastAsia="zh-CN"/>
              </w:rPr>
              <w:t>编制单位</w:t>
            </w:r>
            <w:r>
              <w:rPr>
                <w:rFonts w:hint="eastAsia"/>
                <w:color w:val="auto"/>
                <w:sz w:val="24"/>
              </w:rPr>
              <w:t>立即派技术人员踏勘现场和收集有关资料，并按照相关导则、技术规范编制完成《</w:t>
            </w:r>
            <w:r>
              <w:rPr>
                <w:rFonts w:hint="eastAsia"/>
                <w:color w:val="auto"/>
                <w:kern w:val="0"/>
                <w:sz w:val="24"/>
              </w:rPr>
              <w:t>福建铠盾材料科技有限公司年加工300万件注塑件、年加工1200万件下卡条、1000万件钣金件</w:t>
            </w:r>
            <w:r>
              <w:rPr>
                <w:rFonts w:hint="eastAsia"/>
                <w:color w:val="auto"/>
                <w:sz w:val="24"/>
              </w:rPr>
              <w:t>环境影响报告表》，供建设单位上报生态环境部门审批和作为污染防治设施建设依据。</w:t>
            </w:r>
          </w:p>
          <w:p w14:paraId="10AA61B8">
            <w:pPr>
              <w:pStyle w:val="3"/>
              <w:numPr>
                <w:ilvl w:val="0"/>
                <w:numId w:val="0"/>
              </w:numPr>
              <w:spacing w:before="240" w:beforeLines="100" w:after="120" w:afterLines="50"/>
              <w:rPr>
                <w:color w:val="auto"/>
                <w:sz w:val="28"/>
                <w:szCs w:val="28"/>
              </w:rPr>
            </w:pPr>
            <w:r>
              <w:rPr>
                <w:color w:val="auto"/>
                <w:sz w:val="28"/>
                <w:szCs w:val="28"/>
              </w:rPr>
              <w:t>2.2</w:t>
            </w:r>
            <w:r>
              <w:rPr>
                <w:rFonts w:hint="eastAsia"/>
                <w:color w:val="auto"/>
                <w:sz w:val="28"/>
                <w:szCs w:val="28"/>
              </w:rPr>
              <w:t>现有工程概况</w:t>
            </w:r>
          </w:p>
          <w:p w14:paraId="1261EEDB">
            <w:pPr>
              <w:spacing w:line="360" w:lineRule="auto"/>
              <w:ind w:firstLine="480" w:firstLineChars="200"/>
              <w:rPr>
                <w:rFonts w:eastAsia="宋体"/>
                <w:color w:val="auto"/>
                <w:sz w:val="24"/>
              </w:rPr>
            </w:pPr>
            <w:r>
              <w:rPr>
                <w:rFonts w:hint="eastAsia" w:hAnsi="宋体" w:eastAsia="宋体"/>
                <w:color w:val="auto"/>
                <w:sz w:val="24"/>
              </w:rPr>
              <w:t>根据现有工程环评、验收及现场踏勘结果，</w:t>
            </w:r>
            <w:r>
              <w:rPr>
                <w:rFonts w:hAnsi="宋体" w:eastAsia="宋体"/>
                <w:color w:val="auto"/>
                <w:sz w:val="24"/>
              </w:rPr>
              <w:t>现有工程环评和实际情况如下。</w:t>
            </w:r>
          </w:p>
          <w:p w14:paraId="1CF0181D">
            <w:pPr>
              <w:pStyle w:val="165"/>
              <w:ind w:firstLine="480"/>
              <w:rPr>
                <w:rFonts w:hint="eastAsia" w:ascii="Times New Roman" w:hAnsi="Times New Roman" w:cs="Times New Roman"/>
                <w:color w:val="auto"/>
              </w:rPr>
            </w:pPr>
            <w:r>
              <w:rPr>
                <w:rFonts w:hint="eastAsia" w:ascii="Times New Roman" w:hAnsi="Times New Roman" w:cs="Times New Roman"/>
                <w:color w:val="auto"/>
              </w:rPr>
              <w:t>表2-2 现有工程基本情况</w:t>
            </w:r>
          </w:p>
          <w:tbl>
            <w:tblPr>
              <w:tblStyle w:val="35"/>
              <w:tblW w:w="856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084"/>
              <w:gridCol w:w="3274"/>
              <w:gridCol w:w="3552"/>
            </w:tblGrid>
            <w:tr w14:paraId="38D18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59" w:type="dxa"/>
                  <w:noWrap w:val="0"/>
                  <w:vAlign w:val="center"/>
                </w:tcPr>
                <w:p w14:paraId="0FE5B077">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1084" w:type="dxa"/>
                  <w:noWrap w:val="0"/>
                  <w:vAlign w:val="center"/>
                </w:tcPr>
                <w:p w14:paraId="4B0965D1">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项目</w:t>
                  </w:r>
                </w:p>
              </w:tc>
              <w:tc>
                <w:tcPr>
                  <w:tcW w:w="3274" w:type="dxa"/>
                  <w:noWrap w:val="0"/>
                  <w:vAlign w:val="center"/>
                </w:tcPr>
                <w:p w14:paraId="62EBED80">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环评</w:t>
                  </w:r>
                  <w:r>
                    <w:rPr>
                      <w:rFonts w:hint="eastAsia" w:ascii="Times New Roman" w:hAnsi="Times New Roman" w:eastAsia="宋体"/>
                      <w:color w:val="auto"/>
                      <w:sz w:val="21"/>
                      <w:szCs w:val="21"/>
                      <w:lang w:val="en-US" w:eastAsia="zh-CN"/>
                    </w:rPr>
                    <w:t>及批复</w:t>
                  </w:r>
                  <w:r>
                    <w:rPr>
                      <w:rFonts w:ascii="Times New Roman" w:hAnsi="Times New Roman" w:eastAsia="宋体"/>
                      <w:color w:val="auto"/>
                      <w:sz w:val="21"/>
                      <w:szCs w:val="21"/>
                    </w:rPr>
                    <w:t>情况</w:t>
                  </w:r>
                </w:p>
              </w:tc>
              <w:tc>
                <w:tcPr>
                  <w:tcW w:w="3552" w:type="dxa"/>
                  <w:noWrap w:val="0"/>
                  <w:vAlign w:val="center"/>
                </w:tcPr>
                <w:p w14:paraId="037C09BB">
                  <w:pPr>
                    <w:pStyle w:val="63"/>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现状</w:t>
                  </w:r>
                  <w:r>
                    <w:rPr>
                      <w:rFonts w:ascii="Times New Roman" w:hAnsi="Times New Roman" w:eastAsia="宋体"/>
                      <w:color w:val="auto"/>
                      <w:sz w:val="21"/>
                      <w:szCs w:val="21"/>
                    </w:rPr>
                    <w:t>情况</w:t>
                  </w:r>
                </w:p>
              </w:tc>
            </w:tr>
            <w:tr w14:paraId="7FB1B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0FED14B3">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084" w:type="dxa"/>
                  <w:noWrap w:val="0"/>
                  <w:vAlign w:val="center"/>
                </w:tcPr>
                <w:p w14:paraId="12BBC840">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企业名称</w:t>
                  </w:r>
                </w:p>
              </w:tc>
              <w:tc>
                <w:tcPr>
                  <w:tcW w:w="3274" w:type="dxa"/>
                  <w:noWrap w:val="0"/>
                  <w:vAlign w:val="center"/>
                </w:tcPr>
                <w:p w14:paraId="40279F12">
                  <w:pPr>
                    <w:pStyle w:val="63"/>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福建铠盾材料科技有限公司</w:t>
                  </w:r>
                </w:p>
              </w:tc>
              <w:tc>
                <w:tcPr>
                  <w:tcW w:w="3552" w:type="dxa"/>
                  <w:noWrap w:val="0"/>
                  <w:vAlign w:val="center"/>
                </w:tcPr>
                <w:p w14:paraId="10F05FF9">
                  <w:pPr>
                    <w:pStyle w:val="63"/>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福建铠盾材料科技有限公司</w:t>
                  </w:r>
                </w:p>
              </w:tc>
            </w:tr>
            <w:tr w14:paraId="46188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75044C88">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084" w:type="dxa"/>
                  <w:noWrap w:val="0"/>
                  <w:vAlign w:val="center"/>
                </w:tcPr>
                <w:p w14:paraId="1843356F">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地址</w:t>
                  </w:r>
                </w:p>
              </w:tc>
              <w:tc>
                <w:tcPr>
                  <w:tcW w:w="3274" w:type="dxa"/>
                  <w:noWrap w:val="0"/>
                  <w:vAlign w:val="center"/>
                </w:tcPr>
                <w:p w14:paraId="7D5259D8">
                  <w:pPr>
                    <w:pStyle w:val="63"/>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rPr>
                    <w:t>福建省福州市福清市音西街道清繁大道1号</w:t>
                  </w:r>
                </w:p>
              </w:tc>
              <w:tc>
                <w:tcPr>
                  <w:tcW w:w="3552" w:type="dxa"/>
                  <w:noWrap w:val="0"/>
                  <w:vAlign w:val="center"/>
                </w:tcPr>
                <w:p w14:paraId="01556101">
                  <w:pPr>
                    <w:pStyle w:val="63"/>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rPr>
                    <w:t>福建省福州市福清市音西街道清繁大道1号</w:t>
                  </w:r>
                </w:p>
              </w:tc>
            </w:tr>
            <w:tr w14:paraId="2C81C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58A36CC4">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3</w:t>
                  </w:r>
                </w:p>
              </w:tc>
              <w:tc>
                <w:tcPr>
                  <w:tcW w:w="1084" w:type="dxa"/>
                  <w:noWrap w:val="0"/>
                  <w:vAlign w:val="center"/>
                </w:tcPr>
                <w:p w14:paraId="4EF8D352">
                  <w:pPr>
                    <w:pStyle w:val="30"/>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厂房</w:t>
                  </w:r>
                  <w:r>
                    <w:rPr>
                      <w:rFonts w:ascii="Times New Roman" w:hAnsi="Times New Roman" w:eastAsia="宋体"/>
                      <w:color w:val="auto"/>
                      <w:sz w:val="21"/>
                      <w:szCs w:val="21"/>
                    </w:rPr>
                    <w:t>面积</w:t>
                  </w:r>
                </w:p>
              </w:tc>
              <w:tc>
                <w:tcPr>
                  <w:tcW w:w="3274" w:type="dxa"/>
                  <w:noWrap w:val="0"/>
                  <w:vAlign w:val="center"/>
                </w:tcPr>
                <w:p w14:paraId="45F584FD">
                  <w:pPr>
                    <w:pStyle w:val="63"/>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厂房面积15000</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p>
              </w:tc>
              <w:tc>
                <w:tcPr>
                  <w:tcW w:w="3552" w:type="dxa"/>
                  <w:noWrap w:val="0"/>
                  <w:vAlign w:val="center"/>
                </w:tcPr>
                <w:p w14:paraId="2AA2A703">
                  <w:pPr>
                    <w:pStyle w:val="63"/>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厂房面积15000</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p>
              </w:tc>
            </w:tr>
            <w:tr w14:paraId="5CC91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389AD174">
                  <w:pPr>
                    <w:pStyle w:val="3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w:t>
                  </w:r>
                </w:p>
              </w:tc>
              <w:tc>
                <w:tcPr>
                  <w:tcW w:w="1084" w:type="dxa"/>
                  <w:noWrap w:val="0"/>
                  <w:vAlign w:val="center"/>
                </w:tcPr>
                <w:p w14:paraId="1436068B">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生产规模</w:t>
                  </w:r>
                </w:p>
              </w:tc>
              <w:tc>
                <w:tcPr>
                  <w:tcW w:w="3274" w:type="dxa"/>
                  <w:noWrap w:val="0"/>
                  <w:vAlign w:val="center"/>
                </w:tcPr>
                <w:p w14:paraId="03D0E48E">
                  <w:pPr>
                    <w:pStyle w:val="63"/>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年加工特种玻璃6万片、加工塑料密封件600万件</w:t>
                  </w:r>
                </w:p>
              </w:tc>
              <w:tc>
                <w:tcPr>
                  <w:tcW w:w="3552" w:type="dxa"/>
                  <w:noWrap w:val="0"/>
                  <w:vAlign w:val="center"/>
                </w:tcPr>
                <w:p w14:paraId="29E25781">
                  <w:pPr>
                    <w:pStyle w:val="63"/>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rPr>
                    <w:t>年加工特种玻璃6万片、加工塑料密封件600万件</w:t>
                  </w:r>
                </w:p>
              </w:tc>
            </w:tr>
            <w:tr w14:paraId="6831D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7C31FD2D">
                  <w:pPr>
                    <w:pStyle w:val="3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5</w:t>
                  </w:r>
                </w:p>
              </w:tc>
              <w:tc>
                <w:tcPr>
                  <w:tcW w:w="1084" w:type="dxa"/>
                  <w:noWrap w:val="0"/>
                  <w:vAlign w:val="center"/>
                </w:tcPr>
                <w:p w14:paraId="153C1D51">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生产时间</w:t>
                  </w:r>
                </w:p>
              </w:tc>
              <w:tc>
                <w:tcPr>
                  <w:tcW w:w="3274" w:type="dxa"/>
                  <w:noWrap w:val="0"/>
                  <w:vAlign w:val="center"/>
                </w:tcPr>
                <w:p w14:paraId="192F7C4E">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年生产</w:t>
                  </w:r>
                  <w:r>
                    <w:rPr>
                      <w:rFonts w:hint="eastAsia" w:ascii="Times New Roman" w:hAnsi="Times New Roman"/>
                      <w:color w:val="auto"/>
                      <w:sz w:val="21"/>
                      <w:szCs w:val="21"/>
                      <w:lang w:val="en-US" w:eastAsia="zh-CN"/>
                    </w:rPr>
                    <w:t>245</w:t>
                  </w:r>
                  <w:r>
                    <w:rPr>
                      <w:rFonts w:ascii="Times New Roman" w:hAnsi="Times New Roman" w:eastAsia="宋体"/>
                      <w:color w:val="auto"/>
                      <w:sz w:val="21"/>
                      <w:szCs w:val="21"/>
                    </w:rPr>
                    <w:t>天，日生产</w:t>
                  </w:r>
                  <w:r>
                    <w:rPr>
                      <w:rFonts w:hint="eastAsia" w:ascii="Times New Roman" w:hAnsi="Times New Roman"/>
                      <w:color w:val="auto"/>
                      <w:sz w:val="21"/>
                      <w:szCs w:val="21"/>
                      <w:lang w:val="en-US" w:eastAsia="zh-CN"/>
                    </w:rPr>
                    <w:t>2</w:t>
                  </w:r>
                  <w:r>
                    <w:rPr>
                      <w:rFonts w:ascii="Times New Roman" w:hAnsi="Times New Roman" w:eastAsia="宋体"/>
                      <w:color w:val="auto"/>
                      <w:sz w:val="21"/>
                      <w:szCs w:val="21"/>
                    </w:rPr>
                    <w:t>班，每班8小时</w:t>
                  </w:r>
                </w:p>
              </w:tc>
              <w:tc>
                <w:tcPr>
                  <w:tcW w:w="3552" w:type="dxa"/>
                  <w:noWrap w:val="0"/>
                  <w:vAlign w:val="center"/>
                </w:tcPr>
                <w:p w14:paraId="517F7E60">
                  <w:pPr>
                    <w:pStyle w:val="63"/>
                    <w:jc w:val="center"/>
                    <w:rPr>
                      <w:rFonts w:ascii="Times New Roman" w:hAnsi="Times New Roman" w:eastAsia="宋体"/>
                      <w:color w:val="auto"/>
                      <w:sz w:val="21"/>
                      <w:szCs w:val="21"/>
                    </w:rPr>
                  </w:pPr>
                  <w:r>
                    <w:rPr>
                      <w:rFonts w:ascii="Times New Roman" w:hAnsi="Times New Roman" w:eastAsia="宋体"/>
                      <w:color w:val="auto"/>
                      <w:sz w:val="21"/>
                      <w:szCs w:val="21"/>
                    </w:rPr>
                    <w:t>年生产</w:t>
                  </w:r>
                  <w:r>
                    <w:rPr>
                      <w:rFonts w:hint="eastAsia" w:ascii="Times New Roman" w:hAnsi="Times New Roman"/>
                      <w:color w:val="auto"/>
                      <w:sz w:val="21"/>
                      <w:szCs w:val="21"/>
                      <w:lang w:val="en-US" w:eastAsia="zh-CN"/>
                    </w:rPr>
                    <w:t>245</w:t>
                  </w:r>
                  <w:r>
                    <w:rPr>
                      <w:rFonts w:ascii="Times New Roman" w:hAnsi="Times New Roman" w:eastAsia="宋体"/>
                      <w:color w:val="auto"/>
                      <w:sz w:val="21"/>
                      <w:szCs w:val="21"/>
                    </w:rPr>
                    <w:t>天，日生产</w:t>
                  </w:r>
                  <w:r>
                    <w:rPr>
                      <w:rFonts w:hint="eastAsia" w:ascii="Times New Roman" w:hAnsi="Times New Roman"/>
                      <w:color w:val="auto"/>
                      <w:sz w:val="21"/>
                      <w:szCs w:val="21"/>
                      <w:lang w:val="en-US" w:eastAsia="zh-CN"/>
                    </w:rPr>
                    <w:t>2</w:t>
                  </w:r>
                  <w:r>
                    <w:rPr>
                      <w:rFonts w:ascii="Times New Roman" w:hAnsi="Times New Roman" w:eastAsia="宋体"/>
                      <w:color w:val="auto"/>
                      <w:sz w:val="21"/>
                      <w:szCs w:val="21"/>
                    </w:rPr>
                    <w:t>班，每班8小时</w:t>
                  </w:r>
                </w:p>
              </w:tc>
            </w:tr>
            <w:tr w14:paraId="2FD9E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noWrap w:val="0"/>
                  <w:vAlign w:val="center"/>
                </w:tcPr>
                <w:p w14:paraId="15430193">
                  <w:pPr>
                    <w:pStyle w:val="3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1084" w:type="dxa"/>
                  <w:noWrap w:val="0"/>
                  <w:vAlign w:val="center"/>
                </w:tcPr>
                <w:p w14:paraId="4BAE7A22">
                  <w:pPr>
                    <w:pStyle w:val="30"/>
                    <w:jc w:val="center"/>
                    <w:rPr>
                      <w:rFonts w:ascii="Times New Roman" w:hAnsi="Times New Roman" w:eastAsia="宋体"/>
                      <w:color w:val="auto"/>
                      <w:sz w:val="21"/>
                      <w:szCs w:val="21"/>
                    </w:rPr>
                  </w:pPr>
                  <w:r>
                    <w:rPr>
                      <w:rFonts w:ascii="Times New Roman" w:hAnsi="Times New Roman" w:eastAsia="宋体"/>
                      <w:color w:val="auto"/>
                      <w:sz w:val="21"/>
                      <w:szCs w:val="21"/>
                    </w:rPr>
                    <w:t>劳动定员</w:t>
                  </w:r>
                </w:p>
              </w:tc>
              <w:tc>
                <w:tcPr>
                  <w:tcW w:w="3274" w:type="dxa"/>
                  <w:noWrap w:val="0"/>
                  <w:vAlign w:val="center"/>
                </w:tcPr>
                <w:p w14:paraId="1C4BD6D2">
                  <w:pPr>
                    <w:pStyle w:val="63"/>
                    <w:jc w:val="center"/>
                    <w:rPr>
                      <w:rFonts w:hint="default" w:ascii="Times New Roman" w:hAnsi="Times New Roman" w:eastAsia="宋体"/>
                      <w:color w:val="auto"/>
                      <w:sz w:val="21"/>
                      <w:szCs w:val="21"/>
                      <w:lang w:val="en-US"/>
                    </w:rPr>
                  </w:pPr>
                  <w:r>
                    <w:rPr>
                      <w:rFonts w:hint="eastAsia" w:ascii="Times New Roman" w:hAnsi="Times New Roman"/>
                      <w:color w:val="auto"/>
                      <w:sz w:val="21"/>
                      <w:szCs w:val="21"/>
                      <w:lang w:val="en-US" w:eastAsia="zh-CN"/>
                    </w:rPr>
                    <w:t>职工45人，10人住厂，35人不住厂</w:t>
                  </w:r>
                </w:p>
              </w:tc>
              <w:tc>
                <w:tcPr>
                  <w:tcW w:w="3552" w:type="dxa"/>
                  <w:noWrap w:val="0"/>
                  <w:vAlign w:val="center"/>
                </w:tcPr>
                <w:p w14:paraId="08AF390C">
                  <w:pPr>
                    <w:pStyle w:val="63"/>
                    <w:jc w:val="center"/>
                    <w:rPr>
                      <w:rFonts w:hint="default" w:ascii="Times New Roman" w:hAnsi="Times New Roman" w:eastAsia="宋体"/>
                      <w:color w:val="auto"/>
                      <w:sz w:val="21"/>
                      <w:szCs w:val="21"/>
                      <w:lang w:val="en-US"/>
                    </w:rPr>
                  </w:pPr>
                  <w:r>
                    <w:rPr>
                      <w:rFonts w:hint="eastAsia" w:ascii="Times New Roman" w:hAnsi="Times New Roman"/>
                      <w:color w:val="auto"/>
                      <w:sz w:val="21"/>
                      <w:szCs w:val="21"/>
                      <w:lang w:val="en-US" w:eastAsia="zh-CN"/>
                    </w:rPr>
                    <w:t>职工45人，均不住厂</w:t>
                  </w:r>
                </w:p>
              </w:tc>
            </w:tr>
          </w:tbl>
          <w:p w14:paraId="18E8E1CE">
            <w:pPr>
              <w:spacing w:before="120" w:beforeLines="50" w:line="360" w:lineRule="auto"/>
              <w:ind w:firstLine="480" w:firstLineChars="200"/>
              <w:rPr>
                <w:rFonts w:hint="eastAsia" w:hAnsi="宋体" w:eastAsia="宋体"/>
                <w:color w:val="auto"/>
                <w:sz w:val="24"/>
              </w:rPr>
            </w:pPr>
            <w:r>
              <w:rPr>
                <w:rFonts w:hint="eastAsia" w:hAnsi="宋体" w:eastAsia="宋体"/>
                <w:color w:val="auto"/>
                <w:sz w:val="24"/>
              </w:rPr>
              <w:t>现有工程具体建设情况及污染物排放情况详见“</w:t>
            </w:r>
            <w:r>
              <w:rPr>
                <w:bCs/>
                <w:color w:val="auto"/>
                <w:sz w:val="24"/>
              </w:rPr>
              <w:t>与项目有关的原有环境污染问题</w:t>
            </w:r>
            <w:r>
              <w:rPr>
                <w:rFonts w:hint="eastAsia" w:hAnsi="宋体" w:eastAsia="宋体"/>
                <w:color w:val="auto"/>
                <w:sz w:val="24"/>
              </w:rPr>
              <w:t>”章节。</w:t>
            </w:r>
          </w:p>
          <w:p w14:paraId="5515E4E7">
            <w:pPr>
              <w:pStyle w:val="3"/>
              <w:numPr>
                <w:ilvl w:val="0"/>
                <w:numId w:val="0"/>
              </w:numPr>
              <w:spacing w:before="240" w:beforeLines="100" w:after="120" w:afterLines="50"/>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2.</w:t>
            </w:r>
            <w:r>
              <w:rPr>
                <w:rFonts w:hint="eastAsia" w:ascii="Times New Roman" w:hAnsi="Times New Roman" w:eastAsia="宋体" w:cs="Times New Roman"/>
                <w:color w:val="auto"/>
                <w:sz w:val="28"/>
                <w:szCs w:val="28"/>
                <w:lang w:val="en-US" w:eastAsia="zh-CN"/>
              </w:rPr>
              <w:t>3扩建</w:t>
            </w:r>
            <w:r>
              <w:rPr>
                <w:rFonts w:hint="eastAsia" w:ascii="Times New Roman" w:hAnsi="Times New Roman" w:eastAsia="宋体" w:cs="Times New Roman"/>
                <w:color w:val="auto"/>
                <w:sz w:val="28"/>
                <w:szCs w:val="28"/>
              </w:rPr>
              <w:t>工程概况</w:t>
            </w:r>
          </w:p>
          <w:p w14:paraId="708D2244">
            <w:pPr>
              <w:pStyle w:val="21"/>
              <w:spacing w:line="360" w:lineRule="auto"/>
              <w:outlineLvl w:val="1"/>
              <w:rPr>
                <w:rFonts w:eastAsia="宋体"/>
                <w:b/>
                <w:bCs/>
                <w:color w:val="auto"/>
                <w:kern w:val="2"/>
                <w:sz w:val="24"/>
                <w:szCs w:val="24"/>
              </w:rPr>
            </w:pPr>
            <w:r>
              <w:rPr>
                <w:rFonts w:eastAsia="宋体"/>
                <w:b/>
                <w:bCs/>
                <w:color w:val="auto"/>
                <w:kern w:val="2"/>
                <w:sz w:val="24"/>
                <w:szCs w:val="24"/>
              </w:rPr>
              <w:t>2.</w:t>
            </w:r>
            <w:r>
              <w:rPr>
                <w:rFonts w:hint="eastAsia" w:eastAsia="宋体"/>
                <w:b/>
                <w:bCs/>
                <w:color w:val="auto"/>
                <w:kern w:val="2"/>
                <w:sz w:val="24"/>
                <w:szCs w:val="24"/>
                <w:lang w:val="en-US" w:eastAsia="zh-CN"/>
              </w:rPr>
              <w:t>3</w:t>
            </w:r>
            <w:r>
              <w:rPr>
                <w:rFonts w:eastAsia="宋体"/>
                <w:b/>
                <w:bCs/>
                <w:color w:val="auto"/>
                <w:kern w:val="2"/>
                <w:sz w:val="24"/>
                <w:szCs w:val="24"/>
              </w:rPr>
              <w:t>.</w:t>
            </w:r>
            <w:r>
              <w:rPr>
                <w:rFonts w:hint="eastAsia" w:eastAsia="宋体"/>
                <w:b/>
                <w:bCs/>
                <w:color w:val="auto"/>
                <w:kern w:val="2"/>
                <w:sz w:val="24"/>
                <w:szCs w:val="24"/>
                <w:lang w:val="en-US" w:eastAsia="zh-CN"/>
              </w:rPr>
              <w:t>1</w:t>
            </w:r>
            <w:r>
              <w:rPr>
                <w:rFonts w:eastAsia="宋体"/>
                <w:b/>
                <w:bCs/>
                <w:color w:val="auto"/>
                <w:kern w:val="2"/>
                <w:sz w:val="24"/>
                <w:szCs w:val="24"/>
              </w:rPr>
              <w:t xml:space="preserve"> 项目基本概况</w:t>
            </w:r>
          </w:p>
          <w:p w14:paraId="5B959F93">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1</w:t>
            </w:r>
            <w:r>
              <w:rPr>
                <w:color w:val="auto"/>
                <w:sz w:val="24"/>
              </w:rPr>
              <w:t>)项目名称：</w:t>
            </w:r>
            <w:r>
              <w:rPr>
                <w:rFonts w:hint="eastAsia"/>
                <w:color w:val="auto"/>
                <w:sz w:val="24"/>
                <w:lang w:eastAsia="zh-CN"/>
              </w:rPr>
              <w:t>福建铠盾材料科技有限公司年加工300万件注塑件、年加工1200万件下卡条、1000万件钣金件</w:t>
            </w:r>
          </w:p>
          <w:p w14:paraId="1C38153C">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2</w:t>
            </w:r>
            <w:r>
              <w:rPr>
                <w:color w:val="auto"/>
                <w:sz w:val="24"/>
              </w:rPr>
              <w:t>)建设单位：</w:t>
            </w:r>
            <w:r>
              <w:rPr>
                <w:rFonts w:hint="eastAsia"/>
                <w:color w:val="auto"/>
                <w:sz w:val="24"/>
                <w:lang w:eastAsia="zh-CN"/>
              </w:rPr>
              <w:t>福建铠盾材料科技有限公司</w:t>
            </w:r>
          </w:p>
          <w:p w14:paraId="5463B7BD">
            <w:pPr>
              <w:pStyle w:val="99"/>
              <w:spacing w:line="360" w:lineRule="auto"/>
              <w:ind w:firstLine="480" w:firstLineChars="200"/>
              <w:rPr>
                <w:rFonts w:hint="eastAsia"/>
                <w:color w:val="auto"/>
                <w:sz w:val="24"/>
              </w:rPr>
            </w:pPr>
            <w:r>
              <w:rPr>
                <w:color w:val="auto"/>
                <w:sz w:val="24"/>
              </w:rPr>
              <w:t>(</w:t>
            </w:r>
            <w:r>
              <w:rPr>
                <w:rFonts w:hint="eastAsia"/>
                <w:color w:val="auto"/>
                <w:sz w:val="24"/>
                <w:lang w:val="en-US" w:eastAsia="zh-CN"/>
              </w:rPr>
              <w:t>3</w:t>
            </w:r>
            <w:r>
              <w:rPr>
                <w:color w:val="auto"/>
                <w:sz w:val="24"/>
              </w:rPr>
              <w:t>)建设地点：</w:t>
            </w:r>
            <w:r>
              <w:rPr>
                <w:rFonts w:hint="eastAsia"/>
                <w:color w:val="auto"/>
                <w:sz w:val="24"/>
              </w:rPr>
              <w:t>福清融侨经济技术开发区（租赁福建三锋汽配开发有限公司标准厂房五一至三层、标准厂房四一层），详见附图1</w:t>
            </w:r>
          </w:p>
          <w:p w14:paraId="1028FB3B">
            <w:pPr>
              <w:pStyle w:val="99"/>
              <w:spacing w:line="360" w:lineRule="auto"/>
              <w:ind w:firstLine="480" w:firstLineChars="200"/>
              <w:rPr>
                <w:rFonts w:hint="eastAsia" w:eastAsia="宋体"/>
                <w:color w:val="auto"/>
                <w:sz w:val="24"/>
                <w:lang w:eastAsia="zh-CN"/>
              </w:rPr>
            </w:pPr>
            <w:r>
              <w:rPr>
                <w:color w:val="auto"/>
                <w:sz w:val="24"/>
              </w:rPr>
              <w:t>(</w:t>
            </w:r>
            <w:r>
              <w:rPr>
                <w:rFonts w:hint="eastAsia"/>
                <w:color w:val="auto"/>
                <w:sz w:val="24"/>
                <w:lang w:val="en-US" w:eastAsia="zh-CN"/>
              </w:rPr>
              <w:t>4</w:t>
            </w:r>
            <w:r>
              <w:rPr>
                <w:color w:val="auto"/>
                <w:sz w:val="24"/>
              </w:rPr>
              <w:t>)</w:t>
            </w:r>
            <w:r>
              <w:rPr>
                <w:rFonts w:hint="eastAsia"/>
                <w:color w:val="auto"/>
                <w:sz w:val="24"/>
                <w:lang w:val="en-US" w:eastAsia="zh-CN"/>
              </w:rPr>
              <w:t>建设性质</w:t>
            </w:r>
            <w:r>
              <w:rPr>
                <w:color w:val="auto"/>
                <w:sz w:val="24"/>
              </w:rPr>
              <w:t>：</w:t>
            </w:r>
            <w:r>
              <w:rPr>
                <w:rFonts w:hint="eastAsia"/>
                <w:color w:val="auto"/>
                <w:sz w:val="24"/>
                <w:lang w:eastAsia="zh-CN"/>
              </w:rPr>
              <w:t>扩建</w:t>
            </w:r>
          </w:p>
          <w:p w14:paraId="0AC0CDB0">
            <w:pPr>
              <w:pStyle w:val="99"/>
              <w:spacing w:line="360" w:lineRule="auto"/>
              <w:ind w:firstLine="480" w:firstLineChars="200"/>
              <w:rPr>
                <w:color w:val="auto"/>
                <w:sz w:val="24"/>
              </w:rPr>
            </w:pPr>
            <w:r>
              <w:rPr>
                <w:color w:val="auto"/>
                <w:sz w:val="24"/>
              </w:rPr>
              <w:t>(</w:t>
            </w:r>
            <w:r>
              <w:rPr>
                <w:rFonts w:hint="eastAsia"/>
                <w:color w:val="auto"/>
                <w:sz w:val="24"/>
                <w:lang w:val="en-US" w:eastAsia="zh-CN"/>
              </w:rPr>
              <w:t>5</w:t>
            </w:r>
            <w:r>
              <w:rPr>
                <w:color w:val="auto"/>
                <w:sz w:val="24"/>
              </w:rPr>
              <w:t>)项目总投</w:t>
            </w:r>
            <w:r>
              <w:rPr>
                <w:color w:val="auto"/>
                <w:sz w:val="24"/>
                <w:szCs w:val="24"/>
              </w:rPr>
              <w:t>资：</w:t>
            </w:r>
            <w:r>
              <w:rPr>
                <w:rFonts w:hint="eastAsia"/>
                <w:color w:val="auto"/>
                <w:sz w:val="24"/>
                <w:szCs w:val="24"/>
                <w:lang w:val="en-US" w:eastAsia="zh-CN"/>
              </w:rPr>
              <w:t>5000</w:t>
            </w:r>
            <w:r>
              <w:rPr>
                <w:rFonts w:hint="eastAsia"/>
                <w:color w:val="auto"/>
                <w:sz w:val="24"/>
                <w:szCs w:val="24"/>
              </w:rPr>
              <w:t>万元</w:t>
            </w:r>
          </w:p>
          <w:p w14:paraId="194F4064">
            <w:pPr>
              <w:pStyle w:val="99"/>
              <w:spacing w:line="360" w:lineRule="auto"/>
              <w:ind w:firstLine="480" w:firstLineChars="200"/>
              <w:rPr>
                <w:rFonts w:hint="default" w:eastAsia="宋体"/>
                <w:color w:val="auto"/>
                <w:sz w:val="24"/>
                <w:szCs w:val="24"/>
                <w:lang w:val="en-US" w:eastAsia="zh-CN"/>
              </w:rPr>
            </w:pPr>
            <w:r>
              <w:rPr>
                <w:color w:val="auto"/>
                <w:sz w:val="24"/>
              </w:rPr>
              <w:t>(</w:t>
            </w:r>
            <w:r>
              <w:rPr>
                <w:rFonts w:hint="eastAsia"/>
                <w:color w:val="auto"/>
                <w:sz w:val="24"/>
                <w:lang w:val="en-US" w:eastAsia="zh-CN"/>
              </w:rPr>
              <w:t>6</w:t>
            </w:r>
            <w:r>
              <w:rPr>
                <w:color w:val="auto"/>
                <w:sz w:val="24"/>
              </w:rPr>
              <w:t>)建设规模：</w:t>
            </w:r>
            <w:r>
              <w:rPr>
                <w:rFonts w:hint="eastAsia"/>
                <w:color w:val="auto"/>
                <w:sz w:val="24"/>
                <w:lang w:val="en-US" w:eastAsia="zh-CN"/>
              </w:rPr>
              <w:t>租赁福建三锋汽配开发有限公司</w:t>
            </w:r>
            <w:r>
              <w:rPr>
                <w:rFonts w:hint="eastAsia"/>
                <w:color w:val="auto"/>
                <w:sz w:val="24"/>
              </w:rPr>
              <w:t>现有厂房进行</w:t>
            </w:r>
            <w:r>
              <w:rPr>
                <w:rFonts w:hint="eastAsia"/>
                <w:color w:val="auto"/>
                <w:sz w:val="24"/>
                <w:lang w:eastAsia="zh-CN"/>
              </w:rPr>
              <w:t>扩建</w:t>
            </w:r>
            <w:r>
              <w:rPr>
                <w:rFonts w:hint="eastAsia"/>
                <w:color w:val="auto"/>
                <w:sz w:val="24"/>
              </w:rPr>
              <w:t>，</w:t>
            </w:r>
            <w:r>
              <w:rPr>
                <w:rFonts w:hint="eastAsia" w:cs="Times New Roman"/>
                <w:b w:val="0"/>
                <w:bCs w:val="0"/>
                <w:color w:val="auto"/>
                <w:sz w:val="24"/>
                <w:szCs w:val="24"/>
                <w:highlight w:val="none"/>
                <w:lang w:eastAsia="zh-CN"/>
              </w:rPr>
              <w:t>保留现有厂房五生产功能的基础上，</w:t>
            </w:r>
            <w:r>
              <w:rPr>
                <w:rFonts w:hint="eastAsia" w:cs="Times New Roman"/>
                <w:b w:val="0"/>
                <w:bCs w:val="0"/>
                <w:color w:val="auto"/>
                <w:sz w:val="24"/>
                <w:szCs w:val="24"/>
                <w:highlight w:val="none"/>
                <w:lang w:val="en-US" w:eastAsia="zh-CN"/>
              </w:rPr>
              <w:t>在厂房五一层、二层增加注塑件、下卡条生产线，</w:t>
            </w:r>
            <w:r>
              <w:rPr>
                <w:rFonts w:hint="eastAsia"/>
                <w:color w:val="auto"/>
                <w:sz w:val="24"/>
                <w:lang w:val="en-US" w:eastAsia="zh-CN"/>
              </w:rPr>
              <w:t>新租赁厂房四一层，</w:t>
            </w:r>
            <w:r>
              <w:rPr>
                <w:rFonts w:hint="eastAsia"/>
                <w:color w:val="auto"/>
                <w:sz w:val="24"/>
                <w:szCs w:val="24"/>
                <w:lang w:val="en-US" w:eastAsia="zh-CN"/>
              </w:rPr>
              <w:t>租赁面积2000m</w:t>
            </w:r>
            <w:r>
              <w:rPr>
                <w:rFonts w:hint="eastAsia"/>
                <w:color w:val="auto"/>
                <w:sz w:val="24"/>
                <w:szCs w:val="24"/>
                <w:vertAlign w:val="superscript"/>
                <w:lang w:val="en-US" w:eastAsia="zh-CN"/>
              </w:rPr>
              <w:t>2</w:t>
            </w:r>
            <w:r>
              <w:rPr>
                <w:rFonts w:hint="eastAsia"/>
                <w:color w:val="auto"/>
                <w:sz w:val="24"/>
                <w:szCs w:val="24"/>
                <w:vertAlign w:val="baseline"/>
                <w:lang w:val="en-US" w:eastAsia="zh-CN"/>
              </w:rPr>
              <w:t>，增加钣金件生产线</w:t>
            </w:r>
            <w:r>
              <w:rPr>
                <w:rFonts w:hint="eastAsia"/>
                <w:color w:val="auto"/>
                <w:sz w:val="24"/>
                <w:szCs w:val="24"/>
                <w:lang w:val="en-US" w:eastAsia="zh-CN"/>
              </w:rPr>
              <w:t>。</w:t>
            </w:r>
          </w:p>
          <w:p w14:paraId="03FB4DF4">
            <w:pPr>
              <w:pStyle w:val="99"/>
              <w:spacing w:line="360" w:lineRule="auto"/>
              <w:ind w:firstLine="480" w:firstLineChars="200"/>
              <w:rPr>
                <w:rFonts w:hint="eastAsia" w:eastAsia="宋体"/>
                <w:color w:val="auto"/>
                <w:sz w:val="24"/>
                <w:lang w:eastAsia="zh-CN"/>
              </w:rPr>
            </w:pPr>
            <w:r>
              <w:rPr>
                <w:color w:val="auto"/>
                <w:sz w:val="24"/>
              </w:rPr>
              <w:t>(7)生产规模：</w:t>
            </w:r>
            <w:r>
              <w:rPr>
                <w:rFonts w:hint="eastAsia"/>
                <w:color w:val="auto"/>
                <w:sz w:val="24"/>
                <w:lang w:eastAsia="zh-CN"/>
              </w:rPr>
              <w:t>年加工300万件注塑件、年加工1200万件下卡条、1000万件钣金件</w:t>
            </w:r>
          </w:p>
          <w:p w14:paraId="412B05FF">
            <w:pPr>
              <w:pStyle w:val="99"/>
              <w:spacing w:line="360" w:lineRule="auto"/>
              <w:ind w:firstLine="480" w:firstLineChars="200"/>
              <w:rPr>
                <w:rFonts w:hint="eastAsia" w:eastAsia="宋体"/>
                <w:color w:val="auto"/>
                <w:sz w:val="24"/>
                <w:lang w:eastAsia="zh-CN"/>
              </w:rPr>
            </w:pPr>
            <w:r>
              <w:rPr>
                <w:color w:val="auto"/>
                <w:sz w:val="24"/>
              </w:rPr>
              <w:t>(8)职工人数：</w:t>
            </w:r>
            <w:r>
              <w:rPr>
                <w:rFonts w:hint="eastAsia"/>
                <w:color w:val="auto"/>
                <w:sz w:val="24"/>
              </w:rPr>
              <w:t>新增职工</w:t>
            </w:r>
            <w:r>
              <w:rPr>
                <w:rFonts w:hint="eastAsia"/>
                <w:color w:val="auto"/>
                <w:sz w:val="24"/>
                <w:lang w:val="en-US" w:eastAsia="zh-CN"/>
              </w:rPr>
              <w:t>70</w:t>
            </w:r>
            <w:r>
              <w:rPr>
                <w:rFonts w:hint="eastAsia"/>
                <w:color w:val="auto"/>
                <w:sz w:val="24"/>
              </w:rPr>
              <w:t>人，</w:t>
            </w:r>
            <w:r>
              <w:rPr>
                <w:rFonts w:hint="eastAsia"/>
                <w:color w:val="auto"/>
                <w:sz w:val="24"/>
                <w:lang w:eastAsia="zh-CN"/>
              </w:rPr>
              <w:t>改扩建</w:t>
            </w:r>
            <w:r>
              <w:rPr>
                <w:rFonts w:hint="eastAsia"/>
                <w:color w:val="auto"/>
                <w:sz w:val="24"/>
              </w:rPr>
              <w:t>后全厂职工</w:t>
            </w:r>
            <w:r>
              <w:rPr>
                <w:rFonts w:hint="eastAsia"/>
                <w:color w:val="auto"/>
                <w:sz w:val="24"/>
                <w:lang w:val="en-US" w:eastAsia="zh-CN"/>
              </w:rPr>
              <w:t>115</w:t>
            </w:r>
            <w:r>
              <w:rPr>
                <w:rFonts w:hint="eastAsia"/>
                <w:color w:val="auto"/>
                <w:sz w:val="24"/>
              </w:rPr>
              <w:t>人</w:t>
            </w:r>
            <w:r>
              <w:rPr>
                <w:color w:val="auto"/>
                <w:sz w:val="24"/>
              </w:rPr>
              <w:t>，</w:t>
            </w:r>
            <w:r>
              <w:rPr>
                <w:rFonts w:hint="eastAsia"/>
                <w:color w:val="auto"/>
                <w:sz w:val="24"/>
                <w:lang w:val="en-US" w:eastAsia="zh-CN"/>
              </w:rPr>
              <w:t>均人不住厂</w:t>
            </w:r>
            <w:r>
              <w:rPr>
                <w:rFonts w:hint="eastAsia"/>
                <w:color w:val="auto"/>
                <w:sz w:val="24"/>
                <w:lang w:eastAsia="zh-CN"/>
              </w:rPr>
              <w:t>。</w:t>
            </w:r>
          </w:p>
          <w:p w14:paraId="5211087A">
            <w:pPr>
              <w:pStyle w:val="99"/>
              <w:spacing w:line="360" w:lineRule="auto"/>
              <w:ind w:firstLine="480" w:firstLineChars="200"/>
              <w:rPr>
                <w:rFonts w:hint="eastAsia" w:eastAsia="宋体"/>
                <w:color w:val="auto"/>
                <w:sz w:val="24"/>
                <w:lang w:eastAsia="zh-CN"/>
              </w:rPr>
            </w:pPr>
            <w:r>
              <w:rPr>
                <w:color w:val="auto"/>
                <w:sz w:val="24"/>
              </w:rPr>
              <w:t>(9)工作制度：</w:t>
            </w:r>
            <w:r>
              <w:rPr>
                <w:rFonts w:hint="default" w:ascii="Times New Roman" w:hAnsi="Times New Roman" w:eastAsia="宋体" w:cs="Times New Roman"/>
                <w:color w:val="auto"/>
                <w:sz w:val="24"/>
                <w:szCs w:val="24"/>
                <w:highlight w:val="none"/>
              </w:rPr>
              <w:t>年工作日</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天，</w:t>
            </w:r>
            <w:r>
              <w:rPr>
                <w:rFonts w:hint="eastAsia" w:cs="Times New Roman"/>
                <w:color w:val="auto"/>
                <w:sz w:val="24"/>
                <w:szCs w:val="24"/>
                <w:highlight w:val="none"/>
                <w:lang w:val="en-US" w:eastAsia="zh-CN"/>
              </w:rPr>
              <w:t>单</w:t>
            </w:r>
            <w:r>
              <w:rPr>
                <w:color w:val="auto"/>
                <w:sz w:val="24"/>
                <w:lang w:val="zh-CN"/>
              </w:rPr>
              <w:t>班</w:t>
            </w:r>
            <w:r>
              <w:rPr>
                <w:rFonts w:hint="eastAsia"/>
                <w:color w:val="auto"/>
                <w:sz w:val="24"/>
                <w:lang w:val="en-US" w:eastAsia="zh-CN"/>
              </w:rPr>
              <w:t>8小时生产制</w:t>
            </w:r>
            <w:r>
              <w:rPr>
                <w:rFonts w:hint="eastAsia"/>
                <w:color w:val="auto"/>
                <w:sz w:val="24"/>
              </w:rPr>
              <w:t>，夜间不生产</w:t>
            </w:r>
            <w:r>
              <w:rPr>
                <w:rFonts w:hint="eastAsia"/>
                <w:color w:val="auto"/>
                <w:sz w:val="24"/>
                <w:lang w:eastAsia="zh-CN"/>
              </w:rPr>
              <w:t>。</w:t>
            </w:r>
          </w:p>
          <w:p w14:paraId="1CFB74FA">
            <w:pPr>
              <w:pStyle w:val="4"/>
              <w:spacing w:before="0" w:after="0" w:line="360" w:lineRule="auto"/>
              <w:rPr>
                <w:b/>
                <w:bCs/>
                <w:color w:val="auto"/>
                <w:sz w:val="24"/>
              </w:rPr>
            </w:pPr>
            <w:r>
              <w:rPr>
                <w:b/>
                <w:bCs/>
                <w:color w:val="auto"/>
                <w:sz w:val="24"/>
              </w:rPr>
              <w:t>2.</w:t>
            </w:r>
            <w:r>
              <w:rPr>
                <w:rFonts w:hint="eastAsia"/>
                <w:b/>
                <w:bCs/>
                <w:color w:val="auto"/>
                <w:sz w:val="24"/>
                <w:lang w:val="en-US" w:eastAsia="zh-CN"/>
              </w:rPr>
              <w:t>3</w:t>
            </w:r>
            <w:r>
              <w:rPr>
                <w:b/>
                <w:bCs/>
                <w:color w:val="auto"/>
                <w:sz w:val="24"/>
              </w:rPr>
              <w:t>.</w:t>
            </w:r>
            <w:r>
              <w:rPr>
                <w:rFonts w:hint="eastAsia"/>
                <w:b/>
                <w:bCs/>
                <w:color w:val="auto"/>
                <w:sz w:val="24"/>
                <w:lang w:val="en-US" w:eastAsia="zh-CN"/>
              </w:rPr>
              <w:t>2</w:t>
            </w:r>
            <w:r>
              <w:rPr>
                <w:b/>
                <w:bCs/>
                <w:color w:val="auto"/>
                <w:sz w:val="24"/>
              </w:rPr>
              <w:t xml:space="preserve"> </w:t>
            </w:r>
            <w:r>
              <w:rPr>
                <w:rFonts w:hint="eastAsia"/>
                <w:b/>
                <w:bCs/>
                <w:color w:val="auto"/>
                <w:sz w:val="24"/>
              </w:rPr>
              <w:t>项目产品方案</w:t>
            </w:r>
          </w:p>
          <w:p w14:paraId="40B9016E">
            <w:pPr>
              <w:pStyle w:val="63"/>
              <w:spacing w:line="360" w:lineRule="auto"/>
              <w:ind w:firstLine="480" w:firstLineChars="200"/>
              <w:rPr>
                <w:rFonts w:ascii="Times New Roman" w:eastAsia="宋体"/>
                <w:color w:val="auto"/>
              </w:rPr>
            </w:pPr>
            <w:r>
              <w:rPr>
                <w:rFonts w:hint="eastAsia" w:ascii="Times New Roman" w:hAnsi="宋体"/>
                <w:color w:val="auto"/>
                <w:highlight w:val="none"/>
                <w:lang w:eastAsia="zh-CN"/>
              </w:rPr>
              <w:t>本次扩建</w:t>
            </w:r>
            <w:r>
              <w:rPr>
                <w:rFonts w:ascii="Times New Roman" w:hAnsi="宋体" w:eastAsia="宋体"/>
                <w:color w:val="auto"/>
                <w:highlight w:val="none"/>
              </w:rPr>
              <w:t>后</w:t>
            </w:r>
            <w:r>
              <w:rPr>
                <w:rFonts w:ascii="Times New Roman" w:hAnsi="宋体" w:eastAsia="宋体"/>
                <w:color w:val="auto"/>
              </w:rPr>
              <w:t>，</w:t>
            </w:r>
            <w:r>
              <w:rPr>
                <w:rFonts w:hint="eastAsia" w:ascii="Times New Roman" w:hAnsi="宋体" w:eastAsia="宋体"/>
                <w:color w:val="auto"/>
              </w:rPr>
              <w:t>全厂</w:t>
            </w:r>
            <w:r>
              <w:rPr>
                <w:rFonts w:ascii="Times New Roman" w:hAnsi="宋体" w:eastAsia="宋体"/>
                <w:color w:val="auto"/>
              </w:rPr>
              <w:t>产品方案见表</w:t>
            </w:r>
            <w:r>
              <w:rPr>
                <w:rFonts w:ascii="Times New Roman" w:eastAsia="宋体"/>
                <w:color w:val="auto"/>
              </w:rPr>
              <w:t>2-</w:t>
            </w:r>
            <w:r>
              <w:rPr>
                <w:rFonts w:hint="eastAsia" w:ascii="Times New Roman" w:eastAsia="宋体"/>
                <w:color w:val="auto"/>
              </w:rPr>
              <w:t>3</w:t>
            </w:r>
            <w:r>
              <w:rPr>
                <w:rFonts w:ascii="Times New Roman" w:hAnsi="宋体" w:eastAsia="宋体"/>
                <w:color w:val="auto"/>
              </w:rPr>
              <w:t>。</w:t>
            </w:r>
          </w:p>
          <w:p w14:paraId="49A5FC52">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表2-3 项目产品方案一览表</w:t>
            </w:r>
          </w:p>
          <w:tbl>
            <w:tblPr>
              <w:tblStyle w:val="3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161"/>
              <w:gridCol w:w="2040"/>
              <w:gridCol w:w="1601"/>
              <w:gridCol w:w="2110"/>
            </w:tblGrid>
            <w:tr w14:paraId="5B176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60C46590">
                  <w:pPr>
                    <w:pStyle w:val="63"/>
                    <w:jc w:val="center"/>
                    <w:rPr>
                      <w:rFonts w:ascii="Times New Roman"/>
                      <w:b/>
                      <w:bCs/>
                      <w:color w:val="auto"/>
                      <w:sz w:val="21"/>
                      <w:szCs w:val="21"/>
                    </w:rPr>
                  </w:pPr>
                  <w:r>
                    <w:rPr>
                      <w:rFonts w:ascii="Times New Roman" w:hAnsi="宋体"/>
                      <w:b/>
                      <w:bCs/>
                      <w:color w:val="auto"/>
                      <w:sz w:val="21"/>
                      <w:szCs w:val="21"/>
                    </w:rPr>
                    <w:t>产品名称</w:t>
                  </w:r>
                </w:p>
              </w:tc>
              <w:tc>
                <w:tcPr>
                  <w:tcW w:w="677" w:type="pct"/>
                  <w:noWrap w:val="0"/>
                  <w:vAlign w:val="center"/>
                </w:tcPr>
                <w:p w14:paraId="466E94E0">
                  <w:pPr>
                    <w:pStyle w:val="63"/>
                    <w:jc w:val="center"/>
                    <w:rPr>
                      <w:rFonts w:hint="eastAsia" w:ascii="Times New Roman" w:hAnsi="宋体"/>
                      <w:b/>
                      <w:bCs/>
                      <w:color w:val="auto"/>
                      <w:sz w:val="21"/>
                      <w:szCs w:val="21"/>
                    </w:rPr>
                  </w:pPr>
                  <w:r>
                    <w:rPr>
                      <w:rFonts w:hint="eastAsia" w:ascii="Times New Roman" w:hAnsi="宋体"/>
                      <w:b/>
                      <w:bCs/>
                      <w:color w:val="auto"/>
                      <w:sz w:val="21"/>
                      <w:szCs w:val="21"/>
                    </w:rPr>
                    <w:t>单位</w:t>
                  </w:r>
                </w:p>
              </w:tc>
              <w:tc>
                <w:tcPr>
                  <w:tcW w:w="1190" w:type="pct"/>
                  <w:noWrap w:val="0"/>
                  <w:vAlign w:val="center"/>
                </w:tcPr>
                <w:p w14:paraId="574D13AD">
                  <w:pPr>
                    <w:pStyle w:val="63"/>
                    <w:jc w:val="center"/>
                    <w:rPr>
                      <w:rFonts w:ascii="Times New Roman"/>
                      <w:b/>
                      <w:bCs/>
                      <w:color w:val="auto"/>
                      <w:sz w:val="21"/>
                      <w:szCs w:val="21"/>
                    </w:rPr>
                  </w:pPr>
                  <w:r>
                    <w:rPr>
                      <w:rFonts w:hint="eastAsia" w:ascii="Times New Roman" w:hAnsi="宋体"/>
                      <w:b/>
                      <w:bCs/>
                      <w:color w:val="auto"/>
                      <w:sz w:val="21"/>
                      <w:szCs w:val="21"/>
                    </w:rPr>
                    <w:t>原</w:t>
                  </w:r>
                  <w:r>
                    <w:rPr>
                      <w:rFonts w:ascii="Times New Roman" w:hAnsi="宋体"/>
                      <w:b/>
                      <w:bCs/>
                      <w:color w:val="auto"/>
                      <w:sz w:val="21"/>
                      <w:szCs w:val="21"/>
                    </w:rPr>
                    <w:t>环评生产规模</w:t>
                  </w:r>
                </w:p>
              </w:tc>
              <w:tc>
                <w:tcPr>
                  <w:tcW w:w="934" w:type="pct"/>
                  <w:tcBorders>
                    <w:right w:val="single" w:color="000000" w:sz="4" w:space="0"/>
                  </w:tcBorders>
                  <w:noWrap w:val="0"/>
                  <w:vAlign w:val="center"/>
                </w:tcPr>
                <w:p w14:paraId="05EDA11F">
                  <w:pPr>
                    <w:jc w:val="center"/>
                    <w:rPr>
                      <w:b/>
                      <w:bCs/>
                      <w:color w:val="auto"/>
                      <w:sz w:val="21"/>
                      <w:szCs w:val="21"/>
                    </w:rPr>
                  </w:pPr>
                  <w:r>
                    <w:rPr>
                      <w:rFonts w:hint="eastAsia" w:hAnsi="宋体"/>
                      <w:b/>
                      <w:bCs/>
                      <w:color w:val="auto"/>
                      <w:kern w:val="0"/>
                      <w:sz w:val="21"/>
                      <w:szCs w:val="21"/>
                      <w:lang w:eastAsia="zh-CN"/>
                    </w:rPr>
                    <w:t>扩建</w:t>
                  </w:r>
                  <w:r>
                    <w:rPr>
                      <w:rFonts w:hAnsi="宋体"/>
                      <w:b/>
                      <w:bCs/>
                      <w:color w:val="auto"/>
                      <w:kern w:val="0"/>
                      <w:sz w:val="21"/>
                      <w:szCs w:val="21"/>
                    </w:rPr>
                    <w:t>后产量</w:t>
                  </w:r>
                </w:p>
              </w:tc>
              <w:tc>
                <w:tcPr>
                  <w:tcW w:w="1231" w:type="pct"/>
                  <w:tcBorders>
                    <w:left w:val="single" w:color="000000" w:sz="4" w:space="0"/>
                  </w:tcBorders>
                  <w:noWrap w:val="0"/>
                  <w:vAlign w:val="center"/>
                </w:tcPr>
                <w:p w14:paraId="55351B43">
                  <w:pPr>
                    <w:jc w:val="center"/>
                    <w:rPr>
                      <w:b/>
                      <w:bCs/>
                      <w:color w:val="auto"/>
                      <w:sz w:val="21"/>
                      <w:szCs w:val="21"/>
                    </w:rPr>
                  </w:pPr>
                  <w:r>
                    <w:rPr>
                      <w:rFonts w:hAnsi="宋体"/>
                      <w:b/>
                      <w:bCs/>
                      <w:color w:val="auto"/>
                      <w:sz w:val="21"/>
                      <w:szCs w:val="21"/>
                    </w:rPr>
                    <w:t>较原环评增减量</w:t>
                  </w:r>
                </w:p>
              </w:tc>
            </w:tr>
            <w:tr w14:paraId="24330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2802BC9D">
                  <w:pPr>
                    <w:pStyle w:val="94"/>
                    <w:numPr>
                      <w:ilvl w:val="0"/>
                      <w:numId w:val="0"/>
                    </w:numPr>
                    <w:spacing w:before="0" w:after="0" w:line="240" w:lineRule="auto"/>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特种玻璃</w:t>
                  </w:r>
                </w:p>
              </w:tc>
              <w:tc>
                <w:tcPr>
                  <w:tcW w:w="677" w:type="pct"/>
                  <w:noWrap w:val="0"/>
                  <w:vAlign w:val="center"/>
                </w:tcPr>
                <w:p w14:paraId="562FFE4F">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万片/年</w:t>
                  </w:r>
                </w:p>
              </w:tc>
              <w:tc>
                <w:tcPr>
                  <w:tcW w:w="1190" w:type="pct"/>
                  <w:noWrap w:val="0"/>
                  <w:vAlign w:val="center"/>
                </w:tcPr>
                <w:p w14:paraId="7D19C862">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6</w:t>
                  </w:r>
                </w:p>
              </w:tc>
              <w:tc>
                <w:tcPr>
                  <w:tcW w:w="934" w:type="pct"/>
                  <w:tcBorders>
                    <w:right w:val="single" w:color="000000" w:sz="4" w:space="0"/>
                  </w:tcBorders>
                  <w:noWrap w:val="0"/>
                  <w:vAlign w:val="center"/>
                </w:tcPr>
                <w:p w14:paraId="41159C55">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6</w:t>
                  </w:r>
                </w:p>
              </w:tc>
              <w:tc>
                <w:tcPr>
                  <w:tcW w:w="1231" w:type="pct"/>
                  <w:tcBorders>
                    <w:left w:val="single" w:color="000000" w:sz="4" w:space="0"/>
                  </w:tcBorders>
                  <w:noWrap w:val="0"/>
                  <w:vAlign w:val="center"/>
                </w:tcPr>
                <w:p w14:paraId="28FA4212">
                  <w:pPr>
                    <w:jc w:val="center"/>
                    <w:rPr>
                      <w:rFonts w:hint="default"/>
                      <w:bCs/>
                      <w:color w:val="auto"/>
                      <w:sz w:val="21"/>
                      <w:szCs w:val="21"/>
                      <w:lang w:val="en-US" w:eastAsia="zh-CN"/>
                    </w:rPr>
                  </w:pPr>
                  <w:r>
                    <w:rPr>
                      <w:rFonts w:hint="eastAsia"/>
                      <w:bCs/>
                      <w:color w:val="auto"/>
                      <w:sz w:val="21"/>
                      <w:szCs w:val="21"/>
                      <w:lang w:val="en-US" w:eastAsia="zh-CN"/>
                    </w:rPr>
                    <w:t>0</w:t>
                  </w:r>
                </w:p>
              </w:tc>
            </w:tr>
            <w:tr w14:paraId="1BC06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5E0DD38B">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塑料密封件</w:t>
                  </w:r>
                </w:p>
              </w:tc>
              <w:tc>
                <w:tcPr>
                  <w:tcW w:w="677" w:type="pct"/>
                  <w:noWrap w:val="0"/>
                  <w:vAlign w:val="center"/>
                </w:tcPr>
                <w:p w14:paraId="0CBADB61">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万件/年</w:t>
                  </w:r>
                </w:p>
              </w:tc>
              <w:tc>
                <w:tcPr>
                  <w:tcW w:w="1190" w:type="pct"/>
                  <w:noWrap w:val="0"/>
                  <w:vAlign w:val="center"/>
                </w:tcPr>
                <w:p w14:paraId="43B0551D">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600</w:t>
                  </w:r>
                </w:p>
              </w:tc>
              <w:tc>
                <w:tcPr>
                  <w:tcW w:w="934" w:type="pct"/>
                  <w:tcBorders>
                    <w:right w:val="single" w:color="000000" w:sz="4" w:space="0"/>
                  </w:tcBorders>
                  <w:noWrap w:val="0"/>
                  <w:vAlign w:val="center"/>
                </w:tcPr>
                <w:p w14:paraId="321F94CE">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600</w:t>
                  </w:r>
                </w:p>
              </w:tc>
              <w:tc>
                <w:tcPr>
                  <w:tcW w:w="1231" w:type="pct"/>
                  <w:tcBorders>
                    <w:left w:val="single" w:color="000000" w:sz="4" w:space="0"/>
                  </w:tcBorders>
                  <w:noWrap w:val="0"/>
                  <w:vAlign w:val="center"/>
                </w:tcPr>
                <w:p w14:paraId="4A29F05E">
                  <w:pPr>
                    <w:jc w:val="center"/>
                    <w:rPr>
                      <w:rFonts w:hint="default"/>
                      <w:bCs/>
                      <w:color w:val="auto"/>
                      <w:sz w:val="21"/>
                      <w:szCs w:val="21"/>
                      <w:lang w:val="en-US" w:eastAsia="zh-CN"/>
                    </w:rPr>
                  </w:pPr>
                  <w:r>
                    <w:rPr>
                      <w:rFonts w:hint="eastAsia"/>
                      <w:bCs/>
                      <w:color w:val="auto"/>
                      <w:sz w:val="21"/>
                      <w:szCs w:val="21"/>
                      <w:lang w:val="en-US" w:eastAsia="zh-CN"/>
                    </w:rPr>
                    <w:t>0</w:t>
                  </w:r>
                </w:p>
              </w:tc>
            </w:tr>
            <w:tr w14:paraId="79636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67DC7A61">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注塑件</w:t>
                  </w:r>
                </w:p>
              </w:tc>
              <w:tc>
                <w:tcPr>
                  <w:tcW w:w="677" w:type="pct"/>
                  <w:noWrap w:val="0"/>
                  <w:vAlign w:val="center"/>
                </w:tcPr>
                <w:p w14:paraId="7873938D">
                  <w:pPr>
                    <w:pStyle w:val="94"/>
                    <w:numPr>
                      <w:ilvl w:val="0"/>
                      <w:numId w:val="0"/>
                    </w:numPr>
                    <w:spacing w:before="0" w:after="0" w:line="240" w:lineRule="auto"/>
                    <w:rPr>
                      <w:rFonts w:hint="default" w:eastAsia="宋体" w:cs="Times New Roman"/>
                      <w:b w:val="0"/>
                      <w:bCs/>
                      <w:color w:val="auto"/>
                      <w:sz w:val="21"/>
                      <w:szCs w:val="21"/>
                      <w:lang w:val="en-US" w:eastAsia="zh-CN"/>
                    </w:rPr>
                  </w:pPr>
                  <w:r>
                    <w:rPr>
                      <w:rFonts w:hint="eastAsia" w:cs="Times New Roman"/>
                      <w:b w:val="0"/>
                      <w:bCs/>
                      <w:color w:val="auto"/>
                      <w:sz w:val="21"/>
                      <w:szCs w:val="21"/>
                      <w:lang w:val="en-US" w:eastAsia="zh-CN"/>
                    </w:rPr>
                    <w:t>万件/年</w:t>
                  </w:r>
                </w:p>
              </w:tc>
              <w:tc>
                <w:tcPr>
                  <w:tcW w:w="1190" w:type="pct"/>
                  <w:noWrap w:val="0"/>
                  <w:vAlign w:val="center"/>
                </w:tcPr>
                <w:p w14:paraId="1DF3879B">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934" w:type="pct"/>
                  <w:tcBorders>
                    <w:right w:val="single" w:color="000000" w:sz="4" w:space="0"/>
                  </w:tcBorders>
                  <w:noWrap w:val="0"/>
                  <w:vAlign w:val="center"/>
                </w:tcPr>
                <w:p w14:paraId="00B04246">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300</w:t>
                  </w:r>
                </w:p>
              </w:tc>
              <w:tc>
                <w:tcPr>
                  <w:tcW w:w="1231" w:type="pct"/>
                  <w:tcBorders>
                    <w:left w:val="single" w:color="000000" w:sz="4" w:space="0"/>
                  </w:tcBorders>
                  <w:noWrap w:val="0"/>
                  <w:vAlign w:val="center"/>
                </w:tcPr>
                <w:p w14:paraId="1E455837">
                  <w:pPr>
                    <w:jc w:val="center"/>
                    <w:rPr>
                      <w:rFonts w:hint="default"/>
                      <w:bCs/>
                      <w:color w:val="auto"/>
                      <w:sz w:val="21"/>
                      <w:szCs w:val="21"/>
                      <w:lang w:val="en-US" w:eastAsia="zh-CN"/>
                    </w:rPr>
                  </w:pPr>
                  <w:r>
                    <w:rPr>
                      <w:rFonts w:hint="eastAsia"/>
                      <w:bCs/>
                      <w:color w:val="auto"/>
                      <w:sz w:val="21"/>
                      <w:szCs w:val="21"/>
                      <w:lang w:val="en-US" w:eastAsia="zh-CN"/>
                    </w:rPr>
                    <w:t>+300</w:t>
                  </w:r>
                </w:p>
              </w:tc>
            </w:tr>
            <w:tr w14:paraId="40C23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08138A45">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下卡条</w:t>
                  </w:r>
                </w:p>
              </w:tc>
              <w:tc>
                <w:tcPr>
                  <w:tcW w:w="677" w:type="pct"/>
                  <w:noWrap w:val="0"/>
                  <w:vAlign w:val="center"/>
                </w:tcPr>
                <w:p w14:paraId="110E7BF4">
                  <w:pPr>
                    <w:numPr>
                      <w:ilvl w:val="0"/>
                      <w:numId w:val="0"/>
                    </w:numPr>
                    <w:spacing w:before="0" w:after="0" w:line="240" w:lineRule="auto"/>
                    <w:jc w:val="center"/>
                    <w:rPr>
                      <w:rFonts w:hint="eastAsia" w:cs="Times New Roman"/>
                      <w:b w:val="0"/>
                      <w:bCs/>
                      <w:color w:val="auto"/>
                      <w:sz w:val="21"/>
                      <w:szCs w:val="21"/>
                    </w:rPr>
                  </w:pPr>
                  <w:r>
                    <w:rPr>
                      <w:rFonts w:hint="eastAsia" w:cs="Times New Roman"/>
                      <w:b w:val="0"/>
                      <w:bCs/>
                      <w:color w:val="auto"/>
                      <w:sz w:val="21"/>
                      <w:szCs w:val="21"/>
                      <w:lang w:val="en-US" w:eastAsia="zh-CN"/>
                    </w:rPr>
                    <w:t>万件/年</w:t>
                  </w:r>
                </w:p>
              </w:tc>
              <w:tc>
                <w:tcPr>
                  <w:tcW w:w="1190" w:type="pct"/>
                  <w:noWrap w:val="0"/>
                  <w:vAlign w:val="center"/>
                </w:tcPr>
                <w:p w14:paraId="28951D62">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934" w:type="pct"/>
                  <w:tcBorders>
                    <w:right w:val="single" w:color="000000" w:sz="4" w:space="0"/>
                  </w:tcBorders>
                  <w:noWrap w:val="0"/>
                  <w:vAlign w:val="center"/>
                </w:tcPr>
                <w:p w14:paraId="6B07D0D8">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1200</w:t>
                  </w:r>
                </w:p>
              </w:tc>
              <w:tc>
                <w:tcPr>
                  <w:tcW w:w="1231" w:type="pct"/>
                  <w:tcBorders>
                    <w:left w:val="single" w:color="000000" w:sz="4" w:space="0"/>
                  </w:tcBorders>
                  <w:noWrap w:val="0"/>
                  <w:vAlign w:val="center"/>
                </w:tcPr>
                <w:p w14:paraId="5ECEE553">
                  <w:pPr>
                    <w:jc w:val="center"/>
                    <w:rPr>
                      <w:rFonts w:hint="default"/>
                      <w:bCs/>
                      <w:color w:val="auto"/>
                      <w:sz w:val="21"/>
                      <w:szCs w:val="21"/>
                      <w:lang w:val="en-US" w:eastAsia="zh-CN"/>
                    </w:rPr>
                  </w:pPr>
                  <w:r>
                    <w:rPr>
                      <w:rFonts w:hint="eastAsia"/>
                      <w:bCs/>
                      <w:color w:val="auto"/>
                      <w:sz w:val="21"/>
                      <w:szCs w:val="21"/>
                      <w:lang w:val="en-US" w:eastAsia="zh-CN"/>
                    </w:rPr>
                    <w:t>+1200</w:t>
                  </w:r>
                </w:p>
              </w:tc>
            </w:tr>
            <w:tr w14:paraId="32E9F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5" w:type="pct"/>
                  <w:noWrap w:val="0"/>
                  <w:vAlign w:val="center"/>
                </w:tcPr>
                <w:p w14:paraId="1F5FA67B">
                  <w:pPr>
                    <w:pStyle w:val="94"/>
                    <w:numPr>
                      <w:ilvl w:val="0"/>
                      <w:numId w:val="0"/>
                    </w:numPr>
                    <w:spacing w:before="0" w:after="0" w:line="240" w:lineRule="auto"/>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钣金件</w:t>
                  </w:r>
                </w:p>
              </w:tc>
              <w:tc>
                <w:tcPr>
                  <w:tcW w:w="677" w:type="pct"/>
                  <w:noWrap w:val="0"/>
                  <w:vAlign w:val="center"/>
                </w:tcPr>
                <w:p w14:paraId="20A7036E">
                  <w:pPr>
                    <w:numPr>
                      <w:ilvl w:val="0"/>
                      <w:numId w:val="0"/>
                    </w:numPr>
                    <w:spacing w:before="0" w:after="0" w:line="240" w:lineRule="auto"/>
                    <w:jc w:val="center"/>
                    <w:rPr>
                      <w:rFonts w:hint="eastAsia" w:cs="Times New Roman"/>
                      <w:b w:val="0"/>
                      <w:bCs/>
                      <w:color w:val="auto"/>
                      <w:sz w:val="21"/>
                      <w:szCs w:val="21"/>
                    </w:rPr>
                  </w:pPr>
                  <w:r>
                    <w:rPr>
                      <w:rFonts w:hint="eastAsia" w:cs="Times New Roman"/>
                      <w:b w:val="0"/>
                      <w:bCs/>
                      <w:color w:val="auto"/>
                      <w:sz w:val="21"/>
                      <w:szCs w:val="21"/>
                      <w:lang w:val="en-US" w:eastAsia="zh-CN"/>
                    </w:rPr>
                    <w:t>万件/年</w:t>
                  </w:r>
                </w:p>
              </w:tc>
              <w:tc>
                <w:tcPr>
                  <w:tcW w:w="1190" w:type="pct"/>
                  <w:noWrap w:val="0"/>
                  <w:vAlign w:val="center"/>
                </w:tcPr>
                <w:p w14:paraId="11D74374">
                  <w:pPr>
                    <w:pStyle w:val="94"/>
                    <w:numPr>
                      <w:ilvl w:val="0"/>
                      <w:numId w:val="0"/>
                    </w:numPr>
                    <w:spacing w:before="0" w:after="0" w:line="240" w:lineRule="auto"/>
                    <w:rPr>
                      <w:rFonts w:hint="eastAsia" w:eastAsia="宋体"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934" w:type="pct"/>
                  <w:tcBorders>
                    <w:right w:val="single" w:color="000000" w:sz="4" w:space="0"/>
                  </w:tcBorders>
                  <w:noWrap w:val="0"/>
                  <w:vAlign w:val="center"/>
                </w:tcPr>
                <w:p w14:paraId="7261027B">
                  <w:pPr>
                    <w:pStyle w:val="94"/>
                    <w:numPr>
                      <w:ilvl w:val="0"/>
                      <w:numId w:val="0"/>
                    </w:numPr>
                    <w:spacing w:before="0" w:after="0" w:line="240" w:lineRule="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1000</w:t>
                  </w:r>
                </w:p>
              </w:tc>
              <w:tc>
                <w:tcPr>
                  <w:tcW w:w="1231" w:type="pct"/>
                  <w:tcBorders>
                    <w:left w:val="single" w:color="000000" w:sz="4" w:space="0"/>
                  </w:tcBorders>
                  <w:noWrap w:val="0"/>
                  <w:vAlign w:val="center"/>
                </w:tcPr>
                <w:p w14:paraId="6F85BEF8">
                  <w:pPr>
                    <w:jc w:val="center"/>
                    <w:rPr>
                      <w:rFonts w:hint="default"/>
                      <w:bCs/>
                      <w:color w:val="auto"/>
                      <w:sz w:val="21"/>
                      <w:szCs w:val="21"/>
                      <w:lang w:val="en-US" w:eastAsia="zh-CN"/>
                    </w:rPr>
                  </w:pPr>
                  <w:r>
                    <w:rPr>
                      <w:rFonts w:hint="eastAsia"/>
                      <w:bCs/>
                      <w:color w:val="auto"/>
                      <w:sz w:val="21"/>
                      <w:szCs w:val="21"/>
                      <w:lang w:val="en-US" w:eastAsia="zh-CN"/>
                    </w:rPr>
                    <w:t>+1000</w:t>
                  </w:r>
                </w:p>
              </w:tc>
            </w:tr>
          </w:tbl>
          <w:p w14:paraId="11926BCA">
            <w:pPr>
              <w:pStyle w:val="4"/>
              <w:spacing w:before="157" w:beforeLines="50" w:after="0" w:line="360" w:lineRule="auto"/>
              <w:rPr>
                <w:b/>
                <w:bCs/>
                <w:color w:val="auto"/>
                <w:sz w:val="24"/>
              </w:rPr>
            </w:pPr>
            <w:r>
              <w:rPr>
                <w:b/>
                <w:bCs/>
                <w:color w:val="auto"/>
                <w:sz w:val="24"/>
              </w:rPr>
              <w:t>2.</w:t>
            </w:r>
            <w:r>
              <w:rPr>
                <w:rFonts w:hint="eastAsia"/>
                <w:b/>
                <w:bCs/>
                <w:color w:val="auto"/>
                <w:sz w:val="24"/>
                <w:lang w:val="en-US" w:eastAsia="zh-CN"/>
              </w:rPr>
              <w:t>3</w:t>
            </w:r>
            <w:r>
              <w:rPr>
                <w:b/>
                <w:bCs/>
                <w:color w:val="auto"/>
                <w:sz w:val="24"/>
              </w:rPr>
              <w:t>.</w:t>
            </w:r>
            <w:r>
              <w:rPr>
                <w:rFonts w:hint="eastAsia"/>
                <w:b/>
                <w:bCs/>
                <w:color w:val="auto"/>
                <w:sz w:val="24"/>
                <w:lang w:val="en-US" w:eastAsia="zh-CN"/>
              </w:rPr>
              <w:t>3</w:t>
            </w:r>
            <w:r>
              <w:rPr>
                <w:b/>
                <w:bCs/>
                <w:color w:val="auto"/>
                <w:sz w:val="24"/>
              </w:rPr>
              <w:t xml:space="preserve"> </w:t>
            </w:r>
            <w:r>
              <w:rPr>
                <w:rFonts w:hint="eastAsia"/>
                <w:b/>
                <w:bCs/>
                <w:color w:val="auto"/>
                <w:sz w:val="24"/>
              </w:rPr>
              <w:t>项目组成</w:t>
            </w:r>
          </w:p>
          <w:p w14:paraId="622B51A9">
            <w:pPr>
              <w:adjustRightInd w:val="0"/>
              <w:snapToGrid w:val="0"/>
              <w:spacing w:line="360" w:lineRule="auto"/>
              <w:ind w:firstLine="480" w:firstLineChars="200"/>
              <w:rPr>
                <w:color w:val="auto"/>
                <w:sz w:val="24"/>
              </w:rPr>
            </w:pPr>
            <w:r>
              <w:rPr>
                <w:rFonts w:hAnsi="宋体" w:eastAsia="宋体"/>
                <w:color w:val="auto"/>
                <w:sz w:val="24"/>
              </w:rPr>
              <w:t>企业</w:t>
            </w:r>
            <w:r>
              <w:rPr>
                <w:rFonts w:hint="eastAsia" w:hAnsi="宋体"/>
                <w:color w:val="auto"/>
                <w:sz w:val="24"/>
                <w:lang w:val="en-US" w:eastAsia="zh-CN"/>
              </w:rPr>
              <w:t>现有</w:t>
            </w:r>
            <w:r>
              <w:rPr>
                <w:rFonts w:hAnsi="宋体" w:eastAsia="宋体"/>
                <w:color w:val="auto"/>
                <w:sz w:val="24"/>
              </w:rPr>
              <w:t>工程</w:t>
            </w:r>
            <w:r>
              <w:rPr>
                <w:rFonts w:hint="eastAsia" w:hAnsi="宋体" w:eastAsia="宋体"/>
                <w:color w:val="auto"/>
                <w:sz w:val="24"/>
                <w:lang w:val="en-US" w:eastAsia="zh-CN"/>
              </w:rPr>
              <w:t>租赁福建三锋汽配开发有限公司现有厂房五，</w:t>
            </w:r>
            <w:r>
              <w:rPr>
                <w:rFonts w:hAnsi="宋体" w:eastAsia="宋体"/>
                <w:color w:val="auto"/>
                <w:sz w:val="24"/>
              </w:rPr>
              <w:t>已建相关公辅、环保工程等，本次</w:t>
            </w:r>
            <w:r>
              <w:rPr>
                <w:rFonts w:hint="eastAsia" w:hAnsi="宋体"/>
                <w:color w:val="auto"/>
                <w:sz w:val="24"/>
                <w:lang w:eastAsia="zh-CN"/>
              </w:rPr>
              <w:t>扩建在保留现有厂房五生产功能的基础上，</w:t>
            </w:r>
            <w:r>
              <w:rPr>
                <w:rFonts w:hint="eastAsia" w:hAnsi="宋体" w:eastAsia="宋体"/>
                <w:color w:val="auto"/>
                <w:sz w:val="24"/>
                <w:lang w:eastAsia="zh-CN"/>
              </w:rPr>
              <w:t>建设</w:t>
            </w:r>
            <w:r>
              <w:rPr>
                <w:rFonts w:hint="eastAsia" w:hAnsi="宋体" w:eastAsia="宋体"/>
                <w:color w:val="auto"/>
                <w:sz w:val="24"/>
                <w:lang w:val="en-US" w:eastAsia="zh-CN"/>
              </w:rPr>
              <w:t>注塑件、下卡条</w:t>
            </w:r>
            <w:r>
              <w:rPr>
                <w:rFonts w:hint="eastAsia" w:hAnsi="宋体" w:eastAsia="宋体"/>
                <w:color w:val="auto"/>
                <w:sz w:val="24"/>
                <w:lang w:eastAsia="zh-CN"/>
              </w:rPr>
              <w:t>生产线，同时租赁福建三锋汽配开发有限公司厂房四一层局部区域，</w:t>
            </w:r>
            <w:r>
              <w:rPr>
                <w:rFonts w:hint="eastAsia" w:hAnsi="宋体" w:eastAsia="宋体"/>
                <w:color w:val="auto"/>
                <w:sz w:val="24"/>
                <w:lang w:val="en-US" w:eastAsia="zh-CN"/>
              </w:rPr>
              <w:t>建设钣金件生产线</w:t>
            </w:r>
            <w:r>
              <w:rPr>
                <w:rFonts w:hint="eastAsia"/>
                <w:color w:val="auto"/>
                <w:sz w:val="24"/>
              </w:rPr>
              <w:t>，新增配套环保设施，</w:t>
            </w:r>
            <w:r>
              <w:rPr>
                <w:rFonts w:hint="eastAsia"/>
                <w:color w:val="auto"/>
                <w:sz w:val="24"/>
                <w:lang w:eastAsia="zh-CN"/>
              </w:rPr>
              <w:t>扩建</w:t>
            </w:r>
            <w:r>
              <w:rPr>
                <w:rFonts w:hAnsi="宋体" w:eastAsia="宋体"/>
                <w:color w:val="auto"/>
                <w:sz w:val="24"/>
              </w:rPr>
              <w:t>前后项目组成具体见表</w:t>
            </w:r>
            <w:r>
              <w:rPr>
                <w:rFonts w:eastAsia="宋体"/>
                <w:color w:val="auto"/>
                <w:sz w:val="24"/>
              </w:rPr>
              <w:t>2-</w:t>
            </w:r>
            <w:r>
              <w:rPr>
                <w:rFonts w:hint="eastAsia" w:eastAsia="宋体"/>
                <w:color w:val="auto"/>
                <w:sz w:val="24"/>
              </w:rPr>
              <w:t>4</w:t>
            </w:r>
            <w:r>
              <w:rPr>
                <w:rFonts w:hAnsi="宋体" w:eastAsia="宋体"/>
                <w:color w:val="auto"/>
                <w:sz w:val="24"/>
              </w:rPr>
              <w:t>。</w:t>
            </w:r>
          </w:p>
        </w:tc>
      </w:tr>
    </w:tbl>
    <w:p w14:paraId="056C47A2">
      <w:pPr>
        <w:pStyle w:val="30"/>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footerReference r:id="rId8" w:type="default"/>
          <w:pgSz w:w="11906" w:h="16838"/>
          <w:pgMar w:top="1417" w:right="1417" w:bottom="1417" w:left="1417" w:header="851" w:footer="1077" w:gutter="0"/>
          <w:pgBorders>
            <w:top w:val="none" w:sz="0" w:space="0"/>
            <w:left w:val="none" w:sz="0" w:space="0"/>
            <w:bottom w:val="none" w:sz="0" w:space="0"/>
            <w:right w:val="none" w:sz="0" w:space="0"/>
          </w:pgBorders>
          <w:pgNumType w:start="18"/>
          <w:cols w:space="720" w:num="1"/>
          <w:docGrid w:linePitch="312" w:charSpace="0"/>
        </w:sectPr>
      </w:pPr>
    </w:p>
    <w:tbl>
      <w:tblPr>
        <w:tblStyle w:val="36"/>
        <w:tblW w:w="13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3134"/>
      </w:tblGrid>
      <w:tr w14:paraId="4E8F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4" w:hRule="atLeast"/>
        </w:trPr>
        <w:tc>
          <w:tcPr>
            <w:tcW w:w="443" w:type="dxa"/>
            <w:noWrap w:val="0"/>
            <w:vAlign w:val="top"/>
          </w:tcPr>
          <w:p w14:paraId="7E312D87">
            <w:pPr>
              <w:pStyle w:val="33"/>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olor w:val="auto"/>
                <w:vertAlign w:val="baseline"/>
              </w:rPr>
            </w:pPr>
          </w:p>
        </w:tc>
        <w:tc>
          <w:tcPr>
            <w:tcW w:w="13134" w:type="dxa"/>
            <w:noWrap w:val="0"/>
            <w:vAlign w:val="top"/>
          </w:tcPr>
          <w:p w14:paraId="242A1408">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 xml:space="preserve">  项目组成一览表</w:t>
            </w:r>
          </w:p>
          <w:tbl>
            <w:tblPr>
              <w:tblStyle w:val="35"/>
              <w:tblW w:w="126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4"/>
              <w:gridCol w:w="580"/>
              <w:gridCol w:w="1218"/>
              <w:gridCol w:w="2508"/>
              <w:gridCol w:w="2886"/>
              <w:gridCol w:w="2447"/>
              <w:gridCol w:w="2443"/>
            </w:tblGrid>
            <w:tr w14:paraId="18852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noWrap w:val="0"/>
                  <w:vAlign w:val="center"/>
                </w:tcPr>
                <w:p w14:paraId="380099CD">
                  <w:pPr>
                    <w:adjustRightInd w:val="0"/>
                    <w:snapToGrid w:val="0"/>
                    <w:spacing w:line="240" w:lineRule="auto"/>
                    <w:jc w:val="center"/>
                    <w:rPr>
                      <w:rFonts w:ascii="Times New Roman" w:hAnsi="Times New Roman" w:eastAsia="宋体"/>
                      <w:b/>
                      <w:bCs/>
                      <w:color w:val="auto"/>
                      <w:sz w:val="18"/>
                      <w:szCs w:val="18"/>
                    </w:rPr>
                  </w:pPr>
                  <w:r>
                    <w:rPr>
                      <w:rFonts w:ascii="Times New Roman" w:hAnsi="Times New Roman" w:eastAsia="宋体"/>
                      <w:b/>
                      <w:bCs/>
                      <w:color w:val="auto"/>
                      <w:sz w:val="18"/>
                      <w:szCs w:val="18"/>
                    </w:rPr>
                    <w:t>工程类别</w:t>
                  </w:r>
                </w:p>
              </w:tc>
              <w:tc>
                <w:tcPr>
                  <w:tcW w:w="1798" w:type="dxa"/>
                  <w:gridSpan w:val="2"/>
                  <w:noWrap w:val="0"/>
                  <w:vAlign w:val="center"/>
                </w:tcPr>
                <w:p w14:paraId="653DE244">
                  <w:pPr>
                    <w:adjustRightInd w:val="0"/>
                    <w:snapToGrid w:val="0"/>
                    <w:spacing w:line="240" w:lineRule="auto"/>
                    <w:jc w:val="center"/>
                    <w:rPr>
                      <w:rFonts w:ascii="Times New Roman" w:hAnsi="Times New Roman" w:eastAsia="宋体"/>
                      <w:b/>
                      <w:bCs/>
                      <w:color w:val="auto"/>
                      <w:sz w:val="18"/>
                      <w:szCs w:val="18"/>
                    </w:rPr>
                  </w:pPr>
                  <w:r>
                    <w:rPr>
                      <w:rFonts w:ascii="Times New Roman" w:hAnsi="Times New Roman" w:eastAsia="宋体"/>
                      <w:b/>
                      <w:bCs/>
                      <w:color w:val="auto"/>
                      <w:sz w:val="18"/>
                      <w:szCs w:val="18"/>
                    </w:rPr>
                    <w:t>项目组成</w:t>
                  </w:r>
                </w:p>
              </w:tc>
              <w:tc>
                <w:tcPr>
                  <w:tcW w:w="2508" w:type="dxa"/>
                  <w:noWrap w:val="0"/>
                  <w:vAlign w:val="center"/>
                </w:tcPr>
                <w:p w14:paraId="3D6E49A4">
                  <w:pPr>
                    <w:adjustRightInd w:val="0"/>
                    <w:snapToGrid w:val="0"/>
                    <w:spacing w:line="240" w:lineRule="auto"/>
                    <w:jc w:val="center"/>
                    <w:rPr>
                      <w:rFonts w:hint="default" w:ascii="Times New Roman" w:hAnsi="Times New Roman" w:eastAsia="宋体"/>
                      <w:b/>
                      <w:bCs/>
                      <w:color w:val="auto"/>
                      <w:sz w:val="18"/>
                      <w:szCs w:val="18"/>
                      <w:lang w:val="en-US"/>
                    </w:rPr>
                  </w:pPr>
                  <w:r>
                    <w:rPr>
                      <w:rFonts w:hint="eastAsia"/>
                      <w:b/>
                      <w:bCs/>
                      <w:color w:val="auto"/>
                      <w:sz w:val="18"/>
                      <w:szCs w:val="18"/>
                      <w:lang w:val="en-US" w:eastAsia="zh-CN"/>
                    </w:rPr>
                    <w:t>现有工程</w:t>
                  </w:r>
                </w:p>
              </w:tc>
              <w:tc>
                <w:tcPr>
                  <w:tcW w:w="2886" w:type="dxa"/>
                  <w:noWrap w:val="0"/>
                  <w:vAlign w:val="center"/>
                </w:tcPr>
                <w:p w14:paraId="24F11D53">
                  <w:pPr>
                    <w:adjustRightInd w:val="0"/>
                    <w:snapToGrid w:val="0"/>
                    <w:spacing w:line="240" w:lineRule="auto"/>
                    <w:jc w:val="center"/>
                    <w:rPr>
                      <w:rFonts w:hint="default" w:ascii="Times New Roman" w:hAnsi="Times New Roman" w:eastAsia="宋体"/>
                      <w:b/>
                      <w:bCs/>
                      <w:color w:val="auto"/>
                      <w:sz w:val="18"/>
                      <w:szCs w:val="18"/>
                      <w:lang w:val="en-US" w:eastAsia="zh-CN"/>
                    </w:rPr>
                  </w:pPr>
                  <w:r>
                    <w:rPr>
                      <w:rFonts w:hint="eastAsia"/>
                      <w:b/>
                      <w:bCs/>
                      <w:color w:val="auto"/>
                      <w:sz w:val="18"/>
                      <w:szCs w:val="18"/>
                      <w:lang w:val="en-US" w:eastAsia="zh-CN"/>
                    </w:rPr>
                    <w:t>扩建</w:t>
                  </w:r>
                  <w:r>
                    <w:rPr>
                      <w:rFonts w:hint="eastAsia" w:ascii="Times New Roman" w:hAnsi="Times New Roman" w:eastAsia="宋体"/>
                      <w:b/>
                      <w:bCs/>
                      <w:color w:val="auto"/>
                      <w:sz w:val="18"/>
                      <w:szCs w:val="18"/>
                      <w:lang w:val="en-US" w:eastAsia="zh-CN"/>
                    </w:rPr>
                    <w:t>工程</w:t>
                  </w:r>
                </w:p>
              </w:tc>
              <w:tc>
                <w:tcPr>
                  <w:tcW w:w="2447" w:type="dxa"/>
                  <w:noWrap w:val="0"/>
                  <w:vAlign w:val="center"/>
                </w:tcPr>
                <w:p w14:paraId="1552A671">
                  <w:pPr>
                    <w:adjustRightInd w:val="0"/>
                    <w:snapToGrid w:val="0"/>
                    <w:spacing w:line="240" w:lineRule="auto"/>
                    <w:jc w:val="center"/>
                    <w:rPr>
                      <w:rFonts w:hint="default" w:ascii="Times New Roman" w:hAnsi="Times New Roman" w:eastAsia="宋体"/>
                      <w:b/>
                      <w:bCs/>
                      <w:color w:val="auto"/>
                      <w:sz w:val="18"/>
                      <w:szCs w:val="18"/>
                      <w:lang w:val="en-US" w:eastAsia="zh-CN"/>
                    </w:rPr>
                  </w:pPr>
                  <w:r>
                    <w:rPr>
                      <w:rFonts w:hint="eastAsia"/>
                      <w:b/>
                      <w:bCs/>
                      <w:color w:val="auto"/>
                      <w:sz w:val="18"/>
                      <w:szCs w:val="18"/>
                      <w:lang w:val="en-US" w:eastAsia="zh-CN"/>
                    </w:rPr>
                    <w:t>扩建后全厂</w:t>
                  </w:r>
                </w:p>
              </w:tc>
              <w:tc>
                <w:tcPr>
                  <w:tcW w:w="2443" w:type="dxa"/>
                  <w:noWrap w:val="0"/>
                  <w:vAlign w:val="center"/>
                </w:tcPr>
                <w:p w14:paraId="68AC4CF3">
                  <w:pPr>
                    <w:adjustRightInd w:val="0"/>
                    <w:snapToGrid w:val="0"/>
                    <w:spacing w:line="240" w:lineRule="auto"/>
                    <w:jc w:val="center"/>
                    <w:rPr>
                      <w:rFonts w:hint="default" w:ascii="Times New Roman" w:hAnsi="Times New Roman" w:eastAsia="宋体"/>
                      <w:b/>
                      <w:bCs/>
                      <w:color w:val="auto"/>
                      <w:sz w:val="18"/>
                      <w:szCs w:val="18"/>
                      <w:lang w:val="en-US" w:eastAsia="zh-CN"/>
                    </w:rPr>
                  </w:pPr>
                  <w:r>
                    <w:rPr>
                      <w:rFonts w:hint="eastAsia" w:ascii="Times New Roman" w:hAnsi="Times New Roman" w:eastAsia="宋体"/>
                      <w:b/>
                      <w:bCs/>
                      <w:color w:val="auto"/>
                      <w:sz w:val="18"/>
                      <w:szCs w:val="18"/>
                      <w:lang w:val="en-US" w:eastAsia="zh-CN"/>
                    </w:rPr>
                    <w:t>备注</w:t>
                  </w:r>
                </w:p>
              </w:tc>
            </w:tr>
            <w:tr w14:paraId="185C5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noWrap w:val="0"/>
                  <w:vAlign w:val="center"/>
                </w:tcPr>
                <w:p w14:paraId="0B0708A7">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主体</w:t>
                  </w:r>
                </w:p>
                <w:p w14:paraId="3B2A869D">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工程</w:t>
                  </w:r>
                </w:p>
              </w:tc>
              <w:tc>
                <w:tcPr>
                  <w:tcW w:w="1798" w:type="dxa"/>
                  <w:gridSpan w:val="2"/>
                  <w:noWrap w:val="0"/>
                  <w:vAlign w:val="center"/>
                </w:tcPr>
                <w:p w14:paraId="42D2A2F9">
                  <w:pPr>
                    <w:tabs>
                      <w:tab w:val="left" w:pos="5088"/>
                    </w:tabs>
                    <w:spacing w:line="240" w:lineRule="auto"/>
                    <w:jc w:val="center"/>
                    <w:rPr>
                      <w:rFonts w:hint="default" w:ascii="Times New Roman" w:hAnsi="Times New Roman" w:eastAsia="宋体" w:cs="Times New Roman"/>
                      <w:color w:val="auto"/>
                      <w:sz w:val="18"/>
                      <w:szCs w:val="18"/>
                      <w:lang w:val="en-US"/>
                    </w:rPr>
                  </w:pPr>
                  <w:r>
                    <w:rPr>
                      <w:rFonts w:hint="eastAsia"/>
                      <w:color w:val="auto"/>
                      <w:sz w:val="18"/>
                      <w:szCs w:val="18"/>
                      <w:highlight w:val="none"/>
                      <w:lang w:val="en-US" w:eastAsia="zh-CN"/>
                    </w:rPr>
                    <w:t>厂房五一层</w:t>
                  </w:r>
                </w:p>
              </w:tc>
              <w:tc>
                <w:tcPr>
                  <w:tcW w:w="2508" w:type="dxa"/>
                  <w:noWrap w:val="0"/>
                  <w:vAlign w:val="center"/>
                </w:tcPr>
                <w:p w14:paraId="2FB0DF3A">
                  <w:pPr>
                    <w:tabs>
                      <w:tab w:val="left" w:pos="5088"/>
                    </w:tabs>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特种玻璃生产线（设有单室炉、高压釜、清洁区、原料区、成品区）</w:t>
                  </w:r>
                </w:p>
              </w:tc>
              <w:tc>
                <w:tcPr>
                  <w:tcW w:w="2886" w:type="dxa"/>
                  <w:noWrap w:val="0"/>
                  <w:vAlign w:val="center"/>
                </w:tcPr>
                <w:p w14:paraId="33A39938">
                  <w:pPr>
                    <w:tabs>
                      <w:tab w:val="left" w:pos="5088"/>
                    </w:tabs>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注塑件生产线（</w:t>
                  </w:r>
                  <w:r>
                    <w:rPr>
                      <w:rFonts w:hint="eastAsia" w:hAnsi="宋体"/>
                      <w:color w:val="auto"/>
                      <w:sz w:val="18"/>
                      <w:szCs w:val="18"/>
                      <w:lang w:val="en-US" w:eastAsia="zh-CN"/>
                    </w:rPr>
                    <w:t>设有原料区、拌料区、注塑区、半成品区、成品区、破碎区</w:t>
                  </w:r>
                  <w:r>
                    <w:rPr>
                      <w:rFonts w:hint="eastAsia"/>
                      <w:color w:val="auto"/>
                      <w:sz w:val="18"/>
                      <w:szCs w:val="18"/>
                      <w:lang w:val="en-US" w:eastAsia="zh-CN"/>
                    </w:rPr>
                    <w:t>）</w:t>
                  </w:r>
                </w:p>
              </w:tc>
              <w:tc>
                <w:tcPr>
                  <w:tcW w:w="2447" w:type="dxa"/>
                  <w:noWrap w:val="0"/>
                  <w:vAlign w:val="center"/>
                </w:tcPr>
                <w:p w14:paraId="6E34CA0D">
                  <w:pPr>
                    <w:tabs>
                      <w:tab w:val="left" w:pos="5088"/>
                    </w:tabs>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highlight w:val="none"/>
                      <w:lang w:val="en-US" w:eastAsia="zh-CN"/>
                    </w:rPr>
                    <w:t>特种玻璃生产线、</w:t>
                  </w:r>
                  <w:r>
                    <w:rPr>
                      <w:rFonts w:hint="eastAsia"/>
                      <w:color w:val="auto"/>
                      <w:sz w:val="18"/>
                      <w:szCs w:val="18"/>
                      <w:lang w:val="en-US" w:eastAsia="zh-CN"/>
                    </w:rPr>
                    <w:t>注塑件生产线</w:t>
                  </w:r>
                </w:p>
              </w:tc>
              <w:tc>
                <w:tcPr>
                  <w:tcW w:w="2443" w:type="dxa"/>
                  <w:noWrap w:val="0"/>
                  <w:vAlign w:val="center"/>
                </w:tcPr>
                <w:p w14:paraId="466722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增加注塑件生产线</w:t>
                  </w:r>
                </w:p>
              </w:tc>
            </w:tr>
            <w:tr w14:paraId="02A27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1C09BDCC">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63855D3D">
                  <w:pPr>
                    <w:tabs>
                      <w:tab w:val="left" w:pos="5088"/>
                    </w:tabs>
                    <w:spacing w:line="240" w:lineRule="auto"/>
                    <w:jc w:val="center"/>
                    <w:rPr>
                      <w:rFonts w:hint="default" w:ascii="Times New Roman" w:hAnsi="Times New Roman" w:eastAsia="宋体"/>
                      <w:color w:val="auto"/>
                      <w:sz w:val="18"/>
                      <w:szCs w:val="18"/>
                      <w:lang w:val="en-US"/>
                    </w:rPr>
                  </w:pPr>
                  <w:r>
                    <w:rPr>
                      <w:rFonts w:hint="eastAsia"/>
                      <w:color w:val="auto"/>
                      <w:sz w:val="18"/>
                      <w:szCs w:val="18"/>
                      <w:highlight w:val="none"/>
                      <w:lang w:val="en-US" w:eastAsia="zh-CN"/>
                    </w:rPr>
                    <w:t>厂房五二层</w:t>
                  </w:r>
                </w:p>
              </w:tc>
              <w:tc>
                <w:tcPr>
                  <w:tcW w:w="2508" w:type="dxa"/>
                  <w:noWrap w:val="0"/>
                  <w:vAlign w:val="center"/>
                </w:tcPr>
                <w:p w14:paraId="491D1591">
                  <w:pPr>
                    <w:tabs>
                      <w:tab w:val="left" w:pos="5088"/>
                    </w:tabs>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成品仓库用于特种玻璃、注塑密封条等成品存放</w:t>
                  </w:r>
                </w:p>
              </w:tc>
              <w:tc>
                <w:tcPr>
                  <w:tcW w:w="2886" w:type="dxa"/>
                  <w:noWrap w:val="0"/>
                  <w:vAlign w:val="center"/>
                </w:tcPr>
                <w:p w14:paraId="501AA845">
                  <w:pPr>
                    <w:tabs>
                      <w:tab w:val="left" w:pos="5088"/>
                    </w:tabs>
                    <w:spacing w:line="240" w:lineRule="auto"/>
                    <w:jc w:val="center"/>
                    <w:rPr>
                      <w:rFonts w:hint="default" w:ascii="Times New Roman" w:hAnsi="Times New Roman" w:eastAsia="宋体"/>
                      <w:color w:val="auto"/>
                      <w:sz w:val="18"/>
                      <w:szCs w:val="18"/>
                      <w:lang w:val="en-US"/>
                    </w:rPr>
                  </w:pPr>
                  <w:r>
                    <w:rPr>
                      <w:rFonts w:hint="eastAsia"/>
                      <w:color w:val="auto"/>
                      <w:sz w:val="18"/>
                      <w:szCs w:val="18"/>
                      <w:highlight w:val="none"/>
                      <w:lang w:val="en-US" w:eastAsia="zh-CN"/>
                    </w:rPr>
                    <w:t>下卡条生产线（</w:t>
                  </w:r>
                  <w:r>
                    <w:rPr>
                      <w:rFonts w:hint="eastAsia" w:hAnsi="宋体"/>
                      <w:color w:val="auto"/>
                      <w:sz w:val="18"/>
                      <w:szCs w:val="18"/>
                      <w:lang w:val="en-US" w:eastAsia="zh-CN"/>
                    </w:rPr>
                    <w:t>设有开卷区、辊压成型、涂胶区、复合挤出区、收卷区、组合区、拉弯成型区、裁切区、原料区、辅料区、成品区</w:t>
                  </w:r>
                  <w:r>
                    <w:rPr>
                      <w:rFonts w:hint="eastAsia"/>
                      <w:color w:val="auto"/>
                      <w:sz w:val="18"/>
                      <w:szCs w:val="18"/>
                      <w:highlight w:val="none"/>
                      <w:lang w:val="en-US" w:eastAsia="zh-CN"/>
                    </w:rPr>
                    <w:t>）</w:t>
                  </w:r>
                </w:p>
              </w:tc>
              <w:tc>
                <w:tcPr>
                  <w:tcW w:w="2447" w:type="dxa"/>
                  <w:noWrap w:val="0"/>
                  <w:vAlign w:val="center"/>
                </w:tcPr>
                <w:p w14:paraId="3C84D4B9">
                  <w:pPr>
                    <w:tabs>
                      <w:tab w:val="left" w:pos="5088"/>
                    </w:tabs>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highlight w:val="none"/>
                      <w:lang w:val="en-US" w:eastAsia="zh-CN"/>
                    </w:rPr>
                    <w:t>下卡条生产线</w:t>
                  </w:r>
                </w:p>
              </w:tc>
              <w:tc>
                <w:tcPr>
                  <w:tcW w:w="2443" w:type="dxa"/>
                  <w:noWrap w:val="0"/>
                  <w:vAlign w:val="center"/>
                </w:tcPr>
                <w:p w14:paraId="312DF1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成品仓库现调整为下卡条生产线、依托现有厂房，新增设备。</w:t>
                  </w:r>
                </w:p>
              </w:tc>
            </w:tr>
            <w:tr w14:paraId="5216B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1C678A9A">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21FCCA9B">
                  <w:pPr>
                    <w:tabs>
                      <w:tab w:val="left" w:pos="5088"/>
                    </w:tabs>
                    <w:spacing w:line="240" w:lineRule="auto"/>
                    <w:jc w:val="center"/>
                    <w:rPr>
                      <w:rFonts w:hint="eastAsia" w:eastAsia="宋体"/>
                      <w:color w:val="auto"/>
                      <w:sz w:val="18"/>
                      <w:szCs w:val="18"/>
                    </w:rPr>
                  </w:pPr>
                  <w:r>
                    <w:rPr>
                      <w:rFonts w:hint="eastAsia"/>
                      <w:color w:val="auto"/>
                      <w:sz w:val="18"/>
                      <w:szCs w:val="18"/>
                      <w:highlight w:val="none"/>
                      <w:lang w:val="en-US" w:eastAsia="zh-CN"/>
                    </w:rPr>
                    <w:t>厂房五三层</w:t>
                  </w:r>
                </w:p>
              </w:tc>
              <w:tc>
                <w:tcPr>
                  <w:tcW w:w="2508" w:type="dxa"/>
                  <w:noWrap w:val="0"/>
                  <w:vAlign w:val="center"/>
                </w:tcPr>
                <w:p w14:paraId="50DB69BE">
                  <w:pPr>
                    <w:tabs>
                      <w:tab w:val="left" w:pos="5088"/>
                    </w:tabs>
                    <w:spacing w:line="240" w:lineRule="auto"/>
                    <w:jc w:val="center"/>
                    <w:rPr>
                      <w:rFonts w:hint="default" w:hAnsi="宋体" w:eastAsia="宋体"/>
                      <w:color w:val="auto"/>
                      <w:sz w:val="18"/>
                      <w:szCs w:val="18"/>
                      <w:lang w:val="en-US" w:eastAsia="zh-CN"/>
                    </w:rPr>
                  </w:pPr>
                  <w:r>
                    <w:rPr>
                      <w:rFonts w:hint="eastAsia"/>
                      <w:color w:val="auto"/>
                      <w:sz w:val="18"/>
                      <w:szCs w:val="18"/>
                      <w:highlight w:val="none"/>
                      <w:lang w:val="en-US" w:eastAsia="zh-CN"/>
                    </w:rPr>
                    <w:t>注塑密封件生产线（设有原料区、挤出区、半成品放置区、加工区、成品放置区）</w:t>
                  </w:r>
                </w:p>
              </w:tc>
              <w:tc>
                <w:tcPr>
                  <w:tcW w:w="2886" w:type="dxa"/>
                  <w:noWrap w:val="0"/>
                  <w:vAlign w:val="center"/>
                </w:tcPr>
                <w:p w14:paraId="39CDDEF9">
                  <w:pPr>
                    <w:tabs>
                      <w:tab w:val="left" w:pos="5088"/>
                    </w:tabs>
                    <w:spacing w:line="240" w:lineRule="auto"/>
                    <w:jc w:val="center"/>
                    <w:rPr>
                      <w:rFonts w:hint="eastAsia" w:hAnsi="宋体" w:eastAsia="宋体"/>
                      <w:color w:val="auto"/>
                      <w:sz w:val="18"/>
                      <w:szCs w:val="18"/>
                      <w:lang w:val="en-US" w:eastAsia="zh-CN"/>
                    </w:rPr>
                  </w:pPr>
                  <w:r>
                    <w:rPr>
                      <w:rFonts w:hint="eastAsia" w:hAnsi="宋体"/>
                      <w:color w:val="auto"/>
                      <w:sz w:val="18"/>
                      <w:szCs w:val="18"/>
                      <w:lang w:val="en-US" w:eastAsia="zh-CN"/>
                    </w:rPr>
                    <w:t>/</w:t>
                  </w:r>
                </w:p>
              </w:tc>
              <w:tc>
                <w:tcPr>
                  <w:tcW w:w="2447" w:type="dxa"/>
                  <w:noWrap w:val="0"/>
                  <w:vAlign w:val="center"/>
                </w:tcPr>
                <w:p w14:paraId="2E9AD677">
                  <w:pPr>
                    <w:tabs>
                      <w:tab w:val="left" w:pos="5088"/>
                    </w:tabs>
                    <w:spacing w:line="240" w:lineRule="auto"/>
                    <w:jc w:val="center"/>
                    <w:rPr>
                      <w:rFonts w:hint="eastAsia" w:hAnsi="宋体" w:eastAsia="宋体"/>
                      <w:color w:val="auto"/>
                      <w:sz w:val="18"/>
                      <w:szCs w:val="18"/>
                      <w:lang w:eastAsia="zh-CN"/>
                    </w:rPr>
                  </w:pPr>
                  <w:r>
                    <w:rPr>
                      <w:rFonts w:hint="eastAsia"/>
                      <w:color w:val="auto"/>
                      <w:sz w:val="18"/>
                      <w:szCs w:val="18"/>
                      <w:highlight w:val="none"/>
                      <w:lang w:val="en-US" w:eastAsia="zh-CN"/>
                    </w:rPr>
                    <w:t>注塑密封件生产线</w:t>
                  </w:r>
                </w:p>
              </w:tc>
              <w:tc>
                <w:tcPr>
                  <w:tcW w:w="2443" w:type="dxa"/>
                  <w:noWrap w:val="0"/>
                  <w:vAlign w:val="center"/>
                </w:tcPr>
                <w:p w14:paraId="4814B1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18"/>
                      <w:szCs w:val="18"/>
                      <w:lang w:val="en-US" w:eastAsia="zh-CN"/>
                    </w:rPr>
                  </w:pPr>
                  <w:r>
                    <w:rPr>
                      <w:rFonts w:hint="eastAsia"/>
                      <w:color w:val="auto"/>
                      <w:sz w:val="18"/>
                      <w:szCs w:val="18"/>
                      <w:lang w:val="en-US" w:eastAsia="zh-CN"/>
                    </w:rPr>
                    <w:t>不变</w:t>
                  </w:r>
                </w:p>
              </w:tc>
            </w:tr>
            <w:tr w14:paraId="05DC7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94" w:type="dxa"/>
                  <w:vMerge w:val="continue"/>
                  <w:noWrap w:val="0"/>
                  <w:vAlign w:val="center"/>
                </w:tcPr>
                <w:p w14:paraId="5377B230">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582EB675">
                  <w:pPr>
                    <w:tabs>
                      <w:tab w:val="left" w:pos="5088"/>
                    </w:tabs>
                    <w:spacing w:line="240" w:lineRule="auto"/>
                    <w:jc w:val="center"/>
                    <w:rPr>
                      <w:rFonts w:hint="eastAsia" w:eastAsia="宋体"/>
                      <w:color w:val="auto"/>
                      <w:sz w:val="18"/>
                      <w:szCs w:val="18"/>
                    </w:rPr>
                  </w:pPr>
                  <w:r>
                    <w:rPr>
                      <w:rFonts w:hint="eastAsia"/>
                      <w:color w:val="auto"/>
                      <w:sz w:val="18"/>
                      <w:szCs w:val="18"/>
                      <w:highlight w:val="none"/>
                      <w:lang w:val="en-US" w:eastAsia="zh-CN"/>
                    </w:rPr>
                    <w:t>厂房四一层</w:t>
                  </w:r>
                </w:p>
              </w:tc>
              <w:tc>
                <w:tcPr>
                  <w:tcW w:w="2508" w:type="dxa"/>
                  <w:noWrap w:val="0"/>
                  <w:vAlign w:val="center"/>
                </w:tcPr>
                <w:p w14:paraId="62998037">
                  <w:pPr>
                    <w:tabs>
                      <w:tab w:val="left" w:pos="5088"/>
                    </w:tabs>
                    <w:spacing w:line="240" w:lineRule="auto"/>
                    <w:jc w:val="center"/>
                    <w:rPr>
                      <w:rFonts w:hint="eastAsia" w:hAnsi="宋体" w:eastAsia="宋体"/>
                      <w:color w:val="auto"/>
                      <w:sz w:val="18"/>
                      <w:szCs w:val="18"/>
                      <w:lang w:val="en-US" w:eastAsia="zh-CN"/>
                    </w:rPr>
                  </w:pPr>
                  <w:r>
                    <w:rPr>
                      <w:rFonts w:hint="eastAsia" w:hAnsi="宋体"/>
                      <w:color w:val="auto"/>
                      <w:sz w:val="18"/>
                      <w:szCs w:val="18"/>
                      <w:lang w:val="en-US" w:eastAsia="zh-CN"/>
                    </w:rPr>
                    <w:t>/</w:t>
                  </w:r>
                </w:p>
              </w:tc>
              <w:tc>
                <w:tcPr>
                  <w:tcW w:w="2886" w:type="dxa"/>
                  <w:noWrap w:val="0"/>
                  <w:vAlign w:val="center"/>
                </w:tcPr>
                <w:p w14:paraId="44B2B678">
                  <w:pPr>
                    <w:tabs>
                      <w:tab w:val="left" w:pos="5088"/>
                    </w:tabs>
                    <w:spacing w:line="240" w:lineRule="auto"/>
                    <w:jc w:val="center"/>
                    <w:rPr>
                      <w:rFonts w:hint="default" w:hAnsi="宋体" w:eastAsia="宋体"/>
                      <w:color w:val="auto"/>
                      <w:sz w:val="18"/>
                      <w:szCs w:val="18"/>
                      <w:lang w:val="en-US" w:eastAsia="zh-CN"/>
                    </w:rPr>
                  </w:pPr>
                  <w:r>
                    <w:rPr>
                      <w:rFonts w:hint="eastAsia" w:hAnsi="宋体"/>
                      <w:color w:val="auto"/>
                      <w:sz w:val="18"/>
                      <w:szCs w:val="18"/>
                      <w:lang w:val="en-US" w:eastAsia="zh-CN"/>
                    </w:rPr>
                    <w:t>钣金件生产线（设有冲压区、焊接区、攻牙区、原料区、辅料区、成品区）</w:t>
                  </w:r>
                </w:p>
              </w:tc>
              <w:tc>
                <w:tcPr>
                  <w:tcW w:w="2447" w:type="dxa"/>
                  <w:noWrap w:val="0"/>
                  <w:vAlign w:val="center"/>
                </w:tcPr>
                <w:p w14:paraId="0A81ADF4">
                  <w:pPr>
                    <w:tabs>
                      <w:tab w:val="left" w:pos="5088"/>
                    </w:tabs>
                    <w:spacing w:line="240" w:lineRule="auto"/>
                    <w:jc w:val="center"/>
                    <w:rPr>
                      <w:rFonts w:hint="default" w:hAnsi="宋体" w:eastAsia="宋体"/>
                      <w:color w:val="auto"/>
                      <w:sz w:val="18"/>
                      <w:szCs w:val="18"/>
                      <w:lang w:val="en-US" w:eastAsia="zh-CN"/>
                    </w:rPr>
                  </w:pPr>
                  <w:r>
                    <w:rPr>
                      <w:rFonts w:hint="eastAsia" w:hAnsi="宋体"/>
                      <w:color w:val="auto"/>
                      <w:sz w:val="18"/>
                      <w:szCs w:val="18"/>
                      <w:lang w:val="en-US" w:eastAsia="zh-CN"/>
                    </w:rPr>
                    <w:t>钣金件生产线</w:t>
                  </w:r>
                </w:p>
              </w:tc>
              <w:tc>
                <w:tcPr>
                  <w:tcW w:w="2443" w:type="dxa"/>
                  <w:noWrap w:val="0"/>
                  <w:vAlign w:val="center"/>
                </w:tcPr>
                <w:p w14:paraId="7C2B8E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highlight w:val="none"/>
                      <w:lang w:val="en-US" w:eastAsia="zh-CN"/>
                    </w:rPr>
                    <w:t>依托</w:t>
                  </w:r>
                  <w:r>
                    <w:rPr>
                      <w:rFonts w:hint="eastAsia"/>
                      <w:color w:val="auto"/>
                      <w:sz w:val="18"/>
                      <w:szCs w:val="18"/>
                      <w:highlight w:val="none"/>
                      <w:lang w:val="en-US" w:eastAsia="zh-CN"/>
                    </w:rPr>
                    <w:t>出租方已建厂房四1F部分区域（共3层，H=21.1m）</w:t>
                  </w:r>
                  <w:r>
                    <w:rPr>
                      <w:rFonts w:hint="eastAsia" w:ascii="Times New Roman" w:hAnsi="Times New Roman" w:eastAsia="宋体"/>
                      <w:color w:val="auto"/>
                      <w:sz w:val="18"/>
                      <w:szCs w:val="18"/>
                      <w:highlight w:val="none"/>
                      <w:lang w:val="en-US" w:eastAsia="zh-CN"/>
                    </w:rPr>
                    <w:t>，</w:t>
                  </w:r>
                  <w:r>
                    <w:rPr>
                      <w:rFonts w:hint="eastAsia"/>
                      <w:color w:val="auto"/>
                      <w:kern w:val="0"/>
                      <w:sz w:val="18"/>
                      <w:szCs w:val="18"/>
                      <w:highlight w:val="none"/>
                      <w:lang w:val="en-US" w:eastAsia="zh-CN"/>
                    </w:rPr>
                    <w:t>租赁</w:t>
                  </w:r>
                  <w:r>
                    <w:rPr>
                      <w:rFonts w:hint="eastAsia"/>
                      <w:color w:val="auto"/>
                      <w:kern w:val="0"/>
                      <w:sz w:val="18"/>
                      <w:szCs w:val="18"/>
                      <w:highlight w:val="none"/>
                    </w:rPr>
                    <w:t>面积</w:t>
                  </w:r>
                  <w:r>
                    <w:rPr>
                      <w:rFonts w:hint="eastAsia"/>
                      <w:color w:val="auto"/>
                      <w:kern w:val="0"/>
                      <w:sz w:val="18"/>
                      <w:szCs w:val="18"/>
                      <w:highlight w:val="none"/>
                      <w:lang w:val="en-US" w:eastAsia="zh-CN"/>
                    </w:rPr>
                    <w:t>2000</w:t>
                  </w:r>
                  <w:r>
                    <w:rPr>
                      <w:rFonts w:hint="eastAsia"/>
                      <w:color w:val="auto"/>
                      <w:kern w:val="0"/>
                      <w:sz w:val="18"/>
                      <w:szCs w:val="18"/>
                      <w:highlight w:val="none"/>
                    </w:rPr>
                    <w:t>m</w:t>
                  </w:r>
                  <w:r>
                    <w:rPr>
                      <w:rFonts w:hint="eastAsia"/>
                      <w:color w:val="auto"/>
                      <w:kern w:val="0"/>
                      <w:sz w:val="18"/>
                      <w:szCs w:val="18"/>
                      <w:highlight w:val="none"/>
                      <w:vertAlign w:val="superscript"/>
                    </w:rPr>
                    <w:t>2</w:t>
                  </w:r>
                  <w:r>
                    <w:rPr>
                      <w:rFonts w:hint="eastAsia"/>
                      <w:color w:val="auto"/>
                      <w:kern w:val="0"/>
                      <w:sz w:val="18"/>
                      <w:szCs w:val="18"/>
                      <w:highlight w:val="none"/>
                      <w:vertAlign w:val="baseline"/>
                      <w:lang w:eastAsia="zh-CN"/>
                    </w:rPr>
                    <w:t>，</w:t>
                  </w:r>
                  <w:r>
                    <w:rPr>
                      <w:rFonts w:hint="eastAsia"/>
                      <w:color w:val="auto"/>
                      <w:kern w:val="0"/>
                      <w:sz w:val="18"/>
                      <w:szCs w:val="18"/>
                      <w:highlight w:val="none"/>
                      <w:vertAlign w:val="baseline"/>
                      <w:lang w:val="en-US" w:eastAsia="zh-CN"/>
                    </w:rPr>
                    <w:t>剩余区域为福建禾融彩虹玻璃有限公司生产区域。</w:t>
                  </w:r>
                  <w:r>
                    <w:rPr>
                      <w:rFonts w:hint="eastAsia"/>
                      <w:color w:val="auto"/>
                      <w:sz w:val="18"/>
                      <w:szCs w:val="18"/>
                      <w:highlight w:val="none"/>
                    </w:rPr>
                    <w:t>本工程主要进行室内装修</w:t>
                  </w:r>
                  <w:r>
                    <w:rPr>
                      <w:rFonts w:hint="eastAsia"/>
                      <w:color w:val="auto"/>
                      <w:sz w:val="18"/>
                      <w:szCs w:val="18"/>
                      <w:highlight w:val="none"/>
                      <w:lang w:eastAsia="zh-CN"/>
                    </w:rPr>
                    <w:t>，</w:t>
                  </w:r>
                  <w:r>
                    <w:rPr>
                      <w:rFonts w:hint="eastAsia" w:ascii="Times New Roman" w:hAnsi="Times New Roman" w:eastAsia="宋体"/>
                      <w:color w:val="auto"/>
                      <w:sz w:val="18"/>
                      <w:szCs w:val="18"/>
                      <w:highlight w:val="none"/>
                      <w:lang w:val="en-US" w:eastAsia="zh-CN"/>
                    </w:rPr>
                    <w:t>新增设备</w:t>
                  </w:r>
                  <w:r>
                    <w:rPr>
                      <w:rFonts w:hint="eastAsia"/>
                      <w:color w:val="auto"/>
                      <w:sz w:val="18"/>
                      <w:szCs w:val="18"/>
                      <w:highlight w:val="none"/>
                      <w:lang w:val="en-US" w:eastAsia="zh-CN"/>
                    </w:rPr>
                    <w:t>。鉴于本项目与相邻企业同层布置，为满足生产独立性与消防安全要求，本项目将在租赁区域边界设置物理隔断，并配套安装防火门，确保建成后与福建禾融彩虹玻璃有限公司的生产区域完全分隔，互不干扰。</w:t>
                  </w:r>
                </w:p>
              </w:tc>
            </w:tr>
            <w:tr w14:paraId="24BA2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594" w:type="dxa"/>
                  <w:vMerge w:val="restart"/>
                  <w:noWrap w:val="0"/>
                  <w:vAlign w:val="center"/>
                </w:tcPr>
                <w:p w14:paraId="630ED32F">
                  <w:pPr>
                    <w:autoSpaceDE w:val="0"/>
                    <w:autoSpaceDN w:val="0"/>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highlight w:val="none"/>
                    </w:rPr>
                    <w:t>辅助</w:t>
                  </w:r>
                  <w:r>
                    <w:rPr>
                      <w:rFonts w:hint="eastAsia" w:ascii="Times New Roman" w:hAnsi="Times New Roman" w:eastAsia="宋体"/>
                      <w:color w:val="auto"/>
                      <w:sz w:val="18"/>
                      <w:szCs w:val="18"/>
                      <w:highlight w:val="none"/>
                      <w:lang w:val="en-US" w:eastAsia="zh-CN"/>
                    </w:rPr>
                    <w:t>及仓储</w:t>
                  </w:r>
                  <w:r>
                    <w:rPr>
                      <w:rFonts w:ascii="Times New Roman" w:hAnsi="Times New Roman" w:eastAsia="宋体"/>
                      <w:color w:val="auto"/>
                      <w:sz w:val="18"/>
                      <w:szCs w:val="18"/>
                      <w:highlight w:val="none"/>
                    </w:rPr>
                    <w:t>工程</w:t>
                  </w:r>
                </w:p>
              </w:tc>
              <w:tc>
                <w:tcPr>
                  <w:tcW w:w="1798" w:type="dxa"/>
                  <w:gridSpan w:val="2"/>
                  <w:noWrap w:val="0"/>
                  <w:vAlign w:val="center"/>
                </w:tcPr>
                <w:p w14:paraId="02DA3E31">
                  <w:pPr>
                    <w:tabs>
                      <w:tab w:val="left" w:pos="5088"/>
                    </w:tabs>
                    <w:spacing w:line="240" w:lineRule="auto"/>
                    <w:jc w:val="center"/>
                    <w:rPr>
                      <w:rFonts w:hint="eastAsia"/>
                      <w:color w:val="auto"/>
                      <w:sz w:val="18"/>
                      <w:szCs w:val="18"/>
                      <w:lang w:val="en-US" w:eastAsia="zh-CN"/>
                    </w:rPr>
                  </w:pPr>
                  <w:r>
                    <w:rPr>
                      <w:rFonts w:hint="eastAsia"/>
                      <w:color w:val="auto"/>
                      <w:sz w:val="18"/>
                      <w:szCs w:val="18"/>
                      <w:lang w:val="en-US" w:eastAsia="zh-CN"/>
                    </w:rPr>
                    <w:t>原料区</w:t>
                  </w:r>
                </w:p>
              </w:tc>
              <w:tc>
                <w:tcPr>
                  <w:tcW w:w="2508" w:type="dxa"/>
                  <w:noWrap w:val="0"/>
                  <w:vAlign w:val="center"/>
                </w:tcPr>
                <w:p w14:paraId="0CE8F6B1">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特种玻璃原料区（厂房五一层北侧用于硼硅原片、高铝原片、PVB膜片、PC板原料存放）；塑料密封件原料区（厂房五三层西侧用于塑料粒子、3M胶带等原料的存放）</w:t>
                  </w:r>
                </w:p>
              </w:tc>
              <w:tc>
                <w:tcPr>
                  <w:tcW w:w="2886" w:type="dxa"/>
                  <w:noWrap w:val="0"/>
                  <w:vAlign w:val="center"/>
                </w:tcPr>
                <w:p w14:paraId="5A1FC395">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注塑件原料区（厂房五一层南侧，用于PBT、PA6/PA66、PC/ABS、PP塑料粒子等原料的存放）；下卡条原料区（铝带、TPV、PP、PVC塑料粒子等原料的存放）；钣金件原料区（厂房四一层南侧，用于金属钣金材料的存放）</w:t>
                  </w:r>
                </w:p>
              </w:tc>
              <w:tc>
                <w:tcPr>
                  <w:tcW w:w="2447" w:type="dxa"/>
                  <w:noWrap w:val="0"/>
                  <w:vAlign w:val="center"/>
                </w:tcPr>
                <w:p w14:paraId="460BF3E8">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特种玻璃原料区、塑料密封件原料区、注塑件原料区、下卡条原料区、钣金件原料区</w:t>
                  </w:r>
                </w:p>
              </w:tc>
              <w:tc>
                <w:tcPr>
                  <w:tcW w:w="2443" w:type="dxa"/>
                  <w:noWrap w:val="0"/>
                  <w:vAlign w:val="center"/>
                </w:tcPr>
                <w:p w14:paraId="3EE2733D">
                  <w:pPr>
                    <w:autoSpaceDE w:val="0"/>
                    <w:autoSpaceDN w:val="0"/>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新增注塑件原料区、下卡条原料区、钣金件原料区</w:t>
                  </w:r>
                </w:p>
              </w:tc>
            </w:tr>
            <w:tr w14:paraId="4DFDB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94" w:type="dxa"/>
                  <w:vMerge w:val="continue"/>
                  <w:noWrap w:val="0"/>
                  <w:vAlign w:val="center"/>
                </w:tcPr>
                <w:p w14:paraId="5F024975">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064C2DBF">
                  <w:pPr>
                    <w:tabs>
                      <w:tab w:val="left" w:pos="5088"/>
                    </w:tabs>
                    <w:spacing w:line="240" w:lineRule="auto"/>
                    <w:jc w:val="center"/>
                    <w:rPr>
                      <w:rFonts w:hint="eastAsia"/>
                      <w:color w:val="auto"/>
                      <w:sz w:val="18"/>
                      <w:szCs w:val="18"/>
                      <w:highlight w:val="none"/>
                      <w:lang w:val="en-US" w:eastAsia="zh-CN"/>
                    </w:rPr>
                  </w:pPr>
                  <w:r>
                    <w:rPr>
                      <w:rFonts w:hint="eastAsia"/>
                      <w:color w:val="auto"/>
                      <w:sz w:val="18"/>
                      <w:szCs w:val="18"/>
                      <w:highlight w:val="none"/>
                      <w:lang w:val="en-US" w:eastAsia="zh-CN"/>
                    </w:rPr>
                    <w:t>成品区</w:t>
                  </w:r>
                </w:p>
              </w:tc>
              <w:tc>
                <w:tcPr>
                  <w:tcW w:w="2508" w:type="dxa"/>
                  <w:noWrap w:val="0"/>
                  <w:vAlign w:val="center"/>
                </w:tcPr>
                <w:p w14:paraId="3F7F748A">
                  <w:pPr>
                    <w:autoSpaceDE w:val="0"/>
                    <w:autoSpaceDN w:val="0"/>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特种玻璃成品区（厂房五一层北侧，用于特种玻璃成品的存放）；塑料密封件成品区（厂房五三层北侧，用于下卡条成品的存放）</w:t>
                  </w:r>
                </w:p>
              </w:tc>
              <w:tc>
                <w:tcPr>
                  <w:tcW w:w="2886" w:type="dxa"/>
                  <w:noWrap w:val="0"/>
                  <w:vAlign w:val="center"/>
                </w:tcPr>
                <w:p w14:paraId="0EE4FC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注塑件成品区（厂房五一层北侧，用于注塑件成品的存放）、下卡条区成品区（厂房五二层东侧，用于下卡条成品的存放）、钣金件成品区（厂房四一层南侧，用于润滑油、焊丝的存放）</w:t>
                  </w:r>
                </w:p>
              </w:tc>
              <w:tc>
                <w:tcPr>
                  <w:tcW w:w="2447" w:type="dxa"/>
                  <w:noWrap w:val="0"/>
                  <w:vAlign w:val="center"/>
                </w:tcPr>
                <w:p w14:paraId="244FC782">
                  <w:pPr>
                    <w:spacing w:line="240" w:lineRule="auto"/>
                    <w:jc w:val="center"/>
                    <w:rPr>
                      <w:rFonts w:hint="eastAsia"/>
                      <w:color w:val="auto"/>
                      <w:sz w:val="18"/>
                      <w:szCs w:val="18"/>
                      <w:highlight w:val="none"/>
                      <w:lang w:val="en-US" w:eastAsia="zh-CN"/>
                    </w:rPr>
                  </w:pPr>
                  <w:r>
                    <w:rPr>
                      <w:rFonts w:hint="eastAsia"/>
                      <w:color w:val="auto"/>
                      <w:sz w:val="18"/>
                      <w:szCs w:val="18"/>
                      <w:lang w:val="en-US" w:eastAsia="zh-CN"/>
                    </w:rPr>
                    <w:t>特种玻璃成品区、塑料密封件成品区、注塑件成品区、下卡条成品区、钣金件成品区</w:t>
                  </w:r>
                </w:p>
              </w:tc>
              <w:tc>
                <w:tcPr>
                  <w:tcW w:w="2443" w:type="dxa"/>
                  <w:noWrap w:val="0"/>
                  <w:vAlign w:val="center"/>
                </w:tcPr>
                <w:p w14:paraId="1F6AB2F4">
                  <w:pPr>
                    <w:autoSpaceDE w:val="0"/>
                    <w:autoSpaceDN w:val="0"/>
                    <w:adjustRightInd w:val="0"/>
                    <w:snapToGrid w:val="0"/>
                    <w:spacing w:line="240" w:lineRule="auto"/>
                    <w:jc w:val="center"/>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新增</w:t>
                  </w:r>
                  <w:r>
                    <w:rPr>
                      <w:rFonts w:hint="eastAsia"/>
                      <w:color w:val="auto"/>
                      <w:sz w:val="18"/>
                      <w:szCs w:val="18"/>
                      <w:lang w:val="en-US" w:eastAsia="zh-CN"/>
                    </w:rPr>
                    <w:t>注塑件成品区、下卡条成品区、钣金件成品区</w:t>
                  </w:r>
                </w:p>
              </w:tc>
            </w:tr>
            <w:tr w14:paraId="7515F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594" w:type="dxa"/>
                  <w:vMerge w:val="continue"/>
                  <w:noWrap w:val="0"/>
                  <w:vAlign w:val="center"/>
                </w:tcPr>
                <w:p w14:paraId="53E90D4E">
                  <w:pPr>
                    <w:autoSpaceDE w:val="0"/>
                    <w:autoSpaceDN w:val="0"/>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06293404">
                  <w:pPr>
                    <w:autoSpaceDE w:val="0"/>
                    <w:autoSpaceDN w:val="0"/>
                    <w:adjustRightInd w:val="0"/>
                    <w:snapToGrid w:val="0"/>
                    <w:spacing w:line="240" w:lineRule="auto"/>
                    <w:jc w:val="center"/>
                    <w:rPr>
                      <w:rFonts w:hint="eastAsia" w:ascii="宋体" w:hAnsi="宋体" w:cs="宋体"/>
                      <w:color w:val="auto"/>
                      <w:kern w:val="0"/>
                      <w:sz w:val="18"/>
                      <w:szCs w:val="18"/>
                      <w:highlight w:val="none"/>
                      <w:lang w:eastAsia="zh-CN" w:bidi="ar"/>
                    </w:rPr>
                  </w:pPr>
                  <w:r>
                    <w:rPr>
                      <w:rFonts w:hint="eastAsia" w:ascii="宋体" w:hAnsi="宋体" w:cs="宋体"/>
                      <w:color w:val="auto"/>
                      <w:kern w:val="0"/>
                      <w:sz w:val="18"/>
                      <w:szCs w:val="18"/>
                      <w:highlight w:val="none"/>
                      <w:lang w:eastAsia="zh-CN" w:bidi="ar"/>
                    </w:rPr>
                    <w:t>辅料</w:t>
                  </w:r>
                  <w:r>
                    <w:rPr>
                      <w:rFonts w:hint="eastAsia" w:ascii="宋体" w:hAnsi="宋体" w:cs="宋体"/>
                      <w:color w:val="auto"/>
                      <w:kern w:val="0"/>
                      <w:sz w:val="18"/>
                      <w:szCs w:val="18"/>
                      <w:highlight w:val="none"/>
                      <w:lang w:val="en-US" w:eastAsia="zh-CN" w:bidi="ar"/>
                    </w:rPr>
                    <w:t>区</w:t>
                  </w:r>
                </w:p>
              </w:tc>
              <w:tc>
                <w:tcPr>
                  <w:tcW w:w="2508" w:type="dxa"/>
                  <w:noWrap w:val="0"/>
                  <w:vAlign w:val="center"/>
                </w:tcPr>
                <w:p w14:paraId="5256D6FF">
                  <w:pPr>
                    <w:tabs>
                      <w:tab w:val="left" w:pos="5088"/>
                    </w:tabs>
                    <w:spacing w:line="240" w:lineRule="auto"/>
                    <w:jc w:val="center"/>
                    <w:rPr>
                      <w:rFonts w:hint="eastAsia"/>
                      <w:color w:val="auto"/>
                      <w:sz w:val="18"/>
                      <w:szCs w:val="18"/>
                      <w:highlight w:val="none"/>
                      <w:lang w:val="en-US" w:eastAsia="zh-CN"/>
                    </w:rPr>
                  </w:pPr>
                  <w:r>
                    <w:rPr>
                      <w:rFonts w:hint="eastAsia" w:hAnsi="宋体"/>
                      <w:color w:val="auto"/>
                      <w:sz w:val="18"/>
                      <w:szCs w:val="18"/>
                      <w:highlight w:val="none"/>
                      <w:lang w:val="en-US" w:eastAsia="zh-CN"/>
                    </w:rPr>
                    <w:t>/</w:t>
                  </w:r>
                </w:p>
              </w:tc>
              <w:tc>
                <w:tcPr>
                  <w:tcW w:w="2886" w:type="dxa"/>
                  <w:noWrap w:val="0"/>
                  <w:vAlign w:val="center"/>
                </w:tcPr>
                <w:p w14:paraId="5CAF5E18">
                  <w:pPr>
                    <w:tabs>
                      <w:tab w:val="left" w:pos="5088"/>
                    </w:tabs>
                    <w:spacing w:line="240" w:lineRule="auto"/>
                    <w:jc w:val="center"/>
                    <w:rPr>
                      <w:rFonts w:hint="default" w:ascii="Times New Roman" w:hAnsi="Times New Roman" w:eastAsia="宋体"/>
                      <w:color w:val="auto"/>
                      <w:sz w:val="18"/>
                      <w:szCs w:val="18"/>
                      <w:highlight w:val="none"/>
                      <w:lang w:val="en-US" w:eastAsia="zh-CN"/>
                    </w:rPr>
                  </w:pPr>
                  <w:r>
                    <w:rPr>
                      <w:rFonts w:hint="eastAsia" w:hAnsi="宋体"/>
                      <w:color w:val="auto"/>
                      <w:sz w:val="18"/>
                      <w:szCs w:val="18"/>
                      <w:highlight w:val="none"/>
                      <w:lang w:val="en-US" w:eastAsia="zh-CN"/>
                    </w:rPr>
                    <w:t>下卡条辅料区（</w:t>
                  </w:r>
                  <w:r>
                    <w:rPr>
                      <w:rFonts w:hint="eastAsia"/>
                      <w:color w:val="auto"/>
                      <w:sz w:val="18"/>
                      <w:szCs w:val="18"/>
                      <w:lang w:val="en-US" w:eastAsia="zh-CN"/>
                    </w:rPr>
                    <w:t>厂房五二层西侧，用于铝带底涂剂、PP底涂剂的存放</w:t>
                  </w:r>
                  <w:r>
                    <w:rPr>
                      <w:rFonts w:hint="eastAsia" w:hAnsi="宋体"/>
                      <w:color w:val="auto"/>
                      <w:sz w:val="18"/>
                      <w:szCs w:val="18"/>
                      <w:highlight w:val="none"/>
                      <w:lang w:val="en-US" w:eastAsia="zh-CN"/>
                    </w:rPr>
                    <w:t>）；钣金件辅料区（</w:t>
                  </w:r>
                  <w:r>
                    <w:rPr>
                      <w:rFonts w:hint="eastAsia"/>
                      <w:color w:val="auto"/>
                      <w:sz w:val="18"/>
                      <w:szCs w:val="18"/>
                      <w:highlight w:val="none"/>
                      <w:lang w:val="en-US" w:eastAsia="zh-CN"/>
                    </w:rPr>
                    <w:t>位于厂房四一层南侧，用于润滑油、液压油、焊丝的存放</w:t>
                  </w:r>
                  <w:r>
                    <w:rPr>
                      <w:rFonts w:hint="eastAsia" w:hAnsi="宋体"/>
                      <w:color w:val="auto"/>
                      <w:sz w:val="18"/>
                      <w:szCs w:val="18"/>
                      <w:highlight w:val="none"/>
                      <w:lang w:val="en-US" w:eastAsia="zh-CN"/>
                    </w:rPr>
                    <w:t>）</w:t>
                  </w:r>
                </w:p>
              </w:tc>
              <w:tc>
                <w:tcPr>
                  <w:tcW w:w="2447" w:type="dxa"/>
                  <w:noWrap w:val="0"/>
                  <w:vAlign w:val="center"/>
                </w:tcPr>
                <w:p w14:paraId="268FDDBA">
                  <w:pPr>
                    <w:tabs>
                      <w:tab w:val="left" w:pos="5088"/>
                    </w:tabs>
                    <w:spacing w:line="240" w:lineRule="auto"/>
                    <w:jc w:val="center"/>
                    <w:rPr>
                      <w:rFonts w:hint="default"/>
                      <w:color w:val="auto"/>
                      <w:sz w:val="18"/>
                      <w:szCs w:val="18"/>
                      <w:highlight w:val="yellow"/>
                      <w:lang w:val="en-US" w:eastAsia="zh-CN"/>
                    </w:rPr>
                  </w:pPr>
                  <w:r>
                    <w:rPr>
                      <w:rFonts w:hint="eastAsia"/>
                      <w:color w:val="auto"/>
                      <w:sz w:val="18"/>
                      <w:szCs w:val="18"/>
                      <w:lang w:val="en-US" w:eastAsia="zh-CN"/>
                    </w:rPr>
                    <w:t>下卡条辅料区、钣金件辅料区</w:t>
                  </w:r>
                </w:p>
              </w:tc>
              <w:tc>
                <w:tcPr>
                  <w:tcW w:w="2443" w:type="dxa"/>
                  <w:noWrap w:val="0"/>
                  <w:vAlign w:val="center"/>
                </w:tcPr>
                <w:p w14:paraId="4B0B7A9B">
                  <w:pPr>
                    <w:autoSpaceDE w:val="0"/>
                    <w:autoSpaceDN w:val="0"/>
                    <w:adjustRightInd w:val="0"/>
                    <w:snapToGrid w:val="0"/>
                    <w:spacing w:line="240" w:lineRule="auto"/>
                    <w:jc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新增下卡条辅料区、钣金件辅料区</w:t>
                  </w:r>
                </w:p>
              </w:tc>
            </w:tr>
            <w:tr w14:paraId="218EC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noWrap w:val="0"/>
                  <w:vAlign w:val="center"/>
                </w:tcPr>
                <w:p w14:paraId="401D10AC">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公用</w:t>
                  </w:r>
                </w:p>
                <w:p w14:paraId="384C1990">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工程</w:t>
                  </w:r>
                </w:p>
              </w:tc>
              <w:tc>
                <w:tcPr>
                  <w:tcW w:w="1798" w:type="dxa"/>
                  <w:gridSpan w:val="2"/>
                  <w:noWrap w:val="0"/>
                  <w:vAlign w:val="center"/>
                </w:tcPr>
                <w:p w14:paraId="40CFDDD3">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供水</w:t>
                  </w:r>
                </w:p>
              </w:tc>
              <w:tc>
                <w:tcPr>
                  <w:tcW w:w="2508" w:type="dxa"/>
                  <w:noWrap w:val="0"/>
                  <w:vAlign w:val="center"/>
                </w:tcPr>
                <w:p w14:paraId="15EC508B">
                  <w:pPr>
                    <w:tabs>
                      <w:tab w:val="left" w:pos="5088"/>
                    </w:tabs>
                    <w:spacing w:line="240" w:lineRule="auto"/>
                    <w:jc w:val="center"/>
                    <w:rPr>
                      <w:rFonts w:ascii="Times New Roman" w:hAnsi="Times New Roman" w:eastAsia="宋体"/>
                      <w:color w:val="auto"/>
                      <w:sz w:val="18"/>
                      <w:szCs w:val="18"/>
                    </w:rPr>
                  </w:pPr>
                  <w:r>
                    <w:rPr>
                      <w:rFonts w:hAnsi="宋体" w:eastAsia="宋体"/>
                      <w:color w:val="auto"/>
                      <w:sz w:val="18"/>
                      <w:szCs w:val="18"/>
                    </w:rPr>
                    <w:t>由市政管网供给</w:t>
                  </w:r>
                </w:p>
              </w:tc>
              <w:tc>
                <w:tcPr>
                  <w:tcW w:w="2886" w:type="dxa"/>
                  <w:noWrap w:val="0"/>
                  <w:vAlign w:val="center"/>
                </w:tcPr>
                <w:p w14:paraId="57A2AECF">
                  <w:pPr>
                    <w:adjustRightInd w:val="0"/>
                    <w:snapToGrid w:val="0"/>
                    <w:spacing w:line="240" w:lineRule="auto"/>
                    <w:jc w:val="center"/>
                    <w:rPr>
                      <w:rFonts w:hint="default" w:ascii="Times New Roman" w:hAnsi="Times New Roman" w:eastAsia="宋体"/>
                      <w:color w:val="auto"/>
                      <w:sz w:val="18"/>
                      <w:szCs w:val="18"/>
                      <w:lang w:val="en-US" w:eastAsia="zh-CN"/>
                    </w:rPr>
                  </w:pPr>
                  <w:r>
                    <w:rPr>
                      <w:rFonts w:hAnsi="宋体" w:eastAsia="宋体"/>
                      <w:color w:val="auto"/>
                      <w:sz w:val="18"/>
                      <w:szCs w:val="18"/>
                    </w:rPr>
                    <w:t>由市政管网供</w:t>
                  </w:r>
                  <w:r>
                    <w:rPr>
                      <w:rFonts w:hint="eastAsia" w:hAnsi="宋体" w:eastAsia="宋体"/>
                      <w:color w:val="auto"/>
                      <w:sz w:val="18"/>
                      <w:szCs w:val="18"/>
                      <w:lang w:eastAsia="zh-CN"/>
                    </w:rPr>
                    <w:t>给</w:t>
                  </w:r>
                  <w:r>
                    <w:rPr>
                      <w:rFonts w:hint="eastAsia" w:hAnsi="宋体"/>
                      <w:color w:val="auto"/>
                      <w:sz w:val="18"/>
                      <w:szCs w:val="18"/>
                      <w:lang w:eastAsia="zh-CN"/>
                    </w:rPr>
                    <w:t>，</w:t>
                  </w:r>
                  <w:r>
                    <w:rPr>
                      <w:rFonts w:hint="eastAsia" w:hAnsi="宋体"/>
                      <w:color w:val="auto"/>
                      <w:sz w:val="18"/>
                      <w:szCs w:val="18"/>
                      <w:lang w:val="en-US" w:eastAsia="zh-CN"/>
                    </w:rPr>
                    <w:t>新增用水</w:t>
                  </w:r>
                </w:p>
              </w:tc>
              <w:tc>
                <w:tcPr>
                  <w:tcW w:w="2447" w:type="dxa"/>
                  <w:noWrap w:val="0"/>
                  <w:vAlign w:val="center"/>
                </w:tcPr>
                <w:p w14:paraId="30A4F4D7">
                  <w:pPr>
                    <w:tabs>
                      <w:tab w:val="left" w:pos="5088"/>
                    </w:tabs>
                    <w:spacing w:line="240" w:lineRule="auto"/>
                    <w:jc w:val="center"/>
                    <w:rPr>
                      <w:rFonts w:hint="eastAsia" w:ascii="Times New Roman" w:hAnsi="Times New Roman" w:eastAsia="宋体"/>
                      <w:color w:val="auto"/>
                      <w:sz w:val="18"/>
                      <w:szCs w:val="18"/>
                      <w:lang w:val="en-US" w:eastAsia="zh-CN"/>
                    </w:rPr>
                  </w:pPr>
                  <w:r>
                    <w:rPr>
                      <w:rFonts w:hAnsi="宋体" w:eastAsia="宋体"/>
                      <w:color w:val="auto"/>
                      <w:sz w:val="18"/>
                      <w:szCs w:val="18"/>
                    </w:rPr>
                    <w:t>由市政管网供</w:t>
                  </w:r>
                  <w:r>
                    <w:rPr>
                      <w:rFonts w:hint="eastAsia" w:hAnsi="宋体" w:eastAsia="宋体"/>
                      <w:color w:val="auto"/>
                      <w:sz w:val="18"/>
                      <w:szCs w:val="18"/>
                      <w:lang w:eastAsia="zh-CN"/>
                    </w:rPr>
                    <w:t>给</w:t>
                  </w:r>
                </w:p>
              </w:tc>
              <w:tc>
                <w:tcPr>
                  <w:tcW w:w="2443" w:type="dxa"/>
                  <w:noWrap w:val="0"/>
                  <w:vAlign w:val="center"/>
                </w:tcPr>
                <w:p w14:paraId="3AA8A6BB">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lang w:val="en-US" w:eastAsia="zh-CN"/>
                    </w:rPr>
                    <w:t>依托现有</w:t>
                  </w:r>
                  <w:r>
                    <w:rPr>
                      <w:rFonts w:hint="eastAsia" w:hAnsi="宋体"/>
                      <w:color w:val="auto"/>
                      <w:sz w:val="18"/>
                      <w:szCs w:val="18"/>
                      <w:lang w:eastAsia="zh-CN"/>
                    </w:rPr>
                    <w:t>，</w:t>
                  </w:r>
                  <w:r>
                    <w:rPr>
                      <w:rFonts w:hint="eastAsia" w:hAnsi="宋体"/>
                      <w:color w:val="auto"/>
                      <w:sz w:val="18"/>
                      <w:szCs w:val="18"/>
                      <w:lang w:val="en-US" w:eastAsia="zh-CN"/>
                    </w:rPr>
                    <w:t>新增用水</w:t>
                  </w:r>
                </w:p>
              </w:tc>
            </w:tr>
            <w:tr w14:paraId="4C352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2F29401E">
                  <w:pPr>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2984BB5A">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排水</w:t>
                  </w:r>
                </w:p>
              </w:tc>
              <w:tc>
                <w:tcPr>
                  <w:tcW w:w="2508" w:type="dxa"/>
                  <w:noWrap w:val="0"/>
                  <w:vAlign w:val="center"/>
                </w:tcPr>
                <w:p w14:paraId="6D3FBB08">
                  <w:pPr>
                    <w:adjustRightInd w:val="0"/>
                    <w:snapToGrid w:val="0"/>
                    <w:spacing w:line="240" w:lineRule="auto"/>
                    <w:jc w:val="center"/>
                    <w:rPr>
                      <w:rFonts w:ascii="Times New Roman" w:hAnsi="Times New Roman" w:eastAsia="宋体"/>
                      <w:color w:val="auto"/>
                      <w:sz w:val="18"/>
                      <w:szCs w:val="18"/>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清洗废水经滤棉过滤和沉淀后排入福清市融元污水处理厂</w:t>
                  </w:r>
                </w:p>
              </w:tc>
              <w:tc>
                <w:tcPr>
                  <w:tcW w:w="2886" w:type="dxa"/>
                  <w:noWrap w:val="0"/>
                  <w:vAlign w:val="center"/>
                </w:tcPr>
                <w:p w14:paraId="22E3CDBF">
                  <w:pPr>
                    <w:adjustRightInd w:val="0"/>
                    <w:snapToGrid w:val="0"/>
                    <w:spacing w:line="240" w:lineRule="auto"/>
                    <w:jc w:val="center"/>
                    <w:rPr>
                      <w:rFonts w:hint="eastAsia" w:ascii="Times New Roman" w:hAnsi="Times New Roman" w:eastAsia="宋体"/>
                      <w:color w:val="auto"/>
                      <w:sz w:val="18"/>
                      <w:szCs w:val="18"/>
                      <w:lang w:val="en-US" w:eastAsia="zh-CN"/>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color w:val="auto"/>
                      <w:sz w:val="18"/>
                      <w:szCs w:val="18"/>
                      <w:lang w:val="en-US" w:eastAsia="zh-CN"/>
                    </w:rPr>
                    <w:t>新增</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p>
              </w:tc>
              <w:tc>
                <w:tcPr>
                  <w:tcW w:w="2447" w:type="dxa"/>
                  <w:noWrap w:val="0"/>
                  <w:vAlign w:val="center"/>
                </w:tcPr>
                <w:p w14:paraId="6F1E8927">
                  <w:pPr>
                    <w:tabs>
                      <w:tab w:val="left" w:pos="5088"/>
                    </w:tabs>
                    <w:spacing w:line="240" w:lineRule="auto"/>
                    <w:jc w:val="center"/>
                    <w:rPr>
                      <w:rFonts w:hint="eastAsia" w:ascii="Times New Roman" w:hAnsi="Times New Roman" w:eastAsia="宋体"/>
                      <w:color w:val="auto"/>
                      <w:sz w:val="18"/>
                      <w:szCs w:val="18"/>
                      <w:lang w:eastAsia="zh-CN"/>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清洗废水经滤棉过滤和沉淀后排入福清市融元污水处理厂</w:t>
                  </w:r>
                </w:p>
              </w:tc>
              <w:tc>
                <w:tcPr>
                  <w:tcW w:w="2443" w:type="dxa"/>
                  <w:noWrap w:val="0"/>
                  <w:vAlign w:val="center"/>
                </w:tcPr>
                <w:p w14:paraId="1F601E42">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生活污水</w:t>
                  </w:r>
                  <w:r>
                    <w:rPr>
                      <w:rFonts w:hint="eastAsia" w:ascii="Times New Roman" w:hAnsi="Times New Roman" w:eastAsia="宋体"/>
                      <w:color w:val="auto"/>
                      <w:sz w:val="18"/>
                      <w:szCs w:val="18"/>
                      <w:lang w:val="en-US" w:eastAsia="zh-CN"/>
                    </w:rPr>
                    <w:t>依托现有排水系统</w:t>
                  </w:r>
                  <w:r>
                    <w:rPr>
                      <w:rFonts w:hint="eastAsia"/>
                      <w:color w:val="auto"/>
                      <w:sz w:val="18"/>
                      <w:szCs w:val="18"/>
                      <w:lang w:val="en-US" w:eastAsia="zh-CN"/>
                    </w:rPr>
                    <w:t>，生活污水排放量增加</w:t>
                  </w:r>
                </w:p>
              </w:tc>
            </w:tr>
            <w:tr w14:paraId="5D6CA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7018B2DD">
                  <w:pPr>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5BA12D99">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供电</w:t>
                  </w:r>
                </w:p>
              </w:tc>
              <w:tc>
                <w:tcPr>
                  <w:tcW w:w="2508" w:type="dxa"/>
                  <w:noWrap w:val="0"/>
                  <w:vAlign w:val="center"/>
                </w:tcPr>
                <w:p w14:paraId="2CE73173">
                  <w:pPr>
                    <w:adjustRightInd w:val="0"/>
                    <w:snapToGrid w:val="0"/>
                    <w:spacing w:line="240" w:lineRule="auto"/>
                    <w:jc w:val="center"/>
                    <w:rPr>
                      <w:rFonts w:ascii="Times New Roman" w:hAnsi="Times New Roman" w:eastAsia="宋体"/>
                      <w:color w:val="auto"/>
                      <w:sz w:val="18"/>
                      <w:szCs w:val="18"/>
                    </w:rPr>
                  </w:pPr>
                  <w:r>
                    <w:rPr>
                      <w:rFonts w:hAnsi="宋体" w:eastAsia="宋体"/>
                      <w:color w:val="auto"/>
                      <w:sz w:val="18"/>
                      <w:szCs w:val="18"/>
                    </w:rPr>
                    <w:t>由市政电力网供应</w:t>
                  </w:r>
                </w:p>
              </w:tc>
              <w:tc>
                <w:tcPr>
                  <w:tcW w:w="2886" w:type="dxa"/>
                  <w:noWrap w:val="0"/>
                  <w:vAlign w:val="center"/>
                </w:tcPr>
                <w:p w14:paraId="684B0AD4">
                  <w:pPr>
                    <w:tabs>
                      <w:tab w:val="left" w:pos="5088"/>
                    </w:tabs>
                    <w:spacing w:line="240" w:lineRule="auto"/>
                    <w:jc w:val="center"/>
                    <w:rPr>
                      <w:rFonts w:hint="default" w:ascii="Times New Roman" w:hAnsi="Times New Roman" w:eastAsia="宋体"/>
                      <w:color w:val="auto"/>
                      <w:sz w:val="18"/>
                      <w:szCs w:val="18"/>
                      <w:lang w:val="en-US" w:eastAsia="zh-CN"/>
                    </w:rPr>
                  </w:pPr>
                  <w:r>
                    <w:rPr>
                      <w:rFonts w:hAnsi="宋体" w:eastAsia="宋体"/>
                      <w:color w:val="auto"/>
                      <w:sz w:val="18"/>
                      <w:szCs w:val="18"/>
                    </w:rPr>
                    <w:t>由市政电力网供应</w:t>
                  </w:r>
                  <w:r>
                    <w:rPr>
                      <w:rFonts w:hint="eastAsia" w:hAnsi="宋体"/>
                      <w:color w:val="auto"/>
                      <w:sz w:val="18"/>
                      <w:szCs w:val="18"/>
                      <w:lang w:eastAsia="zh-CN"/>
                    </w:rPr>
                    <w:t>，</w:t>
                  </w:r>
                  <w:r>
                    <w:rPr>
                      <w:rFonts w:hint="eastAsia" w:hAnsi="宋体"/>
                      <w:color w:val="auto"/>
                      <w:sz w:val="18"/>
                      <w:szCs w:val="18"/>
                      <w:lang w:val="en-US" w:eastAsia="zh-CN"/>
                    </w:rPr>
                    <w:t>新增用电</w:t>
                  </w:r>
                </w:p>
              </w:tc>
              <w:tc>
                <w:tcPr>
                  <w:tcW w:w="2447" w:type="dxa"/>
                  <w:noWrap w:val="0"/>
                  <w:vAlign w:val="center"/>
                </w:tcPr>
                <w:p w14:paraId="45DAFCE2">
                  <w:pPr>
                    <w:tabs>
                      <w:tab w:val="left" w:pos="5088"/>
                    </w:tabs>
                    <w:spacing w:line="240" w:lineRule="auto"/>
                    <w:jc w:val="center"/>
                    <w:rPr>
                      <w:rFonts w:hint="default" w:ascii="Times New Roman" w:hAnsi="Times New Roman" w:eastAsia="宋体"/>
                      <w:color w:val="auto"/>
                      <w:sz w:val="18"/>
                      <w:szCs w:val="18"/>
                      <w:lang w:val="en-US" w:eastAsia="zh-CN"/>
                    </w:rPr>
                  </w:pPr>
                  <w:r>
                    <w:rPr>
                      <w:rFonts w:hAnsi="宋体" w:eastAsia="宋体"/>
                      <w:color w:val="auto"/>
                      <w:sz w:val="18"/>
                      <w:szCs w:val="18"/>
                    </w:rPr>
                    <w:t>由市政电力网供应</w:t>
                  </w:r>
                </w:p>
              </w:tc>
              <w:tc>
                <w:tcPr>
                  <w:tcW w:w="2443" w:type="dxa"/>
                  <w:noWrap w:val="0"/>
                  <w:vAlign w:val="center"/>
                </w:tcPr>
                <w:p w14:paraId="79614C9F">
                  <w:pPr>
                    <w:adjustRightInd w:val="0"/>
                    <w:snapToGrid w:val="0"/>
                    <w:spacing w:line="240" w:lineRule="auto"/>
                    <w:jc w:val="center"/>
                    <w:rPr>
                      <w:rFonts w:hint="default" w:ascii="Times New Roman" w:hAnsi="Times New Roman" w:eastAsia="宋体"/>
                      <w:color w:val="auto"/>
                      <w:sz w:val="18"/>
                      <w:szCs w:val="18"/>
                      <w:lang w:val="en-US"/>
                    </w:rPr>
                  </w:pPr>
                  <w:r>
                    <w:rPr>
                      <w:rFonts w:hint="eastAsia" w:ascii="Times New Roman" w:hAnsi="Times New Roman" w:eastAsia="宋体"/>
                      <w:color w:val="auto"/>
                      <w:sz w:val="18"/>
                      <w:szCs w:val="18"/>
                      <w:lang w:val="en-US" w:eastAsia="zh-CN"/>
                    </w:rPr>
                    <w:t>依托现有</w:t>
                  </w:r>
                  <w:r>
                    <w:rPr>
                      <w:rFonts w:hint="eastAsia"/>
                      <w:color w:val="auto"/>
                      <w:sz w:val="18"/>
                      <w:szCs w:val="18"/>
                      <w:lang w:val="en-US" w:eastAsia="zh-CN"/>
                    </w:rPr>
                    <w:t>，新增用电</w:t>
                  </w:r>
                </w:p>
              </w:tc>
            </w:tr>
            <w:tr w14:paraId="310A3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1F08BD1F">
                  <w:pPr>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06867407">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员工食堂</w:t>
                  </w:r>
                </w:p>
              </w:tc>
              <w:tc>
                <w:tcPr>
                  <w:tcW w:w="2508" w:type="dxa"/>
                  <w:noWrap w:val="0"/>
                  <w:vAlign w:val="center"/>
                </w:tcPr>
                <w:p w14:paraId="7692FBAE">
                  <w:pPr>
                    <w:adjustRightInd w:val="0"/>
                    <w:snapToGrid w:val="0"/>
                    <w:spacing w:line="240" w:lineRule="auto"/>
                    <w:jc w:val="center"/>
                    <w:rPr>
                      <w:rFonts w:hint="default" w:hAnsi="宋体" w:eastAsia="宋体"/>
                      <w:color w:val="auto"/>
                      <w:sz w:val="18"/>
                      <w:szCs w:val="18"/>
                      <w:lang w:val="en-US" w:eastAsia="zh-CN"/>
                    </w:rPr>
                  </w:pPr>
                  <w:r>
                    <w:rPr>
                      <w:rFonts w:hint="eastAsia" w:hAnsi="宋体"/>
                      <w:color w:val="auto"/>
                      <w:sz w:val="18"/>
                      <w:szCs w:val="18"/>
                      <w:lang w:val="en-US" w:eastAsia="zh-CN"/>
                    </w:rPr>
                    <w:t>依托福建三锋汽配开发有限公司厂区食堂</w:t>
                  </w:r>
                </w:p>
              </w:tc>
              <w:tc>
                <w:tcPr>
                  <w:tcW w:w="2886" w:type="dxa"/>
                  <w:noWrap w:val="0"/>
                  <w:vAlign w:val="center"/>
                </w:tcPr>
                <w:p w14:paraId="40C14101">
                  <w:pPr>
                    <w:spacing w:line="240" w:lineRule="auto"/>
                    <w:jc w:val="center"/>
                    <w:rPr>
                      <w:rFonts w:hint="default" w:hAnsi="宋体" w:eastAsia="宋体"/>
                      <w:color w:val="auto"/>
                      <w:sz w:val="18"/>
                      <w:szCs w:val="18"/>
                      <w:lang w:val="en-US"/>
                    </w:rPr>
                  </w:pPr>
                  <w:r>
                    <w:rPr>
                      <w:rFonts w:hint="eastAsia" w:hAnsi="宋体"/>
                      <w:color w:val="auto"/>
                      <w:sz w:val="18"/>
                      <w:szCs w:val="18"/>
                      <w:lang w:val="en-US" w:eastAsia="zh-CN"/>
                    </w:rPr>
                    <w:t>依托福建三锋汽配开发有限公司厂区食堂，新增用餐人数</w:t>
                  </w:r>
                </w:p>
              </w:tc>
              <w:tc>
                <w:tcPr>
                  <w:tcW w:w="2447" w:type="dxa"/>
                  <w:noWrap w:val="0"/>
                  <w:vAlign w:val="center"/>
                </w:tcPr>
                <w:p w14:paraId="249A0BB0">
                  <w:pPr>
                    <w:spacing w:line="240" w:lineRule="auto"/>
                    <w:jc w:val="center"/>
                    <w:rPr>
                      <w:rFonts w:hAnsi="宋体" w:eastAsia="宋体"/>
                      <w:color w:val="auto"/>
                      <w:sz w:val="18"/>
                      <w:szCs w:val="18"/>
                    </w:rPr>
                  </w:pPr>
                  <w:r>
                    <w:rPr>
                      <w:rFonts w:hint="eastAsia" w:hAnsi="宋体"/>
                      <w:color w:val="auto"/>
                      <w:sz w:val="18"/>
                      <w:szCs w:val="18"/>
                      <w:lang w:val="en-US" w:eastAsia="zh-CN"/>
                    </w:rPr>
                    <w:t>依托福建三锋汽配开发有限公司厂区食堂</w:t>
                  </w:r>
                </w:p>
              </w:tc>
              <w:tc>
                <w:tcPr>
                  <w:tcW w:w="2443" w:type="dxa"/>
                  <w:noWrap w:val="0"/>
                  <w:vAlign w:val="center"/>
                </w:tcPr>
                <w:p w14:paraId="50C31667">
                  <w:pPr>
                    <w:adjustRightInd w:val="0"/>
                    <w:snapToGrid w:val="0"/>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依托现有，新增食堂用餐人数</w:t>
                  </w:r>
                </w:p>
              </w:tc>
            </w:tr>
            <w:tr w14:paraId="7615C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restart"/>
                  <w:noWrap w:val="0"/>
                  <w:vAlign w:val="center"/>
                </w:tcPr>
                <w:p w14:paraId="1D30E10B">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环保工程</w:t>
                  </w:r>
                </w:p>
              </w:tc>
              <w:tc>
                <w:tcPr>
                  <w:tcW w:w="580" w:type="dxa"/>
                  <w:vMerge w:val="restart"/>
                  <w:noWrap w:val="0"/>
                  <w:vAlign w:val="center"/>
                </w:tcPr>
                <w:p w14:paraId="4C24D24B">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废水治理</w:t>
                  </w:r>
                </w:p>
              </w:tc>
              <w:tc>
                <w:tcPr>
                  <w:tcW w:w="1218" w:type="dxa"/>
                  <w:noWrap w:val="0"/>
                  <w:vAlign w:val="center"/>
                </w:tcPr>
                <w:p w14:paraId="47CC926C">
                  <w:pPr>
                    <w:adjustRightInd w:val="0"/>
                    <w:snapToGrid w:val="0"/>
                    <w:spacing w:line="240" w:lineRule="auto"/>
                    <w:jc w:val="center"/>
                    <w:rPr>
                      <w:rFonts w:ascii="Times New Roman" w:hAnsi="Times New Roman" w:eastAsia="宋体"/>
                      <w:color w:val="auto"/>
                      <w:sz w:val="18"/>
                      <w:szCs w:val="18"/>
                    </w:rPr>
                  </w:pPr>
                  <w:r>
                    <w:rPr>
                      <w:rFonts w:hint="eastAsia" w:eastAsia="宋体"/>
                      <w:color w:val="auto"/>
                      <w:sz w:val="18"/>
                      <w:szCs w:val="18"/>
                    </w:rPr>
                    <w:t>生产废水</w:t>
                  </w:r>
                </w:p>
              </w:tc>
              <w:tc>
                <w:tcPr>
                  <w:tcW w:w="2508" w:type="dxa"/>
                  <w:noWrap w:val="0"/>
                  <w:vAlign w:val="center"/>
                </w:tcPr>
                <w:p w14:paraId="5EEE418B">
                  <w:pPr>
                    <w:adjustRightInd w:val="0"/>
                    <w:snapToGrid w:val="0"/>
                    <w:spacing w:line="240" w:lineRule="auto"/>
                    <w:jc w:val="center"/>
                    <w:rPr>
                      <w:rFonts w:hint="eastAsia" w:ascii="Times New Roman" w:hAnsi="Times New Roman" w:eastAsia="宋体"/>
                      <w:color w:val="auto"/>
                      <w:sz w:val="18"/>
                      <w:szCs w:val="18"/>
                      <w:lang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清洗废水经滤棉过滤和沉淀后排入福清市融元污水处理厂</w:t>
                  </w:r>
                </w:p>
              </w:tc>
              <w:tc>
                <w:tcPr>
                  <w:tcW w:w="2886" w:type="dxa"/>
                  <w:noWrap w:val="0"/>
                  <w:vAlign w:val="center"/>
                </w:tcPr>
                <w:p w14:paraId="5567C420">
                  <w:pPr>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冷却水循环使用定期补水，不外排</w:t>
                  </w:r>
                </w:p>
              </w:tc>
              <w:tc>
                <w:tcPr>
                  <w:tcW w:w="2447" w:type="dxa"/>
                  <w:noWrap w:val="0"/>
                  <w:vAlign w:val="center"/>
                </w:tcPr>
                <w:p w14:paraId="5620D4EC">
                  <w:pPr>
                    <w:spacing w:line="240" w:lineRule="auto"/>
                    <w:jc w:val="center"/>
                    <w:rPr>
                      <w:rFonts w:hint="eastAsia"/>
                      <w:color w:val="auto"/>
                      <w:sz w:val="18"/>
                      <w:szCs w:val="18"/>
                      <w:lang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清洗废水经滤棉过滤和沉淀后排入福清市融元污水处理厂</w:t>
                  </w:r>
                </w:p>
              </w:tc>
              <w:tc>
                <w:tcPr>
                  <w:tcW w:w="2443" w:type="dxa"/>
                  <w:noWrap w:val="0"/>
                  <w:vAlign w:val="center"/>
                </w:tcPr>
                <w:p w14:paraId="1B5FCE0C">
                  <w:pPr>
                    <w:adjustRightInd w:val="0"/>
                    <w:snapToGrid w:val="0"/>
                    <w:spacing w:line="240" w:lineRule="auto"/>
                    <w:jc w:val="center"/>
                    <w:rPr>
                      <w:rFonts w:hint="default"/>
                      <w:color w:val="auto"/>
                      <w:sz w:val="18"/>
                      <w:szCs w:val="18"/>
                      <w:lang w:val="en-US" w:eastAsia="zh-CN"/>
                    </w:rPr>
                  </w:pPr>
                  <w:r>
                    <w:rPr>
                      <w:rFonts w:hint="eastAsia"/>
                      <w:color w:val="auto"/>
                      <w:sz w:val="18"/>
                      <w:szCs w:val="18"/>
                      <w:lang w:val="en-US" w:eastAsia="zh-CN"/>
                    </w:rPr>
                    <w:t>新增冷却水用量</w:t>
                  </w:r>
                </w:p>
              </w:tc>
            </w:tr>
            <w:tr w14:paraId="7F2CD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2806FB12">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72BC9B49">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53BA1246">
                  <w:pPr>
                    <w:adjustRightInd w:val="0"/>
                    <w:snapToGrid w:val="0"/>
                    <w:spacing w:line="240" w:lineRule="auto"/>
                    <w:jc w:val="center"/>
                    <w:rPr>
                      <w:rFonts w:hint="default" w:ascii="Times New Roman" w:hAnsi="Times New Roman" w:eastAsia="宋体"/>
                      <w:color w:val="auto"/>
                      <w:sz w:val="18"/>
                      <w:szCs w:val="18"/>
                      <w:lang w:val="en-US" w:eastAsia="zh-CN"/>
                    </w:rPr>
                  </w:pPr>
                  <w:r>
                    <w:rPr>
                      <w:rFonts w:ascii="Times New Roman" w:hAnsi="Times New Roman" w:eastAsia="宋体"/>
                      <w:color w:val="auto"/>
                      <w:sz w:val="18"/>
                      <w:szCs w:val="18"/>
                    </w:rPr>
                    <w:t>生活污水</w:t>
                  </w:r>
                </w:p>
              </w:tc>
              <w:tc>
                <w:tcPr>
                  <w:tcW w:w="2508" w:type="dxa"/>
                  <w:noWrap w:val="0"/>
                  <w:vAlign w:val="center"/>
                </w:tcPr>
                <w:p w14:paraId="471776D6">
                  <w:pPr>
                    <w:adjustRightInd w:val="0"/>
                    <w:snapToGrid w:val="0"/>
                    <w:spacing w:line="240" w:lineRule="auto"/>
                    <w:jc w:val="center"/>
                    <w:rPr>
                      <w:rFonts w:hint="eastAsia" w:ascii="Times New Roman" w:hAnsi="Times New Roman" w:eastAsia="宋体"/>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2886" w:type="dxa"/>
                  <w:noWrap w:val="0"/>
                  <w:vAlign w:val="center"/>
                </w:tcPr>
                <w:p w14:paraId="4E81796D">
                  <w:pPr>
                    <w:tabs>
                      <w:tab w:val="left" w:pos="5088"/>
                    </w:tabs>
                    <w:spacing w:line="240" w:lineRule="auto"/>
                    <w:jc w:val="center"/>
                    <w:rPr>
                      <w:rFonts w:hint="eastAsia" w:ascii="Times New Roman" w:hAnsi="Times New Roman" w:eastAsia="宋体"/>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2447" w:type="dxa"/>
                  <w:noWrap w:val="0"/>
                  <w:vAlign w:val="center"/>
                </w:tcPr>
                <w:p w14:paraId="003A2F60">
                  <w:pPr>
                    <w:spacing w:line="240" w:lineRule="auto"/>
                    <w:jc w:val="center"/>
                    <w:rPr>
                      <w:rFonts w:hint="default" w:ascii="Times New Roman" w:hAnsi="Times New Roman" w:eastAsia="宋体"/>
                      <w:color w:val="auto"/>
                      <w:sz w:val="18"/>
                      <w:szCs w:val="18"/>
                      <w:lang w:val="en-US"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2443" w:type="dxa"/>
                  <w:noWrap w:val="0"/>
                  <w:vAlign w:val="center"/>
                </w:tcPr>
                <w:p w14:paraId="55C3EB70">
                  <w:pPr>
                    <w:tabs>
                      <w:tab w:val="left" w:pos="5088"/>
                    </w:tabs>
                    <w:spacing w:line="240" w:lineRule="auto"/>
                    <w:jc w:val="center"/>
                    <w:rPr>
                      <w:rFonts w:hint="eastAsia" w:ascii="Times New Roman" w:hAnsi="Times New Roman" w:eastAsia="宋体"/>
                      <w:color w:val="auto"/>
                      <w:sz w:val="18"/>
                      <w:szCs w:val="18"/>
                      <w:lang w:val="en-US" w:eastAsia="zh-CN"/>
                    </w:rPr>
                  </w:pPr>
                  <w:r>
                    <w:rPr>
                      <w:rFonts w:hint="eastAsia" w:eastAsia="宋体"/>
                      <w:color w:val="auto"/>
                      <w:sz w:val="18"/>
                      <w:szCs w:val="18"/>
                    </w:rPr>
                    <w:t>新增生活污水，</w:t>
                  </w:r>
                  <w:r>
                    <w:rPr>
                      <w:rFonts w:hint="eastAsia" w:hAnsi="宋体" w:eastAsia="宋体"/>
                      <w:color w:val="auto"/>
                      <w:sz w:val="18"/>
                      <w:szCs w:val="18"/>
                    </w:rPr>
                    <w:t>依托现有设施处理</w:t>
                  </w:r>
                </w:p>
              </w:tc>
            </w:tr>
            <w:tr w14:paraId="1EDD9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689C3AF3">
                  <w:pPr>
                    <w:adjustRightInd w:val="0"/>
                    <w:snapToGrid w:val="0"/>
                    <w:spacing w:line="240" w:lineRule="auto"/>
                    <w:jc w:val="center"/>
                    <w:rPr>
                      <w:rFonts w:ascii="Times New Roman" w:hAnsi="Times New Roman" w:eastAsia="宋体"/>
                      <w:color w:val="auto"/>
                      <w:sz w:val="18"/>
                      <w:szCs w:val="18"/>
                    </w:rPr>
                  </w:pPr>
                </w:p>
              </w:tc>
              <w:tc>
                <w:tcPr>
                  <w:tcW w:w="580" w:type="dxa"/>
                  <w:vMerge w:val="restart"/>
                  <w:noWrap w:val="0"/>
                  <w:vAlign w:val="center"/>
                </w:tcPr>
                <w:p w14:paraId="1A8117EB">
                  <w:pPr>
                    <w:adjustRightInd w:val="0"/>
                    <w:snapToGrid w:val="0"/>
                    <w:spacing w:line="240" w:lineRule="auto"/>
                    <w:jc w:val="center"/>
                    <w:rPr>
                      <w:rFonts w:ascii="Times New Roman" w:hAnsi="Times New Roman" w:eastAsia="宋体"/>
                      <w:color w:val="auto"/>
                      <w:sz w:val="18"/>
                      <w:szCs w:val="18"/>
                    </w:rPr>
                  </w:pPr>
                  <w:r>
                    <w:rPr>
                      <w:rFonts w:ascii="Times New Roman" w:hAnsi="Times New Roman" w:eastAsia="宋体"/>
                      <w:color w:val="auto"/>
                      <w:sz w:val="18"/>
                      <w:szCs w:val="18"/>
                    </w:rPr>
                    <w:t>废气治理</w:t>
                  </w:r>
                </w:p>
              </w:tc>
              <w:tc>
                <w:tcPr>
                  <w:tcW w:w="1218" w:type="dxa"/>
                  <w:noWrap w:val="0"/>
                  <w:vAlign w:val="center"/>
                </w:tcPr>
                <w:p w14:paraId="127B61B4">
                  <w:pPr>
                    <w:pStyle w:val="143"/>
                    <w:spacing w:line="240" w:lineRule="auto"/>
                    <w:rPr>
                      <w:rFonts w:hint="default" w:ascii="Times New Roman" w:hAnsi="Times New Roman" w:eastAsia="宋体"/>
                      <w:color w:val="auto"/>
                      <w:sz w:val="18"/>
                      <w:szCs w:val="18"/>
                      <w:highlight w:val="none"/>
                      <w:lang w:val="en-US"/>
                    </w:rPr>
                  </w:pPr>
                  <w:r>
                    <w:rPr>
                      <w:rFonts w:hint="eastAsia" w:ascii="Times New Roman"/>
                      <w:color w:val="auto"/>
                      <w:spacing w:val="0"/>
                      <w:w w:val="100"/>
                      <w:kern w:val="0"/>
                      <w:sz w:val="18"/>
                      <w:szCs w:val="18"/>
                      <w:highlight w:val="none"/>
                      <w:lang w:val="en-US" w:eastAsia="zh-CN"/>
                    </w:rPr>
                    <w:t>塑料密封件注塑废气</w:t>
                  </w:r>
                </w:p>
              </w:tc>
              <w:tc>
                <w:tcPr>
                  <w:tcW w:w="2508" w:type="dxa"/>
                  <w:noWrap w:val="0"/>
                  <w:vAlign w:val="center"/>
                </w:tcPr>
                <w:p w14:paraId="0A133E07">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塑料密封件注塑废气</w:t>
                  </w:r>
                  <w:r>
                    <w:rPr>
                      <w:rFonts w:hint="eastAsia"/>
                      <w:color w:val="auto"/>
                      <w:sz w:val="18"/>
                      <w:szCs w:val="18"/>
                      <w:highlight w:val="none"/>
                      <w:lang w:val="en-US" w:eastAsia="zh-CN"/>
                    </w:rPr>
                    <w:t>经UV光氧+活性炭吸附处理后通过25m高DA001排气筒排放</w:t>
                  </w:r>
                </w:p>
              </w:tc>
              <w:tc>
                <w:tcPr>
                  <w:tcW w:w="2886" w:type="dxa"/>
                  <w:noWrap w:val="0"/>
                  <w:vAlign w:val="center"/>
                </w:tcPr>
                <w:p w14:paraId="7F0EB099">
                  <w:pPr>
                    <w:spacing w:line="240" w:lineRule="auto"/>
                    <w:jc w:val="center"/>
                    <w:textAlignment w:val="center"/>
                    <w:rPr>
                      <w:rFonts w:hint="default"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塑料密封件注塑废气</w:t>
                  </w:r>
                  <w:r>
                    <w:rPr>
                      <w:rFonts w:hint="eastAsia"/>
                      <w:color w:val="auto"/>
                      <w:sz w:val="18"/>
                      <w:szCs w:val="18"/>
                      <w:highlight w:val="none"/>
                      <w:lang w:val="en-US" w:eastAsia="zh-CN"/>
                    </w:rPr>
                    <w:t>经二级活性炭吸附装置处理后通过25m高DA001排气筒排放</w:t>
                  </w:r>
                </w:p>
              </w:tc>
              <w:tc>
                <w:tcPr>
                  <w:tcW w:w="2447" w:type="dxa"/>
                  <w:noWrap w:val="0"/>
                  <w:vAlign w:val="center"/>
                </w:tcPr>
                <w:p w14:paraId="054822BC">
                  <w:pPr>
                    <w:pStyle w:val="8"/>
                    <w:adjustRightInd w:val="0"/>
                    <w:snapToGrid w:val="0"/>
                    <w:spacing w:line="240" w:lineRule="auto"/>
                    <w:ind w:firstLine="0"/>
                    <w:jc w:val="center"/>
                    <w:rPr>
                      <w:rFonts w:hint="eastAsia" w:ascii="Times New Roman" w:hAnsi="Times New Roman" w:eastAsia="宋体"/>
                      <w:color w:val="auto"/>
                      <w:sz w:val="18"/>
                      <w:szCs w:val="18"/>
                      <w:highlight w:val="none"/>
                      <w:lang w:eastAsia="zh-CN"/>
                    </w:rPr>
                  </w:pPr>
                  <w:r>
                    <w:rPr>
                      <w:rFonts w:hint="default" w:ascii="Times New Roman" w:hAnsi="Times New Roman" w:eastAsia="宋体"/>
                      <w:color w:val="auto"/>
                      <w:sz w:val="18"/>
                      <w:szCs w:val="18"/>
                      <w:highlight w:val="none"/>
                      <w:lang w:val="en-US" w:eastAsia="zh-CN"/>
                    </w:rPr>
                    <w:t>塑料密封件注塑废气</w:t>
                  </w:r>
                  <w:r>
                    <w:rPr>
                      <w:rFonts w:hint="eastAsia"/>
                      <w:color w:val="auto"/>
                      <w:sz w:val="18"/>
                      <w:szCs w:val="18"/>
                      <w:highlight w:val="none"/>
                      <w:lang w:val="en-US" w:eastAsia="zh-CN"/>
                    </w:rPr>
                    <w:t>经二级活性炭吸附装置处理后通过25m高DA001排气筒排放</w:t>
                  </w:r>
                </w:p>
              </w:tc>
              <w:tc>
                <w:tcPr>
                  <w:tcW w:w="2443" w:type="dxa"/>
                  <w:noWrap w:val="0"/>
                  <w:vAlign w:val="center"/>
                </w:tcPr>
                <w:p w14:paraId="4711688E">
                  <w:pPr>
                    <w:pStyle w:val="8"/>
                    <w:adjustRightInd w:val="0"/>
                    <w:snapToGrid w:val="0"/>
                    <w:spacing w:line="240" w:lineRule="auto"/>
                    <w:ind w:firstLine="0"/>
                    <w:jc w:val="center"/>
                    <w:rPr>
                      <w:rFonts w:hint="default" w:ascii="Times New Roman" w:hAnsi="Times New Roman" w:eastAsia="宋体"/>
                      <w:color w:val="auto"/>
                      <w:sz w:val="18"/>
                      <w:szCs w:val="18"/>
                      <w:highlight w:val="yellow"/>
                      <w:lang w:val="en-US" w:eastAsia="zh-CN"/>
                    </w:rPr>
                  </w:pPr>
                  <w:r>
                    <w:rPr>
                      <w:rFonts w:hint="eastAsia"/>
                      <w:color w:val="auto"/>
                      <w:sz w:val="18"/>
                      <w:szCs w:val="18"/>
                      <w:highlight w:val="none"/>
                      <w:lang w:val="en-US" w:eastAsia="zh-CN"/>
                    </w:rPr>
                    <w:t>现有工程环评批复采用</w:t>
                  </w:r>
                  <w:r>
                    <w:rPr>
                      <w:rFonts w:hint="eastAsia"/>
                      <w:color w:val="auto"/>
                      <w:kern w:val="0"/>
                      <w:sz w:val="18"/>
                      <w:szCs w:val="18"/>
                      <w:highlight w:val="none"/>
                      <w:lang w:val="en-US" w:eastAsia="zh-CN"/>
                    </w:rPr>
                    <w:t>“二级活性炭吸附装置”，实际采用“UV+活性炭吸附”</w:t>
                  </w:r>
                  <w:r>
                    <w:rPr>
                      <w:rFonts w:hint="eastAsia"/>
                      <w:color w:val="auto"/>
                      <w:sz w:val="18"/>
                      <w:szCs w:val="18"/>
                      <w:highlight w:val="none"/>
                      <w:lang w:val="en-US" w:eastAsia="zh-CN"/>
                    </w:rPr>
                    <w:t>，无法满足废气处理要求，本次扩建对其进行整改</w:t>
                  </w:r>
                </w:p>
              </w:tc>
            </w:tr>
            <w:tr w14:paraId="6AEA6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4FEE7740">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3058C863">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4E1C214C">
                  <w:pPr>
                    <w:pStyle w:val="143"/>
                    <w:spacing w:line="240" w:lineRule="auto"/>
                    <w:rPr>
                      <w:rFonts w:hint="default"/>
                      <w:color w:val="auto"/>
                      <w:sz w:val="18"/>
                      <w:szCs w:val="18"/>
                      <w:lang w:val="en-US" w:eastAsia="zh-CN"/>
                    </w:rPr>
                  </w:pPr>
                  <w:r>
                    <w:rPr>
                      <w:rFonts w:hint="eastAsia" w:ascii="Times New Roman"/>
                      <w:color w:val="auto"/>
                      <w:spacing w:val="0"/>
                      <w:w w:val="100"/>
                      <w:kern w:val="0"/>
                      <w:sz w:val="18"/>
                      <w:szCs w:val="18"/>
                      <w:lang w:val="en-US" w:eastAsia="zh-CN"/>
                    </w:rPr>
                    <w:t>注塑件注塑废气</w:t>
                  </w:r>
                </w:p>
              </w:tc>
              <w:tc>
                <w:tcPr>
                  <w:tcW w:w="2508" w:type="dxa"/>
                  <w:noWrap w:val="0"/>
                  <w:vAlign w:val="center"/>
                </w:tcPr>
                <w:p w14:paraId="3413CC0E">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vMerge w:val="restart"/>
                  <w:noWrap w:val="0"/>
                  <w:vAlign w:val="center"/>
                </w:tcPr>
                <w:p w14:paraId="5C48BD98">
                  <w:pPr>
                    <w:spacing w:line="240" w:lineRule="auto"/>
                    <w:jc w:val="center"/>
                    <w:textAlignment w:val="center"/>
                    <w:rPr>
                      <w:rFonts w:hint="eastAsia" w:eastAsia="宋体"/>
                      <w:color w:val="auto"/>
                      <w:sz w:val="18"/>
                      <w:szCs w:val="18"/>
                      <w:lang w:val="en-US" w:eastAsia="zh-CN"/>
                    </w:rPr>
                  </w:pPr>
                  <w:r>
                    <w:rPr>
                      <w:color w:val="auto"/>
                      <w:sz w:val="18"/>
                      <w:szCs w:val="18"/>
                      <w:highlight w:val="none"/>
                    </w:rPr>
                    <w:t>经</w:t>
                  </w:r>
                  <w:r>
                    <w:rPr>
                      <w:rFonts w:hint="eastAsia"/>
                      <w:color w:val="auto"/>
                      <w:sz w:val="18"/>
                      <w:szCs w:val="18"/>
                      <w:highlight w:val="none"/>
                      <w:lang w:eastAsia="zh-CN"/>
                    </w:rPr>
                    <w:t>二级活性炭吸附装置</w:t>
                  </w:r>
                  <w:r>
                    <w:rPr>
                      <w:rFonts w:hint="eastAsia"/>
                      <w:color w:val="auto"/>
                      <w:sz w:val="18"/>
                      <w:szCs w:val="18"/>
                      <w:highlight w:val="none"/>
                    </w:rPr>
                    <w:t>处理后通过</w:t>
                  </w:r>
                  <w:r>
                    <w:rPr>
                      <w:rFonts w:hint="eastAsia"/>
                      <w:color w:val="auto"/>
                      <w:sz w:val="18"/>
                      <w:szCs w:val="18"/>
                      <w:highlight w:val="none"/>
                      <w:lang w:val="en-US" w:eastAsia="zh-CN"/>
                    </w:rPr>
                    <w:t>25</w:t>
                  </w:r>
                  <w:r>
                    <w:rPr>
                      <w:color w:val="auto"/>
                      <w:sz w:val="18"/>
                      <w:szCs w:val="18"/>
                      <w:highlight w:val="none"/>
                    </w:rPr>
                    <w:t>m高DA00</w:t>
                  </w:r>
                  <w:r>
                    <w:rPr>
                      <w:rFonts w:hint="eastAsia"/>
                      <w:color w:val="auto"/>
                      <w:sz w:val="18"/>
                      <w:szCs w:val="18"/>
                      <w:highlight w:val="none"/>
                      <w:lang w:eastAsia="zh-CN"/>
                    </w:rPr>
                    <w:t>2</w:t>
                  </w:r>
                  <w:r>
                    <w:rPr>
                      <w:color w:val="auto"/>
                      <w:sz w:val="18"/>
                      <w:szCs w:val="18"/>
                      <w:highlight w:val="none"/>
                    </w:rPr>
                    <w:t>排气筒排放</w:t>
                  </w:r>
                </w:p>
              </w:tc>
              <w:tc>
                <w:tcPr>
                  <w:tcW w:w="2447" w:type="dxa"/>
                  <w:vMerge w:val="restart"/>
                  <w:noWrap w:val="0"/>
                  <w:vAlign w:val="center"/>
                </w:tcPr>
                <w:p w14:paraId="04EECC6B">
                  <w:pPr>
                    <w:pStyle w:val="8"/>
                    <w:adjustRightInd w:val="0"/>
                    <w:snapToGrid w:val="0"/>
                    <w:spacing w:line="240" w:lineRule="auto"/>
                    <w:ind w:firstLine="0"/>
                    <w:jc w:val="center"/>
                    <w:rPr>
                      <w:rFonts w:hint="eastAsia"/>
                      <w:color w:val="auto"/>
                      <w:sz w:val="18"/>
                      <w:szCs w:val="18"/>
                      <w:lang w:eastAsia="zh-CN"/>
                    </w:rPr>
                  </w:pPr>
                  <w:r>
                    <w:rPr>
                      <w:color w:val="auto"/>
                      <w:sz w:val="18"/>
                      <w:szCs w:val="18"/>
                      <w:highlight w:val="none"/>
                    </w:rPr>
                    <w:t>经</w:t>
                  </w:r>
                  <w:r>
                    <w:rPr>
                      <w:rFonts w:hint="eastAsia"/>
                      <w:color w:val="auto"/>
                      <w:sz w:val="18"/>
                      <w:szCs w:val="18"/>
                      <w:highlight w:val="none"/>
                      <w:lang w:eastAsia="zh-CN"/>
                    </w:rPr>
                    <w:t>二级活性炭吸附装置</w:t>
                  </w:r>
                  <w:r>
                    <w:rPr>
                      <w:rFonts w:hint="eastAsia"/>
                      <w:color w:val="auto"/>
                      <w:sz w:val="18"/>
                      <w:szCs w:val="18"/>
                      <w:highlight w:val="none"/>
                    </w:rPr>
                    <w:t>处理后通过</w:t>
                  </w:r>
                  <w:r>
                    <w:rPr>
                      <w:rFonts w:hint="eastAsia"/>
                      <w:color w:val="auto"/>
                      <w:sz w:val="18"/>
                      <w:szCs w:val="18"/>
                      <w:highlight w:val="none"/>
                      <w:lang w:val="en-US" w:eastAsia="zh-CN"/>
                    </w:rPr>
                    <w:t>25</w:t>
                  </w:r>
                  <w:r>
                    <w:rPr>
                      <w:color w:val="auto"/>
                      <w:sz w:val="18"/>
                      <w:szCs w:val="18"/>
                      <w:highlight w:val="none"/>
                    </w:rPr>
                    <w:t>m高DA00</w:t>
                  </w:r>
                  <w:r>
                    <w:rPr>
                      <w:rFonts w:hint="eastAsia"/>
                      <w:color w:val="auto"/>
                      <w:sz w:val="18"/>
                      <w:szCs w:val="18"/>
                      <w:highlight w:val="none"/>
                      <w:lang w:eastAsia="zh-CN"/>
                    </w:rPr>
                    <w:t>2</w:t>
                  </w:r>
                  <w:r>
                    <w:rPr>
                      <w:color w:val="auto"/>
                      <w:sz w:val="18"/>
                      <w:szCs w:val="18"/>
                      <w:highlight w:val="none"/>
                    </w:rPr>
                    <w:t>排气筒排放</w:t>
                  </w:r>
                </w:p>
              </w:tc>
              <w:tc>
                <w:tcPr>
                  <w:tcW w:w="2443" w:type="dxa"/>
                  <w:vMerge w:val="restart"/>
                  <w:noWrap w:val="0"/>
                  <w:vAlign w:val="center"/>
                </w:tcPr>
                <w:p w14:paraId="176CBB65">
                  <w:pPr>
                    <w:pStyle w:val="8"/>
                    <w:adjustRightInd w:val="0"/>
                    <w:snapToGrid w:val="0"/>
                    <w:spacing w:line="240" w:lineRule="auto"/>
                    <w:ind w:firstLine="0"/>
                    <w:jc w:val="center"/>
                    <w:rPr>
                      <w:rFonts w:hint="eastAsia" w:ascii="Times New Roman" w:hAnsi="Times New Roman" w:eastAsia="宋体"/>
                      <w:color w:val="auto"/>
                      <w:sz w:val="18"/>
                      <w:szCs w:val="18"/>
                      <w:lang w:eastAsia="zh-CN"/>
                    </w:rPr>
                  </w:pPr>
                  <w:r>
                    <w:rPr>
                      <w:rFonts w:hint="eastAsia" w:cs="Times New Roman"/>
                      <w:color w:val="auto"/>
                      <w:sz w:val="18"/>
                      <w:szCs w:val="18"/>
                      <w:highlight w:val="none"/>
                      <w:lang w:val="en-US" w:eastAsia="zh-CN"/>
                    </w:rPr>
                    <w:t>新增注塑、涂胶、挤出工艺及配套废气处理设施</w:t>
                  </w:r>
                </w:p>
              </w:tc>
            </w:tr>
            <w:tr w14:paraId="1C417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53B24890">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351D6B6C">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6CC96BED">
                  <w:pPr>
                    <w:pStyle w:val="143"/>
                    <w:spacing w:line="240" w:lineRule="auto"/>
                    <w:rPr>
                      <w:rFonts w:hint="default"/>
                      <w:color w:val="auto"/>
                      <w:sz w:val="18"/>
                      <w:szCs w:val="18"/>
                      <w:lang w:val="en-US" w:eastAsia="zh-CN"/>
                    </w:rPr>
                  </w:pPr>
                  <w:r>
                    <w:rPr>
                      <w:rFonts w:hint="eastAsia" w:ascii="Times New Roman" w:hAnsi="Times New Roman" w:eastAsia="宋体" w:cs="Times New Roman"/>
                      <w:color w:val="auto"/>
                      <w:spacing w:val="0"/>
                      <w:w w:val="100"/>
                      <w:kern w:val="0"/>
                      <w:sz w:val="18"/>
                      <w:szCs w:val="18"/>
                      <w:lang w:val="en-US" w:eastAsia="zh-CN"/>
                    </w:rPr>
                    <w:t>下卡条涂胶废气</w:t>
                  </w:r>
                </w:p>
              </w:tc>
              <w:tc>
                <w:tcPr>
                  <w:tcW w:w="2508" w:type="dxa"/>
                  <w:noWrap w:val="0"/>
                  <w:vAlign w:val="center"/>
                </w:tcPr>
                <w:p w14:paraId="3BB05203">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vMerge w:val="continue"/>
                  <w:noWrap w:val="0"/>
                  <w:vAlign w:val="center"/>
                </w:tcPr>
                <w:p w14:paraId="2916FEA8">
                  <w:pPr>
                    <w:spacing w:line="240" w:lineRule="auto"/>
                    <w:jc w:val="center"/>
                    <w:textAlignment w:val="center"/>
                    <w:rPr>
                      <w:rFonts w:hint="eastAsia" w:eastAsia="宋体"/>
                      <w:color w:val="auto"/>
                      <w:sz w:val="18"/>
                      <w:szCs w:val="18"/>
                      <w:lang w:eastAsia="zh-CN"/>
                    </w:rPr>
                  </w:pPr>
                </w:p>
              </w:tc>
              <w:tc>
                <w:tcPr>
                  <w:tcW w:w="2447" w:type="dxa"/>
                  <w:vMerge w:val="continue"/>
                  <w:noWrap w:val="0"/>
                  <w:vAlign w:val="center"/>
                </w:tcPr>
                <w:p w14:paraId="1B061226">
                  <w:pPr>
                    <w:pStyle w:val="8"/>
                    <w:adjustRightInd w:val="0"/>
                    <w:snapToGrid w:val="0"/>
                    <w:spacing w:line="240" w:lineRule="auto"/>
                    <w:ind w:firstLine="0"/>
                    <w:jc w:val="center"/>
                    <w:rPr>
                      <w:rFonts w:hint="eastAsia"/>
                      <w:color w:val="auto"/>
                      <w:sz w:val="18"/>
                      <w:szCs w:val="18"/>
                      <w:lang w:eastAsia="zh-CN"/>
                    </w:rPr>
                  </w:pPr>
                </w:p>
              </w:tc>
              <w:tc>
                <w:tcPr>
                  <w:tcW w:w="2443" w:type="dxa"/>
                  <w:vMerge w:val="continue"/>
                  <w:noWrap w:val="0"/>
                  <w:vAlign w:val="center"/>
                </w:tcPr>
                <w:p w14:paraId="260068D8">
                  <w:pPr>
                    <w:pStyle w:val="8"/>
                    <w:adjustRightInd w:val="0"/>
                    <w:snapToGrid w:val="0"/>
                    <w:spacing w:line="240" w:lineRule="auto"/>
                    <w:ind w:firstLine="0"/>
                    <w:jc w:val="center"/>
                    <w:rPr>
                      <w:rFonts w:hint="eastAsia" w:ascii="Times New Roman" w:hAnsi="Times New Roman" w:eastAsia="宋体"/>
                      <w:color w:val="auto"/>
                      <w:sz w:val="18"/>
                      <w:szCs w:val="18"/>
                      <w:lang w:eastAsia="zh-CN"/>
                    </w:rPr>
                  </w:pPr>
                </w:p>
              </w:tc>
            </w:tr>
            <w:tr w14:paraId="23278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94" w:type="dxa"/>
                  <w:vMerge w:val="continue"/>
                  <w:noWrap w:val="0"/>
                  <w:vAlign w:val="center"/>
                </w:tcPr>
                <w:p w14:paraId="7951F441">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18884B43">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54D5A607">
                  <w:pPr>
                    <w:pStyle w:val="143"/>
                    <w:spacing w:line="240" w:lineRule="auto"/>
                    <w:rPr>
                      <w:rFonts w:hint="default"/>
                      <w:color w:val="auto"/>
                      <w:sz w:val="18"/>
                      <w:szCs w:val="18"/>
                      <w:lang w:val="en-US" w:eastAsia="zh-CN"/>
                    </w:rPr>
                  </w:pPr>
                  <w:r>
                    <w:rPr>
                      <w:rFonts w:hint="eastAsia" w:ascii="Times New Roman"/>
                      <w:color w:val="auto"/>
                      <w:spacing w:val="0"/>
                      <w:w w:val="100"/>
                      <w:kern w:val="0"/>
                      <w:sz w:val="18"/>
                      <w:szCs w:val="18"/>
                      <w:lang w:val="en-US" w:eastAsia="zh-CN"/>
                    </w:rPr>
                    <w:t>下卡条挤出、复合废气</w:t>
                  </w:r>
                </w:p>
              </w:tc>
              <w:tc>
                <w:tcPr>
                  <w:tcW w:w="2508" w:type="dxa"/>
                  <w:noWrap w:val="0"/>
                  <w:vAlign w:val="center"/>
                </w:tcPr>
                <w:p w14:paraId="2470971C">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vMerge w:val="continue"/>
                  <w:noWrap w:val="0"/>
                  <w:vAlign w:val="center"/>
                </w:tcPr>
                <w:p w14:paraId="00ABA42D">
                  <w:pPr>
                    <w:spacing w:line="240" w:lineRule="auto"/>
                    <w:jc w:val="center"/>
                    <w:textAlignment w:val="center"/>
                    <w:rPr>
                      <w:rFonts w:hint="eastAsia" w:eastAsia="宋体"/>
                      <w:color w:val="auto"/>
                      <w:sz w:val="18"/>
                      <w:szCs w:val="18"/>
                      <w:lang w:val="en-US" w:eastAsia="zh-CN"/>
                    </w:rPr>
                  </w:pPr>
                </w:p>
              </w:tc>
              <w:tc>
                <w:tcPr>
                  <w:tcW w:w="2447" w:type="dxa"/>
                  <w:vMerge w:val="continue"/>
                  <w:noWrap w:val="0"/>
                  <w:vAlign w:val="center"/>
                </w:tcPr>
                <w:p w14:paraId="68274E0D">
                  <w:pPr>
                    <w:pStyle w:val="8"/>
                    <w:adjustRightInd w:val="0"/>
                    <w:snapToGrid w:val="0"/>
                    <w:spacing w:line="240" w:lineRule="auto"/>
                    <w:ind w:firstLine="0"/>
                    <w:jc w:val="center"/>
                    <w:rPr>
                      <w:rFonts w:hint="eastAsia"/>
                      <w:color w:val="auto"/>
                      <w:sz w:val="18"/>
                      <w:szCs w:val="18"/>
                      <w:lang w:eastAsia="zh-CN"/>
                    </w:rPr>
                  </w:pPr>
                </w:p>
              </w:tc>
              <w:tc>
                <w:tcPr>
                  <w:tcW w:w="2443" w:type="dxa"/>
                  <w:vMerge w:val="continue"/>
                  <w:noWrap w:val="0"/>
                  <w:vAlign w:val="center"/>
                </w:tcPr>
                <w:p w14:paraId="301CA210">
                  <w:pPr>
                    <w:pStyle w:val="8"/>
                    <w:adjustRightInd w:val="0"/>
                    <w:snapToGrid w:val="0"/>
                    <w:spacing w:line="240" w:lineRule="auto"/>
                    <w:ind w:firstLine="0"/>
                    <w:jc w:val="center"/>
                    <w:rPr>
                      <w:rFonts w:hint="eastAsia" w:ascii="Times New Roman" w:hAnsi="Times New Roman" w:eastAsia="宋体"/>
                      <w:color w:val="auto"/>
                      <w:sz w:val="18"/>
                      <w:szCs w:val="18"/>
                      <w:lang w:eastAsia="zh-CN"/>
                    </w:rPr>
                  </w:pPr>
                </w:p>
              </w:tc>
            </w:tr>
            <w:tr w14:paraId="251C3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7A04DC0C">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704334E1">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0E056F44">
                  <w:pPr>
                    <w:pStyle w:val="143"/>
                    <w:spacing w:line="240" w:lineRule="auto"/>
                    <w:rPr>
                      <w:rFonts w:ascii="Times New Roman" w:hAnsi="Times New Roman" w:eastAsia="宋体"/>
                      <w:color w:val="auto"/>
                      <w:sz w:val="18"/>
                      <w:szCs w:val="18"/>
                    </w:rPr>
                  </w:pPr>
                  <w:r>
                    <w:rPr>
                      <w:rFonts w:hint="eastAsia" w:ascii="Times New Roman"/>
                      <w:color w:val="auto"/>
                      <w:spacing w:val="0"/>
                      <w:w w:val="100"/>
                      <w:kern w:val="0"/>
                      <w:sz w:val="18"/>
                      <w:szCs w:val="18"/>
                      <w:lang w:val="en-US" w:eastAsia="zh-CN"/>
                    </w:rPr>
                    <w:t>注塑件破碎粉尘</w:t>
                  </w:r>
                </w:p>
              </w:tc>
              <w:tc>
                <w:tcPr>
                  <w:tcW w:w="2508" w:type="dxa"/>
                  <w:noWrap w:val="0"/>
                  <w:vAlign w:val="center"/>
                </w:tcPr>
                <w:p w14:paraId="29DD9A32">
                  <w:pPr>
                    <w:spacing w:line="240" w:lineRule="auto"/>
                    <w:jc w:val="center"/>
                    <w:textAlignment w:val="center"/>
                    <w:rPr>
                      <w:rFonts w:hint="eastAsia" w:ascii="Times New Roman" w:hAnsi="Times New Roman" w:eastAsia="宋体"/>
                      <w:color w:val="auto"/>
                      <w:sz w:val="18"/>
                      <w:szCs w:val="18"/>
                      <w:highlight w:val="none"/>
                      <w:lang w:val="en-US" w:eastAsia="zh-CN"/>
                    </w:rPr>
                  </w:pPr>
                  <w:r>
                    <w:rPr>
                      <w:rFonts w:hint="eastAsia" w:eastAsia="宋体"/>
                      <w:color w:val="auto"/>
                      <w:sz w:val="18"/>
                      <w:szCs w:val="18"/>
                      <w:lang w:val="en-US" w:eastAsia="zh-CN"/>
                    </w:rPr>
                    <w:t>/</w:t>
                  </w:r>
                </w:p>
              </w:tc>
              <w:tc>
                <w:tcPr>
                  <w:tcW w:w="2886" w:type="dxa"/>
                  <w:noWrap w:val="0"/>
                  <w:vAlign w:val="center"/>
                </w:tcPr>
                <w:p w14:paraId="387EB1DD">
                  <w:pPr>
                    <w:spacing w:line="240" w:lineRule="auto"/>
                    <w:jc w:val="center"/>
                    <w:textAlignment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经袋式除尘器处理达标后于车间内无组织排放</w:t>
                  </w:r>
                </w:p>
              </w:tc>
              <w:tc>
                <w:tcPr>
                  <w:tcW w:w="2447" w:type="dxa"/>
                  <w:noWrap w:val="0"/>
                  <w:vAlign w:val="center"/>
                </w:tcPr>
                <w:p w14:paraId="52028E78">
                  <w:pPr>
                    <w:adjustRightInd w:val="0"/>
                    <w:snapToGrid w:val="0"/>
                    <w:spacing w:line="240" w:lineRule="auto"/>
                    <w:ind w:firstLine="0"/>
                    <w:jc w:val="center"/>
                    <w:rPr>
                      <w:rFonts w:hint="eastAsia" w:ascii="Times New Roman" w:hAnsi="Times New Roman" w:eastAsia="宋体"/>
                      <w:color w:val="auto"/>
                      <w:sz w:val="18"/>
                      <w:szCs w:val="18"/>
                      <w:lang w:val="en-US" w:eastAsia="zh-CN"/>
                    </w:rPr>
                  </w:pPr>
                  <w:r>
                    <w:rPr>
                      <w:rFonts w:hint="eastAsia" w:ascii="Times New Roman" w:hAnsi="Times New Roman" w:eastAsia="宋体"/>
                      <w:color w:val="auto"/>
                      <w:sz w:val="18"/>
                      <w:szCs w:val="18"/>
                      <w:highlight w:val="none"/>
                    </w:rPr>
                    <w:t>经袋式除尘器处理达标后于车间内无组织排放</w:t>
                  </w:r>
                </w:p>
              </w:tc>
              <w:tc>
                <w:tcPr>
                  <w:tcW w:w="2443" w:type="dxa"/>
                  <w:noWrap w:val="0"/>
                  <w:vAlign w:val="center"/>
                </w:tcPr>
                <w:p w14:paraId="7E971200">
                  <w:pPr>
                    <w:adjustRightInd w:val="0"/>
                    <w:snapToGrid w:val="0"/>
                    <w:spacing w:line="240" w:lineRule="auto"/>
                    <w:ind w:firstLine="0"/>
                    <w:jc w:val="center"/>
                    <w:rPr>
                      <w:rFonts w:hint="default" w:ascii="Times New Roman" w:hAnsi="Times New Roman" w:eastAsia="宋体"/>
                      <w:color w:val="auto"/>
                      <w:sz w:val="18"/>
                      <w:szCs w:val="18"/>
                      <w:lang w:val="en-US" w:eastAsia="zh-CN"/>
                    </w:rPr>
                  </w:pPr>
                  <w:r>
                    <w:rPr>
                      <w:rFonts w:hint="eastAsia" w:cs="Times New Roman"/>
                      <w:color w:val="auto"/>
                      <w:sz w:val="18"/>
                      <w:szCs w:val="18"/>
                      <w:highlight w:val="none"/>
                      <w:lang w:val="en-US" w:eastAsia="zh-CN"/>
                    </w:rPr>
                    <w:t>新增破碎工艺及配套处理设施</w:t>
                  </w:r>
                </w:p>
              </w:tc>
            </w:tr>
            <w:tr w14:paraId="1B817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4685D347">
                  <w:pPr>
                    <w:adjustRightInd w:val="0"/>
                    <w:snapToGrid w:val="0"/>
                    <w:spacing w:line="240" w:lineRule="auto"/>
                    <w:jc w:val="center"/>
                    <w:rPr>
                      <w:rFonts w:ascii="Times New Roman" w:hAnsi="Times New Roman" w:eastAsia="宋体"/>
                      <w:color w:val="auto"/>
                      <w:sz w:val="18"/>
                      <w:szCs w:val="18"/>
                    </w:rPr>
                  </w:pPr>
                </w:p>
              </w:tc>
              <w:tc>
                <w:tcPr>
                  <w:tcW w:w="580" w:type="dxa"/>
                  <w:vMerge w:val="continue"/>
                  <w:noWrap w:val="0"/>
                  <w:vAlign w:val="center"/>
                </w:tcPr>
                <w:p w14:paraId="4A822965">
                  <w:pPr>
                    <w:adjustRightInd w:val="0"/>
                    <w:snapToGrid w:val="0"/>
                    <w:spacing w:line="240" w:lineRule="auto"/>
                    <w:jc w:val="center"/>
                    <w:rPr>
                      <w:rFonts w:ascii="Times New Roman" w:hAnsi="Times New Roman" w:eastAsia="宋体"/>
                      <w:color w:val="auto"/>
                      <w:sz w:val="18"/>
                      <w:szCs w:val="18"/>
                    </w:rPr>
                  </w:pPr>
                </w:p>
              </w:tc>
              <w:tc>
                <w:tcPr>
                  <w:tcW w:w="1218" w:type="dxa"/>
                  <w:noWrap w:val="0"/>
                  <w:vAlign w:val="center"/>
                </w:tcPr>
                <w:p w14:paraId="460219A0">
                  <w:pPr>
                    <w:pStyle w:val="143"/>
                    <w:spacing w:line="240" w:lineRule="auto"/>
                    <w:rPr>
                      <w:rFonts w:ascii="Times New Roman" w:hAnsi="Times New Roman" w:eastAsia="宋体"/>
                      <w:color w:val="auto"/>
                      <w:sz w:val="18"/>
                      <w:szCs w:val="18"/>
                    </w:rPr>
                  </w:pPr>
                  <w:r>
                    <w:rPr>
                      <w:rFonts w:hint="eastAsia" w:ascii="Times New Roman"/>
                      <w:color w:val="auto"/>
                      <w:spacing w:val="0"/>
                      <w:w w:val="100"/>
                      <w:kern w:val="0"/>
                      <w:sz w:val="18"/>
                      <w:szCs w:val="18"/>
                      <w:lang w:val="en-US" w:eastAsia="zh-CN"/>
                    </w:rPr>
                    <w:t>钣金件焊接烟尘</w:t>
                  </w:r>
                </w:p>
              </w:tc>
              <w:tc>
                <w:tcPr>
                  <w:tcW w:w="2508" w:type="dxa"/>
                  <w:noWrap w:val="0"/>
                  <w:vAlign w:val="center"/>
                </w:tcPr>
                <w:p w14:paraId="3A26E52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2886" w:type="dxa"/>
                  <w:noWrap w:val="0"/>
                  <w:vAlign w:val="center"/>
                </w:tcPr>
                <w:p w14:paraId="17E4DD8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经移动式烟尘净化器处理达标后于车间内无组织排放</w:t>
                  </w:r>
                </w:p>
              </w:tc>
              <w:tc>
                <w:tcPr>
                  <w:tcW w:w="2447" w:type="dxa"/>
                  <w:noWrap w:val="0"/>
                  <w:vAlign w:val="center"/>
                </w:tcPr>
                <w:p w14:paraId="6DAFD970">
                  <w:pPr>
                    <w:adjustRightInd w:val="0"/>
                    <w:snapToGrid w:val="0"/>
                    <w:spacing w:line="240" w:lineRule="auto"/>
                    <w:ind w:firstLine="0"/>
                    <w:jc w:val="center"/>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highlight w:val="none"/>
                    </w:rPr>
                    <w:t>经移动式烟尘净化器处理达标后于车间内无组织排放</w:t>
                  </w:r>
                </w:p>
              </w:tc>
              <w:tc>
                <w:tcPr>
                  <w:tcW w:w="2443" w:type="dxa"/>
                  <w:noWrap w:val="0"/>
                  <w:vAlign w:val="center"/>
                </w:tcPr>
                <w:p w14:paraId="7E9B8684">
                  <w:pPr>
                    <w:adjustRightInd w:val="0"/>
                    <w:snapToGrid w:val="0"/>
                    <w:spacing w:line="240" w:lineRule="auto"/>
                    <w:ind w:firstLine="0"/>
                    <w:jc w:val="center"/>
                    <w:rPr>
                      <w:rFonts w:hint="eastAsia" w:ascii="Times New Roman" w:hAnsi="Times New Roman" w:eastAsia="宋体"/>
                      <w:color w:val="auto"/>
                      <w:sz w:val="18"/>
                      <w:szCs w:val="18"/>
                      <w:highlight w:val="none"/>
                      <w:lang w:eastAsia="zh-CN"/>
                    </w:rPr>
                  </w:pPr>
                  <w:r>
                    <w:rPr>
                      <w:rFonts w:hint="eastAsia" w:cs="Times New Roman"/>
                      <w:color w:val="auto"/>
                      <w:sz w:val="18"/>
                      <w:szCs w:val="18"/>
                      <w:highlight w:val="none"/>
                      <w:lang w:val="en-US" w:eastAsia="zh-CN"/>
                    </w:rPr>
                    <w:t>新增焊接工艺及配套处理设施</w:t>
                  </w:r>
                </w:p>
              </w:tc>
            </w:tr>
            <w:tr w14:paraId="4CC16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23282C40">
                  <w:pPr>
                    <w:adjustRightInd w:val="0"/>
                    <w:snapToGrid w:val="0"/>
                    <w:spacing w:line="240" w:lineRule="auto"/>
                    <w:jc w:val="center"/>
                    <w:rPr>
                      <w:rFonts w:ascii="Times New Roman" w:hAnsi="Times New Roman" w:eastAsia="宋体"/>
                      <w:color w:val="auto"/>
                      <w:sz w:val="18"/>
                      <w:szCs w:val="18"/>
                    </w:rPr>
                  </w:pPr>
                </w:p>
              </w:tc>
              <w:tc>
                <w:tcPr>
                  <w:tcW w:w="1798" w:type="dxa"/>
                  <w:gridSpan w:val="2"/>
                  <w:vMerge w:val="restart"/>
                  <w:noWrap w:val="0"/>
                  <w:vAlign w:val="center"/>
                </w:tcPr>
                <w:p w14:paraId="54775F56">
                  <w:pPr>
                    <w:adjustRightInd w:val="0"/>
                    <w:snapToGrid w:val="0"/>
                    <w:spacing w:line="240"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固废处</w:t>
                  </w:r>
                </w:p>
                <w:p w14:paraId="56798AF1">
                  <w:pPr>
                    <w:adjustRightInd w:val="0"/>
                    <w:snapToGrid w:val="0"/>
                    <w:spacing w:line="240" w:lineRule="auto"/>
                    <w:jc w:val="center"/>
                    <w:rPr>
                      <w:rFonts w:ascii="Times New Roman" w:hAnsi="Times New Roman" w:eastAsia="宋体"/>
                      <w:color w:val="auto"/>
                      <w:sz w:val="18"/>
                      <w:szCs w:val="18"/>
                      <w:highlight w:val="yellow"/>
                    </w:rPr>
                  </w:pPr>
                  <w:r>
                    <w:rPr>
                      <w:rFonts w:ascii="Times New Roman" w:hAnsi="Times New Roman" w:eastAsia="宋体"/>
                      <w:color w:val="auto"/>
                      <w:sz w:val="18"/>
                      <w:szCs w:val="18"/>
                      <w:highlight w:val="none"/>
                    </w:rPr>
                    <w:t>理处置</w:t>
                  </w:r>
                </w:p>
              </w:tc>
              <w:tc>
                <w:tcPr>
                  <w:tcW w:w="2508" w:type="dxa"/>
                  <w:noWrap w:val="0"/>
                  <w:vAlign w:val="center"/>
                </w:tcPr>
                <w:p w14:paraId="115B718D">
                  <w:pPr>
                    <w:adjustRightInd w:val="0"/>
                    <w:snapToGrid w:val="0"/>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val="en-US" w:eastAsia="zh-CN"/>
                    </w:rPr>
                    <w:t>一般工业固废分类收集、暂存后</w:t>
                  </w:r>
                  <w:r>
                    <w:rPr>
                      <w:rFonts w:hint="eastAsia"/>
                      <w:color w:val="auto"/>
                      <w:sz w:val="18"/>
                      <w:szCs w:val="18"/>
                      <w:highlight w:val="none"/>
                      <w:lang w:val="en-US" w:eastAsia="zh-CN"/>
                    </w:rPr>
                    <w:t>由福建钜鸿百纳科技有限公司委托的固废处置单位代为处置，一般固废暂存间，面积约25m</w:t>
                  </w:r>
                  <w:r>
                    <w:rPr>
                      <w:rFonts w:hint="eastAsia"/>
                      <w:color w:val="auto"/>
                      <w:sz w:val="18"/>
                      <w:szCs w:val="18"/>
                      <w:highlight w:val="none"/>
                      <w:vertAlign w:val="superscript"/>
                      <w:lang w:val="en-US" w:eastAsia="zh-CN"/>
                    </w:rPr>
                    <w:t>2</w:t>
                  </w:r>
                </w:p>
              </w:tc>
              <w:tc>
                <w:tcPr>
                  <w:tcW w:w="2886" w:type="dxa"/>
                  <w:noWrap w:val="0"/>
                  <w:vAlign w:val="center"/>
                </w:tcPr>
                <w:p w14:paraId="0F41A3B7">
                  <w:pPr>
                    <w:adjustRightInd w:val="0"/>
                    <w:snapToGrid w:val="0"/>
                    <w:spacing w:line="240" w:lineRule="auto"/>
                    <w:jc w:val="center"/>
                    <w:rPr>
                      <w:rFonts w:hint="default" w:ascii="Times New Roman" w:hAnsi="Times New Roman" w:eastAsia="宋体"/>
                      <w:color w:val="auto"/>
                      <w:sz w:val="18"/>
                      <w:szCs w:val="18"/>
                      <w:highlight w:val="none"/>
                      <w:lang w:val="en-US"/>
                    </w:rPr>
                  </w:pPr>
                  <w:r>
                    <w:rPr>
                      <w:rFonts w:hint="eastAsia" w:ascii="Times New Roman" w:hAnsi="Times New Roman" w:eastAsia="宋体"/>
                      <w:color w:val="auto"/>
                      <w:sz w:val="18"/>
                      <w:szCs w:val="18"/>
                      <w:highlight w:val="none"/>
                      <w:lang w:val="en-US" w:eastAsia="zh-CN"/>
                    </w:rPr>
                    <w:t>一般工业固废分类收集、暂存后外售综合利用</w:t>
                  </w:r>
                  <w:r>
                    <w:rPr>
                      <w:rFonts w:hint="eastAsia"/>
                      <w:color w:val="auto"/>
                      <w:sz w:val="18"/>
                      <w:szCs w:val="18"/>
                      <w:highlight w:val="none"/>
                      <w:lang w:val="en-US" w:eastAsia="zh-CN"/>
                    </w:rPr>
                    <w:t>，对厂房五三层北侧现有</w:t>
                  </w:r>
                  <w:r>
                    <w:rPr>
                      <w:rFonts w:hint="eastAsia" w:ascii="Times New Roman" w:hAnsi="Times New Roman" w:eastAsia="宋体"/>
                      <w:color w:val="auto"/>
                      <w:sz w:val="18"/>
                      <w:szCs w:val="18"/>
                      <w:highlight w:val="none"/>
                      <w:lang w:val="en-US" w:eastAsia="zh-CN"/>
                    </w:rPr>
                    <w:t>一般固废暂存间，</w:t>
                  </w:r>
                  <w:r>
                    <w:rPr>
                      <w:rFonts w:hint="eastAsia"/>
                      <w:color w:val="auto"/>
                      <w:sz w:val="18"/>
                      <w:szCs w:val="18"/>
                      <w:highlight w:val="none"/>
                      <w:lang w:val="en-US" w:eastAsia="zh-CN"/>
                    </w:rPr>
                    <w:t>进行扩建，扩建后</w:t>
                  </w:r>
                  <w:r>
                    <w:rPr>
                      <w:rFonts w:hint="eastAsia" w:ascii="Times New Roman" w:hAnsi="Times New Roman" w:eastAsia="宋体"/>
                      <w:color w:val="auto"/>
                      <w:sz w:val="18"/>
                      <w:szCs w:val="18"/>
                      <w:highlight w:val="none"/>
                      <w:lang w:val="en-US" w:eastAsia="zh-CN"/>
                    </w:rPr>
                    <w:t>面积约50m</w:t>
                  </w:r>
                  <w:r>
                    <w:rPr>
                      <w:rFonts w:hint="eastAsia" w:ascii="Times New Roman" w:hAnsi="Times New Roman" w:eastAsia="宋体"/>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；厂房四一层北侧新建一间一般固废</w:t>
                  </w:r>
                  <w:r>
                    <w:rPr>
                      <w:rFonts w:hint="eastAsia" w:ascii="Times New Roman" w:hAnsi="Times New Roman" w:eastAsia="宋体"/>
                      <w:color w:val="auto"/>
                      <w:sz w:val="18"/>
                      <w:szCs w:val="18"/>
                      <w:highlight w:val="none"/>
                      <w:lang w:val="en-US" w:eastAsia="zh-CN"/>
                    </w:rPr>
                    <w:t>暂存</w:t>
                  </w:r>
                  <w:r>
                    <w:rPr>
                      <w:rFonts w:hint="eastAsia"/>
                      <w:color w:val="auto"/>
                      <w:sz w:val="18"/>
                      <w:szCs w:val="18"/>
                      <w:highlight w:val="none"/>
                      <w:vertAlign w:val="baseline"/>
                      <w:lang w:val="en-US" w:eastAsia="zh-CN"/>
                    </w:rPr>
                    <w:t>间</w:t>
                  </w:r>
                  <w:r>
                    <w:rPr>
                      <w:rFonts w:hint="eastAsia" w:ascii="Times New Roman" w:hAnsi="Times New Roman" w:eastAsia="宋体"/>
                      <w:color w:val="auto"/>
                      <w:sz w:val="18"/>
                      <w:szCs w:val="18"/>
                      <w:highlight w:val="none"/>
                      <w:lang w:val="en-US" w:eastAsia="zh-CN"/>
                    </w:rPr>
                    <w:t>，面积约</w:t>
                  </w:r>
                  <w:r>
                    <w:rPr>
                      <w:rFonts w:hint="eastAsia"/>
                      <w:color w:val="auto"/>
                      <w:sz w:val="18"/>
                      <w:szCs w:val="18"/>
                      <w:highlight w:val="none"/>
                      <w:vertAlign w:val="baseline"/>
                      <w:lang w:val="en-US" w:eastAsia="zh-CN"/>
                    </w:rPr>
                    <w:t>10m</w:t>
                  </w:r>
                  <w:r>
                    <w:rPr>
                      <w:rFonts w:hint="eastAsia"/>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w:t>
                  </w:r>
                </w:p>
              </w:tc>
              <w:tc>
                <w:tcPr>
                  <w:tcW w:w="2447" w:type="dxa"/>
                  <w:noWrap w:val="0"/>
                  <w:vAlign w:val="center"/>
                </w:tcPr>
                <w:p w14:paraId="3D6374B5">
                  <w:pPr>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val="en-US" w:eastAsia="zh-CN"/>
                    </w:rPr>
                    <w:t>一般工业固废分类收集、暂存后外售综合利用</w:t>
                  </w:r>
                  <w:r>
                    <w:rPr>
                      <w:rFonts w:hint="eastAsia"/>
                      <w:color w:val="auto"/>
                      <w:sz w:val="18"/>
                      <w:szCs w:val="18"/>
                      <w:highlight w:val="none"/>
                      <w:lang w:val="en-US" w:eastAsia="zh-CN"/>
                    </w:rPr>
                    <w:t>，厂房五三层北侧</w:t>
                  </w:r>
                  <w:r>
                    <w:rPr>
                      <w:rFonts w:hint="eastAsia" w:ascii="Times New Roman" w:hAnsi="Times New Roman" w:eastAsia="宋体"/>
                      <w:color w:val="auto"/>
                      <w:sz w:val="18"/>
                      <w:szCs w:val="18"/>
                      <w:highlight w:val="none"/>
                      <w:lang w:val="en-US" w:eastAsia="zh-CN"/>
                    </w:rPr>
                    <w:t>一般固废暂存间，面积约50m</w:t>
                  </w:r>
                  <w:r>
                    <w:rPr>
                      <w:rFonts w:hint="eastAsia" w:ascii="Times New Roman" w:hAnsi="Times New Roman" w:eastAsia="宋体"/>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；厂房四一层北侧一般固废</w:t>
                  </w:r>
                  <w:r>
                    <w:rPr>
                      <w:rFonts w:hint="eastAsia" w:ascii="Times New Roman" w:hAnsi="Times New Roman" w:eastAsia="宋体"/>
                      <w:color w:val="auto"/>
                      <w:sz w:val="18"/>
                      <w:szCs w:val="18"/>
                      <w:highlight w:val="none"/>
                      <w:lang w:val="en-US" w:eastAsia="zh-CN"/>
                    </w:rPr>
                    <w:t>暂存</w:t>
                  </w:r>
                  <w:r>
                    <w:rPr>
                      <w:rFonts w:hint="eastAsia"/>
                      <w:color w:val="auto"/>
                      <w:sz w:val="18"/>
                      <w:szCs w:val="18"/>
                      <w:highlight w:val="none"/>
                      <w:vertAlign w:val="baseline"/>
                      <w:lang w:val="en-US" w:eastAsia="zh-CN"/>
                    </w:rPr>
                    <w:t>间</w:t>
                  </w:r>
                  <w:r>
                    <w:rPr>
                      <w:rFonts w:hint="eastAsia" w:ascii="Times New Roman" w:hAnsi="Times New Roman" w:eastAsia="宋体"/>
                      <w:color w:val="auto"/>
                      <w:sz w:val="18"/>
                      <w:szCs w:val="18"/>
                      <w:highlight w:val="none"/>
                      <w:lang w:val="en-US" w:eastAsia="zh-CN"/>
                    </w:rPr>
                    <w:t>，面积约</w:t>
                  </w:r>
                  <w:r>
                    <w:rPr>
                      <w:rFonts w:hint="eastAsia"/>
                      <w:color w:val="auto"/>
                      <w:sz w:val="18"/>
                      <w:szCs w:val="18"/>
                      <w:highlight w:val="none"/>
                      <w:vertAlign w:val="baseline"/>
                      <w:lang w:val="en-US" w:eastAsia="zh-CN"/>
                    </w:rPr>
                    <w:t>10m</w:t>
                  </w:r>
                  <w:r>
                    <w:rPr>
                      <w:rFonts w:hint="eastAsia"/>
                      <w:color w:val="auto"/>
                      <w:sz w:val="18"/>
                      <w:szCs w:val="18"/>
                      <w:highlight w:val="none"/>
                      <w:vertAlign w:val="superscript"/>
                      <w:lang w:val="en-US" w:eastAsia="zh-CN"/>
                    </w:rPr>
                    <w:t>2</w:t>
                  </w:r>
                </w:p>
              </w:tc>
              <w:tc>
                <w:tcPr>
                  <w:tcW w:w="2443" w:type="dxa"/>
                  <w:noWrap w:val="0"/>
                  <w:vAlign w:val="center"/>
                </w:tcPr>
                <w:p w14:paraId="55B57AE6">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hint="eastAsia" w:cs="Times New Roman"/>
                      <w:color w:val="auto"/>
                      <w:sz w:val="18"/>
                      <w:szCs w:val="18"/>
                      <w:highlight w:val="none"/>
                      <w:lang w:val="en-US" w:eastAsia="zh-CN"/>
                    </w:rPr>
                    <w:t>现有工程一般工业固废暂存间面积较小，无法满足企业需要，本次整改</w:t>
                  </w:r>
                </w:p>
              </w:tc>
            </w:tr>
            <w:tr w14:paraId="0D8AC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57F71BA7">
                  <w:pPr>
                    <w:adjustRightInd w:val="0"/>
                    <w:snapToGrid w:val="0"/>
                    <w:spacing w:line="240" w:lineRule="auto"/>
                    <w:jc w:val="center"/>
                    <w:rPr>
                      <w:rFonts w:ascii="Times New Roman" w:hAnsi="Times New Roman" w:eastAsia="宋体"/>
                      <w:color w:val="auto"/>
                      <w:sz w:val="18"/>
                      <w:szCs w:val="18"/>
                    </w:rPr>
                  </w:pPr>
                </w:p>
              </w:tc>
              <w:tc>
                <w:tcPr>
                  <w:tcW w:w="1798" w:type="dxa"/>
                  <w:gridSpan w:val="2"/>
                  <w:vMerge w:val="continue"/>
                  <w:noWrap w:val="0"/>
                  <w:vAlign w:val="center"/>
                </w:tcPr>
                <w:p w14:paraId="2E96001E">
                  <w:pPr>
                    <w:adjustRightInd w:val="0"/>
                    <w:snapToGrid w:val="0"/>
                    <w:spacing w:line="240" w:lineRule="auto"/>
                    <w:jc w:val="center"/>
                    <w:rPr>
                      <w:rFonts w:ascii="Times New Roman" w:hAnsi="Times New Roman" w:eastAsia="宋体"/>
                      <w:color w:val="auto"/>
                      <w:sz w:val="18"/>
                      <w:szCs w:val="18"/>
                      <w:highlight w:val="none"/>
                    </w:rPr>
                  </w:pPr>
                </w:p>
              </w:tc>
              <w:tc>
                <w:tcPr>
                  <w:tcW w:w="2508" w:type="dxa"/>
                  <w:noWrap w:val="0"/>
                  <w:vAlign w:val="center"/>
                </w:tcPr>
                <w:p w14:paraId="0AF56F95">
                  <w:pPr>
                    <w:adjustRightInd w:val="0"/>
                    <w:snapToGrid w:val="0"/>
                    <w:spacing w:line="240" w:lineRule="auto"/>
                    <w:jc w:val="center"/>
                    <w:rPr>
                      <w:rFonts w:ascii="Times New Roman" w:hAnsi="Times New Roman" w:eastAsia="宋体"/>
                      <w:color w:val="auto"/>
                      <w:sz w:val="18"/>
                      <w:szCs w:val="18"/>
                      <w:highlight w:val="none"/>
                    </w:rPr>
                  </w:pPr>
                  <w:r>
                    <w:rPr>
                      <w:rFonts w:hint="eastAsia"/>
                      <w:color w:val="auto"/>
                      <w:kern w:val="0"/>
                      <w:sz w:val="18"/>
                      <w:szCs w:val="18"/>
                      <w:highlight w:val="none"/>
                      <w:lang w:val="en-US" w:eastAsia="zh-CN"/>
                    </w:rPr>
                    <w:t>危废委托福建深投海峡环保科技有限公司处置，</w:t>
                  </w:r>
                  <w:r>
                    <w:rPr>
                      <w:rFonts w:hint="eastAsia"/>
                      <w:color w:val="auto"/>
                      <w:kern w:val="0"/>
                      <w:sz w:val="18"/>
                      <w:szCs w:val="18"/>
                      <w:highlight w:val="none"/>
                    </w:rPr>
                    <w:t>危险废物贮存间，面积约</w:t>
                  </w:r>
                  <w:r>
                    <w:rPr>
                      <w:rFonts w:hint="eastAsia"/>
                      <w:color w:val="auto"/>
                      <w:kern w:val="0"/>
                      <w:sz w:val="18"/>
                      <w:szCs w:val="18"/>
                      <w:highlight w:val="none"/>
                      <w:lang w:val="en-US" w:eastAsia="zh-CN"/>
                    </w:rPr>
                    <w:t>5</w:t>
                  </w:r>
                  <w:r>
                    <w:rPr>
                      <w:rFonts w:hint="eastAsia"/>
                      <w:color w:val="auto"/>
                      <w:kern w:val="0"/>
                      <w:sz w:val="18"/>
                      <w:szCs w:val="18"/>
                      <w:highlight w:val="none"/>
                    </w:rPr>
                    <w:t>m</w:t>
                  </w:r>
                  <w:r>
                    <w:rPr>
                      <w:rFonts w:hint="eastAsia"/>
                      <w:color w:val="auto"/>
                      <w:kern w:val="0"/>
                      <w:sz w:val="18"/>
                      <w:szCs w:val="18"/>
                      <w:highlight w:val="none"/>
                      <w:vertAlign w:val="superscript"/>
                    </w:rPr>
                    <w:t>2</w:t>
                  </w:r>
                </w:p>
              </w:tc>
              <w:tc>
                <w:tcPr>
                  <w:tcW w:w="2886" w:type="dxa"/>
                  <w:noWrap w:val="0"/>
                  <w:vAlign w:val="center"/>
                </w:tcPr>
                <w:p w14:paraId="51911113">
                  <w:pPr>
                    <w:adjustRightInd w:val="0"/>
                    <w:snapToGrid w:val="0"/>
                    <w:spacing w:line="240" w:lineRule="auto"/>
                    <w:jc w:val="center"/>
                    <w:rPr>
                      <w:rFonts w:ascii="Times New Roman" w:hAnsi="Times New Roman" w:eastAsia="宋体"/>
                      <w:color w:val="auto"/>
                      <w:sz w:val="18"/>
                      <w:szCs w:val="18"/>
                      <w:highlight w:val="none"/>
                    </w:rPr>
                  </w:pPr>
                  <w:r>
                    <w:rPr>
                      <w:rFonts w:hint="eastAsia" w:hAnsi="宋体" w:eastAsia="宋体"/>
                      <w:color w:val="auto"/>
                      <w:sz w:val="18"/>
                      <w:szCs w:val="18"/>
                      <w:highlight w:val="none"/>
                    </w:rPr>
                    <w:t>危险废物分类收集、暂存于危险废物贮存间，定期委托有资质的单位统一外运处置</w:t>
                  </w:r>
                  <w:r>
                    <w:rPr>
                      <w:rFonts w:hint="eastAsia" w:hAnsi="宋体"/>
                      <w:color w:val="auto"/>
                      <w:sz w:val="18"/>
                      <w:szCs w:val="18"/>
                      <w:highlight w:val="none"/>
                      <w:lang w:eastAsia="zh-CN"/>
                    </w:rPr>
                    <w:t>，</w:t>
                  </w:r>
                  <w:r>
                    <w:rPr>
                      <w:rFonts w:hint="eastAsia" w:hAnsi="宋体" w:eastAsia="宋体"/>
                      <w:color w:val="auto"/>
                      <w:sz w:val="18"/>
                      <w:szCs w:val="18"/>
                      <w:highlight w:val="none"/>
                    </w:rPr>
                    <w:t>危险废物贮存</w:t>
                  </w:r>
                  <w:r>
                    <w:rPr>
                      <w:rFonts w:hAnsi="宋体" w:eastAsia="宋体"/>
                      <w:color w:val="auto"/>
                      <w:sz w:val="18"/>
                      <w:szCs w:val="18"/>
                      <w:highlight w:val="none"/>
                    </w:rPr>
                    <w:t>间，面积约</w:t>
                  </w:r>
                  <w:r>
                    <w:rPr>
                      <w:rFonts w:hint="eastAsia" w:eastAsia="宋体"/>
                      <w:color w:val="auto"/>
                      <w:sz w:val="18"/>
                      <w:szCs w:val="18"/>
                      <w:highlight w:val="none"/>
                      <w:lang w:val="en-US" w:eastAsia="zh-CN"/>
                    </w:rPr>
                    <w:t>25</w:t>
                  </w:r>
                  <w:r>
                    <w:rPr>
                      <w:rFonts w:eastAsia="宋体"/>
                      <w:color w:val="auto"/>
                      <w:sz w:val="18"/>
                      <w:szCs w:val="18"/>
                      <w:highlight w:val="none"/>
                    </w:rPr>
                    <w:t>m</w:t>
                  </w:r>
                  <w:r>
                    <w:rPr>
                      <w:rFonts w:eastAsia="宋体"/>
                      <w:color w:val="auto"/>
                      <w:sz w:val="18"/>
                      <w:szCs w:val="18"/>
                      <w:highlight w:val="none"/>
                      <w:vertAlign w:val="superscript"/>
                    </w:rPr>
                    <w:t>2</w:t>
                  </w:r>
                </w:p>
              </w:tc>
              <w:tc>
                <w:tcPr>
                  <w:tcW w:w="2447" w:type="dxa"/>
                  <w:noWrap w:val="0"/>
                  <w:vAlign w:val="center"/>
                </w:tcPr>
                <w:p w14:paraId="0A1B70FF">
                  <w:pPr>
                    <w:spacing w:line="240" w:lineRule="auto"/>
                    <w:jc w:val="center"/>
                    <w:rPr>
                      <w:rFonts w:hint="eastAsia" w:ascii="Times New Roman" w:hAnsi="Times New Roman" w:eastAsia="宋体"/>
                      <w:color w:val="auto"/>
                      <w:sz w:val="18"/>
                      <w:szCs w:val="18"/>
                      <w:highlight w:val="none"/>
                      <w:lang w:eastAsia="zh-CN"/>
                    </w:rPr>
                  </w:pPr>
                  <w:r>
                    <w:rPr>
                      <w:rFonts w:hint="eastAsia" w:hAnsi="宋体" w:eastAsia="宋体"/>
                      <w:color w:val="auto"/>
                      <w:sz w:val="18"/>
                      <w:szCs w:val="18"/>
                      <w:highlight w:val="none"/>
                    </w:rPr>
                    <w:t>危险废物分类收集、暂存于危险废物贮存间，定期委托有资质的单位统一外运处置</w:t>
                  </w:r>
                  <w:r>
                    <w:rPr>
                      <w:rFonts w:hint="eastAsia" w:hAnsi="宋体"/>
                      <w:color w:val="auto"/>
                      <w:sz w:val="18"/>
                      <w:szCs w:val="18"/>
                      <w:highlight w:val="none"/>
                      <w:lang w:eastAsia="zh-CN"/>
                    </w:rPr>
                    <w:t>，</w:t>
                  </w:r>
                  <w:r>
                    <w:rPr>
                      <w:rFonts w:hint="eastAsia" w:hAnsi="宋体" w:eastAsia="宋体"/>
                      <w:color w:val="auto"/>
                      <w:sz w:val="18"/>
                      <w:szCs w:val="18"/>
                      <w:highlight w:val="none"/>
                    </w:rPr>
                    <w:t>危险废物贮存</w:t>
                  </w:r>
                  <w:r>
                    <w:rPr>
                      <w:rFonts w:hAnsi="宋体" w:eastAsia="宋体"/>
                      <w:color w:val="auto"/>
                      <w:sz w:val="18"/>
                      <w:szCs w:val="18"/>
                      <w:highlight w:val="none"/>
                    </w:rPr>
                    <w:t>间，面积约</w:t>
                  </w:r>
                  <w:r>
                    <w:rPr>
                      <w:rFonts w:hint="eastAsia" w:eastAsia="宋体"/>
                      <w:color w:val="auto"/>
                      <w:sz w:val="18"/>
                      <w:szCs w:val="18"/>
                      <w:highlight w:val="none"/>
                      <w:lang w:val="en-US" w:eastAsia="zh-CN"/>
                    </w:rPr>
                    <w:t>25</w:t>
                  </w:r>
                  <w:r>
                    <w:rPr>
                      <w:rFonts w:eastAsia="宋体"/>
                      <w:color w:val="auto"/>
                      <w:sz w:val="18"/>
                      <w:szCs w:val="18"/>
                      <w:highlight w:val="none"/>
                    </w:rPr>
                    <w:t>m</w:t>
                  </w:r>
                  <w:r>
                    <w:rPr>
                      <w:rFonts w:eastAsia="宋体"/>
                      <w:color w:val="auto"/>
                      <w:sz w:val="18"/>
                      <w:szCs w:val="18"/>
                      <w:highlight w:val="none"/>
                      <w:vertAlign w:val="superscript"/>
                    </w:rPr>
                    <w:t>2</w:t>
                  </w:r>
                </w:p>
              </w:tc>
              <w:tc>
                <w:tcPr>
                  <w:tcW w:w="2443" w:type="dxa"/>
                  <w:noWrap w:val="0"/>
                  <w:vAlign w:val="center"/>
                </w:tcPr>
                <w:p w14:paraId="24940580">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hint="eastAsia" w:cs="Times New Roman"/>
                      <w:color w:val="auto"/>
                      <w:sz w:val="18"/>
                      <w:szCs w:val="18"/>
                      <w:highlight w:val="none"/>
                      <w:lang w:val="en-US" w:eastAsia="zh-CN"/>
                    </w:rPr>
                    <w:t>现有工程</w:t>
                  </w:r>
                  <w:r>
                    <w:rPr>
                      <w:rFonts w:hint="eastAsia" w:hAnsi="宋体" w:eastAsia="宋体"/>
                      <w:color w:val="auto"/>
                      <w:sz w:val="18"/>
                      <w:szCs w:val="18"/>
                      <w:highlight w:val="none"/>
                    </w:rPr>
                    <w:t>危险废物贮存</w:t>
                  </w:r>
                  <w:r>
                    <w:rPr>
                      <w:rFonts w:hint="eastAsia" w:hAnsi="宋体"/>
                      <w:color w:val="auto"/>
                      <w:sz w:val="18"/>
                      <w:szCs w:val="18"/>
                      <w:highlight w:val="none"/>
                      <w:lang w:val="en-US" w:eastAsia="zh-CN"/>
                    </w:rPr>
                    <w:t>间</w:t>
                  </w:r>
                  <w:r>
                    <w:rPr>
                      <w:rFonts w:hint="eastAsia" w:cs="Times New Roman"/>
                      <w:color w:val="auto"/>
                      <w:sz w:val="18"/>
                      <w:szCs w:val="18"/>
                      <w:highlight w:val="none"/>
                      <w:lang w:val="en-US" w:eastAsia="zh-CN"/>
                    </w:rPr>
                    <w:t>面积较小无法满足企业需要，本次整改</w:t>
                  </w:r>
                </w:p>
              </w:tc>
            </w:tr>
            <w:tr w14:paraId="20AA0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5D652EBD">
                  <w:pPr>
                    <w:adjustRightInd w:val="0"/>
                    <w:snapToGrid w:val="0"/>
                    <w:spacing w:line="240" w:lineRule="auto"/>
                    <w:jc w:val="center"/>
                    <w:rPr>
                      <w:rFonts w:ascii="Times New Roman" w:hAnsi="Times New Roman" w:eastAsia="宋体"/>
                      <w:color w:val="auto"/>
                      <w:sz w:val="18"/>
                      <w:szCs w:val="18"/>
                    </w:rPr>
                  </w:pPr>
                </w:p>
              </w:tc>
              <w:tc>
                <w:tcPr>
                  <w:tcW w:w="1798" w:type="dxa"/>
                  <w:gridSpan w:val="2"/>
                  <w:vMerge w:val="continue"/>
                  <w:noWrap w:val="0"/>
                  <w:vAlign w:val="center"/>
                </w:tcPr>
                <w:p w14:paraId="499E85AC">
                  <w:pPr>
                    <w:pStyle w:val="87"/>
                    <w:spacing w:line="240" w:lineRule="auto"/>
                    <w:rPr>
                      <w:rFonts w:ascii="Times New Roman" w:hAnsi="Times New Roman" w:eastAsia="宋体" w:cs="Times New Roman"/>
                      <w:color w:val="auto"/>
                      <w:sz w:val="18"/>
                      <w:szCs w:val="18"/>
                      <w:highlight w:val="yellow"/>
                    </w:rPr>
                  </w:pPr>
                </w:p>
              </w:tc>
              <w:tc>
                <w:tcPr>
                  <w:tcW w:w="2508" w:type="dxa"/>
                  <w:noWrap w:val="0"/>
                  <w:vAlign w:val="center"/>
                </w:tcPr>
                <w:p w14:paraId="4B6A2DD4">
                  <w:pPr>
                    <w:autoSpaceDE w:val="0"/>
                    <w:autoSpaceDN w:val="0"/>
                    <w:adjustRightInd w:val="0"/>
                    <w:snapToGrid w:val="0"/>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kern w:val="0"/>
                      <w:sz w:val="18"/>
                      <w:szCs w:val="18"/>
                      <w:highlight w:val="none"/>
                      <w:lang w:val="en-GB"/>
                    </w:rPr>
                    <w:t>生活垃圾经收集后暂存三锋汽配生活垃圾站，由三锋汽配委托的生活垃圾处置单位代为处置</w:t>
                  </w:r>
                </w:p>
              </w:tc>
              <w:tc>
                <w:tcPr>
                  <w:tcW w:w="2886" w:type="dxa"/>
                  <w:noWrap w:val="0"/>
                  <w:vAlign w:val="center"/>
                </w:tcPr>
                <w:p w14:paraId="123884D9">
                  <w:pPr>
                    <w:autoSpaceDE w:val="0"/>
                    <w:autoSpaceDN w:val="0"/>
                    <w:adjustRightInd w:val="0"/>
                    <w:snapToGrid w:val="0"/>
                    <w:spacing w:line="240" w:lineRule="auto"/>
                    <w:jc w:val="center"/>
                    <w:rPr>
                      <w:rFonts w:ascii="Times New Roman" w:hAnsi="Times New Roman" w:eastAsia="宋体"/>
                      <w:color w:val="auto"/>
                      <w:kern w:val="0"/>
                      <w:sz w:val="18"/>
                      <w:szCs w:val="18"/>
                      <w:highlight w:val="none"/>
                      <w:lang w:val="en-GB"/>
                    </w:rPr>
                  </w:pPr>
                  <w:r>
                    <w:rPr>
                      <w:rFonts w:hint="eastAsia"/>
                      <w:color w:val="auto"/>
                      <w:kern w:val="0"/>
                      <w:sz w:val="18"/>
                      <w:szCs w:val="18"/>
                      <w:highlight w:val="none"/>
                      <w:lang w:val="en-US" w:eastAsia="zh-CN"/>
                    </w:rPr>
                    <w:t>新增生活垃圾产生量，</w:t>
                  </w:r>
                  <w:r>
                    <w:rPr>
                      <w:rFonts w:hint="eastAsia" w:ascii="Times New Roman" w:hAnsi="Times New Roman" w:eastAsia="宋体"/>
                      <w:color w:val="auto"/>
                      <w:kern w:val="0"/>
                      <w:sz w:val="18"/>
                      <w:szCs w:val="18"/>
                      <w:highlight w:val="none"/>
                      <w:lang w:val="en-GB"/>
                    </w:rPr>
                    <w:t>生活垃圾经收集后暂存三锋汽配生活垃圾站，由三锋汽配委托的生活垃圾处置单位代为处置</w:t>
                  </w:r>
                </w:p>
              </w:tc>
              <w:tc>
                <w:tcPr>
                  <w:tcW w:w="2447" w:type="dxa"/>
                  <w:noWrap w:val="0"/>
                  <w:vAlign w:val="center"/>
                </w:tcPr>
                <w:p w14:paraId="62E02583">
                  <w:pPr>
                    <w:adjustRightInd w:val="0"/>
                    <w:snapToGrid w:val="0"/>
                    <w:spacing w:line="240" w:lineRule="auto"/>
                    <w:jc w:val="center"/>
                    <w:rPr>
                      <w:rFonts w:ascii="Times New Roman" w:hAnsi="Times New Roman" w:eastAsia="宋体"/>
                      <w:color w:val="auto"/>
                      <w:kern w:val="0"/>
                      <w:sz w:val="18"/>
                      <w:szCs w:val="18"/>
                      <w:highlight w:val="none"/>
                      <w:lang w:val="en-GB"/>
                    </w:rPr>
                  </w:pPr>
                  <w:r>
                    <w:rPr>
                      <w:rFonts w:hint="eastAsia" w:ascii="Times New Roman" w:hAnsi="Times New Roman" w:eastAsia="宋体"/>
                      <w:color w:val="auto"/>
                      <w:sz w:val="18"/>
                      <w:szCs w:val="18"/>
                      <w:highlight w:val="none"/>
                      <w:lang w:eastAsia="zh-CN"/>
                    </w:rPr>
                    <w:t>生活垃圾经收集后暂存三锋汽配生活垃圾站，由三锋汽配委托的生活垃圾处置单位代为处置</w:t>
                  </w:r>
                </w:p>
              </w:tc>
              <w:tc>
                <w:tcPr>
                  <w:tcW w:w="2443" w:type="dxa"/>
                  <w:noWrap w:val="0"/>
                  <w:vAlign w:val="center"/>
                </w:tcPr>
                <w:p w14:paraId="58C9339D">
                  <w:pPr>
                    <w:adjustRightInd w:val="0"/>
                    <w:snapToGrid w:val="0"/>
                    <w:spacing w:line="240" w:lineRule="auto"/>
                    <w:jc w:val="center"/>
                    <w:rPr>
                      <w:rFonts w:hint="default" w:ascii="Times New Roman" w:hAnsi="Times New Roman" w:eastAsia="宋体"/>
                      <w:color w:val="auto"/>
                      <w:kern w:val="0"/>
                      <w:sz w:val="18"/>
                      <w:szCs w:val="18"/>
                      <w:highlight w:val="none"/>
                      <w:lang w:val="en-US"/>
                    </w:rPr>
                  </w:pPr>
                  <w:r>
                    <w:rPr>
                      <w:rFonts w:hint="eastAsia" w:ascii="Times New Roman" w:hAnsi="Times New Roman" w:eastAsia="宋体" w:cs="Times New Roman"/>
                      <w:color w:val="auto"/>
                      <w:sz w:val="18"/>
                      <w:szCs w:val="18"/>
                      <w:highlight w:val="none"/>
                      <w:lang w:val="en-US" w:eastAsia="zh-CN"/>
                    </w:rPr>
                    <w:t>依托现有</w:t>
                  </w:r>
                  <w:r>
                    <w:rPr>
                      <w:rFonts w:hint="eastAsia" w:cs="Times New Roman"/>
                      <w:color w:val="auto"/>
                      <w:sz w:val="18"/>
                      <w:szCs w:val="18"/>
                      <w:highlight w:val="none"/>
                      <w:lang w:val="en-US" w:eastAsia="zh-CN"/>
                    </w:rPr>
                    <w:t>，新增生活垃圾产生量</w:t>
                  </w:r>
                </w:p>
              </w:tc>
            </w:tr>
            <w:tr w14:paraId="50C3A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4" w:type="dxa"/>
                  <w:vMerge w:val="continue"/>
                  <w:noWrap w:val="0"/>
                  <w:vAlign w:val="center"/>
                </w:tcPr>
                <w:p w14:paraId="5CD05743">
                  <w:pPr>
                    <w:adjustRightInd w:val="0"/>
                    <w:snapToGrid w:val="0"/>
                    <w:spacing w:line="240" w:lineRule="auto"/>
                    <w:jc w:val="center"/>
                    <w:rPr>
                      <w:rFonts w:ascii="Times New Roman" w:hAnsi="Times New Roman" w:eastAsia="宋体"/>
                      <w:color w:val="auto"/>
                      <w:sz w:val="18"/>
                      <w:szCs w:val="18"/>
                    </w:rPr>
                  </w:pPr>
                </w:p>
              </w:tc>
              <w:tc>
                <w:tcPr>
                  <w:tcW w:w="1798" w:type="dxa"/>
                  <w:gridSpan w:val="2"/>
                  <w:noWrap w:val="0"/>
                  <w:vAlign w:val="center"/>
                </w:tcPr>
                <w:p w14:paraId="6BBB50F3">
                  <w:pPr>
                    <w:adjustRightInd w:val="0"/>
                    <w:snapToGrid w:val="0"/>
                    <w:spacing w:line="240"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噪声控制</w:t>
                  </w:r>
                </w:p>
              </w:tc>
              <w:tc>
                <w:tcPr>
                  <w:tcW w:w="2508" w:type="dxa"/>
                  <w:noWrap w:val="0"/>
                  <w:vAlign w:val="center"/>
                </w:tcPr>
                <w:p w14:paraId="36B87C17">
                  <w:pPr>
                    <w:adjustRightInd w:val="0"/>
                    <w:snapToGrid w:val="0"/>
                    <w:spacing w:line="240"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选用低噪声设备，加强设备的维护管理；对高噪声设备进行基础减振、厂房墙体隔声等综合降噪措施</w:t>
                  </w:r>
                </w:p>
              </w:tc>
              <w:tc>
                <w:tcPr>
                  <w:tcW w:w="2886" w:type="dxa"/>
                  <w:noWrap w:val="0"/>
                  <w:vAlign w:val="center"/>
                </w:tcPr>
                <w:p w14:paraId="0287B86F">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ascii="Times New Roman" w:hAnsi="Times New Roman" w:eastAsia="宋体"/>
                      <w:color w:val="auto"/>
                      <w:sz w:val="18"/>
                      <w:szCs w:val="18"/>
                      <w:highlight w:val="none"/>
                    </w:rPr>
                    <w:t>选用低噪声设备，加强设备的维护管理；对高噪声设备进行基础减振、厂房墙体隔声等综合降噪措施</w:t>
                  </w:r>
                </w:p>
              </w:tc>
              <w:tc>
                <w:tcPr>
                  <w:tcW w:w="2447" w:type="dxa"/>
                  <w:noWrap w:val="0"/>
                  <w:vAlign w:val="center"/>
                </w:tcPr>
                <w:p w14:paraId="73482683">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ascii="Times New Roman" w:hAnsi="Times New Roman" w:eastAsia="宋体"/>
                      <w:color w:val="auto"/>
                      <w:sz w:val="18"/>
                      <w:szCs w:val="18"/>
                      <w:highlight w:val="none"/>
                    </w:rPr>
                    <w:t>选用低噪声设备，加强设备的维护管理；对高噪声设备进行基础减振、厂房墙体隔声等综合降噪措施</w:t>
                  </w:r>
                </w:p>
              </w:tc>
              <w:tc>
                <w:tcPr>
                  <w:tcW w:w="2443" w:type="dxa"/>
                  <w:noWrap w:val="0"/>
                  <w:vAlign w:val="center"/>
                </w:tcPr>
                <w:p w14:paraId="36F60B8E">
                  <w:pPr>
                    <w:adjustRightInd w:val="0"/>
                    <w:snapToGrid w:val="0"/>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新建</w:t>
                  </w:r>
                </w:p>
              </w:tc>
            </w:tr>
          </w:tbl>
          <w:p w14:paraId="494AB9D6">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2.</w:t>
            </w:r>
            <w:r>
              <w:rPr>
                <w:rFonts w:hint="default" w:ascii="Times New Roman" w:hAnsi="Times New Roman" w:eastAsia="宋体" w:cs="Times New Roman"/>
                <w:b/>
                <w:bCs/>
                <w:color w:val="auto"/>
                <w:sz w:val="24"/>
                <w:lang w:eastAsia="zh-CN"/>
              </w:rPr>
              <w:t>3</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rPr>
              <w:t>主要</w:t>
            </w:r>
            <w:r>
              <w:rPr>
                <w:rFonts w:hint="eastAsia" w:ascii="Times New Roman" w:hAnsi="Times New Roman" w:eastAsia="宋体" w:cs="Times New Roman"/>
                <w:b/>
                <w:bCs/>
                <w:color w:val="auto"/>
                <w:sz w:val="24"/>
                <w:lang w:val="en-US" w:eastAsia="zh-CN"/>
              </w:rPr>
              <w:t>生产设备</w:t>
            </w:r>
          </w:p>
          <w:p w14:paraId="1A4C5D82">
            <w:pPr>
              <w:pStyle w:val="165"/>
              <w:ind w:firstLine="480"/>
              <w:rPr>
                <w:rFonts w:hint="eastAsia" w:ascii="Times New Roman" w:hAnsi="Times New Roman" w:cs="Times New Roman"/>
                <w:color w:val="auto"/>
                <w:lang w:val="en-US" w:eastAsia="zh-CN"/>
              </w:rPr>
            </w:pPr>
          </w:p>
          <w:p w14:paraId="1DC32BE6">
            <w:pPr>
              <w:pStyle w:val="165"/>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表2-5  扩建后全厂设备一览表</w:t>
            </w:r>
          </w:p>
          <w:tbl>
            <w:tblPr>
              <w:tblStyle w:val="35"/>
              <w:tblW w:w="4998"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3786"/>
              <w:gridCol w:w="1441"/>
              <w:gridCol w:w="1953"/>
              <w:gridCol w:w="1935"/>
              <w:gridCol w:w="1731"/>
            </w:tblGrid>
            <w:tr w14:paraId="5BD33E5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tcBorders>
                    <w:left w:val="nil"/>
                  </w:tcBorders>
                  <w:noWrap w:val="0"/>
                  <w:vAlign w:val="center"/>
                </w:tcPr>
                <w:p w14:paraId="2F361D1A">
                  <w:pPr>
                    <w:pStyle w:val="144"/>
                    <w:rPr>
                      <w:rFonts w:hint="eastAsia" w:eastAsia="宋体"/>
                      <w:b/>
                      <w:bCs/>
                      <w:color w:val="auto"/>
                      <w:sz w:val="21"/>
                      <w:szCs w:val="21"/>
                      <w:lang w:eastAsia="zh-CN"/>
                    </w:rPr>
                  </w:pPr>
                  <w:r>
                    <w:rPr>
                      <w:rFonts w:hint="eastAsia"/>
                      <w:b/>
                      <w:bCs/>
                      <w:color w:val="auto"/>
                    </w:rPr>
                    <w:t>楼层</w:t>
                  </w:r>
                </w:p>
              </w:tc>
              <w:tc>
                <w:tcPr>
                  <w:tcW w:w="1466" w:type="pct"/>
                  <w:noWrap w:val="0"/>
                  <w:vAlign w:val="center"/>
                </w:tcPr>
                <w:p w14:paraId="12176814">
                  <w:pPr>
                    <w:pStyle w:val="144"/>
                    <w:rPr>
                      <w:b/>
                      <w:bCs/>
                      <w:color w:val="auto"/>
                      <w:sz w:val="21"/>
                      <w:szCs w:val="21"/>
                    </w:rPr>
                  </w:pPr>
                  <w:r>
                    <w:rPr>
                      <w:b/>
                      <w:bCs/>
                      <w:color w:val="auto"/>
                      <w:sz w:val="21"/>
                      <w:szCs w:val="21"/>
                    </w:rPr>
                    <w:t>设备名称</w:t>
                  </w:r>
                </w:p>
              </w:tc>
              <w:tc>
                <w:tcPr>
                  <w:tcW w:w="558" w:type="pct"/>
                  <w:noWrap w:val="0"/>
                  <w:vAlign w:val="center"/>
                </w:tcPr>
                <w:p w14:paraId="38B4CBFC">
                  <w:pPr>
                    <w:pStyle w:val="144"/>
                    <w:rPr>
                      <w:rFonts w:hint="default" w:eastAsia="宋体"/>
                      <w:b/>
                      <w:bCs/>
                      <w:color w:val="auto"/>
                      <w:sz w:val="21"/>
                      <w:szCs w:val="21"/>
                      <w:lang w:val="en-US" w:eastAsia="zh-CN"/>
                    </w:rPr>
                  </w:pPr>
                  <w:r>
                    <w:rPr>
                      <w:rFonts w:hint="eastAsia"/>
                      <w:b/>
                      <w:bCs/>
                      <w:color w:val="auto"/>
                      <w:sz w:val="21"/>
                      <w:szCs w:val="21"/>
                      <w:lang w:val="en-US" w:eastAsia="zh-CN"/>
                    </w:rPr>
                    <w:t>原环评数量</w:t>
                  </w:r>
                </w:p>
              </w:tc>
              <w:tc>
                <w:tcPr>
                  <w:tcW w:w="756" w:type="pct"/>
                  <w:noWrap w:val="0"/>
                  <w:vAlign w:val="center"/>
                </w:tcPr>
                <w:p w14:paraId="79162757">
                  <w:pPr>
                    <w:pStyle w:val="144"/>
                    <w:rPr>
                      <w:rFonts w:hint="eastAsia"/>
                      <w:b/>
                      <w:bCs/>
                      <w:color w:val="auto"/>
                      <w:sz w:val="21"/>
                      <w:szCs w:val="21"/>
                      <w:lang w:val="en-US" w:eastAsia="zh-CN"/>
                    </w:rPr>
                  </w:pPr>
                  <w:r>
                    <w:rPr>
                      <w:rFonts w:hint="eastAsia"/>
                      <w:b/>
                      <w:bCs/>
                      <w:color w:val="auto"/>
                      <w:sz w:val="21"/>
                      <w:szCs w:val="21"/>
                      <w:lang w:val="en-US" w:eastAsia="zh-CN"/>
                    </w:rPr>
                    <w:t>现有工程</w:t>
                  </w:r>
                </w:p>
                <w:p w14:paraId="455D5E8F">
                  <w:pPr>
                    <w:pStyle w:val="144"/>
                    <w:rPr>
                      <w:rFonts w:hint="default"/>
                      <w:b/>
                      <w:bCs/>
                      <w:color w:val="auto"/>
                      <w:sz w:val="21"/>
                      <w:szCs w:val="21"/>
                      <w:lang w:val="en-US" w:eastAsia="zh-CN"/>
                    </w:rPr>
                  </w:pPr>
                  <w:r>
                    <w:rPr>
                      <w:rFonts w:hint="eastAsia"/>
                      <w:b/>
                      <w:bCs/>
                      <w:color w:val="auto"/>
                      <w:sz w:val="21"/>
                      <w:szCs w:val="21"/>
                      <w:lang w:val="en-US" w:eastAsia="zh-CN"/>
                    </w:rPr>
                    <w:t>已建数量</w:t>
                  </w:r>
                </w:p>
              </w:tc>
              <w:tc>
                <w:tcPr>
                  <w:tcW w:w="749" w:type="pct"/>
                  <w:tcBorders>
                    <w:right w:val="nil"/>
                  </w:tcBorders>
                  <w:noWrap w:val="0"/>
                  <w:vAlign w:val="center"/>
                </w:tcPr>
                <w:p w14:paraId="6E2AEDCD">
                  <w:pPr>
                    <w:pStyle w:val="144"/>
                    <w:rPr>
                      <w:rFonts w:hint="default" w:eastAsia="宋体"/>
                      <w:b/>
                      <w:bCs/>
                      <w:color w:val="auto"/>
                      <w:sz w:val="21"/>
                      <w:szCs w:val="21"/>
                      <w:lang w:val="en-US" w:eastAsia="zh-CN"/>
                    </w:rPr>
                  </w:pPr>
                  <w:r>
                    <w:rPr>
                      <w:rFonts w:hint="eastAsia"/>
                      <w:b/>
                      <w:bCs/>
                      <w:color w:val="auto"/>
                      <w:sz w:val="21"/>
                      <w:szCs w:val="21"/>
                      <w:lang w:val="en-US" w:eastAsia="zh-CN"/>
                    </w:rPr>
                    <w:t>扩建后全厂数量</w:t>
                  </w:r>
                </w:p>
              </w:tc>
              <w:tc>
                <w:tcPr>
                  <w:tcW w:w="670" w:type="pct"/>
                  <w:tcBorders>
                    <w:right w:val="nil"/>
                  </w:tcBorders>
                  <w:noWrap w:val="0"/>
                  <w:vAlign w:val="center"/>
                </w:tcPr>
                <w:p w14:paraId="1D8F3ABA">
                  <w:pPr>
                    <w:pStyle w:val="144"/>
                    <w:rPr>
                      <w:rFonts w:hint="eastAsia"/>
                      <w:b/>
                      <w:bCs/>
                      <w:color w:val="auto"/>
                      <w:sz w:val="21"/>
                      <w:szCs w:val="21"/>
                      <w:lang w:val="en-US" w:eastAsia="zh-CN"/>
                    </w:rPr>
                  </w:pPr>
                  <w:r>
                    <w:rPr>
                      <w:rFonts w:hint="eastAsia"/>
                      <w:b/>
                      <w:bCs/>
                      <w:color w:val="auto"/>
                      <w:sz w:val="21"/>
                      <w:szCs w:val="21"/>
                      <w:highlight w:val="none"/>
                      <w:lang w:val="en-US" w:eastAsia="zh-CN"/>
                    </w:rPr>
                    <w:t>较原环评变化量</w:t>
                  </w:r>
                </w:p>
              </w:tc>
            </w:tr>
            <w:tr w14:paraId="42150DA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restart"/>
                  <w:tcBorders>
                    <w:left w:val="nil"/>
                  </w:tcBorders>
                  <w:noWrap w:val="0"/>
                  <w:vAlign w:val="center"/>
                </w:tcPr>
                <w:p w14:paraId="126C1013">
                  <w:pPr>
                    <w:pStyle w:val="144"/>
                    <w:rPr>
                      <w:rFonts w:hint="eastAsia" w:eastAsia="宋体"/>
                      <w:color w:val="auto"/>
                      <w:sz w:val="21"/>
                      <w:szCs w:val="21"/>
                      <w:lang w:val="en-US" w:eastAsia="zh-CN"/>
                    </w:rPr>
                  </w:pPr>
                  <w:r>
                    <w:rPr>
                      <w:rFonts w:hint="eastAsia"/>
                      <w:b/>
                      <w:bCs/>
                      <w:color w:val="auto"/>
                      <w:szCs w:val="21"/>
                      <w:lang w:val="en-US" w:eastAsia="zh-CN"/>
                    </w:rPr>
                    <w:t>厂房五一层（特种玻璃生产）</w:t>
                  </w:r>
                </w:p>
              </w:tc>
              <w:tc>
                <w:tcPr>
                  <w:tcW w:w="1466" w:type="pct"/>
                  <w:noWrap w:val="0"/>
                  <w:vAlign w:val="center"/>
                </w:tcPr>
                <w:p w14:paraId="65605B37">
                  <w:pPr>
                    <w:jc w:val="center"/>
                    <w:rPr>
                      <w:rFonts w:hint="eastAsia" w:eastAsia="宋体"/>
                      <w:color w:val="auto"/>
                      <w:kern w:val="0"/>
                      <w:sz w:val="21"/>
                      <w:szCs w:val="21"/>
                      <w:lang w:eastAsia="zh-CN" w:bidi="ar"/>
                    </w:rPr>
                  </w:pPr>
                  <w:r>
                    <w:rPr>
                      <w:rFonts w:hint="eastAsia" w:ascii="Calibri" w:hAnsi="Calibri" w:eastAsia="宋体" w:cs="Times New Roman"/>
                      <w:color w:val="auto"/>
                      <w:szCs w:val="21"/>
                    </w:rPr>
                    <w:t>中号单室炉</w:t>
                  </w:r>
                </w:p>
              </w:tc>
              <w:tc>
                <w:tcPr>
                  <w:tcW w:w="558" w:type="pct"/>
                  <w:noWrap w:val="0"/>
                  <w:vAlign w:val="center"/>
                </w:tcPr>
                <w:p w14:paraId="64013355">
                  <w:pPr>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1台</w:t>
                  </w:r>
                </w:p>
              </w:tc>
              <w:tc>
                <w:tcPr>
                  <w:tcW w:w="756" w:type="pct"/>
                  <w:noWrap w:val="0"/>
                  <w:vAlign w:val="center"/>
                </w:tcPr>
                <w:p w14:paraId="2CCB3470">
                  <w:pPr>
                    <w:jc w:val="center"/>
                    <w:textAlignment w:val="center"/>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1台</w:t>
                  </w:r>
                </w:p>
              </w:tc>
              <w:tc>
                <w:tcPr>
                  <w:tcW w:w="749" w:type="pct"/>
                  <w:tcBorders>
                    <w:right w:val="nil"/>
                  </w:tcBorders>
                  <w:noWrap w:val="0"/>
                  <w:vAlign w:val="center"/>
                </w:tcPr>
                <w:p w14:paraId="210E550F">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bidi="ar"/>
                    </w:rPr>
                    <w:t>1台</w:t>
                  </w:r>
                </w:p>
              </w:tc>
              <w:tc>
                <w:tcPr>
                  <w:tcW w:w="670" w:type="pct"/>
                  <w:tcBorders>
                    <w:right w:val="nil"/>
                  </w:tcBorders>
                  <w:noWrap w:val="0"/>
                  <w:vAlign w:val="center"/>
                </w:tcPr>
                <w:p w14:paraId="3D26FAF1">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p>
              </w:tc>
            </w:tr>
            <w:tr w14:paraId="161A91A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64B84285">
                  <w:pPr>
                    <w:pStyle w:val="144"/>
                    <w:rPr>
                      <w:color w:val="auto"/>
                      <w:sz w:val="21"/>
                      <w:szCs w:val="21"/>
                    </w:rPr>
                  </w:pPr>
                </w:p>
              </w:tc>
              <w:tc>
                <w:tcPr>
                  <w:tcW w:w="1466" w:type="pct"/>
                  <w:noWrap w:val="0"/>
                  <w:vAlign w:val="center"/>
                </w:tcPr>
                <w:p w14:paraId="2A3E3219">
                  <w:pPr>
                    <w:jc w:val="center"/>
                    <w:rPr>
                      <w:color w:val="auto"/>
                      <w:kern w:val="0"/>
                      <w:sz w:val="21"/>
                      <w:szCs w:val="21"/>
                      <w:lang w:bidi="ar"/>
                    </w:rPr>
                  </w:pPr>
                  <w:r>
                    <w:rPr>
                      <w:rFonts w:hint="eastAsia" w:ascii="Calibri" w:hAnsi="Calibri" w:eastAsia="宋体" w:cs="Times New Roman"/>
                      <w:color w:val="auto"/>
                      <w:szCs w:val="21"/>
                    </w:rPr>
                    <w:t>平洗机</w:t>
                  </w:r>
                </w:p>
              </w:tc>
              <w:tc>
                <w:tcPr>
                  <w:tcW w:w="558" w:type="pct"/>
                  <w:noWrap w:val="0"/>
                  <w:vAlign w:val="center"/>
                </w:tcPr>
                <w:p w14:paraId="0634B1A1">
                  <w:pPr>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1台</w:t>
                  </w:r>
                </w:p>
              </w:tc>
              <w:tc>
                <w:tcPr>
                  <w:tcW w:w="756" w:type="pct"/>
                  <w:noWrap w:val="0"/>
                  <w:vAlign w:val="center"/>
                </w:tcPr>
                <w:p w14:paraId="3F2C9731">
                  <w:pPr>
                    <w:jc w:val="center"/>
                    <w:textAlignment w:val="center"/>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1台</w:t>
                  </w:r>
                </w:p>
              </w:tc>
              <w:tc>
                <w:tcPr>
                  <w:tcW w:w="749" w:type="pct"/>
                  <w:tcBorders>
                    <w:right w:val="nil"/>
                  </w:tcBorders>
                  <w:noWrap w:val="0"/>
                  <w:vAlign w:val="center"/>
                </w:tcPr>
                <w:p w14:paraId="7B5FA1F8">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bidi="ar"/>
                    </w:rPr>
                    <w:t>1台</w:t>
                  </w:r>
                </w:p>
              </w:tc>
              <w:tc>
                <w:tcPr>
                  <w:tcW w:w="670" w:type="pct"/>
                  <w:tcBorders>
                    <w:right w:val="nil"/>
                  </w:tcBorders>
                  <w:noWrap w:val="0"/>
                  <w:vAlign w:val="center"/>
                </w:tcPr>
                <w:p w14:paraId="1B3F73B0">
                  <w:pPr>
                    <w:jc w:val="center"/>
                    <w:rPr>
                      <w:rFonts w:hint="default" w:ascii="Times New Roman" w:hAnsi="Times New Roman" w:cs="Times New Roman"/>
                      <w:bCs/>
                      <w:color w:val="auto"/>
                      <w:szCs w:val="21"/>
                      <w:lang w:val="en-US" w:eastAsia="zh-CN"/>
                    </w:rPr>
                  </w:pPr>
                  <w:r>
                    <w:rPr>
                      <w:rFonts w:hint="eastAsia" w:cs="Times New Roman"/>
                      <w:color w:val="auto"/>
                      <w:szCs w:val="21"/>
                      <w:lang w:val="en-US" w:eastAsia="zh-CN"/>
                    </w:rPr>
                    <w:t>0</w:t>
                  </w:r>
                </w:p>
              </w:tc>
            </w:tr>
            <w:tr w14:paraId="6F9B315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60B11697">
                  <w:pPr>
                    <w:pStyle w:val="144"/>
                    <w:rPr>
                      <w:color w:val="auto"/>
                      <w:sz w:val="21"/>
                      <w:szCs w:val="21"/>
                    </w:rPr>
                  </w:pPr>
                </w:p>
              </w:tc>
              <w:tc>
                <w:tcPr>
                  <w:tcW w:w="1466" w:type="pct"/>
                  <w:noWrap w:val="0"/>
                  <w:vAlign w:val="center"/>
                </w:tcPr>
                <w:p w14:paraId="31E86222">
                  <w:pPr>
                    <w:jc w:val="center"/>
                    <w:rPr>
                      <w:color w:val="auto"/>
                      <w:kern w:val="0"/>
                      <w:sz w:val="21"/>
                      <w:szCs w:val="21"/>
                      <w:lang w:bidi="ar"/>
                    </w:rPr>
                  </w:pPr>
                  <w:r>
                    <w:rPr>
                      <w:rFonts w:hint="eastAsia" w:ascii="Calibri" w:hAnsi="Calibri" w:eastAsia="宋体" w:cs="Times New Roman"/>
                      <w:color w:val="auto"/>
                      <w:szCs w:val="21"/>
                    </w:rPr>
                    <w:t>高压釜</w:t>
                  </w:r>
                </w:p>
              </w:tc>
              <w:tc>
                <w:tcPr>
                  <w:tcW w:w="558" w:type="pct"/>
                  <w:noWrap w:val="0"/>
                  <w:vAlign w:val="center"/>
                </w:tcPr>
                <w:p w14:paraId="1CB7290D">
                  <w:pPr>
                    <w:jc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1台</w:t>
                  </w:r>
                </w:p>
              </w:tc>
              <w:tc>
                <w:tcPr>
                  <w:tcW w:w="756" w:type="pct"/>
                  <w:noWrap w:val="0"/>
                  <w:vAlign w:val="center"/>
                </w:tcPr>
                <w:p w14:paraId="4B731A99">
                  <w:pPr>
                    <w:jc w:val="center"/>
                    <w:textAlignment w:val="center"/>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1台</w:t>
                  </w:r>
                </w:p>
              </w:tc>
              <w:tc>
                <w:tcPr>
                  <w:tcW w:w="749" w:type="pct"/>
                  <w:tcBorders>
                    <w:right w:val="nil"/>
                  </w:tcBorders>
                  <w:noWrap w:val="0"/>
                  <w:vAlign w:val="center"/>
                </w:tcPr>
                <w:p w14:paraId="5264FC07">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bidi="ar"/>
                    </w:rPr>
                    <w:t>1台</w:t>
                  </w:r>
                </w:p>
              </w:tc>
              <w:tc>
                <w:tcPr>
                  <w:tcW w:w="670" w:type="pct"/>
                  <w:tcBorders>
                    <w:right w:val="nil"/>
                  </w:tcBorders>
                  <w:noWrap w:val="0"/>
                  <w:vAlign w:val="center"/>
                </w:tcPr>
                <w:p w14:paraId="373DFAFC">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p>
              </w:tc>
            </w:tr>
            <w:tr w14:paraId="49EB5FD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2A71BFAA">
                  <w:pPr>
                    <w:pStyle w:val="144"/>
                    <w:rPr>
                      <w:color w:val="auto"/>
                      <w:sz w:val="21"/>
                      <w:szCs w:val="21"/>
                    </w:rPr>
                  </w:pPr>
                </w:p>
              </w:tc>
              <w:tc>
                <w:tcPr>
                  <w:tcW w:w="1466" w:type="pct"/>
                  <w:noWrap w:val="0"/>
                  <w:vAlign w:val="center"/>
                </w:tcPr>
                <w:p w14:paraId="047EC1D9">
                  <w:pPr>
                    <w:jc w:val="center"/>
                    <w:rPr>
                      <w:rFonts w:hint="eastAsia" w:eastAsia="宋体"/>
                      <w:color w:val="auto"/>
                      <w:sz w:val="21"/>
                      <w:szCs w:val="21"/>
                      <w:lang w:eastAsia="zh-CN"/>
                    </w:rPr>
                  </w:pPr>
                  <w:r>
                    <w:rPr>
                      <w:rFonts w:hint="eastAsia" w:ascii="Calibri" w:hAnsi="Calibri" w:eastAsia="宋体" w:cs="Times New Roman"/>
                      <w:color w:val="auto"/>
                      <w:szCs w:val="21"/>
                    </w:rPr>
                    <w:t>空压机</w:t>
                  </w:r>
                </w:p>
              </w:tc>
              <w:tc>
                <w:tcPr>
                  <w:tcW w:w="558" w:type="pct"/>
                  <w:noWrap w:val="0"/>
                  <w:vAlign w:val="center"/>
                </w:tcPr>
                <w:p w14:paraId="2E5C5727">
                  <w:pPr>
                    <w:jc w:val="center"/>
                    <w:rPr>
                      <w:rFonts w:hint="default" w:eastAsia="宋体"/>
                      <w:color w:val="auto"/>
                      <w:sz w:val="21"/>
                      <w:szCs w:val="21"/>
                      <w:lang w:val="en-US" w:eastAsia="zh-CN"/>
                    </w:rPr>
                  </w:pPr>
                  <w:r>
                    <w:rPr>
                      <w:rFonts w:hint="eastAsia"/>
                      <w:color w:val="auto"/>
                      <w:kern w:val="0"/>
                      <w:sz w:val="21"/>
                      <w:szCs w:val="21"/>
                      <w:lang w:val="en-US" w:eastAsia="zh-CN" w:bidi="ar"/>
                    </w:rPr>
                    <w:t>1台</w:t>
                  </w:r>
                </w:p>
              </w:tc>
              <w:tc>
                <w:tcPr>
                  <w:tcW w:w="756" w:type="pct"/>
                  <w:noWrap w:val="0"/>
                  <w:vAlign w:val="center"/>
                </w:tcPr>
                <w:p w14:paraId="1220B42B">
                  <w:pPr>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bidi="ar"/>
                    </w:rPr>
                    <w:t>1台</w:t>
                  </w:r>
                </w:p>
              </w:tc>
              <w:tc>
                <w:tcPr>
                  <w:tcW w:w="749" w:type="pct"/>
                  <w:tcBorders>
                    <w:right w:val="nil"/>
                  </w:tcBorders>
                  <w:noWrap w:val="0"/>
                  <w:vAlign w:val="center"/>
                </w:tcPr>
                <w:p w14:paraId="22E41946">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bidi="ar"/>
                    </w:rPr>
                    <w:t>1台</w:t>
                  </w:r>
                </w:p>
              </w:tc>
              <w:tc>
                <w:tcPr>
                  <w:tcW w:w="670" w:type="pct"/>
                  <w:tcBorders>
                    <w:right w:val="nil"/>
                  </w:tcBorders>
                  <w:noWrap w:val="0"/>
                  <w:vAlign w:val="center"/>
                </w:tcPr>
                <w:p w14:paraId="1B901557">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r>
            <w:tr w14:paraId="1B06463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1FA7FAC0">
                  <w:pPr>
                    <w:pStyle w:val="144"/>
                    <w:rPr>
                      <w:color w:val="auto"/>
                      <w:sz w:val="21"/>
                      <w:szCs w:val="21"/>
                    </w:rPr>
                  </w:pPr>
                </w:p>
              </w:tc>
              <w:tc>
                <w:tcPr>
                  <w:tcW w:w="1466" w:type="pct"/>
                  <w:noWrap w:val="0"/>
                  <w:vAlign w:val="center"/>
                </w:tcPr>
                <w:p w14:paraId="388B60DB">
                  <w:pPr>
                    <w:jc w:val="center"/>
                    <w:rPr>
                      <w:rFonts w:hint="eastAsia" w:eastAsia="宋体"/>
                      <w:color w:val="auto"/>
                      <w:sz w:val="21"/>
                      <w:szCs w:val="21"/>
                      <w:lang w:eastAsia="zh-CN"/>
                    </w:rPr>
                  </w:pPr>
                  <w:r>
                    <w:rPr>
                      <w:rFonts w:hint="eastAsia" w:ascii="Calibri" w:hAnsi="Calibri" w:eastAsia="宋体" w:cs="Times New Roman"/>
                      <w:color w:val="auto"/>
                      <w:szCs w:val="21"/>
                    </w:rPr>
                    <w:t>高压釜平移小车</w:t>
                  </w:r>
                </w:p>
              </w:tc>
              <w:tc>
                <w:tcPr>
                  <w:tcW w:w="558" w:type="pct"/>
                  <w:noWrap w:val="0"/>
                  <w:vAlign w:val="center"/>
                </w:tcPr>
                <w:p w14:paraId="6AFC5E39">
                  <w:pPr>
                    <w:jc w:val="center"/>
                    <w:rPr>
                      <w:rFonts w:hint="default" w:eastAsia="宋体"/>
                      <w:color w:val="auto"/>
                      <w:sz w:val="21"/>
                      <w:szCs w:val="21"/>
                      <w:lang w:val="en-US" w:eastAsia="zh-CN"/>
                    </w:rPr>
                  </w:pPr>
                  <w:r>
                    <w:rPr>
                      <w:rFonts w:hint="eastAsia"/>
                      <w:color w:val="auto"/>
                      <w:kern w:val="0"/>
                      <w:sz w:val="21"/>
                      <w:szCs w:val="21"/>
                      <w:lang w:val="en-US" w:eastAsia="zh-CN" w:bidi="ar"/>
                    </w:rPr>
                    <w:t>1台</w:t>
                  </w:r>
                </w:p>
              </w:tc>
              <w:tc>
                <w:tcPr>
                  <w:tcW w:w="756" w:type="pct"/>
                  <w:noWrap w:val="0"/>
                  <w:vAlign w:val="center"/>
                </w:tcPr>
                <w:p w14:paraId="0D38842C">
                  <w:pPr>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bidi="ar"/>
                    </w:rPr>
                    <w:t>1台</w:t>
                  </w:r>
                </w:p>
              </w:tc>
              <w:tc>
                <w:tcPr>
                  <w:tcW w:w="749" w:type="pct"/>
                  <w:tcBorders>
                    <w:right w:val="nil"/>
                  </w:tcBorders>
                  <w:noWrap w:val="0"/>
                  <w:vAlign w:val="center"/>
                </w:tcPr>
                <w:p w14:paraId="1CCD7EF6">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bidi="ar"/>
                    </w:rPr>
                    <w:t>1台</w:t>
                  </w:r>
                </w:p>
              </w:tc>
              <w:tc>
                <w:tcPr>
                  <w:tcW w:w="670" w:type="pct"/>
                  <w:tcBorders>
                    <w:right w:val="nil"/>
                  </w:tcBorders>
                  <w:noWrap w:val="0"/>
                  <w:vAlign w:val="center"/>
                </w:tcPr>
                <w:p w14:paraId="147C144E">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r>
            <w:tr w14:paraId="20844AF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restart"/>
                  <w:tcBorders>
                    <w:left w:val="nil"/>
                  </w:tcBorders>
                  <w:noWrap w:val="0"/>
                  <w:vAlign w:val="center"/>
                </w:tcPr>
                <w:p w14:paraId="50EC6FC0">
                  <w:pPr>
                    <w:pStyle w:val="144"/>
                    <w:rPr>
                      <w:rFonts w:hint="default" w:eastAsia="宋体"/>
                      <w:color w:val="auto"/>
                      <w:sz w:val="21"/>
                      <w:szCs w:val="21"/>
                      <w:lang w:val="en-US" w:eastAsia="zh-CN"/>
                    </w:rPr>
                  </w:pPr>
                  <w:r>
                    <w:rPr>
                      <w:rFonts w:hint="eastAsia" w:ascii="Times New Roman" w:hAnsi="Times New Roman" w:eastAsia="宋体" w:cs="Times New Roman"/>
                      <w:b/>
                      <w:bCs/>
                      <w:color w:val="auto"/>
                      <w:szCs w:val="21"/>
                      <w:lang w:val="en-US" w:eastAsia="zh-CN"/>
                    </w:rPr>
                    <w:t>厂房五一层（注塑件生产）</w:t>
                  </w:r>
                </w:p>
              </w:tc>
              <w:tc>
                <w:tcPr>
                  <w:tcW w:w="1466" w:type="pct"/>
                  <w:noWrap w:val="0"/>
                  <w:vAlign w:val="center"/>
                </w:tcPr>
                <w:p w14:paraId="12814200">
                  <w:pPr>
                    <w:jc w:val="center"/>
                    <w:rPr>
                      <w:rFonts w:hint="default" w:eastAsia="宋体"/>
                      <w:color w:val="auto"/>
                      <w:sz w:val="21"/>
                      <w:szCs w:val="21"/>
                      <w:lang w:val="en-US" w:eastAsia="zh-CN"/>
                    </w:rPr>
                  </w:pPr>
                  <w:r>
                    <w:rPr>
                      <w:rFonts w:hint="eastAsia" w:ascii="Calibri" w:hAnsi="Calibri" w:eastAsia="宋体" w:cs="Times New Roman"/>
                      <w:color w:val="auto"/>
                      <w:szCs w:val="21"/>
                    </w:rPr>
                    <w:t>卧式注塑机</w:t>
                  </w:r>
                </w:p>
              </w:tc>
              <w:tc>
                <w:tcPr>
                  <w:tcW w:w="558" w:type="pct"/>
                  <w:noWrap w:val="0"/>
                  <w:vAlign w:val="center"/>
                </w:tcPr>
                <w:p w14:paraId="7E14173F">
                  <w:pPr>
                    <w:pStyle w:val="144"/>
                    <w:rPr>
                      <w:rFonts w:hint="default" w:eastAsia="宋体"/>
                      <w:color w:val="auto"/>
                      <w:sz w:val="21"/>
                      <w:szCs w:val="21"/>
                      <w:lang w:val="en-US" w:eastAsia="zh-CN"/>
                    </w:rPr>
                  </w:pPr>
                  <w:r>
                    <w:rPr>
                      <w:rFonts w:hint="eastAsia"/>
                      <w:color w:val="auto"/>
                      <w:kern w:val="0"/>
                      <w:sz w:val="21"/>
                      <w:szCs w:val="21"/>
                      <w:lang w:val="en-US" w:eastAsia="zh-CN" w:bidi="ar"/>
                    </w:rPr>
                    <w:t>/</w:t>
                  </w:r>
                </w:p>
              </w:tc>
              <w:tc>
                <w:tcPr>
                  <w:tcW w:w="756" w:type="pct"/>
                  <w:noWrap w:val="0"/>
                  <w:vAlign w:val="center"/>
                </w:tcPr>
                <w:p w14:paraId="00D96407">
                  <w:pPr>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w:t>
                  </w:r>
                </w:p>
              </w:tc>
              <w:tc>
                <w:tcPr>
                  <w:tcW w:w="749" w:type="pct"/>
                  <w:tcBorders>
                    <w:right w:val="nil"/>
                  </w:tcBorders>
                  <w:noWrap w:val="0"/>
                  <w:vAlign w:val="center"/>
                </w:tcPr>
                <w:p w14:paraId="2247DC68">
                  <w:pPr>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Cs w:val="21"/>
                      <w:lang w:val="en-US" w:eastAsia="zh-CN"/>
                    </w:rPr>
                    <w:t>8</w:t>
                  </w:r>
                  <w:r>
                    <w:rPr>
                      <w:rFonts w:hint="default" w:ascii="Times New Roman" w:hAnsi="Times New Roman" w:cs="Times New Roman"/>
                      <w:bCs/>
                      <w:color w:val="auto"/>
                      <w:szCs w:val="21"/>
                    </w:rPr>
                    <w:t>台</w:t>
                  </w:r>
                </w:p>
              </w:tc>
              <w:tc>
                <w:tcPr>
                  <w:tcW w:w="670" w:type="pct"/>
                  <w:tcBorders>
                    <w:right w:val="nil"/>
                  </w:tcBorders>
                  <w:noWrap w:val="0"/>
                  <w:vAlign w:val="center"/>
                </w:tcPr>
                <w:p w14:paraId="293E7591">
                  <w:pPr>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+8</w:t>
                  </w:r>
                  <w:r>
                    <w:rPr>
                      <w:rFonts w:hint="default" w:ascii="Times New Roman" w:hAnsi="Times New Roman" w:cs="Times New Roman"/>
                      <w:bCs/>
                      <w:color w:val="auto"/>
                      <w:szCs w:val="21"/>
                    </w:rPr>
                    <w:t>台</w:t>
                  </w:r>
                </w:p>
              </w:tc>
            </w:tr>
            <w:tr w14:paraId="2F7B67F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6F2BC597">
                  <w:pPr>
                    <w:pStyle w:val="144"/>
                    <w:rPr>
                      <w:color w:val="auto"/>
                      <w:sz w:val="21"/>
                      <w:szCs w:val="21"/>
                    </w:rPr>
                  </w:pPr>
                </w:p>
              </w:tc>
              <w:tc>
                <w:tcPr>
                  <w:tcW w:w="1466" w:type="pct"/>
                  <w:noWrap w:val="0"/>
                  <w:vAlign w:val="center"/>
                </w:tcPr>
                <w:p w14:paraId="1B123CBF">
                  <w:pPr>
                    <w:jc w:val="center"/>
                    <w:rPr>
                      <w:rFonts w:hint="default" w:eastAsia="宋体"/>
                      <w:color w:val="auto"/>
                      <w:sz w:val="21"/>
                      <w:szCs w:val="21"/>
                      <w:lang w:val="en-US" w:eastAsia="zh-CN"/>
                    </w:rPr>
                  </w:pPr>
                  <w:r>
                    <w:rPr>
                      <w:rFonts w:hint="eastAsia" w:ascii="Calibri" w:hAnsi="Calibri" w:eastAsia="宋体" w:cs="Times New Roman"/>
                      <w:color w:val="auto"/>
                      <w:szCs w:val="21"/>
                    </w:rPr>
                    <w:t>立式注塑机</w:t>
                  </w:r>
                </w:p>
              </w:tc>
              <w:tc>
                <w:tcPr>
                  <w:tcW w:w="558" w:type="pct"/>
                  <w:noWrap w:val="0"/>
                  <w:vAlign w:val="center"/>
                </w:tcPr>
                <w:p w14:paraId="611E2455">
                  <w:pPr>
                    <w:pStyle w:val="144"/>
                    <w:rPr>
                      <w:rFonts w:hint="eastAsia" w:eastAsia="宋体"/>
                      <w:color w:val="auto"/>
                      <w:sz w:val="21"/>
                      <w:szCs w:val="21"/>
                      <w:lang w:val="en-US" w:eastAsia="zh-CN"/>
                    </w:rPr>
                  </w:pPr>
                  <w:r>
                    <w:rPr>
                      <w:rFonts w:hint="eastAsia"/>
                      <w:color w:val="auto"/>
                      <w:kern w:val="0"/>
                      <w:sz w:val="21"/>
                      <w:szCs w:val="21"/>
                      <w:lang w:val="en-US" w:eastAsia="zh-CN" w:bidi="ar"/>
                    </w:rPr>
                    <w:t>/</w:t>
                  </w:r>
                </w:p>
              </w:tc>
              <w:tc>
                <w:tcPr>
                  <w:tcW w:w="756" w:type="pct"/>
                  <w:noWrap w:val="0"/>
                  <w:vAlign w:val="center"/>
                </w:tcPr>
                <w:p w14:paraId="508C7DF6">
                  <w:pPr>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w:t>
                  </w:r>
                </w:p>
              </w:tc>
              <w:tc>
                <w:tcPr>
                  <w:tcW w:w="749" w:type="pct"/>
                  <w:tcBorders>
                    <w:right w:val="nil"/>
                  </w:tcBorders>
                  <w:noWrap w:val="0"/>
                  <w:vAlign w:val="center"/>
                </w:tcPr>
                <w:p w14:paraId="2F6F8D69">
                  <w:pPr>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4台</w:t>
                  </w:r>
                </w:p>
              </w:tc>
              <w:tc>
                <w:tcPr>
                  <w:tcW w:w="670" w:type="pct"/>
                  <w:tcBorders>
                    <w:right w:val="nil"/>
                  </w:tcBorders>
                  <w:noWrap w:val="0"/>
                  <w:vAlign w:val="center"/>
                </w:tcPr>
                <w:p w14:paraId="16B33F30">
                  <w:pPr>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w:t>
                  </w:r>
                  <w:r>
                    <w:rPr>
                      <w:rFonts w:hint="default" w:ascii="Times New Roman" w:hAnsi="Times New Roman" w:cs="Times New Roman"/>
                      <w:bCs/>
                      <w:color w:val="auto"/>
                      <w:szCs w:val="21"/>
                    </w:rPr>
                    <w:t>台</w:t>
                  </w:r>
                </w:p>
              </w:tc>
            </w:tr>
            <w:tr w14:paraId="508AF57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6B3528C8">
                  <w:pPr>
                    <w:pStyle w:val="144"/>
                    <w:rPr>
                      <w:color w:val="auto"/>
                      <w:sz w:val="21"/>
                      <w:szCs w:val="21"/>
                    </w:rPr>
                  </w:pPr>
                </w:p>
              </w:tc>
              <w:tc>
                <w:tcPr>
                  <w:tcW w:w="1466" w:type="pct"/>
                  <w:noWrap w:val="0"/>
                  <w:vAlign w:val="center"/>
                </w:tcPr>
                <w:p w14:paraId="2E3F2C56">
                  <w:pPr>
                    <w:jc w:val="center"/>
                    <w:rPr>
                      <w:rFonts w:hint="default" w:eastAsia="宋体"/>
                      <w:color w:val="auto"/>
                      <w:sz w:val="21"/>
                      <w:szCs w:val="21"/>
                      <w:lang w:val="en-US" w:eastAsia="zh-CN"/>
                    </w:rPr>
                  </w:pPr>
                  <w:r>
                    <w:rPr>
                      <w:rFonts w:hint="eastAsia" w:ascii="Calibri" w:hAnsi="Calibri" w:eastAsia="宋体" w:cs="Times New Roman"/>
                      <w:color w:val="auto"/>
                      <w:szCs w:val="21"/>
                    </w:rPr>
                    <w:t>破碎机</w:t>
                  </w:r>
                </w:p>
              </w:tc>
              <w:tc>
                <w:tcPr>
                  <w:tcW w:w="558" w:type="pct"/>
                  <w:noWrap w:val="0"/>
                  <w:vAlign w:val="center"/>
                </w:tcPr>
                <w:p w14:paraId="3AB5AC36">
                  <w:pPr>
                    <w:pStyle w:val="144"/>
                    <w:rPr>
                      <w:rFonts w:hint="default" w:eastAsia="宋体"/>
                      <w:color w:val="auto"/>
                      <w:sz w:val="21"/>
                      <w:szCs w:val="21"/>
                      <w:lang w:val="en-US" w:eastAsia="zh-CN"/>
                    </w:rPr>
                  </w:pPr>
                  <w:r>
                    <w:rPr>
                      <w:rFonts w:hint="eastAsia"/>
                      <w:color w:val="auto"/>
                      <w:kern w:val="0"/>
                      <w:sz w:val="21"/>
                      <w:szCs w:val="21"/>
                      <w:lang w:val="en-US" w:eastAsia="zh-CN" w:bidi="ar"/>
                    </w:rPr>
                    <w:t>/</w:t>
                  </w:r>
                </w:p>
              </w:tc>
              <w:tc>
                <w:tcPr>
                  <w:tcW w:w="756" w:type="pct"/>
                  <w:noWrap w:val="0"/>
                  <w:vAlign w:val="center"/>
                </w:tcPr>
                <w:p w14:paraId="0CE681E6">
                  <w:pPr>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w:t>
                  </w:r>
                </w:p>
              </w:tc>
              <w:tc>
                <w:tcPr>
                  <w:tcW w:w="749" w:type="pct"/>
                  <w:tcBorders>
                    <w:right w:val="nil"/>
                  </w:tcBorders>
                  <w:noWrap w:val="0"/>
                  <w:vAlign w:val="center"/>
                </w:tcPr>
                <w:p w14:paraId="7830EBEA">
                  <w:pPr>
                    <w:jc w:val="center"/>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Cs w:val="21"/>
                      <w:lang w:val="en-US" w:eastAsia="zh-CN"/>
                    </w:rPr>
                    <w:t>1</w:t>
                  </w:r>
                  <w:r>
                    <w:rPr>
                      <w:rFonts w:hint="default" w:ascii="Times New Roman" w:hAnsi="Times New Roman" w:cs="Times New Roman"/>
                      <w:bCs/>
                      <w:color w:val="auto"/>
                      <w:szCs w:val="21"/>
                    </w:rPr>
                    <w:t>台</w:t>
                  </w:r>
                </w:p>
              </w:tc>
              <w:tc>
                <w:tcPr>
                  <w:tcW w:w="670" w:type="pct"/>
                  <w:tcBorders>
                    <w:right w:val="nil"/>
                  </w:tcBorders>
                  <w:noWrap w:val="0"/>
                  <w:vAlign w:val="center"/>
                </w:tcPr>
                <w:p w14:paraId="14E2C5C8">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+1</w:t>
                  </w:r>
                  <w:r>
                    <w:rPr>
                      <w:rFonts w:hint="default" w:ascii="Times New Roman" w:hAnsi="Times New Roman" w:cs="Times New Roman"/>
                      <w:bCs/>
                      <w:color w:val="auto"/>
                      <w:szCs w:val="21"/>
                    </w:rPr>
                    <w:t>台</w:t>
                  </w:r>
                </w:p>
              </w:tc>
            </w:tr>
            <w:tr w14:paraId="48462BD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2CEAD932">
                  <w:pPr>
                    <w:pStyle w:val="144"/>
                    <w:rPr>
                      <w:color w:val="auto"/>
                    </w:rPr>
                  </w:pPr>
                </w:p>
              </w:tc>
              <w:tc>
                <w:tcPr>
                  <w:tcW w:w="1466" w:type="pct"/>
                  <w:noWrap w:val="0"/>
                  <w:vAlign w:val="center"/>
                </w:tcPr>
                <w:p w14:paraId="68F2ADD4">
                  <w:pPr>
                    <w:jc w:val="center"/>
                    <w:rPr>
                      <w:rFonts w:hint="eastAsia"/>
                      <w:color w:val="auto"/>
                      <w:sz w:val="21"/>
                      <w:szCs w:val="21"/>
                      <w:lang w:val="en-US" w:eastAsia="zh-CN"/>
                    </w:rPr>
                  </w:pPr>
                  <w:r>
                    <w:rPr>
                      <w:rFonts w:hint="eastAsia" w:ascii="Calibri" w:hAnsi="Calibri" w:eastAsia="宋体" w:cs="Times New Roman"/>
                      <w:color w:val="auto"/>
                      <w:szCs w:val="21"/>
                    </w:rPr>
                    <w:t>拌料机</w:t>
                  </w:r>
                </w:p>
              </w:tc>
              <w:tc>
                <w:tcPr>
                  <w:tcW w:w="558" w:type="pct"/>
                  <w:noWrap w:val="0"/>
                  <w:vAlign w:val="center"/>
                </w:tcPr>
                <w:p w14:paraId="6721C96C">
                  <w:pPr>
                    <w:jc w:val="center"/>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4AE81E30">
                  <w:pPr>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rPr>
                    <w:t>/</w:t>
                  </w:r>
                </w:p>
              </w:tc>
              <w:tc>
                <w:tcPr>
                  <w:tcW w:w="749" w:type="pct"/>
                  <w:tcBorders>
                    <w:right w:val="nil"/>
                  </w:tcBorders>
                  <w:noWrap w:val="0"/>
                  <w:vAlign w:val="center"/>
                </w:tcPr>
                <w:p w14:paraId="4394D7A5">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Cs w:val="21"/>
                      <w:lang w:val="en-US" w:eastAsia="zh-CN"/>
                    </w:rPr>
                    <w:t>1</w:t>
                  </w:r>
                  <w:r>
                    <w:rPr>
                      <w:rFonts w:hint="default" w:ascii="Times New Roman" w:hAnsi="Times New Roman" w:cs="Times New Roman"/>
                      <w:bCs/>
                      <w:color w:val="auto"/>
                      <w:szCs w:val="21"/>
                    </w:rPr>
                    <w:t>台</w:t>
                  </w:r>
                </w:p>
              </w:tc>
              <w:tc>
                <w:tcPr>
                  <w:tcW w:w="670" w:type="pct"/>
                  <w:tcBorders>
                    <w:right w:val="nil"/>
                  </w:tcBorders>
                  <w:noWrap w:val="0"/>
                  <w:vAlign w:val="center"/>
                </w:tcPr>
                <w:p w14:paraId="38BCD5D2">
                  <w:pPr>
                    <w:jc w:val="center"/>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+1</w:t>
                  </w:r>
                  <w:r>
                    <w:rPr>
                      <w:rFonts w:hint="default" w:ascii="Times New Roman" w:hAnsi="Times New Roman" w:cs="Times New Roman"/>
                      <w:bCs/>
                      <w:color w:val="auto"/>
                      <w:szCs w:val="21"/>
                    </w:rPr>
                    <w:t>台</w:t>
                  </w:r>
                </w:p>
              </w:tc>
            </w:tr>
            <w:tr w14:paraId="6C5B217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52009D9D">
                  <w:pPr>
                    <w:pStyle w:val="144"/>
                    <w:rPr>
                      <w:color w:val="auto"/>
                    </w:rPr>
                  </w:pPr>
                </w:p>
              </w:tc>
              <w:tc>
                <w:tcPr>
                  <w:tcW w:w="1466" w:type="pct"/>
                  <w:noWrap w:val="0"/>
                  <w:vAlign w:val="center"/>
                </w:tcPr>
                <w:p w14:paraId="4D3C6F6E">
                  <w:pPr>
                    <w:jc w:val="center"/>
                    <w:rPr>
                      <w:rFonts w:hint="default" w:ascii="Calibri" w:hAnsi="Calibri" w:eastAsia="宋体" w:cs="Times New Roman"/>
                      <w:color w:val="auto"/>
                      <w:szCs w:val="21"/>
                      <w:lang w:val="en-US" w:eastAsia="zh-CN"/>
                    </w:rPr>
                  </w:pPr>
                  <w:r>
                    <w:rPr>
                      <w:rFonts w:hint="eastAsia" w:ascii="Calibri" w:hAnsi="Calibri" w:cs="Times New Roman"/>
                      <w:color w:val="auto"/>
                      <w:szCs w:val="21"/>
                      <w:lang w:val="en-US" w:eastAsia="zh-CN"/>
                    </w:rPr>
                    <w:t>冷却塔</w:t>
                  </w:r>
                </w:p>
              </w:tc>
              <w:tc>
                <w:tcPr>
                  <w:tcW w:w="558" w:type="pct"/>
                  <w:noWrap w:val="0"/>
                  <w:vAlign w:val="center"/>
                </w:tcPr>
                <w:p w14:paraId="0102294A">
                  <w:pPr>
                    <w:jc w:val="center"/>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28236795">
                  <w:pPr>
                    <w:jc w:val="center"/>
                    <w:textAlignment w:val="center"/>
                    <w:rPr>
                      <w:rFonts w:hint="default" w:ascii="Times New Roman" w:hAnsi="Times New Roman" w:cs="Times New Roman"/>
                      <w:color w:val="auto"/>
                    </w:rPr>
                  </w:pPr>
                  <w:r>
                    <w:rPr>
                      <w:rFonts w:hint="default" w:ascii="Times New Roman" w:hAnsi="Times New Roman" w:cs="Times New Roman"/>
                      <w:color w:val="auto"/>
                    </w:rPr>
                    <w:t>/</w:t>
                  </w:r>
                </w:p>
              </w:tc>
              <w:tc>
                <w:tcPr>
                  <w:tcW w:w="749" w:type="pct"/>
                  <w:tcBorders>
                    <w:right w:val="nil"/>
                  </w:tcBorders>
                  <w:noWrap w:val="0"/>
                  <w:vAlign w:val="center"/>
                </w:tcPr>
                <w:p w14:paraId="02278E96">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1</w:t>
                  </w:r>
                  <w:r>
                    <w:rPr>
                      <w:rFonts w:hint="default" w:ascii="Times New Roman" w:hAnsi="Times New Roman" w:cs="Times New Roman"/>
                      <w:bCs/>
                      <w:color w:val="auto"/>
                      <w:szCs w:val="21"/>
                    </w:rPr>
                    <w:t>台</w:t>
                  </w:r>
                </w:p>
              </w:tc>
              <w:tc>
                <w:tcPr>
                  <w:tcW w:w="670" w:type="pct"/>
                  <w:tcBorders>
                    <w:right w:val="nil"/>
                  </w:tcBorders>
                  <w:noWrap w:val="0"/>
                  <w:vAlign w:val="center"/>
                </w:tcPr>
                <w:p w14:paraId="79EA346F">
                  <w:pPr>
                    <w:jc w:val="center"/>
                    <w:rPr>
                      <w:rFonts w:hint="eastAsia" w:cs="Times New Roman"/>
                      <w:bCs/>
                      <w:color w:val="auto"/>
                      <w:szCs w:val="21"/>
                      <w:lang w:val="en-US" w:eastAsia="zh-CN"/>
                    </w:rPr>
                  </w:pPr>
                  <w:r>
                    <w:rPr>
                      <w:rFonts w:hint="eastAsia" w:cs="Times New Roman"/>
                      <w:bCs/>
                      <w:color w:val="auto"/>
                      <w:szCs w:val="21"/>
                      <w:lang w:val="en-US" w:eastAsia="zh-CN"/>
                    </w:rPr>
                    <w:t>+1</w:t>
                  </w:r>
                  <w:r>
                    <w:rPr>
                      <w:rFonts w:hint="default" w:ascii="Times New Roman" w:hAnsi="Times New Roman" w:cs="Times New Roman"/>
                      <w:bCs/>
                      <w:color w:val="auto"/>
                      <w:szCs w:val="21"/>
                    </w:rPr>
                    <w:t>台</w:t>
                  </w:r>
                </w:p>
              </w:tc>
            </w:tr>
            <w:tr w14:paraId="7FB414D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797" w:type="pct"/>
                  <w:vMerge w:val="restart"/>
                  <w:tcBorders>
                    <w:left w:val="nil"/>
                  </w:tcBorders>
                  <w:noWrap w:val="0"/>
                  <w:vAlign w:val="center"/>
                </w:tcPr>
                <w:p w14:paraId="17E0C379">
                  <w:pPr>
                    <w:pStyle w:val="144"/>
                    <w:rPr>
                      <w:color w:val="auto"/>
                    </w:rPr>
                  </w:pPr>
                  <w:r>
                    <w:rPr>
                      <w:rFonts w:hint="eastAsia" w:ascii="Times New Roman" w:hAnsi="Times New Roman" w:eastAsia="宋体" w:cs="Times New Roman"/>
                      <w:b/>
                      <w:bCs/>
                      <w:color w:val="auto"/>
                      <w:szCs w:val="21"/>
                      <w:lang w:val="en-US" w:eastAsia="zh-CN"/>
                    </w:rPr>
                    <w:t>厂房五二层（下卡条生产）</w:t>
                  </w:r>
                </w:p>
              </w:tc>
              <w:tc>
                <w:tcPr>
                  <w:tcW w:w="1466" w:type="pct"/>
                  <w:noWrap w:val="0"/>
                  <w:vAlign w:val="top"/>
                </w:tcPr>
                <w:p w14:paraId="6D6F80EF">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rPr>
                    <w:t>TPV复合密封条挤出机组</w:t>
                  </w:r>
                </w:p>
              </w:tc>
              <w:tc>
                <w:tcPr>
                  <w:tcW w:w="558" w:type="pct"/>
                  <w:noWrap w:val="0"/>
                  <w:vAlign w:val="center"/>
                </w:tcPr>
                <w:p w14:paraId="04D16314">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0D15511F">
                  <w:pPr>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rPr>
                    <w:t>/</w:t>
                  </w:r>
                </w:p>
              </w:tc>
              <w:tc>
                <w:tcPr>
                  <w:tcW w:w="749" w:type="pct"/>
                  <w:tcBorders>
                    <w:right w:val="nil"/>
                  </w:tcBorders>
                  <w:noWrap w:val="0"/>
                  <w:vAlign w:val="top"/>
                </w:tcPr>
                <w:p w14:paraId="518E241D">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r>
                    <w:rPr>
                      <w:rFonts w:hint="eastAsia" w:ascii="Times New Roman" w:hAnsi="Times New Roman" w:eastAsia="宋体" w:cs="Times New Roman"/>
                      <w:color w:val="auto"/>
                      <w:kern w:val="0"/>
                      <w:sz w:val="21"/>
                      <w:szCs w:val="21"/>
                      <w:lang w:val="en-US" w:eastAsia="zh-CN" w:bidi="ar"/>
                    </w:rPr>
                    <w:t>台</w:t>
                  </w:r>
                </w:p>
              </w:tc>
              <w:tc>
                <w:tcPr>
                  <w:tcW w:w="670" w:type="pct"/>
                  <w:tcBorders>
                    <w:right w:val="nil"/>
                  </w:tcBorders>
                  <w:noWrap w:val="0"/>
                  <w:vAlign w:val="top"/>
                </w:tcPr>
                <w:p w14:paraId="76C089EF">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7</w:t>
                  </w:r>
                  <w:r>
                    <w:rPr>
                      <w:rFonts w:hint="eastAsia" w:ascii="Times New Roman" w:hAnsi="Times New Roman" w:eastAsia="宋体" w:cs="Times New Roman"/>
                      <w:color w:val="auto"/>
                      <w:kern w:val="0"/>
                      <w:sz w:val="21"/>
                      <w:szCs w:val="21"/>
                      <w:lang w:val="en-US" w:eastAsia="zh-CN" w:bidi="ar"/>
                    </w:rPr>
                    <w:t>台</w:t>
                  </w:r>
                </w:p>
              </w:tc>
            </w:tr>
            <w:tr w14:paraId="39CD9FB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4941B623">
                  <w:pPr>
                    <w:pStyle w:val="144"/>
                    <w:rPr>
                      <w:color w:val="auto"/>
                    </w:rPr>
                  </w:pPr>
                </w:p>
              </w:tc>
              <w:tc>
                <w:tcPr>
                  <w:tcW w:w="1466" w:type="pct"/>
                  <w:noWrap w:val="0"/>
                  <w:vAlign w:val="top"/>
                </w:tcPr>
                <w:p w14:paraId="18978EE9">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rPr>
                    <w:t>贴胶机组</w:t>
                  </w:r>
                </w:p>
              </w:tc>
              <w:tc>
                <w:tcPr>
                  <w:tcW w:w="558" w:type="pct"/>
                  <w:noWrap w:val="0"/>
                  <w:vAlign w:val="center"/>
                </w:tcPr>
                <w:p w14:paraId="4677A5B0">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4B4F6642">
                  <w:pPr>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rPr>
                    <w:t>/</w:t>
                  </w:r>
                </w:p>
              </w:tc>
              <w:tc>
                <w:tcPr>
                  <w:tcW w:w="749" w:type="pct"/>
                  <w:tcBorders>
                    <w:right w:val="nil"/>
                  </w:tcBorders>
                  <w:noWrap w:val="0"/>
                  <w:vAlign w:val="top"/>
                </w:tcPr>
                <w:p w14:paraId="7413D649">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w:t>
                  </w:r>
                  <w:r>
                    <w:rPr>
                      <w:rFonts w:hint="eastAsia" w:ascii="Times New Roman" w:hAnsi="Times New Roman" w:eastAsia="宋体" w:cs="Times New Roman"/>
                      <w:color w:val="auto"/>
                      <w:kern w:val="0"/>
                      <w:sz w:val="21"/>
                      <w:szCs w:val="21"/>
                      <w:lang w:val="en-US" w:eastAsia="zh-CN" w:bidi="ar"/>
                    </w:rPr>
                    <w:t>台</w:t>
                  </w:r>
                </w:p>
              </w:tc>
              <w:tc>
                <w:tcPr>
                  <w:tcW w:w="670" w:type="pct"/>
                  <w:tcBorders>
                    <w:right w:val="nil"/>
                  </w:tcBorders>
                  <w:noWrap w:val="0"/>
                  <w:vAlign w:val="top"/>
                </w:tcPr>
                <w:p w14:paraId="0F55674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7</w:t>
                  </w:r>
                  <w:r>
                    <w:rPr>
                      <w:rFonts w:hint="eastAsia" w:ascii="Times New Roman" w:hAnsi="Times New Roman" w:eastAsia="宋体" w:cs="Times New Roman"/>
                      <w:color w:val="auto"/>
                      <w:kern w:val="0"/>
                      <w:sz w:val="21"/>
                      <w:szCs w:val="21"/>
                      <w:lang w:val="en-US" w:eastAsia="zh-CN" w:bidi="ar"/>
                    </w:rPr>
                    <w:t>台</w:t>
                  </w:r>
                </w:p>
              </w:tc>
            </w:tr>
            <w:tr w14:paraId="01DD1FE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4FC6F8F4">
                  <w:pPr>
                    <w:pStyle w:val="144"/>
                    <w:rPr>
                      <w:color w:val="auto"/>
                    </w:rPr>
                  </w:pPr>
                </w:p>
              </w:tc>
              <w:tc>
                <w:tcPr>
                  <w:tcW w:w="1466" w:type="pct"/>
                  <w:noWrap w:val="0"/>
                  <w:vAlign w:val="top"/>
                </w:tcPr>
                <w:p w14:paraId="59FE0656">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rPr>
                    <w:t>辊压成型机组</w:t>
                  </w:r>
                </w:p>
              </w:tc>
              <w:tc>
                <w:tcPr>
                  <w:tcW w:w="558" w:type="pct"/>
                  <w:noWrap w:val="0"/>
                  <w:vAlign w:val="center"/>
                </w:tcPr>
                <w:p w14:paraId="3EF71BB0">
                  <w:pPr>
                    <w:pStyle w:val="144"/>
                    <w:rPr>
                      <w:rFonts w:hint="default"/>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559A9626">
                  <w:pPr>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rPr>
                    <w:t>/</w:t>
                  </w:r>
                </w:p>
              </w:tc>
              <w:tc>
                <w:tcPr>
                  <w:tcW w:w="749" w:type="pct"/>
                  <w:tcBorders>
                    <w:right w:val="nil"/>
                  </w:tcBorders>
                  <w:noWrap w:val="0"/>
                  <w:vAlign w:val="top"/>
                </w:tcPr>
                <w:p w14:paraId="1FB0848F">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r>
                    <w:rPr>
                      <w:rFonts w:hint="eastAsia" w:ascii="Times New Roman" w:hAnsi="Times New Roman" w:eastAsia="宋体" w:cs="Times New Roman"/>
                      <w:color w:val="auto"/>
                      <w:kern w:val="0"/>
                      <w:sz w:val="21"/>
                      <w:szCs w:val="21"/>
                      <w:lang w:val="en-US" w:eastAsia="zh-CN" w:bidi="ar"/>
                    </w:rPr>
                    <w:t>台</w:t>
                  </w:r>
                </w:p>
              </w:tc>
              <w:tc>
                <w:tcPr>
                  <w:tcW w:w="670" w:type="pct"/>
                  <w:tcBorders>
                    <w:right w:val="nil"/>
                  </w:tcBorders>
                  <w:noWrap w:val="0"/>
                  <w:vAlign w:val="top"/>
                </w:tcPr>
                <w:p w14:paraId="427609FF">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14</w:t>
                  </w:r>
                  <w:r>
                    <w:rPr>
                      <w:rFonts w:hint="eastAsia" w:ascii="Times New Roman" w:hAnsi="Times New Roman" w:eastAsia="宋体" w:cs="Times New Roman"/>
                      <w:color w:val="auto"/>
                      <w:kern w:val="0"/>
                      <w:sz w:val="21"/>
                      <w:szCs w:val="21"/>
                      <w:lang w:val="en-US" w:eastAsia="zh-CN" w:bidi="ar"/>
                    </w:rPr>
                    <w:t>台</w:t>
                  </w:r>
                </w:p>
              </w:tc>
            </w:tr>
            <w:tr w14:paraId="03856FF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1CC10129">
                  <w:pPr>
                    <w:pStyle w:val="144"/>
                    <w:rPr>
                      <w:color w:val="auto"/>
                    </w:rPr>
                  </w:pPr>
                </w:p>
              </w:tc>
              <w:tc>
                <w:tcPr>
                  <w:tcW w:w="1466" w:type="pct"/>
                  <w:noWrap w:val="0"/>
                  <w:vAlign w:val="top"/>
                </w:tcPr>
                <w:p w14:paraId="19472AEF">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rPr>
                    <w:t>拉弯机</w:t>
                  </w:r>
                </w:p>
              </w:tc>
              <w:tc>
                <w:tcPr>
                  <w:tcW w:w="558" w:type="pct"/>
                  <w:noWrap w:val="0"/>
                  <w:vAlign w:val="center"/>
                </w:tcPr>
                <w:p w14:paraId="2F30BA52">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1497E1A5">
                  <w:pPr>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rPr>
                    <w:t>/</w:t>
                  </w:r>
                </w:p>
              </w:tc>
              <w:tc>
                <w:tcPr>
                  <w:tcW w:w="749" w:type="pct"/>
                  <w:tcBorders>
                    <w:right w:val="nil"/>
                  </w:tcBorders>
                  <w:noWrap w:val="0"/>
                  <w:vAlign w:val="top"/>
                </w:tcPr>
                <w:p w14:paraId="4E6D2B6E">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r>
                    <w:rPr>
                      <w:rFonts w:hint="eastAsia" w:ascii="Times New Roman" w:hAnsi="Times New Roman" w:eastAsia="宋体" w:cs="Times New Roman"/>
                      <w:color w:val="auto"/>
                      <w:kern w:val="0"/>
                      <w:sz w:val="21"/>
                      <w:szCs w:val="21"/>
                      <w:lang w:val="en-US" w:eastAsia="zh-CN" w:bidi="ar"/>
                    </w:rPr>
                    <w:t>台</w:t>
                  </w:r>
                </w:p>
              </w:tc>
              <w:tc>
                <w:tcPr>
                  <w:tcW w:w="670" w:type="pct"/>
                  <w:tcBorders>
                    <w:right w:val="nil"/>
                  </w:tcBorders>
                  <w:noWrap w:val="0"/>
                  <w:vAlign w:val="top"/>
                </w:tcPr>
                <w:p w14:paraId="4CA1AB5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14</w:t>
                  </w:r>
                  <w:r>
                    <w:rPr>
                      <w:rFonts w:hint="eastAsia" w:ascii="Times New Roman" w:hAnsi="Times New Roman" w:eastAsia="宋体" w:cs="Times New Roman"/>
                      <w:color w:val="auto"/>
                      <w:kern w:val="0"/>
                      <w:sz w:val="21"/>
                      <w:szCs w:val="21"/>
                      <w:lang w:val="en-US" w:eastAsia="zh-CN" w:bidi="ar"/>
                    </w:rPr>
                    <w:t>台</w:t>
                  </w:r>
                </w:p>
              </w:tc>
            </w:tr>
            <w:tr w14:paraId="18CE3FD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6C6D6BA5">
                  <w:pPr>
                    <w:pStyle w:val="144"/>
                    <w:rPr>
                      <w:color w:val="auto"/>
                    </w:rPr>
                  </w:pPr>
                </w:p>
              </w:tc>
              <w:tc>
                <w:tcPr>
                  <w:tcW w:w="1466" w:type="pct"/>
                  <w:noWrap w:val="0"/>
                  <w:vAlign w:val="top"/>
                </w:tcPr>
                <w:p w14:paraId="68F8D3DB">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rPr>
                    <w:t>裁切机</w:t>
                  </w:r>
                </w:p>
              </w:tc>
              <w:tc>
                <w:tcPr>
                  <w:tcW w:w="558" w:type="pct"/>
                  <w:noWrap w:val="0"/>
                  <w:vAlign w:val="center"/>
                </w:tcPr>
                <w:p w14:paraId="59A6AAFA">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67484CD7">
                  <w:pPr>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rPr>
                    <w:t>/</w:t>
                  </w:r>
                </w:p>
              </w:tc>
              <w:tc>
                <w:tcPr>
                  <w:tcW w:w="749" w:type="pct"/>
                  <w:tcBorders>
                    <w:right w:val="nil"/>
                  </w:tcBorders>
                  <w:noWrap w:val="0"/>
                  <w:vAlign w:val="top"/>
                </w:tcPr>
                <w:p w14:paraId="74D9ABFE">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r>
                    <w:rPr>
                      <w:rFonts w:hint="eastAsia" w:ascii="Times New Roman" w:hAnsi="Times New Roman" w:eastAsia="宋体" w:cs="Times New Roman"/>
                      <w:color w:val="auto"/>
                      <w:kern w:val="0"/>
                      <w:sz w:val="21"/>
                      <w:szCs w:val="21"/>
                      <w:lang w:val="en-US" w:eastAsia="zh-CN" w:bidi="ar"/>
                    </w:rPr>
                    <w:t>台</w:t>
                  </w:r>
                </w:p>
              </w:tc>
              <w:tc>
                <w:tcPr>
                  <w:tcW w:w="670" w:type="pct"/>
                  <w:tcBorders>
                    <w:right w:val="nil"/>
                  </w:tcBorders>
                  <w:noWrap w:val="0"/>
                  <w:vAlign w:val="top"/>
                </w:tcPr>
                <w:p w14:paraId="5C57078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14</w:t>
                  </w:r>
                  <w:r>
                    <w:rPr>
                      <w:rFonts w:hint="eastAsia" w:ascii="Times New Roman" w:hAnsi="Times New Roman" w:eastAsia="宋体" w:cs="Times New Roman"/>
                      <w:color w:val="auto"/>
                      <w:kern w:val="0"/>
                      <w:sz w:val="21"/>
                      <w:szCs w:val="21"/>
                      <w:lang w:val="en-US" w:eastAsia="zh-CN" w:bidi="ar"/>
                    </w:rPr>
                    <w:t>台</w:t>
                  </w:r>
                </w:p>
              </w:tc>
            </w:tr>
            <w:tr w14:paraId="27E819E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7836A326">
                  <w:pPr>
                    <w:pStyle w:val="144"/>
                    <w:rPr>
                      <w:color w:val="auto"/>
                    </w:rPr>
                  </w:pPr>
                </w:p>
              </w:tc>
              <w:tc>
                <w:tcPr>
                  <w:tcW w:w="1466" w:type="pct"/>
                  <w:noWrap w:val="0"/>
                  <w:vAlign w:val="top"/>
                </w:tcPr>
                <w:p w14:paraId="5D975543">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开卷机</w:t>
                  </w:r>
                </w:p>
              </w:tc>
              <w:tc>
                <w:tcPr>
                  <w:tcW w:w="558" w:type="pct"/>
                  <w:noWrap w:val="0"/>
                  <w:vAlign w:val="center"/>
                </w:tcPr>
                <w:p w14:paraId="0F658018">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76D8AF23">
                  <w:pPr>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rPr>
                    <w:t>/</w:t>
                  </w:r>
                </w:p>
              </w:tc>
              <w:tc>
                <w:tcPr>
                  <w:tcW w:w="749" w:type="pct"/>
                  <w:tcBorders>
                    <w:right w:val="nil"/>
                  </w:tcBorders>
                  <w:noWrap w:val="0"/>
                  <w:vAlign w:val="top"/>
                </w:tcPr>
                <w:p w14:paraId="3C0C8A93">
                  <w:pPr>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7台</w:t>
                  </w:r>
                </w:p>
              </w:tc>
              <w:tc>
                <w:tcPr>
                  <w:tcW w:w="670" w:type="pct"/>
                  <w:tcBorders>
                    <w:right w:val="nil"/>
                  </w:tcBorders>
                  <w:noWrap w:val="0"/>
                  <w:vAlign w:val="top"/>
                </w:tcPr>
                <w:p w14:paraId="0B9269C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 w:val="21"/>
                      <w:szCs w:val="21"/>
                      <w:lang w:val="en-US" w:eastAsia="zh-CN" w:bidi="ar"/>
                    </w:rPr>
                    <w:t>+7台</w:t>
                  </w:r>
                </w:p>
              </w:tc>
            </w:tr>
            <w:tr w14:paraId="2F9D875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2AD07010">
                  <w:pPr>
                    <w:pStyle w:val="144"/>
                    <w:rPr>
                      <w:color w:val="auto"/>
                    </w:rPr>
                  </w:pPr>
                </w:p>
              </w:tc>
              <w:tc>
                <w:tcPr>
                  <w:tcW w:w="1466" w:type="pct"/>
                  <w:noWrap w:val="0"/>
                  <w:vAlign w:val="top"/>
                </w:tcPr>
                <w:p w14:paraId="120B7158">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收卷机</w:t>
                  </w:r>
                </w:p>
              </w:tc>
              <w:tc>
                <w:tcPr>
                  <w:tcW w:w="558" w:type="pct"/>
                  <w:noWrap w:val="0"/>
                  <w:vAlign w:val="center"/>
                </w:tcPr>
                <w:p w14:paraId="50A2DD23">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65C29C53">
                  <w:pPr>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rPr>
                    <w:t>/</w:t>
                  </w:r>
                </w:p>
              </w:tc>
              <w:tc>
                <w:tcPr>
                  <w:tcW w:w="749" w:type="pct"/>
                  <w:tcBorders>
                    <w:right w:val="nil"/>
                  </w:tcBorders>
                  <w:noWrap w:val="0"/>
                  <w:vAlign w:val="top"/>
                </w:tcPr>
                <w:p w14:paraId="608D1C11">
                  <w:pPr>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1台</w:t>
                  </w:r>
                </w:p>
              </w:tc>
              <w:tc>
                <w:tcPr>
                  <w:tcW w:w="670" w:type="pct"/>
                  <w:tcBorders>
                    <w:right w:val="nil"/>
                  </w:tcBorders>
                  <w:noWrap w:val="0"/>
                  <w:vAlign w:val="top"/>
                </w:tcPr>
                <w:p w14:paraId="5A6CDAA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 w:val="21"/>
                      <w:szCs w:val="21"/>
                      <w:lang w:val="en-US" w:eastAsia="zh-CN" w:bidi="ar"/>
                    </w:rPr>
                    <w:t>+1台</w:t>
                  </w:r>
                </w:p>
              </w:tc>
            </w:tr>
            <w:tr w14:paraId="789F9C5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542F4619">
                  <w:pPr>
                    <w:pStyle w:val="144"/>
                    <w:rPr>
                      <w:color w:val="auto"/>
                    </w:rPr>
                  </w:pPr>
                </w:p>
              </w:tc>
              <w:tc>
                <w:tcPr>
                  <w:tcW w:w="1466" w:type="pct"/>
                  <w:noWrap w:val="0"/>
                  <w:vAlign w:val="top"/>
                </w:tcPr>
                <w:p w14:paraId="5ACADB1B">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涂胶加热一体机</w:t>
                  </w:r>
                </w:p>
              </w:tc>
              <w:tc>
                <w:tcPr>
                  <w:tcW w:w="558" w:type="pct"/>
                  <w:noWrap w:val="0"/>
                  <w:vAlign w:val="center"/>
                </w:tcPr>
                <w:p w14:paraId="1642C856">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3E3A50E2">
                  <w:pPr>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rPr>
                    <w:t>/</w:t>
                  </w:r>
                </w:p>
              </w:tc>
              <w:tc>
                <w:tcPr>
                  <w:tcW w:w="749" w:type="pct"/>
                  <w:tcBorders>
                    <w:right w:val="nil"/>
                  </w:tcBorders>
                  <w:noWrap w:val="0"/>
                  <w:vAlign w:val="top"/>
                </w:tcPr>
                <w:p w14:paraId="636F424E">
                  <w:pPr>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7台</w:t>
                  </w:r>
                </w:p>
              </w:tc>
              <w:tc>
                <w:tcPr>
                  <w:tcW w:w="670" w:type="pct"/>
                  <w:tcBorders>
                    <w:right w:val="nil"/>
                  </w:tcBorders>
                  <w:noWrap w:val="0"/>
                  <w:vAlign w:val="top"/>
                </w:tcPr>
                <w:p w14:paraId="47EC215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0"/>
                      <w:sz w:val="21"/>
                      <w:szCs w:val="21"/>
                      <w:lang w:val="en-US" w:eastAsia="zh-CN" w:bidi="ar"/>
                    </w:rPr>
                    <w:t>+7台</w:t>
                  </w:r>
                </w:p>
              </w:tc>
            </w:tr>
            <w:tr w14:paraId="6FB1137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4946E10B">
                  <w:pPr>
                    <w:pStyle w:val="144"/>
                    <w:rPr>
                      <w:color w:val="auto"/>
                    </w:rPr>
                  </w:pPr>
                </w:p>
              </w:tc>
              <w:tc>
                <w:tcPr>
                  <w:tcW w:w="1466" w:type="pct"/>
                  <w:noWrap w:val="0"/>
                  <w:vAlign w:val="center"/>
                </w:tcPr>
                <w:p w14:paraId="28298D03">
                  <w:pPr>
                    <w:jc w:val="center"/>
                    <w:rPr>
                      <w:rFonts w:hint="eastAsia" w:ascii="Calibri" w:hAnsi="Calibri" w:eastAsia="宋体" w:cs="Times New Roman"/>
                      <w:color w:val="auto"/>
                      <w:szCs w:val="21"/>
                      <w:lang w:val="en-US" w:eastAsia="zh-CN"/>
                    </w:rPr>
                  </w:pPr>
                  <w:r>
                    <w:rPr>
                      <w:rFonts w:hint="eastAsia" w:ascii="Calibri" w:hAnsi="Calibri" w:cs="Times New Roman"/>
                      <w:color w:val="auto"/>
                      <w:szCs w:val="21"/>
                      <w:lang w:val="en-US" w:eastAsia="zh-CN"/>
                    </w:rPr>
                    <w:t>冷却塔</w:t>
                  </w:r>
                </w:p>
              </w:tc>
              <w:tc>
                <w:tcPr>
                  <w:tcW w:w="558" w:type="pct"/>
                  <w:noWrap w:val="0"/>
                  <w:vAlign w:val="center"/>
                </w:tcPr>
                <w:p w14:paraId="22068BFB">
                  <w:pPr>
                    <w:jc w:val="center"/>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03CFA6AE">
                  <w:pPr>
                    <w:jc w:val="center"/>
                    <w:textAlignment w:val="center"/>
                    <w:rPr>
                      <w:rFonts w:hint="default" w:ascii="Times New Roman" w:hAnsi="Times New Roman" w:cs="Times New Roman"/>
                      <w:color w:val="auto"/>
                    </w:rPr>
                  </w:pPr>
                  <w:r>
                    <w:rPr>
                      <w:rFonts w:hint="default" w:ascii="Times New Roman" w:hAnsi="Times New Roman" w:cs="Times New Roman"/>
                      <w:color w:val="auto"/>
                    </w:rPr>
                    <w:t>/</w:t>
                  </w:r>
                </w:p>
              </w:tc>
              <w:tc>
                <w:tcPr>
                  <w:tcW w:w="749" w:type="pct"/>
                  <w:tcBorders>
                    <w:right w:val="nil"/>
                  </w:tcBorders>
                  <w:noWrap w:val="0"/>
                  <w:vAlign w:val="center"/>
                </w:tcPr>
                <w:p w14:paraId="1A0E27BE">
                  <w:pPr>
                    <w:jc w:val="center"/>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cs="Times New Roman"/>
                      <w:bCs/>
                      <w:color w:val="auto"/>
                      <w:szCs w:val="21"/>
                      <w:lang w:val="en-US" w:eastAsia="zh-CN"/>
                    </w:rPr>
                    <w:t>1</w:t>
                  </w:r>
                  <w:r>
                    <w:rPr>
                      <w:rFonts w:hint="default" w:ascii="Times New Roman" w:hAnsi="Times New Roman" w:cs="Times New Roman"/>
                      <w:bCs/>
                      <w:color w:val="auto"/>
                      <w:szCs w:val="21"/>
                    </w:rPr>
                    <w:t>台</w:t>
                  </w:r>
                </w:p>
              </w:tc>
              <w:tc>
                <w:tcPr>
                  <w:tcW w:w="670" w:type="pct"/>
                  <w:tcBorders>
                    <w:right w:val="nil"/>
                  </w:tcBorders>
                  <w:noWrap w:val="0"/>
                  <w:vAlign w:val="center"/>
                </w:tcPr>
                <w:p w14:paraId="6C9850B0">
                  <w:pPr>
                    <w:jc w:val="center"/>
                    <w:rPr>
                      <w:rFonts w:hint="eastAsia" w:ascii="Times New Roman" w:hAnsi="Times New Roman" w:eastAsia="宋体" w:cs="Times New Roman"/>
                      <w:color w:val="auto"/>
                      <w:kern w:val="0"/>
                      <w:sz w:val="21"/>
                      <w:szCs w:val="21"/>
                      <w:lang w:val="en-US" w:eastAsia="zh-CN" w:bidi="ar"/>
                    </w:rPr>
                  </w:pPr>
                  <w:r>
                    <w:rPr>
                      <w:rFonts w:hint="eastAsia" w:cs="Times New Roman"/>
                      <w:bCs/>
                      <w:color w:val="auto"/>
                      <w:szCs w:val="21"/>
                      <w:lang w:val="en-US" w:eastAsia="zh-CN"/>
                    </w:rPr>
                    <w:t>+1</w:t>
                  </w:r>
                  <w:r>
                    <w:rPr>
                      <w:rFonts w:hint="default" w:ascii="Times New Roman" w:hAnsi="Times New Roman" w:cs="Times New Roman"/>
                      <w:bCs/>
                      <w:color w:val="auto"/>
                      <w:szCs w:val="21"/>
                    </w:rPr>
                    <w:t>台</w:t>
                  </w:r>
                </w:p>
              </w:tc>
            </w:tr>
            <w:tr w14:paraId="72FDFDA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restart"/>
                  <w:tcBorders>
                    <w:left w:val="nil"/>
                  </w:tcBorders>
                  <w:noWrap w:val="0"/>
                  <w:vAlign w:val="center"/>
                </w:tcPr>
                <w:p w14:paraId="71116C3B">
                  <w:pPr>
                    <w:pStyle w:val="144"/>
                    <w:rPr>
                      <w:color w:val="auto"/>
                    </w:rPr>
                  </w:pPr>
                  <w:r>
                    <w:rPr>
                      <w:rFonts w:hint="eastAsia" w:ascii="Times New Roman" w:hAnsi="Times New Roman" w:eastAsia="宋体" w:cs="Times New Roman"/>
                      <w:b/>
                      <w:bCs/>
                      <w:color w:val="auto"/>
                      <w:szCs w:val="21"/>
                      <w:lang w:val="en-US" w:eastAsia="zh-CN"/>
                    </w:rPr>
                    <w:t>厂房五三层（塑料密封件）</w:t>
                  </w:r>
                </w:p>
              </w:tc>
              <w:tc>
                <w:tcPr>
                  <w:tcW w:w="1466" w:type="pct"/>
                  <w:noWrap w:val="0"/>
                  <w:vAlign w:val="center"/>
                </w:tcPr>
                <w:p w14:paraId="008362AC">
                  <w:pPr>
                    <w:jc w:val="center"/>
                    <w:rPr>
                      <w:rFonts w:hint="eastAsia"/>
                      <w:color w:val="auto"/>
                      <w:sz w:val="21"/>
                      <w:szCs w:val="21"/>
                      <w:lang w:val="en-US" w:eastAsia="zh-CN"/>
                    </w:rPr>
                  </w:pPr>
                  <w:r>
                    <w:rPr>
                      <w:rFonts w:hint="eastAsia" w:ascii="Calibri" w:hAnsi="Calibri" w:eastAsia="宋体" w:cs="Times New Roman"/>
                      <w:color w:val="auto"/>
                      <w:szCs w:val="21"/>
                    </w:rPr>
                    <w:t>搅拌机</w:t>
                  </w:r>
                </w:p>
              </w:tc>
              <w:tc>
                <w:tcPr>
                  <w:tcW w:w="558" w:type="pct"/>
                  <w:noWrap w:val="0"/>
                  <w:vAlign w:val="center"/>
                </w:tcPr>
                <w:p w14:paraId="235CE854">
                  <w:pPr>
                    <w:jc w:val="center"/>
                    <w:rPr>
                      <w:rFonts w:hint="default"/>
                      <w:color w:val="auto"/>
                      <w:kern w:val="0"/>
                      <w:sz w:val="21"/>
                      <w:szCs w:val="21"/>
                      <w:lang w:val="en-US" w:eastAsia="zh-CN" w:bidi="ar"/>
                    </w:rPr>
                  </w:pPr>
                  <w:r>
                    <w:rPr>
                      <w:rFonts w:hint="eastAsia"/>
                      <w:color w:val="auto"/>
                      <w:kern w:val="0"/>
                      <w:sz w:val="21"/>
                      <w:szCs w:val="21"/>
                      <w:lang w:val="en-US" w:eastAsia="zh-CN" w:bidi="ar"/>
                    </w:rPr>
                    <w:t>4台</w:t>
                  </w:r>
                </w:p>
              </w:tc>
              <w:tc>
                <w:tcPr>
                  <w:tcW w:w="756" w:type="pct"/>
                  <w:noWrap w:val="0"/>
                  <w:vAlign w:val="center"/>
                </w:tcPr>
                <w:p w14:paraId="36DC55F1">
                  <w:pPr>
                    <w:jc w:val="center"/>
                    <w:rPr>
                      <w:rFonts w:hint="default" w:ascii="Times New Roman" w:hAnsi="Times New Roman" w:cs="Times New Roman"/>
                      <w:color w:val="auto"/>
                      <w:sz w:val="21"/>
                      <w:szCs w:val="21"/>
                      <w:lang w:val="en-US" w:eastAsia="zh-CN"/>
                    </w:rPr>
                  </w:pPr>
                  <w:r>
                    <w:rPr>
                      <w:rFonts w:hint="eastAsia"/>
                      <w:color w:val="auto"/>
                      <w:kern w:val="0"/>
                      <w:sz w:val="21"/>
                      <w:szCs w:val="21"/>
                      <w:lang w:val="en-US" w:eastAsia="zh-CN" w:bidi="ar"/>
                    </w:rPr>
                    <w:t>4台</w:t>
                  </w:r>
                </w:p>
              </w:tc>
              <w:tc>
                <w:tcPr>
                  <w:tcW w:w="749" w:type="pct"/>
                  <w:tcBorders>
                    <w:right w:val="nil"/>
                  </w:tcBorders>
                  <w:noWrap w:val="0"/>
                  <w:vAlign w:val="center"/>
                </w:tcPr>
                <w:p w14:paraId="6FC34D7B">
                  <w:pPr>
                    <w:jc w:val="center"/>
                    <w:rPr>
                      <w:rFonts w:hint="default" w:ascii="Times New Roman" w:hAnsi="Times New Roman" w:cs="Times New Roman"/>
                      <w:color w:val="auto"/>
                      <w:sz w:val="21"/>
                      <w:szCs w:val="21"/>
                      <w:lang w:val="en-US" w:eastAsia="zh-CN"/>
                    </w:rPr>
                  </w:pPr>
                  <w:r>
                    <w:rPr>
                      <w:rFonts w:hint="eastAsia"/>
                      <w:color w:val="auto"/>
                      <w:kern w:val="0"/>
                      <w:sz w:val="21"/>
                      <w:szCs w:val="21"/>
                      <w:lang w:val="en-US" w:eastAsia="zh-CN" w:bidi="ar"/>
                    </w:rPr>
                    <w:t>4台</w:t>
                  </w:r>
                </w:p>
              </w:tc>
              <w:tc>
                <w:tcPr>
                  <w:tcW w:w="670" w:type="pct"/>
                  <w:tcBorders>
                    <w:right w:val="nil"/>
                  </w:tcBorders>
                  <w:noWrap w:val="0"/>
                  <w:vAlign w:val="center"/>
                </w:tcPr>
                <w:p w14:paraId="0A64E116">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p>
              </w:tc>
            </w:tr>
            <w:tr w14:paraId="240BD32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11A0510B">
                  <w:pPr>
                    <w:pStyle w:val="144"/>
                    <w:rPr>
                      <w:rFonts w:hint="default"/>
                      <w:color w:val="auto"/>
                      <w:lang w:val="en-US" w:eastAsia="zh-CN"/>
                    </w:rPr>
                  </w:pPr>
                </w:p>
              </w:tc>
              <w:tc>
                <w:tcPr>
                  <w:tcW w:w="1466" w:type="pct"/>
                  <w:noWrap w:val="0"/>
                  <w:vAlign w:val="center"/>
                </w:tcPr>
                <w:p w14:paraId="7354043D">
                  <w:pPr>
                    <w:jc w:val="center"/>
                    <w:rPr>
                      <w:rFonts w:hint="eastAsia" w:ascii="Calibri" w:hAnsi="Calibri" w:eastAsia="宋体" w:cs="Times New Roman"/>
                      <w:color w:val="auto"/>
                      <w:szCs w:val="21"/>
                      <w:lang w:eastAsia="zh-CN"/>
                    </w:rPr>
                  </w:pPr>
                  <w:r>
                    <w:rPr>
                      <w:rFonts w:hint="eastAsia" w:ascii="Calibri" w:hAnsi="Calibri" w:eastAsia="宋体" w:cs="Times New Roman"/>
                      <w:color w:val="auto"/>
                      <w:szCs w:val="21"/>
                      <w:lang w:eastAsia="zh-CN"/>
                    </w:rPr>
                    <w:t>立式注塑机</w:t>
                  </w:r>
                </w:p>
              </w:tc>
              <w:tc>
                <w:tcPr>
                  <w:tcW w:w="558" w:type="pct"/>
                  <w:noWrap w:val="0"/>
                  <w:vAlign w:val="center"/>
                </w:tcPr>
                <w:p w14:paraId="76CFBA2B">
                  <w:pPr>
                    <w:pStyle w:val="144"/>
                    <w:rPr>
                      <w:rFonts w:hint="default"/>
                      <w:color w:val="auto"/>
                      <w:kern w:val="0"/>
                      <w:sz w:val="21"/>
                      <w:szCs w:val="21"/>
                      <w:lang w:val="en-US" w:eastAsia="zh-CN" w:bidi="ar"/>
                    </w:rPr>
                  </w:pPr>
                  <w:r>
                    <w:rPr>
                      <w:rFonts w:hint="eastAsia"/>
                      <w:color w:val="auto"/>
                      <w:kern w:val="0"/>
                      <w:sz w:val="21"/>
                      <w:szCs w:val="21"/>
                      <w:lang w:val="en-US" w:eastAsia="zh-CN" w:bidi="ar"/>
                    </w:rPr>
                    <w:t>4台</w:t>
                  </w:r>
                </w:p>
              </w:tc>
              <w:tc>
                <w:tcPr>
                  <w:tcW w:w="756" w:type="pct"/>
                  <w:noWrap w:val="0"/>
                  <w:vAlign w:val="center"/>
                </w:tcPr>
                <w:p w14:paraId="359A6B5D">
                  <w:pPr>
                    <w:pStyle w:val="144"/>
                    <w:rPr>
                      <w:rFonts w:hint="default" w:ascii="Times New Roman" w:hAnsi="Times New Roman" w:cs="Times New Roman"/>
                      <w:color w:val="auto"/>
                    </w:rPr>
                  </w:pPr>
                  <w:r>
                    <w:rPr>
                      <w:rFonts w:hint="eastAsia"/>
                      <w:color w:val="auto"/>
                      <w:kern w:val="0"/>
                      <w:sz w:val="21"/>
                      <w:szCs w:val="21"/>
                      <w:lang w:val="en-US" w:eastAsia="zh-CN" w:bidi="ar"/>
                    </w:rPr>
                    <w:t>4台</w:t>
                  </w:r>
                </w:p>
              </w:tc>
              <w:tc>
                <w:tcPr>
                  <w:tcW w:w="749" w:type="pct"/>
                  <w:tcBorders>
                    <w:right w:val="nil"/>
                  </w:tcBorders>
                  <w:noWrap w:val="0"/>
                  <w:vAlign w:val="center"/>
                </w:tcPr>
                <w:p w14:paraId="2FBC0A3E">
                  <w:pPr>
                    <w:pStyle w:val="144"/>
                    <w:rPr>
                      <w:rFonts w:hint="default" w:ascii="Times New Roman" w:hAnsi="Times New Roman" w:cs="Times New Roman"/>
                      <w:color w:val="auto"/>
                      <w:szCs w:val="21"/>
                    </w:rPr>
                  </w:pPr>
                  <w:r>
                    <w:rPr>
                      <w:rFonts w:hint="eastAsia"/>
                      <w:color w:val="auto"/>
                      <w:kern w:val="0"/>
                      <w:sz w:val="21"/>
                      <w:szCs w:val="21"/>
                      <w:lang w:val="en-US" w:eastAsia="zh-CN" w:bidi="ar"/>
                    </w:rPr>
                    <w:t>4台</w:t>
                  </w:r>
                </w:p>
              </w:tc>
              <w:tc>
                <w:tcPr>
                  <w:tcW w:w="670" w:type="pct"/>
                  <w:tcBorders>
                    <w:right w:val="nil"/>
                  </w:tcBorders>
                  <w:noWrap w:val="0"/>
                  <w:vAlign w:val="center"/>
                </w:tcPr>
                <w:p w14:paraId="15B6827F">
                  <w:pPr>
                    <w:jc w:val="center"/>
                    <w:rPr>
                      <w:rFonts w:hint="default" w:ascii="Times New Roman" w:hAnsi="Times New Roman" w:eastAsia="宋体" w:cs="Times New Roman"/>
                      <w:color w:val="auto"/>
                      <w:lang w:val="en-US" w:eastAsia="zh-CN"/>
                    </w:rPr>
                  </w:pPr>
                  <w:r>
                    <w:rPr>
                      <w:rFonts w:hint="eastAsia" w:cs="Times New Roman"/>
                      <w:color w:val="auto"/>
                      <w:szCs w:val="21"/>
                      <w:lang w:val="en-US" w:eastAsia="zh-CN"/>
                    </w:rPr>
                    <w:t>0</w:t>
                  </w:r>
                </w:p>
              </w:tc>
            </w:tr>
            <w:tr w14:paraId="3CDCA82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44681910">
                  <w:pPr>
                    <w:pStyle w:val="144"/>
                    <w:rPr>
                      <w:rFonts w:hint="default"/>
                      <w:color w:val="auto"/>
                      <w:lang w:val="en-US" w:eastAsia="zh-CN"/>
                    </w:rPr>
                  </w:pPr>
                </w:p>
              </w:tc>
              <w:tc>
                <w:tcPr>
                  <w:tcW w:w="1466" w:type="pct"/>
                  <w:noWrap w:val="0"/>
                  <w:vAlign w:val="center"/>
                </w:tcPr>
                <w:p w14:paraId="020A7F83">
                  <w:pPr>
                    <w:jc w:val="center"/>
                    <w:rPr>
                      <w:rFonts w:hint="default" w:ascii="Calibri" w:hAnsi="Calibri" w:eastAsia="宋体" w:cs="Times New Roman"/>
                      <w:color w:val="auto"/>
                      <w:szCs w:val="21"/>
                      <w:lang w:val="en-US" w:eastAsia="zh-CN"/>
                    </w:rPr>
                  </w:pPr>
                  <w:r>
                    <w:rPr>
                      <w:rFonts w:hint="eastAsia" w:ascii="Calibri" w:hAnsi="Calibri" w:cs="Times New Roman"/>
                      <w:color w:val="auto"/>
                      <w:szCs w:val="21"/>
                      <w:lang w:val="en-US" w:eastAsia="zh-CN"/>
                    </w:rPr>
                    <w:t>冷却水槽</w:t>
                  </w:r>
                </w:p>
              </w:tc>
              <w:tc>
                <w:tcPr>
                  <w:tcW w:w="558" w:type="pct"/>
                  <w:noWrap w:val="0"/>
                  <w:vAlign w:val="center"/>
                </w:tcPr>
                <w:p w14:paraId="3F018D95">
                  <w:pPr>
                    <w:jc w:val="center"/>
                    <w:rPr>
                      <w:rFonts w:hint="eastAsia"/>
                      <w:color w:val="auto"/>
                      <w:kern w:val="0"/>
                      <w:sz w:val="21"/>
                      <w:szCs w:val="21"/>
                      <w:lang w:val="en-US" w:eastAsia="zh-CN" w:bidi="ar"/>
                    </w:rPr>
                  </w:pPr>
                  <w:r>
                    <w:rPr>
                      <w:rFonts w:hint="eastAsia"/>
                      <w:color w:val="auto"/>
                      <w:kern w:val="0"/>
                      <w:sz w:val="21"/>
                      <w:szCs w:val="21"/>
                      <w:lang w:val="en-US" w:eastAsia="zh-CN" w:bidi="ar"/>
                    </w:rPr>
                    <w:t>5个</w:t>
                  </w:r>
                </w:p>
              </w:tc>
              <w:tc>
                <w:tcPr>
                  <w:tcW w:w="756" w:type="pct"/>
                  <w:noWrap w:val="0"/>
                  <w:vAlign w:val="center"/>
                </w:tcPr>
                <w:p w14:paraId="284474F1">
                  <w:pPr>
                    <w:jc w:val="center"/>
                    <w:rPr>
                      <w:rFonts w:hint="default" w:ascii="Times New Roman" w:hAnsi="Times New Roman" w:cs="Times New Roman"/>
                      <w:color w:val="auto"/>
                    </w:rPr>
                  </w:pPr>
                  <w:r>
                    <w:rPr>
                      <w:rFonts w:hint="eastAsia"/>
                      <w:color w:val="auto"/>
                      <w:kern w:val="0"/>
                      <w:sz w:val="21"/>
                      <w:szCs w:val="21"/>
                      <w:lang w:val="en-US" w:eastAsia="zh-CN" w:bidi="ar"/>
                    </w:rPr>
                    <w:t>5个</w:t>
                  </w:r>
                </w:p>
              </w:tc>
              <w:tc>
                <w:tcPr>
                  <w:tcW w:w="749" w:type="pct"/>
                  <w:tcBorders>
                    <w:right w:val="nil"/>
                  </w:tcBorders>
                  <w:noWrap w:val="0"/>
                  <w:vAlign w:val="center"/>
                </w:tcPr>
                <w:p w14:paraId="65FBA3BA">
                  <w:pPr>
                    <w:jc w:val="center"/>
                    <w:rPr>
                      <w:rFonts w:hint="default" w:ascii="Times New Roman" w:hAnsi="Times New Roman" w:cs="Times New Roman"/>
                      <w:color w:val="auto"/>
                    </w:rPr>
                  </w:pPr>
                  <w:r>
                    <w:rPr>
                      <w:rFonts w:hint="eastAsia"/>
                      <w:color w:val="auto"/>
                      <w:kern w:val="0"/>
                      <w:sz w:val="21"/>
                      <w:szCs w:val="21"/>
                      <w:lang w:val="en-US" w:eastAsia="zh-CN" w:bidi="ar"/>
                    </w:rPr>
                    <w:t>5个</w:t>
                  </w:r>
                </w:p>
              </w:tc>
              <w:tc>
                <w:tcPr>
                  <w:tcW w:w="670" w:type="pct"/>
                  <w:tcBorders>
                    <w:right w:val="nil"/>
                  </w:tcBorders>
                  <w:noWrap w:val="0"/>
                  <w:vAlign w:val="center"/>
                </w:tcPr>
                <w:p w14:paraId="233262BB">
                  <w:pPr>
                    <w:jc w:val="center"/>
                    <w:rPr>
                      <w:rFonts w:hint="eastAsia" w:cs="Times New Roman"/>
                      <w:color w:val="auto"/>
                      <w:lang w:val="en-US" w:eastAsia="zh-CN"/>
                    </w:rPr>
                  </w:pPr>
                  <w:r>
                    <w:rPr>
                      <w:rFonts w:hint="eastAsia" w:cs="Times New Roman"/>
                      <w:color w:val="auto"/>
                      <w:szCs w:val="21"/>
                      <w:lang w:val="en-US" w:eastAsia="zh-CN"/>
                    </w:rPr>
                    <w:t>0</w:t>
                  </w:r>
                </w:p>
              </w:tc>
            </w:tr>
            <w:tr w14:paraId="7F07CFF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49E61C67">
                  <w:pPr>
                    <w:pStyle w:val="144"/>
                    <w:rPr>
                      <w:rFonts w:hint="eastAsia"/>
                      <w:color w:val="auto"/>
                      <w:lang w:val="en-US" w:eastAsia="zh-CN"/>
                    </w:rPr>
                  </w:pPr>
                </w:p>
              </w:tc>
              <w:tc>
                <w:tcPr>
                  <w:tcW w:w="1466" w:type="pct"/>
                  <w:noWrap w:val="0"/>
                  <w:vAlign w:val="center"/>
                </w:tcPr>
                <w:p w14:paraId="2BDC6D32">
                  <w:pPr>
                    <w:jc w:val="center"/>
                    <w:rPr>
                      <w:rFonts w:hint="eastAsia" w:ascii="Calibri" w:hAnsi="Calibri" w:cs="Times New Roman"/>
                      <w:color w:val="auto"/>
                      <w:szCs w:val="21"/>
                      <w:lang w:val="en-US" w:eastAsia="zh-CN"/>
                    </w:rPr>
                  </w:pPr>
                  <w:r>
                    <w:rPr>
                      <w:rFonts w:hint="eastAsia" w:ascii="Calibri" w:hAnsi="Calibri" w:cs="Times New Roman"/>
                      <w:color w:val="auto"/>
                      <w:szCs w:val="21"/>
                      <w:lang w:val="en-US" w:eastAsia="zh-CN"/>
                    </w:rPr>
                    <w:t>冷水机</w:t>
                  </w:r>
                </w:p>
              </w:tc>
              <w:tc>
                <w:tcPr>
                  <w:tcW w:w="558" w:type="pct"/>
                  <w:noWrap w:val="0"/>
                  <w:vAlign w:val="center"/>
                </w:tcPr>
                <w:p w14:paraId="2E67EEE5">
                  <w:pPr>
                    <w:jc w:val="center"/>
                    <w:rPr>
                      <w:rFonts w:hint="eastAsia"/>
                      <w:color w:val="auto"/>
                      <w:kern w:val="0"/>
                      <w:sz w:val="21"/>
                      <w:szCs w:val="21"/>
                      <w:lang w:val="en-US" w:eastAsia="zh-CN" w:bidi="ar"/>
                    </w:rPr>
                  </w:pPr>
                  <w:r>
                    <w:rPr>
                      <w:rFonts w:hint="eastAsia"/>
                      <w:color w:val="auto"/>
                      <w:kern w:val="0"/>
                      <w:sz w:val="21"/>
                      <w:szCs w:val="21"/>
                      <w:lang w:val="en-US" w:eastAsia="zh-CN" w:bidi="ar"/>
                    </w:rPr>
                    <w:t>5台</w:t>
                  </w:r>
                </w:p>
              </w:tc>
              <w:tc>
                <w:tcPr>
                  <w:tcW w:w="756" w:type="pct"/>
                  <w:noWrap w:val="0"/>
                  <w:vAlign w:val="center"/>
                </w:tcPr>
                <w:p w14:paraId="4AC21F01">
                  <w:pPr>
                    <w:jc w:val="center"/>
                    <w:rPr>
                      <w:rFonts w:hint="default" w:ascii="Times New Roman" w:hAnsi="Times New Roman" w:cs="Times New Roman"/>
                      <w:color w:val="auto"/>
                    </w:rPr>
                  </w:pPr>
                  <w:r>
                    <w:rPr>
                      <w:rFonts w:hint="eastAsia"/>
                      <w:color w:val="auto"/>
                      <w:kern w:val="0"/>
                      <w:sz w:val="21"/>
                      <w:szCs w:val="21"/>
                      <w:lang w:val="en-US" w:eastAsia="zh-CN" w:bidi="ar"/>
                    </w:rPr>
                    <w:t>5台</w:t>
                  </w:r>
                </w:p>
              </w:tc>
              <w:tc>
                <w:tcPr>
                  <w:tcW w:w="749" w:type="pct"/>
                  <w:tcBorders>
                    <w:right w:val="nil"/>
                  </w:tcBorders>
                  <w:noWrap w:val="0"/>
                  <w:vAlign w:val="center"/>
                </w:tcPr>
                <w:p w14:paraId="4F66D79A">
                  <w:pPr>
                    <w:jc w:val="center"/>
                    <w:rPr>
                      <w:rFonts w:hint="default" w:ascii="Times New Roman" w:hAnsi="Times New Roman" w:cs="Times New Roman"/>
                      <w:color w:val="auto"/>
                      <w:szCs w:val="21"/>
                    </w:rPr>
                  </w:pPr>
                  <w:r>
                    <w:rPr>
                      <w:rFonts w:hint="eastAsia"/>
                      <w:color w:val="auto"/>
                      <w:kern w:val="0"/>
                      <w:sz w:val="21"/>
                      <w:szCs w:val="21"/>
                      <w:lang w:val="en-US" w:eastAsia="zh-CN" w:bidi="ar"/>
                    </w:rPr>
                    <w:t>5台</w:t>
                  </w:r>
                </w:p>
              </w:tc>
              <w:tc>
                <w:tcPr>
                  <w:tcW w:w="670" w:type="pct"/>
                  <w:tcBorders>
                    <w:right w:val="nil"/>
                  </w:tcBorders>
                  <w:noWrap w:val="0"/>
                  <w:vAlign w:val="center"/>
                </w:tcPr>
                <w:p w14:paraId="4AF7D953">
                  <w:pPr>
                    <w:jc w:val="center"/>
                    <w:rPr>
                      <w:rFonts w:hint="eastAsia" w:cs="Times New Roman"/>
                      <w:color w:val="auto"/>
                      <w:szCs w:val="21"/>
                      <w:lang w:val="en-US" w:eastAsia="zh-CN"/>
                    </w:rPr>
                  </w:pPr>
                  <w:r>
                    <w:rPr>
                      <w:rFonts w:hint="eastAsia" w:cs="Times New Roman"/>
                      <w:color w:val="auto"/>
                      <w:szCs w:val="21"/>
                      <w:lang w:val="en-US" w:eastAsia="zh-CN"/>
                    </w:rPr>
                    <w:t>0</w:t>
                  </w:r>
                </w:p>
              </w:tc>
            </w:tr>
            <w:tr w14:paraId="6955E3E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1578BA11">
                  <w:pPr>
                    <w:pStyle w:val="144"/>
                    <w:rPr>
                      <w:rFonts w:hint="eastAsia"/>
                      <w:color w:val="auto"/>
                      <w:lang w:val="en-US" w:eastAsia="zh-CN"/>
                    </w:rPr>
                  </w:pPr>
                </w:p>
              </w:tc>
              <w:tc>
                <w:tcPr>
                  <w:tcW w:w="1466" w:type="pct"/>
                  <w:noWrap w:val="0"/>
                  <w:vAlign w:val="center"/>
                </w:tcPr>
                <w:p w14:paraId="70112D82">
                  <w:pPr>
                    <w:jc w:val="center"/>
                    <w:rPr>
                      <w:rFonts w:hint="eastAsia" w:ascii="Calibri" w:hAnsi="Calibri" w:cs="Times New Roman"/>
                      <w:color w:val="auto"/>
                      <w:szCs w:val="21"/>
                      <w:lang w:val="en-US" w:eastAsia="zh-CN"/>
                    </w:rPr>
                  </w:pPr>
                  <w:r>
                    <w:rPr>
                      <w:rFonts w:hint="eastAsia" w:ascii="Calibri" w:hAnsi="Calibri" w:cs="Times New Roman"/>
                      <w:color w:val="auto"/>
                      <w:szCs w:val="21"/>
                      <w:lang w:val="en-US" w:eastAsia="zh-CN"/>
                    </w:rPr>
                    <w:t>空压机</w:t>
                  </w:r>
                </w:p>
              </w:tc>
              <w:tc>
                <w:tcPr>
                  <w:tcW w:w="558" w:type="pct"/>
                  <w:noWrap w:val="0"/>
                  <w:vAlign w:val="center"/>
                </w:tcPr>
                <w:p w14:paraId="6D0E0B47">
                  <w:pPr>
                    <w:jc w:val="center"/>
                    <w:rPr>
                      <w:rFonts w:hint="eastAsia"/>
                      <w:color w:val="auto"/>
                      <w:kern w:val="0"/>
                      <w:sz w:val="21"/>
                      <w:szCs w:val="21"/>
                      <w:lang w:val="en-US" w:eastAsia="zh-CN" w:bidi="ar"/>
                    </w:rPr>
                  </w:pPr>
                  <w:r>
                    <w:rPr>
                      <w:rFonts w:hint="eastAsia"/>
                      <w:color w:val="auto"/>
                      <w:kern w:val="0"/>
                      <w:sz w:val="21"/>
                      <w:szCs w:val="21"/>
                      <w:lang w:val="en-US" w:eastAsia="zh-CN" w:bidi="ar"/>
                    </w:rPr>
                    <w:t>1台</w:t>
                  </w:r>
                </w:p>
              </w:tc>
              <w:tc>
                <w:tcPr>
                  <w:tcW w:w="756" w:type="pct"/>
                  <w:noWrap w:val="0"/>
                  <w:vAlign w:val="center"/>
                </w:tcPr>
                <w:p w14:paraId="2F4830C8">
                  <w:pPr>
                    <w:jc w:val="center"/>
                    <w:rPr>
                      <w:rFonts w:hint="default" w:ascii="Times New Roman" w:hAnsi="Times New Roman" w:cs="Times New Roman"/>
                      <w:color w:val="auto"/>
                    </w:rPr>
                  </w:pPr>
                  <w:r>
                    <w:rPr>
                      <w:rFonts w:hint="eastAsia"/>
                      <w:color w:val="auto"/>
                      <w:kern w:val="0"/>
                      <w:sz w:val="21"/>
                      <w:szCs w:val="21"/>
                      <w:lang w:val="en-US" w:eastAsia="zh-CN" w:bidi="ar"/>
                    </w:rPr>
                    <w:t>1台</w:t>
                  </w:r>
                </w:p>
              </w:tc>
              <w:tc>
                <w:tcPr>
                  <w:tcW w:w="749" w:type="pct"/>
                  <w:tcBorders>
                    <w:right w:val="nil"/>
                  </w:tcBorders>
                  <w:noWrap w:val="0"/>
                  <w:vAlign w:val="center"/>
                </w:tcPr>
                <w:p w14:paraId="6CEE074B">
                  <w:pPr>
                    <w:jc w:val="center"/>
                    <w:rPr>
                      <w:rFonts w:hint="default" w:ascii="Times New Roman" w:hAnsi="Times New Roman" w:cs="Times New Roman"/>
                      <w:color w:val="auto"/>
                      <w:szCs w:val="21"/>
                    </w:rPr>
                  </w:pPr>
                  <w:r>
                    <w:rPr>
                      <w:rFonts w:hint="eastAsia"/>
                      <w:color w:val="auto"/>
                      <w:kern w:val="0"/>
                      <w:sz w:val="21"/>
                      <w:szCs w:val="21"/>
                      <w:lang w:val="en-US" w:eastAsia="zh-CN" w:bidi="ar"/>
                    </w:rPr>
                    <w:t>1台</w:t>
                  </w:r>
                </w:p>
              </w:tc>
              <w:tc>
                <w:tcPr>
                  <w:tcW w:w="670" w:type="pct"/>
                  <w:tcBorders>
                    <w:right w:val="nil"/>
                  </w:tcBorders>
                  <w:noWrap w:val="0"/>
                  <w:vAlign w:val="center"/>
                </w:tcPr>
                <w:p w14:paraId="2821D01A">
                  <w:pPr>
                    <w:jc w:val="center"/>
                    <w:rPr>
                      <w:rFonts w:hint="eastAsia" w:cs="Times New Roman"/>
                      <w:color w:val="auto"/>
                      <w:szCs w:val="21"/>
                      <w:lang w:val="en-US" w:eastAsia="zh-CN"/>
                    </w:rPr>
                  </w:pPr>
                  <w:r>
                    <w:rPr>
                      <w:rFonts w:hint="eastAsia" w:cs="Times New Roman"/>
                      <w:color w:val="auto"/>
                      <w:szCs w:val="21"/>
                      <w:lang w:val="en-US" w:eastAsia="zh-CN"/>
                    </w:rPr>
                    <w:t>0</w:t>
                  </w:r>
                </w:p>
              </w:tc>
            </w:tr>
            <w:tr w14:paraId="3350C42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2125B619">
                  <w:pPr>
                    <w:pStyle w:val="144"/>
                    <w:rPr>
                      <w:rFonts w:hint="eastAsia"/>
                      <w:color w:val="auto"/>
                      <w:lang w:val="en-US" w:eastAsia="zh-CN"/>
                    </w:rPr>
                  </w:pPr>
                </w:p>
              </w:tc>
              <w:tc>
                <w:tcPr>
                  <w:tcW w:w="1466" w:type="pct"/>
                  <w:noWrap w:val="0"/>
                  <w:vAlign w:val="center"/>
                </w:tcPr>
                <w:p w14:paraId="3D8E2112">
                  <w:pPr>
                    <w:jc w:val="center"/>
                    <w:rPr>
                      <w:rFonts w:hint="eastAsia" w:ascii="Calibri" w:hAnsi="Calibri" w:cs="Times New Roman"/>
                      <w:color w:val="auto"/>
                      <w:szCs w:val="21"/>
                      <w:lang w:val="en-US" w:eastAsia="zh-CN"/>
                    </w:rPr>
                  </w:pPr>
                  <w:r>
                    <w:rPr>
                      <w:rFonts w:hint="eastAsia" w:ascii="Calibri" w:hAnsi="Calibri" w:cs="Times New Roman"/>
                      <w:color w:val="auto"/>
                      <w:szCs w:val="21"/>
                      <w:lang w:val="en-US" w:eastAsia="zh-CN"/>
                    </w:rPr>
                    <w:t>裁断机</w:t>
                  </w:r>
                </w:p>
              </w:tc>
              <w:tc>
                <w:tcPr>
                  <w:tcW w:w="558" w:type="pct"/>
                  <w:noWrap w:val="0"/>
                  <w:vAlign w:val="center"/>
                </w:tcPr>
                <w:p w14:paraId="28B9BD4A">
                  <w:pPr>
                    <w:jc w:val="center"/>
                    <w:rPr>
                      <w:rFonts w:hint="default"/>
                      <w:color w:val="auto"/>
                      <w:kern w:val="0"/>
                      <w:sz w:val="21"/>
                      <w:szCs w:val="21"/>
                      <w:lang w:val="en-US" w:eastAsia="zh-CN" w:bidi="ar"/>
                    </w:rPr>
                  </w:pPr>
                  <w:r>
                    <w:rPr>
                      <w:rFonts w:hint="eastAsia"/>
                      <w:color w:val="auto"/>
                      <w:kern w:val="0"/>
                      <w:sz w:val="21"/>
                      <w:szCs w:val="21"/>
                      <w:lang w:val="en-US" w:eastAsia="zh-CN" w:bidi="ar"/>
                    </w:rPr>
                    <w:t>5台</w:t>
                  </w:r>
                </w:p>
              </w:tc>
              <w:tc>
                <w:tcPr>
                  <w:tcW w:w="756" w:type="pct"/>
                  <w:noWrap w:val="0"/>
                  <w:vAlign w:val="center"/>
                </w:tcPr>
                <w:p w14:paraId="0A105459">
                  <w:pPr>
                    <w:jc w:val="center"/>
                    <w:rPr>
                      <w:rFonts w:hint="default" w:ascii="Times New Roman" w:hAnsi="Times New Roman" w:cs="Times New Roman"/>
                      <w:color w:val="auto"/>
                    </w:rPr>
                  </w:pPr>
                  <w:r>
                    <w:rPr>
                      <w:rFonts w:hint="eastAsia"/>
                      <w:color w:val="auto"/>
                      <w:kern w:val="0"/>
                      <w:sz w:val="21"/>
                      <w:szCs w:val="21"/>
                      <w:lang w:val="en-US" w:eastAsia="zh-CN" w:bidi="ar"/>
                    </w:rPr>
                    <w:t>5台</w:t>
                  </w:r>
                </w:p>
              </w:tc>
              <w:tc>
                <w:tcPr>
                  <w:tcW w:w="749" w:type="pct"/>
                  <w:tcBorders>
                    <w:right w:val="nil"/>
                  </w:tcBorders>
                  <w:noWrap w:val="0"/>
                  <w:vAlign w:val="center"/>
                </w:tcPr>
                <w:p w14:paraId="02955441">
                  <w:pPr>
                    <w:jc w:val="center"/>
                    <w:rPr>
                      <w:rFonts w:hint="default" w:ascii="Times New Roman" w:hAnsi="Times New Roman" w:cs="Times New Roman"/>
                      <w:color w:val="auto"/>
                      <w:szCs w:val="21"/>
                    </w:rPr>
                  </w:pPr>
                  <w:r>
                    <w:rPr>
                      <w:rFonts w:hint="eastAsia"/>
                      <w:color w:val="auto"/>
                      <w:kern w:val="0"/>
                      <w:sz w:val="21"/>
                      <w:szCs w:val="21"/>
                      <w:lang w:val="en-US" w:eastAsia="zh-CN" w:bidi="ar"/>
                    </w:rPr>
                    <w:t>5台</w:t>
                  </w:r>
                </w:p>
              </w:tc>
              <w:tc>
                <w:tcPr>
                  <w:tcW w:w="670" w:type="pct"/>
                  <w:tcBorders>
                    <w:right w:val="nil"/>
                  </w:tcBorders>
                  <w:noWrap w:val="0"/>
                  <w:vAlign w:val="center"/>
                </w:tcPr>
                <w:p w14:paraId="5D7FBD57">
                  <w:pPr>
                    <w:jc w:val="center"/>
                    <w:rPr>
                      <w:rFonts w:hint="eastAsia" w:cs="Times New Roman"/>
                      <w:color w:val="auto"/>
                      <w:szCs w:val="21"/>
                      <w:lang w:val="en-US" w:eastAsia="zh-CN"/>
                    </w:rPr>
                  </w:pPr>
                  <w:r>
                    <w:rPr>
                      <w:rFonts w:hint="eastAsia" w:cs="Times New Roman"/>
                      <w:color w:val="auto"/>
                      <w:szCs w:val="21"/>
                      <w:lang w:val="en-US" w:eastAsia="zh-CN"/>
                    </w:rPr>
                    <w:t>0</w:t>
                  </w:r>
                </w:p>
              </w:tc>
            </w:tr>
            <w:tr w14:paraId="45D1028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restart"/>
                  <w:tcBorders>
                    <w:left w:val="nil"/>
                  </w:tcBorders>
                  <w:noWrap w:val="0"/>
                  <w:vAlign w:val="center"/>
                </w:tcPr>
                <w:p w14:paraId="425D3BF4">
                  <w:pPr>
                    <w:pStyle w:val="144"/>
                    <w:rPr>
                      <w:rFonts w:hint="eastAsia"/>
                      <w:color w:val="auto"/>
                      <w:lang w:val="en-US" w:eastAsia="zh-CN"/>
                    </w:rPr>
                  </w:pPr>
                  <w:r>
                    <w:rPr>
                      <w:rFonts w:hint="eastAsia"/>
                      <w:b/>
                      <w:bCs/>
                      <w:color w:val="auto"/>
                      <w:szCs w:val="21"/>
                      <w:lang w:val="en-US" w:eastAsia="zh-CN"/>
                    </w:rPr>
                    <w:t>厂房四一层（钣金件生产）</w:t>
                  </w:r>
                </w:p>
              </w:tc>
              <w:tc>
                <w:tcPr>
                  <w:tcW w:w="1466" w:type="pct"/>
                  <w:noWrap w:val="0"/>
                  <w:vAlign w:val="top"/>
                </w:tcPr>
                <w:p w14:paraId="07A65B55">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冲床</w:t>
                  </w:r>
                </w:p>
              </w:tc>
              <w:tc>
                <w:tcPr>
                  <w:tcW w:w="558" w:type="pct"/>
                  <w:noWrap w:val="0"/>
                  <w:vAlign w:val="center"/>
                </w:tcPr>
                <w:p w14:paraId="154F9135">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4FCFEBA1">
                  <w:pPr>
                    <w:jc w:val="center"/>
                    <w:textAlignment w:val="center"/>
                    <w:rPr>
                      <w:rFonts w:hint="default" w:ascii="Times New Roman" w:hAnsi="Times New Roman" w:cs="Times New Roman"/>
                      <w:color w:val="auto"/>
                    </w:rPr>
                  </w:pPr>
                  <w:r>
                    <w:rPr>
                      <w:rFonts w:hint="default" w:ascii="Times New Roman" w:hAnsi="Times New Roman" w:cs="Times New Roman"/>
                      <w:color w:val="auto"/>
                    </w:rPr>
                    <w:t>/</w:t>
                  </w:r>
                </w:p>
              </w:tc>
              <w:tc>
                <w:tcPr>
                  <w:tcW w:w="749" w:type="pct"/>
                  <w:tcBorders>
                    <w:right w:val="nil"/>
                  </w:tcBorders>
                  <w:noWrap w:val="0"/>
                  <w:vAlign w:val="top"/>
                </w:tcPr>
                <w:p w14:paraId="5A606267">
                  <w:pPr>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15台</w:t>
                  </w:r>
                </w:p>
              </w:tc>
              <w:tc>
                <w:tcPr>
                  <w:tcW w:w="670" w:type="pct"/>
                  <w:tcBorders>
                    <w:right w:val="nil"/>
                  </w:tcBorders>
                  <w:noWrap w:val="0"/>
                  <w:vAlign w:val="center"/>
                </w:tcPr>
                <w:p w14:paraId="604756E7">
                  <w:pPr>
                    <w:jc w:val="center"/>
                    <w:rPr>
                      <w:rFonts w:hint="default" w:cs="Times New Roman"/>
                      <w:color w:val="auto"/>
                      <w:szCs w:val="21"/>
                      <w:lang w:val="en-US" w:eastAsia="zh-CN"/>
                    </w:rPr>
                  </w:pPr>
                  <w:r>
                    <w:rPr>
                      <w:rFonts w:hint="eastAsia" w:cs="Times New Roman"/>
                      <w:color w:val="auto"/>
                      <w:szCs w:val="21"/>
                      <w:lang w:val="en-US" w:eastAsia="zh-CN"/>
                    </w:rPr>
                    <w:t>+15</w:t>
                  </w:r>
                  <w:r>
                    <w:rPr>
                      <w:rFonts w:hint="eastAsia"/>
                      <w:color w:val="auto"/>
                      <w:kern w:val="0"/>
                      <w:sz w:val="21"/>
                      <w:szCs w:val="21"/>
                      <w:lang w:val="en-US" w:eastAsia="zh-CN" w:bidi="ar"/>
                    </w:rPr>
                    <w:t>台</w:t>
                  </w:r>
                </w:p>
              </w:tc>
            </w:tr>
            <w:tr w14:paraId="1C092C7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521CDF84">
                  <w:pPr>
                    <w:pStyle w:val="144"/>
                    <w:rPr>
                      <w:rFonts w:hint="eastAsia"/>
                      <w:color w:val="auto"/>
                      <w:lang w:val="en-US" w:eastAsia="zh-CN"/>
                    </w:rPr>
                  </w:pPr>
                </w:p>
              </w:tc>
              <w:tc>
                <w:tcPr>
                  <w:tcW w:w="1466" w:type="pct"/>
                  <w:noWrap w:val="0"/>
                  <w:vAlign w:val="top"/>
                </w:tcPr>
                <w:p w14:paraId="180EF894">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氩弧焊机</w:t>
                  </w:r>
                </w:p>
              </w:tc>
              <w:tc>
                <w:tcPr>
                  <w:tcW w:w="558" w:type="pct"/>
                  <w:noWrap w:val="0"/>
                  <w:vAlign w:val="center"/>
                </w:tcPr>
                <w:p w14:paraId="13192D22">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71B9B8C2">
                  <w:pPr>
                    <w:jc w:val="center"/>
                    <w:textAlignment w:val="center"/>
                    <w:rPr>
                      <w:rFonts w:hint="default" w:ascii="Times New Roman" w:hAnsi="Times New Roman" w:cs="Times New Roman"/>
                      <w:color w:val="auto"/>
                    </w:rPr>
                  </w:pPr>
                  <w:r>
                    <w:rPr>
                      <w:rFonts w:hint="default" w:ascii="Times New Roman" w:hAnsi="Times New Roman" w:cs="Times New Roman"/>
                      <w:color w:val="auto"/>
                    </w:rPr>
                    <w:t>/</w:t>
                  </w:r>
                </w:p>
              </w:tc>
              <w:tc>
                <w:tcPr>
                  <w:tcW w:w="749" w:type="pct"/>
                  <w:tcBorders>
                    <w:right w:val="nil"/>
                  </w:tcBorders>
                  <w:noWrap w:val="0"/>
                  <w:vAlign w:val="top"/>
                </w:tcPr>
                <w:p w14:paraId="33BA8F5E">
                  <w:pPr>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r>
                    <w:rPr>
                      <w:rFonts w:hint="eastAsia"/>
                      <w:color w:val="auto"/>
                      <w:kern w:val="0"/>
                      <w:sz w:val="21"/>
                      <w:szCs w:val="21"/>
                      <w:lang w:val="en-US" w:eastAsia="zh-CN" w:bidi="ar"/>
                    </w:rPr>
                    <w:t>台</w:t>
                  </w:r>
                </w:p>
              </w:tc>
              <w:tc>
                <w:tcPr>
                  <w:tcW w:w="670" w:type="pct"/>
                  <w:tcBorders>
                    <w:right w:val="nil"/>
                  </w:tcBorders>
                  <w:noWrap w:val="0"/>
                  <w:vAlign w:val="center"/>
                </w:tcPr>
                <w:p w14:paraId="5766ADBA">
                  <w:pPr>
                    <w:jc w:val="center"/>
                    <w:rPr>
                      <w:rFonts w:hint="default" w:cs="Times New Roman"/>
                      <w:color w:val="auto"/>
                      <w:szCs w:val="21"/>
                      <w:lang w:val="en-US" w:eastAsia="zh-CN"/>
                    </w:rPr>
                  </w:pPr>
                  <w:r>
                    <w:rPr>
                      <w:rFonts w:hint="eastAsia" w:cs="Times New Roman"/>
                      <w:color w:val="auto"/>
                      <w:szCs w:val="21"/>
                      <w:lang w:val="en-US" w:eastAsia="zh-CN"/>
                    </w:rPr>
                    <w:t>+3</w:t>
                  </w:r>
                  <w:r>
                    <w:rPr>
                      <w:rFonts w:hint="eastAsia"/>
                      <w:color w:val="auto"/>
                      <w:kern w:val="0"/>
                      <w:sz w:val="21"/>
                      <w:szCs w:val="21"/>
                      <w:lang w:val="en-US" w:eastAsia="zh-CN" w:bidi="ar"/>
                    </w:rPr>
                    <w:t>台</w:t>
                  </w:r>
                </w:p>
              </w:tc>
            </w:tr>
            <w:tr w14:paraId="5D9FFDB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706AB42C">
                  <w:pPr>
                    <w:pStyle w:val="144"/>
                    <w:rPr>
                      <w:rFonts w:hint="eastAsia"/>
                      <w:color w:val="auto"/>
                      <w:lang w:val="en-US" w:eastAsia="zh-CN"/>
                    </w:rPr>
                  </w:pPr>
                </w:p>
              </w:tc>
              <w:tc>
                <w:tcPr>
                  <w:tcW w:w="1466" w:type="pct"/>
                  <w:noWrap w:val="0"/>
                  <w:vAlign w:val="top"/>
                </w:tcPr>
                <w:p w14:paraId="66B3157E">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自动攻牙机</w:t>
                  </w:r>
                </w:p>
              </w:tc>
              <w:tc>
                <w:tcPr>
                  <w:tcW w:w="558" w:type="pct"/>
                  <w:noWrap w:val="0"/>
                  <w:vAlign w:val="center"/>
                </w:tcPr>
                <w:p w14:paraId="53614181">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7457A6C5">
                  <w:pPr>
                    <w:jc w:val="center"/>
                    <w:textAlignment w:val="center"/>
                    <w:rPr>
                      <w:rFonts w:hint="default" w:ascii="Times New Roman" w:hAnsi="Times New Roman" w:cs="Times New Roman"/>
                      <w:color w:val="auto"/>
                    </w:rPr>
                  </w:pPr>
                  <w:r>
                    <w:rPr>
                      <w:rFonts w:hint="default" w:ascii="Times New Roman" w:hAnsi="Times New Roman" w:cs="Times New Roman"/>
                      <w:color w:val="auto"/>
                    </w:rPr>
                    <w:t>/</w:t>
                  </w:r>
                </w:p>
              </w:tc>
              <w:tc>
                <w:tcPr>
                  <w:tcW w:w="749" w:type="pct"/>
                  <w:tcBorders>
                    <w:right w:val="nil"/>
                  </w:tcBorders>
                  <w:noWrap w:val="0"/>
                  <w:vAlign w:val="top"/>
                </w:tcPr>
                <w:p w14:paraId="0D02AB21">
                  <w:pPr>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r>
                    <w:rPr>
                      <w:rFonts w:hint="eastAsia"/>
                      <w:color w:val="auto"/>
                      <w:kern w:val="0"/>
                      <w:sz w:val="21"/>
                      <w:szCs w:val="21"/>
                      <w:lang w:val="en-US" w:eastAsia="zh-CN" w:bidi="ar"/>
                    </w:rPr>
                    <w:t>台</w:t>
                  </w:r>
                </w:p>
              </w:tc>
              <w:tc>
                <w:tcPr>
                  <w:tcW w:w="670" w:type="pct"/>
                  <w:tcBorders>
                    <w:right w:val="nil"/>
                  </w:tcBorders>
                  <w:noWrap w:val="0"/>
                  <w:vAlign w:val="center"/>
                </w:tcPr>
                <w:p w14:paraId="4FEFE960">
                  <w:pPr>
                    <w:jc w:val="center"/>
                    <w:rPr>
                      <w:rFonts w:hint="default" w:cs="Times New Roman"/>
                      <w:color w:val="auto"/>
                      <w:szCs w:val="21"/>
                      <w:lang w:val="en-US" w:eastAsia="zh-CN"/>
                    </w:rPr>
                  </w:pPr>
                  <w:r>
                    <w:rPr>
                      <w:rFonts w:hint="eastAsia" w:cs="Times New Roman"/>
                      <w:color w:val="auto"/>
                      <w:szCs w:val="21"/>
                      <w:lang w:val="en-US" w:eastAsia="zh-CN"/>
                    </w:rPr>
                    <w:t>+2</w:t>
                  </w:r>
                  <w:r>
                    <w:rPr>
                      <w:rFonts w:hint="eastAsia"/>
                      <w:color w:val="auto"/>
                      <w:kern w:val="0"/>
                      <w:sz w:val="21"/>
                      <w:szCs w:val="21"/>
                      <w:lang w:val="en-US" w:eastAsia="zh-CN" w:bidi="ar"/>
                    </w:rPr>
                    <w:t>台</w:t>
                  </w:r>
                </w:p>
              </w:tc>
            </w:tr>
            <w:tr w14:paraId="6F18CC5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08EEB026">
                  <w:pPr>
                    <w:pStyle w:val="144"/>
                    <w:rPr>
                      <w:rFonts w:hint="eastAsia"/>
                      <w:color w:val="auto"/>
                      <w:lang w:val="en-US" w:eastAsia="zh-CN"/>
                    </w:rPr>
                  </w:pPr>
                </w:p>
              </w:tc>
              <w:tc>
                <w:tcPr>
                  <w:tcW w:w="1466" w:type="pct"/>
                  <w:noWrap w:val="0"/>
                  <w:vAlign w:val="top"/>
                </w:tcPr>
                <w:p w14:paraId="5CC8E363">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点焊机</w:t>
                  </w:r>
                </w:p>
              </w:tc>
              <w:tc>
                <w:tcPr>
                  <w:tcW w:w="558" w:type="pct"/>
                  <w:noWrap w:val="0"/>
                  <w:vAlign w:val="center"/>
                </w:tcPr>
                <w:p w14:paraId="37DA3FE7">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720F46D0">
                  <w:pPr>
                    <w:jc w:val="center"/>
                    <w:textAlignment w:val="center"/>
                    <w:rPr>
                      <w:rFonts w:hint="default" w:ascii="Times New Roman" w:hAnsi="Times New Roman" w:cs="Times New Roman"/>
                      <w:color w:val="auto"/>
                    </w:rPr>
                  </w:pPr>
                  <w:r>
                    <w:rPr>
                      <w:rFonts w:hint="default" w:ascii="Times New Roman" w:hAnsi="Times New Roman" w:cs="Times New Roman"/>
                      <w:color w:val="auto"/>
                    </w:rPr>
                    <w:t>/</w:t>
                  </w:r>
                </w:p>
              </w:tc>
              <w:tc>
                <w:tcPr>
                  <w:tcW w:w="749" w:type="pct"/>
                  <w:tcBorders>
                    <w:right w:val="nil"/>
                  </w:tcBorders>
                  <w:noWrap w:val="0"/>
                  <w:vAlign w:val="top"/>
                </w:tcPr>
                <w:p w14:paraId="14301691">
                  <w:pPr>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r>
                    <w:rPr>
                      <w:rFonts w:hint="eastAsia"/>
                      <w:color w:val="auto"/>
                      <w:kern w:val="0"/>
                      <w:sz w:val="21"/>
                      <w:szCs w:val="21"/>
                      <w:lang w:val="en-US" w:eastAsia="zh-CN" w:bidi="ar"/>
                    </w:rPr>
                    <w:t>台</w:t>
                  </w:r>
                </w:p>
              </w:tc>
              <w:tc>
                <w:tcPr>
                  <w:tcW w:w="670" w:type="pct"/>
                  <w:tcBorders>
                    <w:right w:val="nil"/>
                  </w:tcBorders>
                  <w:noWrap w:val="0"/>
                  <w:vAlign w:val="center"/>
                </w:tcPr>
                <w:p w14:paraId="7269B9AD">
                  <w:pPr>
                    <w:jc w:val="center"/>
                    <w:rPr>
                      <w:rFonts w:hint="default" w:cs="Times New Roman"/>
                      <w:color w:val="auto"/>
                      <w:szCs w:val="21"/>
                      <w:lang w:val="en-US" w:eastAsia="zh-CN"/>
                    </w:rPr>
                  </w:pPr>
                  <w:r>
                    <w:rPr>
                      <w:rFonts w:hint="eastAsia" w:cs="Times New Roman"/>
                      <w:color w:val="auto"/>
                      <w:szCs w:val="21"/>
                      <w:lang w:val="en-US" w:eastAsia="zh-CN"/>
                    </w:rPr>
                    <w:t>+2</w:t>
                  </w:r>
                  <w:r>
                    <w:rPr>
                      <w:rFonts w:hint="eastAsia"/>
                      <w:color w:val="auto"/>
                      <w:kern w:val="0"/>
                      <w:sz w:val="21"/>
                      <w:szCs w:val="21"/>
                      <w:lang w:val="en-US" w:eastAsia="zh-CN" w:bidi="ar"/>
                    </w:rPr>
                    <w:t>台</w:t>
                  </w:r>
                </w:p>
              </w:tc>
            </w:tr>
            <w:tr w14:paraId="165890E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pct"/>
                  <w:vMerge w:val="continue"/>
                  <w:tcBorders>
                    <w:left w:val="nil"/>
                  </w:tcBorders>
                  <w:noWrap w:val="0"/>
                  <w:vAlign w:val="center"/>
                </w:tcPr>
                <w:p w14:paraId="7952428E">
                  <w:pPr>
                    <w:pStyle w:val="144"/>
                    <w:rPr>
                      <w:rFonts w:hint="eastAsia"/>
                      <w:color w:val="auto"/>
                      <w:lang w:val="en-US" w:eastAsia="zh-CN"/>
                    </w:rPr>
                  </w:pPr>
                </w:p>
              </w:tc>
              <w:tc>
                <w:tcPr>
                  <w:tcW w:w="1466" w:type="pct"/>
                  <w:noWrap w:val="0"/>
                  <w:vAlign w:val="top"/>
                </w:tcPr>
                <w:p w14:paraId="59786D7A">
                  <w:pPr>
                    <w:jc w:val="center"/>
                    <w:rPr>
                      <w:rFonts w:hint="eastAsia" w:ascii="Calibri" w:hAnsi="Calibri" w:eastAsia="宋体" w:cs="Times New Roman"/>
                      <w:color w:val="auto"/>
                      <w:szCs w:val="21"/>
                      <w:lang w:val="en-US" w:eastAsia="zh-CN"/>
                    </w:rPr>
                  </w:pPr>
                  <w:r>
                    <w:rPr>
                      <w:rFonts w:hint="eastAsia" w:ascii="Calibri" w:hAnsi="Calibri" w:eastAsia="宋体" w:cs="Times New Roman"/>
                      <w:color w:val="auto"/>
                      <w:szCs w:val="21"/>
                      <w:lang w:val="en-US" w:eastAsia="zh-CN"/>
                    </w:rPr>
                    <w:t>空压机</w:t>
                  </w:r>
                </w:p>
              </w:tc>
              <w:tc>
                <w:tcPr>
                  <w:tcW w:w="558" w:type="pct"/>
                  <w:noWrap w:val="0"/>
                  <w:vAlign w:val="center"/>
                </w:tcPr>
                <w:p w14:paraId="6747246E">
                  <w:pPr>
                    <w:pStyle w:val="144"/>
                    <w:rPr>
                      <w:rFonts w:hint="eastAsia"/>
                      <w:color w:val="auto"/>
                      <w:kern w:val="0"/>
                      <w:sz w:val="21"/>
                      <w:szCs w:val="21"/>
                      <w:lang w:val="en-US" w:eastAsia="zh-CN" w:bidi="ar"/>
                    </w:rPr>
                  </w:pPr>
                  <w:r>
                    <w:rPr>
                      <w:rFonts w:hint="eastAsia"/>
                      <w:color w:val="auto"/>
                      <w:kern w:val="0"/>
                      <w:sz w:val="21"/>
                      <w:szCs w:val="21"/>
                      <w:lang w:val="en-US" w:eastAsia="zh-CN" w:bidi="ar"/>
                    </w:rPr>
                    <w:t>/</w:t>
                  </w:r>
                </w:p>
              </w:tc>
              <w:tc>
                <w:tcPr>
                  <w:tcW w:w="756" w:type="pct"/>
                  <w:noWrap w:val="0"/>
                  <w:vAlign w:val="center"/>
                </w:tcPr>
                <w:p w14:paraId="1A35161C">
                  <w:pPr>
                    <w:jc w:val="center"/>
                    <w:textAlignment w:val="center"/>
                    <w:rPr>
                      <w:rFonts w:hint="default" w:ascii="Times New Roman" w:hAnsi="Times New Roman" w:cs="Times New Roman"/>
                      <w:color w:val="auto"/>
                    </w:rPr>
                  </w:pPr>
                  <w:r>
                    <w:rPr>
                      <w:rFonts w:hint="default" w:ascii="Times New Roman" w:hAnsi="Times New Roman" w:cs="Times New Roman"/>
                      <w:color w:val="auto"/>
                    </w:rPr>
                    <w:t>/</w:t>
                  </w:r>
                </w:p>
              </w:tc>
              <w:tc>
                <w:tcPr>
                  <w:tcW w:w="749" w:type="pct"/>
                  <w:tcBorders>
                    <w:right w:val="nil"/>
                  </w:tcBorders>
                  <w:noWrap w:val="0"/>
                  <w:vAlign w:val="top"/>
                </w:tcPr>
                <w:p w14:paraId="3761D4FC">
                  <w:pPr>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r>
                    <w:rPr>
                      <w:rFonts w:hint="eastAsia"/>
                      <w:color w:val="auto"/>
                      <w:kern w:val="0"/>
                      <w:sz w:val="21"/>
                      <w:szCs w:val="21"/>
                      <w:lang w:val="en-US" w:eastAsia="zh-CN" w:bidi="ar"/>
                    </w:rPr>
                    <w:t>台</w:t>
                  </w:r>
                </w:p>
              </w:tc>
              <w:tc>
                <w:tcPr>
                  <w:tcW w:w="670" w:type="pct"/>
                  <w:tcBorders>
                    <w:right w:val="nil"/>
                  </w:tcBorders>
                  <w:noWrap w:val="0"/>
                  <w:vAlign w:val="center"/>
                </w:tcPr>
                <w:p w14:paraId="150440A6">
                  <w:pPr>
                    <w:jc w:val="center"/>
                    <w:rPr>
                      <w:rFonts w:hint="default" w:cs="Times New Roman"/>
                      <w:color w:val="auto"/>
                      <w:szCs w:val="21"/>
                      <w:lang w:val="en-US" w:eastAsia="zh-CN"/>
                    </w:rPr>
                  </w:pPr>
                  <w:r>
                    <w:rPr>
                      <w:rFonts w:hint="eastAsia" w:cs="Times New Roman"/>
                      <w:color w:val="auto"/>
                      <w:szCs w:val="21"/>
                      <w:lang w:val="en-US" w:eastAsia="zh-CN"/>
                    </w:rPr>
                    <w:t>+2</w:t>
                  </w:r>
                  <w:r>
                    <w:rPr>
                      <w:rFonts w:hint="eastAsia"/>
                      <w:color w:val="auto"/>
                      <w:kern w:val="0"/>
                      <w:sz w:val="21"/>
                      <w:szCs w:val="21"/>
                      <w:lang w:val="en-US" w:eastAsia="zh-CN" w:bidi="ar"/>
                    </w:rPr>
                    <w:t>台</w:t>
                  </w:r>
                </w:p>
              </w:tc>
            </w:tr>
          </w:tbl>
          <w:p w14:paraId="3ACCC2CC">
            <w:pPr>
              <w:pStyle w:val="4"/>
              <w:spacing w:after="0"/>
              <w:rPr>
                <w:rFonts w:ascii="Times New Roman" w:hAnsi="Times New Roman" w:eastAsia="宋体" w:cs="Times New Roman"/>
                <w:b/>
                <w:bCs/>
                <w:color w:val="auto"/>
                <w:sz w:val="24"/>
              </w:rPr>
            </w:pPr>
            <w:r>
              <w:rPr>
                <w:rFonts w:ascii="Times New Roman" w:hAnsi="Times New Roman" w:eastAsia="宋体" w:cs="Times New Roman"/>
                <w:b/>
                <w:bCs/>
                <w:color w:val="auto"/>
                <w:sz w:val="24"/>
              </w:rPr>
              <w:t>2.</w:t>
            </w:r>
            <w:r>
              <w:rPr>
                <w:rFonts w:hint="default" w:ascii="Times New Roman" w:hAnsi="Times New Roman" w:eastAsia="宋体" w:cs="Times New Roman"/>
                <w:b/>
                <w:bCs/>
                <w:color w:val="auto"/>
                <w:sz w:val="24"/>
                <w:lang w:eastAsia="zh-CN"/>
              </w:rPr>
              <w:t>3</w:t>
            </w:r>
            <w:r>
              <w:rPr>
                <w:rFonts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5</w:t>
            </w:r>
            <w:r>
              <w:rPr>
                <w:rFonts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rPr>
              <w:t>主要原辅材料</w:t>
            </w:r>
          </w:p>
          <w:p w14:paraId="085FE4AE">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zh-CN" w:eastAsia="zh-CN"/>
              </w:rPr>
              <w:t>表</w:t>
            </w:r>
            <w:r>
              <w:rPr>
                <w:rFonts w:hint="default" w:ascii="Times New Roman" w:hAnsi="Times New Roman" w:cs="Times New Roman"/>
                <w:color w:val="auto"/>
                <w:lang w:val="zh-CN" w:eastAsia="zh-CN"/>
              </w:rPr>
              <w:t>2</w:t>
            </w:r>
            <w:r>
              <w:rPr>
                <w:rFonts w:hint="eastAsia" w:ascii="Times New Roman" w:hAnsi="Times New Roman" w:cs="Times New Roman"/>
                <w:color w:val="auto"/>
                <w:lang w:val="zh-CN" w:eastAsia="zh-CN"/>
              </w:rPr>
              <w:t>-</w:t>
            </w:r>
            <w:r>
              <w:rPr>
                <w:rFonts w:hint="eastAsia" w:ascii="Times New Roman" w:hAnsi="Times New Roman" w:cs="Times New Roman"/>
                <w:color w:val="auto"/>
                <w:lang w:val="en-US" w:eastAsia="zh-CN"/>
              </w:rPr>
              <w:t>6</w:t>
            </w:r>
            <w:r>
              <w:rPr>
                <w:rFonts w:hint="eastAsia" w:ascii="Times New Roman" w:hAnsi="Times New Roman" w:cs="Times New Roman"/>
                <w:color w:val="auto"/>
                <w:lang w:val="zh-CN" w:eastAsia="zh-CN"/>
              </w:rPr>
              <w:t xml:space="preserve"> </w:t>
            </w:r>
            <w:r>
              <w:rPr>
                <w:rFonts w:hint="default" w:ascii="Times New Roman" w:hAnsi="Times New Roman" w:cs="Times New Roman"/>
                <w:color w:val="auto"/>
                <w:lang w:val="zh-CN" w:eastAsia="zh-CN"/>
              </w:rPr>
              <w:t xml:space="preserve"> </w:t>
            </w:r>
            <w:r>
              <w:rPr>
                <w:rFonts w:hint="eastAsia" w:ascii="Times New Roman" w:hAnsi="Times New Roman" w:cs="Times New Roman"/>
                <w:color w:val="auto"/>
                <w:lang w:val="en-US" w:eastAsia="zh-CN"/>
              </w:rPr>
              <w:t>全厂原辅材料一览表</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366"/>
              <w:gridCol w:w="1537"/>
              <w:gridCol w:w="1538"/>
              <w:gridCol w:w="1737"/>
              <w:gridCol w:w="1313"/>
              <w:gridCol w:w="1137"/>
              <w:gridCol w:w="1761"/>
              <w:gridCol w:w="1171"/>
            </w:tblGrid>
            <w:tr w14:paraId="2954B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trPr>
              <w:tc>
                <w:tcPr>
                  <w:tcW w:w="1052" w:type="pct"/>
                  <w:gridSpan w:val="2"/>
                  <w:tcBorders>
                    <w:tl2br w:val="nil"/>
                    <w:tr2bl w:val="nil"/>
                  </w:tcBorders>
                  <w:noWrap/>
                  <w:vAlign w:val="center"/>
                </w:tcPr>
                <w:p w14:paraId="47653BEF">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595" w:type="pct"/>
                  <w:tcBorders>
                    <w:tl2br w:val="nil"/>
                    <w:tr2bl w:val="nil"/>
                  </w:tcBorders>
                  <w:noWrap/>
                  <w:vAlign w:val="center"/>
                </w:tcPr>
                <w:p w14:paraId="41508517">
                  <w:pPr>
                    <w:spacing w:beforeLines="0" w:line="240" w:lineRule="auto"/>
                    <w:jc w:val="center"/>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现有工程</w:t>
                  </w:r>
                  <w:r>
                    <w:rPr>
                      <w:rFonts w:hint="default" w:ascii="Times New Roman" w:hAnsi="Times New Roman" w:eastAsia="宋体" w:cs="Times New Roman"/>
                      <w:b/>
                      <w:color w:val="auto"/>
                      <w:sz w:val="21"/>
                      <w:szCs w:val="21"/>
                    </w:rPr>
                    <w:t>用量</w:t>
                  </w:r>
                </w:p>
              </w:tc>
              <w:tc>
                <w:tcPr>
                  <w:tcW w:w="595" w:type="pct"/>
                  <w:tcBorders>
                    <w:tl2br w:val="nil"/>
                    <w:tr2bl w:val="nil"/>
                  </w:tcBorders>
                  <w:noWrap/>
                  <w:vAlign w:val="center"/>
                </w:tcPr>
                <w:p w14:paraId="416B05CE">
                  <w:pPr>
                    <w:adjustRightInd w:val="0"/>
                    <w:snapToGrid w:val="0"/>
                    <w:spacing w:line="240" w:lineRule="auto"/>
                    <w:jc w:val="center"/>
                    <w:rPr>
                      <w:rFonts w:hint="eastAsia" w:cs="Times New Roman"/>
                      <w:b/>
                      <w:color w:val="auto"/>
                      <w:sz w:val="21"/>
                      <w:szCs w:val="21"/>
                      <w:lang w:val="en-US" w:eastAsia="zh-CN"/>
                    </w:rPr>
                  </w:pPr>
                  <w:r>
                    <w:rPr>
                      <w:rFonts w:hint="eastAsia"/>
                      <w:b/>
                      <w:bCs/>
                      <w:color w:val="auto"/>
                      <w:sz w:val="21"/>
                      <w:szCs w:val="21"/>
                      <w:lang w:val="en-US" w:eastAsia="zh-CN"/>
                    </w:rPr>
                    <w:t>扩建</w:t>
                  </w:r>
                  <w:r>
                    <w:rPr>
                      <w:rFonts w:hint="eastAsia" w:ascii="Times New Roman" w:hAnsi="Times New Roman" w:eastAsia="宋体"/>
                      <w:b/>
                      <w:bCs/>
                      <w:color w:val="auto"/>
                      <w:sz w:val="21"/>
                      <w:szCs w:val="21"/>
                      <w:lang w:val="en-US" w:eastAsia="zh-CN"/>
                    </w:rPr>
                    <w:t>工程</w:t>
                  </w:r>
                  <w:r>
                    <w:rPr>
                      <w:rFonts w:hint="default" w:ascii="Times New Roman" w:hAnsi="Times New Roman" w:eastAsia="宋体" w:cs="Times New Roman"/>
                      <w:b/>
                      <w:color w:val="auto"/>
                      <w:sz w:val="21"/>
                      <w:szCs w:val="21"/>
                    </w:rPr>
                    <w:t>用量</w:t>
                  </w:r>
                </w:p>
              </w:tc>
              <w:tc>
                <w:tcPr>
                  <w:tcW w:w="672" w:type="pct"/>
                  <w:tcBorders>
                    <w:tl2br w:val="nil"/>
                    <w:tr2bl w:val="nil"/>
                  </w:tcBorders>
                  <w:noWrap/>
                  <w:vAlign w:val="center"/>
                </w:tcPr>
                <w:p w14:paraId="06212FA6">
                  <w:pPr>
                    <w:adjustRightInd w:val="0"/>
                    <w:snapToGrid w:val="0"/>
                    <w:spacing w:line="240" w:lineRule="auto"/>
                    <w:jc w:val="center"/>
                    <w:rPr>
                      <w:rFonts w:hint="eastAsia" w:cs="Times New Roman"/>
                      <w:b/>
                      <w:color w:val="auto"/>
                      <w:sz w:val="21"/>
                      <w:szCs w:val="21"/>
                      <w:lang w:val="en-US" w:eastAsia="zh-CN"/>
                    </w:rPr>
                  </w:pPr>
                  <w:r>
                    <w:rPr>
                      <w:rFonts w:hint="eastAsia"/>
                      <w:b/>
                      <w:bCs/>
                      <w:color w:val="auto"/>
                      <w:sz w:val="21"/>
                      <w:szCs w:val="21"/>
                      <w:lang w:val="en-US" w:eastAsia="zh-CN"/>
                    </w:rPr>
                    <w:t>扩建后全厂</w:t>
                  </w:r>
                  <w:r>
                    <w:rPr>
                      <w:rFonts w:hint="default" w:ascii="Times New Roman" w:hAnsi="Times New Roman" w:eastAsia="宋体" w:cs="Times New Roman"/>
                      <w:b/>
                      <w:color w:val="auto"/>
                      <w:sz w:val="21"/>
                      <w:szCs w:val="21"/>
                    </w:rPr>
                    <w:t>用量</w:t>
                  </w:r>
                </w:p>
              </w:tc>
              <w:tc>
                <w:tcPr>
                  <w:tcW w:w="508" w:type="pct"/>
                  <w:tcBorders>
                    <w:tl2br w:val="nil"/>
                    <w:tr2bl w:val="nil"/>
                  </w:tcBorders>
                  <w:noWrap/>
                  <w:vAlign w:val="center"/>
                </w:tcPr>
                <w:p w14:paraId="47FED4B6">
                  <w:pPr>
                    <w:spacing w:beforeLines="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最大储存量</w:t>
                  </w:r>
                </w:p>
              </w:tc>
              <w:tc>
                <w:tcPr>
                  <w:tcW w:w="440" w:type="pct"/>
                  <w:tcBorders>
                    <w:tl2br w:val="nil"/>
                    <w:tr2bl w:val="nil"/>
                  </w:tcBorders>
                  <w:noWrap/>
                  <w:vAlign w:val="center"/>
                </w:tcPr>
                <w:p w14:paraId="299BD441">
                  <w:pPr>
                    <w:spacing w:beforeLines="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物料形态</w:t>
                  </w:r>
                </w:p>
              </w:tc>
              <w:tc>
                <w:tcPr>
                  <w:tcW w:w="681" w:type="pct"/>
                  <w:tcBorders>
                    <w:tl2br w:val="nil"/>
                    <w:tr2bl w:val="nil"/>
                  </w:tcBorders>
                  <w:noWrap/>
                  <w:vAlign w:val="center"/>
                </w:tcPr>
                <w:p w14:paraId="7A72177A">
                  <w:pPr>
                    <w:spacing w:beforeLines="0" w:line="240" w:lineRule="auto"/>
                    <w:jc w:val="center"/>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包装方式及规格</w:t>
                  </w:r>
                </w:p>
              </w:tc>
              <w:tc>
                <w:tcPr>
                  <w:tcW w:w="453" w:type="pct"/>
                  <w:tcBorders>
                    <w:tl2br w:val="nil"/>
                    <w:tr2bl w:val="nil"/>
                  </w:tcBorders>
                  <w:noWrap/>
                  <w:vAlign w:val="center"/>
                </w:tcPr>
                <w:p w14:paraId="59D7A2CB">
                  <w:pPr>
                    <w:spacing w:beforeLines="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储存位置</w:t>
                  </w:r>
                </w:p>
              </w:tc>
            </w:tr>
            <w:tr w14:paraId="0294D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9"/>
                  <w:tcBorders>
                    <w:tl2br w:val="nil"/>
                    <w:tr2bl w:val="nil"/>
                  </w:tcBorders>
                  <w:noWrap/>
                  <w:vAlign w:val="center"/>
                </w:tcPr>
                <w:p w14:paraId="741F71CB">
                  <w:pPr>
                    <w:spacing w:beforeLines="0" w:line="240" w:lineRule="auto"/>
                    <w:jc w:val="left"/>
                    <w:rPr>
                      <w:rFonts w:hint="eastAsia" w:cs="Times New Roman"/>
                      <w:color w:val="auto"/>
                      <w:lang w:val="en-US" w:eastAsia="zh-CN"/>
                    </w:rPr>
                  </w:pPr>
                  <w:r>
                    <w:rPr>
                      <w:rFonts w:hint="eastAsia" w:cs="Times New Roman"/>
                      <w:color w:val="auto"/>
                      <w:lang w:val="en-US" w:eastAsia="zh-CN"/>
                    </w:rPr>
                    <w:t>一、</w:t>
                  </w:r>
                  <w:r>
                    <w:rPr>
                      <w:rFonts w:hint="default" w:ascii="Times New Roman" w:hAnsi="Times New Roman" w:cs="Times New Roman"/>
                      <w:color w:val="auto"/>
                      <w:lang w:eastAsia="zh-CN"/>
                    </w:rPr>
                    <w:t>主要原辅料材料</w:t>
                  </w:r>
                </w:p>
              </w:tc>
            </w:tr>
            <w:tr w14:paraId="5654B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restart"/>
                  <w:tcBorders>
                    <w:tl2br w:val="nil"/>
                    <w:tr2bl w:val="nil"/>
                  </w:tcBorders>
                  <w:noWrap/>
                  <w:vAlign w:val="center"/>
                </w:tcPr>
                <w:p w14:paraId="7A77167D">
                  <w:pPr>
                    <w:spacing w:line="240" w:lineRule="auto"/>
                    <w:jc w:val="center"/>
                    <w:rPr>
                      <w:rFonts w:hint="default" w:ascii="Times New Roman" w:hAnsi="Times New Roman" w:eastAsia="宋体" w:cs="Times New Roman"/>
                      <w:bCs/>
                      <w:color w:val="auto"/>
                      <w:sz w:val="21"/>
                      <w:szCs w:val="21"/>
                    </w:rPr>
                  </w:pPr>
                  <w:r>
                    <w:rPr>
                      <w:rFonts w:hint="eastAsia" w:cs="Times New Roman"/>
                      <w:bCs/>
                      <w:color w:val="auto"/>
                      <w:szCs w:val="21"/>
                      <w:lang w:val="en-US" w:eastAsia="zh-CN"/>
                    </w:rPr>
                    <w:t>特种玻璃</w:t>
                  </w:r>
                </w:p>
              </w:tc>
              <w:tc>
                <w:tcPr>
                  <w:tcW w:w="529" w:type="pct"/>
                  <w:tcBorders>
                    <w:tl2br w:val="nil"/>
                    <w:tr2bl w:val="nil"/>
                  </w:tcBorders>
                  <w:noWrap/>
                  <w:vAlign w:val="center"/>
                </w:tcPr>
                <w:p w14:paraId="768459C5">
                  <w:pPr>
                    <w:keepNext w:val="0"/>
                    <w:keepLines w:val="0"/>
                    <w:widowControl/>
                    <w:suppressLineNumbers w:val="0"/>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ascii="宋体" w:hAnsi="宋体" w:eastAsia="宋体" w:cs="宋体"/>
                      <w:color w:val="auto"/>
                      <w:kern w:val="0"/>
                      <w:sz w:val="20"/>
                      <w:szCs w:val="20"/>
                      <w:lang w:val="en-US" w:eastAsia="zh-CN" w:bidi="ar"/>
                    </w:rPr>
                    <w:t>硼硅原片</w:t>
                  </w:r>
                </w:p>
              </w:tc>
              <w:tc>
                <w:tcPr>
                  <w:tcW w:w="595" w:type="pct"/>
                  <w:tcBorders>
                    <w:tl2br w:val="nil"/>
                    <w:tr2bl w:val="nil"/>
                  </w:tcBorders>
                  <w:noWrap/>
                  <w:vAlign w:val="center"/>
                </w:tcPr>
                <w:p w14:paraId="728D7B89">
                  <w:pPr>
                    <w:spacing w:line="240" w:lineRule="auto"/>
                    <w:jc w:val="center"/>
                    <w:rPr>
                      <w:rFonts w:hint="eastAsia" w:cs="Times New Roman"/>
                      <w:bCs/>
                      <w:color w:val="auto"/>
                      <w:sz w:val="21"/>
                      <w:szCs w:val="21"/>
                      <w:lang w:val="en-US" w:eastAsia="zh-CN"/>
                    </w:rPr>
                  </w:pPr>
                  <w:r>
                    <w:rPr>
                      <w:rFonts w:hint="eastAsia"/>
                      <w:color w:val="auto"/>
                      <w:sz w:val="21"/>
                      <w:szCs w:val="21"/>
                    </w:rPr>
                    <w:t>400000</w:t>
                  </w:r>
                  <w:r>
                    <w:rPr>
                      <w:rFonts w:hint="eastAsia"/>
                      <w:color w:val="auto"/>
                      <w:sz w:val="21"/>
                      <w:szCs w:val="21"/>
                      <w:lang w:val="en-US" w:eastAsia="zh-CN"/>
                    </w:rPr>
                    <w:t>m</w:t>
                  </w:r>
                  <w:r>
                    <w:rPr>
                      <w:rFonts w:hint="eastAsia"/>
                      <w:color w:val="auto"/>
                      <w:sz w:val="21"/>
                      <w:szCs w:val="21"/>
                      <w:vertAlign w:val="superscript"/>
                      <w:lang w:val="en-US" w:eastAsia="zh-CN"/>
                    </w:rPr>
                    <w:t>2</w:t>
                  </w:r>
                  <w:r>
                    <w:rPr>
                      <w:color w:val="auto"/>
                      <w:sz w:val="21"/>
                      <w:szCs w:val="21"/>
                    </w:rPr>
                    <w:t>/a</w:t>
                  </w:r>
                </w:p>
              </w:tc>
              <w:tc>
                <w:tcPr>
                  <w:tcW w:w="595" w:type="pct"/>
                  <w:tcBorders>
                    <w:tl2br w:val="nil"/>
                    <w:tr2bl w:val="nil"/>
                  </w:tcBorders>
                  <w:noWrap/>
                  <w:vAlign w:val="center"/>
                </w:tcPr>
                <w:p w14:paraId="3E1B520E">
                  <w:pPr>
                    <w:spacing w:line="240" w:lineRule="auto"/>
                    <w:jc w:val="center"/>
                    <w:rPr>
                      <w:rFonts w:hint="eastAsia"/>
                      <w:color w:val="auto"/>
                      <w:sz w:val="21"/>
                      <w:szCs w:val="21"/>
                    </w:rPr>
                  </w:pPr>
                  <w:r>
                    <w:rPr>
                      <w:rFonts w:hint="eastAsia" w:cs="Times New Roman"/>
                      <w:bCs/>
                      <w:color w:val="auto"/>
                      <w:sz w:val="21"/>
                      <w:szCs w:val="21"/>
                      <w:lang w:val="en-US" w:eastAsia="zh-CN"/>
                    </w:rPr>
                    <w:t>/</w:t>
                  </w:r>
                </w:p>
              </w:tc>
              <w:tc>
                <w:tcPr>
                  <w:tcW w:w="672" w:type="pct"/>
                  <w:tcBorders>
                    <w:tl2br w:val="nil"/>
                    <w:tr2bl w:val="nil"/>
                  </w:tcBorders>
                  <w:noWrap/>
                  <w:vAlign w:val="center"/>
                </w:tcPr>
                <w:p w14:paraId="20737456">
                  <w:pPr>
                    <w:spacing w:line="240" w:lineRule="auto"/>
                    <w:jc w:val="center"/>
                    <w:rPr>
                      <w:rFonts w:hint="eastAsia"/>
                      <w:color w:val="auto"/>
                      <w:sz w:val="21"/>
                      <w:szCs w:val="21"/>
                    </w:rPr>
                  </w:pPr>
                  <w:r>
                    <w:rPr>
                      <w:rFonts w:hint="eastAsia"/>
                      <w:color w:val="auto"/>
                      <w:sz w:val="21"/>
                      <w:szCs w:val="21"/>
                    </w:rPr>
                    <w:t>400000</w:t>
                  </w:r>
                  <w:r>
                    <w:rPr>
                      <w:rFonts w:hint="eastAsia"/>
                      <w:color w:val="auto"/>
                      <w:sz w:val="21"/>
                      <w:szCs w:val="21"/>
                      <w:lang w:val="en-US" w:eastAsia="zh-CN"/>
                    </w:rPr>
                    <w:t>m</w:t>
                  </w:r>
                  <w:r>
                    <w:rPr>
                      <w:rFonts w:hint="eastAsia"/>
                      <w:color w:val="auto"/>
                      <w:sz w:val="21"/>
                      <w:szCs w:val="21"/>
                      <w:vertAlign w:val="superscript"/>
                      <w:lang w:val="en-US" w:eastAsia="zh-CN"/>
                    </w:rPr>
                    <w:t>2</w:t>
                  </w:r>
                  <w:r>
                    <w:rPr>
                      <w:color w:val="auto"/>
                      <w:sz w:val="21"/>
                      <w:szCs w:val="21"/>
                    </w:rPr>
                    <w:t>/a</w:t>
                  </w:r>
                </w:p>
              </w:tc>
              <w:tc>
                <w:tcPr>
                  <w:tcW w:w="508" w:type="pct"/>
                  <w:tcBorders>
                    <w:tl2br w:val="nil"/>
                    <w:tr2bl w:val="nil"/>
                  </w:tcBorders>
                  <w:noWrap/>
                  <w:vAlign w:val="center"/>
                </w:tcPr>
                <w:p w14:paraId="213E1EFB">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20箱</w:t>
                  </w:r>
                </w:p>
              </w:tc>
              <w:tc>
                <w:tcPr>
                  <w:tcW w:w="440" w:type="pct"/>
                  <w:tcBorders>
                    <w:tl2br w:val="nil"/>
                    <w:tr2bl w:val="nil"/>
                  </w:tcBorders>
                  <w:noWrap/>
                  <w:vAlign w:val="center"/>
                </w:tcPr>
                <w:p w14:paraId="46C4BFBF">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固态</w:t>
                  </w:r>
                </w:p>
              </w:tc>
              <w:tc>
                <w:tcPr>
                  <w:tcW w:w="681" w:type="pct"/>
                  <w:tcBorders>
                    <w:tl2br w:val="nil"/>
                    <w:tr2bl w:val="nil"/>
                  </w:tcBorders>
                  <w:noWrap/>
                  <w:vAlign w:val="center"/>
                </w:tcPr>
                <w:p w14:paraId="5CB90A05">
                  <w:pPr>
                    <w:spacing w:beforeLines="0" w:line="240" w:lineRule="auto"/>
                    <w:jc w:val="center"/>
                    <w:rPr>
                      <w:rFonts w:hint="eastAsia" w:cs="Times New Roman"/>
                      <w:bCs/>
                      <w:color w:val="auto"/>
                      <w:sz w:val="21"/>
                      <w:szCs w:val="21"/>
                      <w:lang w:val="en-US" w:eastAsia="zh-CN"/>
                    </w:rPr>
                  </w:pPr>
                  <w:r>
                    <w:rPr>
                      <w:rFonts w:hint="eastAsia" w:cs="Times New Roman"/>
                      <w:bCs/>
                      <w:color w:val="auto"/>
                      <w:sz w:val="21"/>
                      <w:szCs w:val="21"/>
                      <w:lang w:val="en-US" w:eastAsia="zh-CN"/>
                    </w:rPr>
                    <w:t>10片/箱</w:t>
                  </w:r>
                </w:p>
              </w:tc>
              <w:tc>
                <w:tcPr>
                  <w:tcW w:w="453" w:type="pct"/>
                  <w:tcBorders>
                    <w:tl2br w:val="nil"/>
                    <w:tr2bl w:val="nil"/>
                  </w:tcBorders>
                  <w:noWrap/>
                  <w:vAlign w:val="center"/>
                </w:tcPr>
                <w:p w14:paraId="443070C1">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3C3EA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14:paraId="594EE643">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5531F923">
                  <w:pPr>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color w:val="auto"/>
                      <w:sz w:val="21"/>
                      <w:szCs w:val="21"/>
                    </w:rPr>
                    <w:t>高铝原片</w:t>
                  </w:r>
                </w:p>
              </w:tc>
              <w:tc>
                <w:tcPr>
                  <w:tcW w:w="595" w:type="pct"/>
                  <w:tcBorders>
                    <w:tl2br w:val="nil"/>
                    <w:tr2bl w:val="nil"/>
                  </w:tcBorders>
                  <w:noWrap/>
                  <w:vAlign w:val="center"/>
                </w:tcPr>
                <w:p w14:paraId="1F388BFC">
                  <w:pPr>
                    <w:spacing w:line="240" w:lineRule="auto"/>
                    <w:jc w:val="center"/>
                    <w:rPr>
                      <w:rFonts w:hint="eastAsia" w:cs="Times New Roman"/>
                      <w:bCs/>
                      <w:color w:val="auto"/>
                      <w:sz w:val="21"/>
                      <w:szCs w:val="21"/>
                      <w:lang w:val="en-US" w:eastAsia="zh-CN"/>
                    </w:rPr>
                  </w:pPr>
                  <w:r>
                    <w:rPr>
                      <w:rFonts w:hint="eastAsia"/>
                      <w:color w:val="auto"/>
                      <w:sz w:val="21"/>
                      <w:szCs w:val="21"/>
                    </w:rPr>
                    <w:t>10000m</w:t>
                  </w:r>
                  <w:r>
                    <w:rPr>
                      <w:rFonts w:hint="eastAsia"/>
                      <w:color w:val="auto"/>
                      <w:sz w:val="21"/>
                      <w:szCs w:val="21"/>
                      <w:vertAlign w:val="superscript"/>
                    </w:rPr>
                    <w:t>2</w:t>
                  </w:r>
                  <w:r>
                    <w:rPr>
                      <w:color w:val="auto"/>
                      <w:sz w:val="21"/>
                      <w:szCs w:val="21"/>
                    </w:rPr>
                    <w:t>/a</w:t>
                  </w:r>
                </w:p>
              </w:tc>
              <w:tc>
                <w:tcPr>
                  <w:tcW w:w="595" w:type="pct"/>
                  <w:tcBorders>
                    <w:tl2br w:val="nil"/>
                    <w:tr2bl w:val="nil"/>
                  </w:tcBorders>
                  <w:noWrap/>
                  <w:vAlign w:val="center"/>
                </w:tcPr>
                <w:p w14:paraId="5A661B99">
                  <w:pPr>
                    <w:spacing w:line="240" w:lineRule="auto"/>
                    <w:jc w:val="center"/>
                    <w:rPr>
                      <w:rFonts w:hint="eastAsia"/>
                      <w:color w:val="auto"/>
                      <w:sz w:val="21"/>
                      <w:szCs w:val="21"/>
                    </w:rPr>
                  </w:pPr>
                  <w:r>
                    <w:rPr>
                      <w:rFonts w:hint="eastAsia" w:cs="Times New Roman"/>
                      <w:bCs/>
                      <w:color w:val="auto"/>
                      <w:sz w:val="21"/>
                      <w:szCs w:val="21"/>
                      <w:lang w:val="en-US" w:eastAsia="zh-CN"/>
                    </w:rPr>
                    <w:t>/</w:t>
                  </w:r>
                </w:p>
              </w:tc>
              <w:tc>
                <w:tcPr>
                  <w:tcW w:w="672" w:type="pct"/>
                  <w:tcBorders>
                    <w:tl2br w:val="nil"/>
                    <w:tr2bl w:val="nil"/>
                  </w:tcBorders>
                  <w:noWrap/>
                  <w:vAlign w:val="center"/>
                </w:tcPr>
                <w:p w14:paraId="6275B446">
                  <w:pPr>
                    <w:spacing w:line="240" w:lineRule="auto"/>
                    <w:jc w:val="center"/>
                    <w:rPr>
                      <w:rFonts w:hint="eastAsia"/>
                      <w:color w:val="auto"/>
                      <w:sz w:val="21"/>
                      <w:szCs w:val="21"/>
                    </w:rPr>
                  </w:pPr>
                  <w:r>
                    <w:rPr>
                      <w:rFonts w:hint="eastAsia"/>
                      <w:color w:val="auto"/>
                      <w:sz w:val="21"/>
                      <w:szCs w:val="21"/>
                    </w:rPr>
                    <w:t>10000m</w:t>
                  </w:r>
                  <w:r>
                    <w:rPr>
                      <w:rFonts w:hint="eastAsia"/>
                      <w:color w:val="auto"/>
                      <w:sz w:val="21"/>
                      <w:szCs w:val="21"/>
                      <w:vertAlign w:val="superscript"/>
                    </w:rPr>
                    <w:t>2</w:t>
                  </w:r>
                  <w:r>
                    <w:rPr>
                      <w:color w:val="auto"/>
                      <w:sz w:val="21"/>
                      <w:szCs w:val="21"/>
                    </w:rPr>
                    <w:t>/a</w:t>
                  </w:r>
                </w:p>
              </w:tc>
              <w:tc>
                <w:tcPr>
                  <w:tcW w:w="508" w:type="pct"/>
                  <w:tcBorders>
                    <w:tl2br w:val="nil"/>
                    <w:tr2bl w:val="nil"/>
                  </w:tcBorders>
                  <w:noWrap/>
                  <w:vAlign w:val="center"/>
                </w:tcPr>
                <w:p w14:paraId="5A965DB1">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20箱</w:t>
                  </w:r>
                </w:p>
              </w:tc>
              <w:tc>
                <w:tcPr>
                  <w:tcW w:w="440" w:type="pct"/>
                  <w:tcBorders>
                    <w:tl2br w:val="nil"/>
                    <w:tr2bl w:val="nil"/>
                  </w:tcBorders>
                  <w:noWrap/>
                  <w:vAlign w:val="center"/>
                </w:tcPr>
                <w:p w14:paraId="2662EE63">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固态</w:t>
                  </w:r>
                </w:p>
              </w:tc>
              <w:tc>
                <w:tcPr>
                  <w:tcW w:w="681" w:type="pct"/>
                  <w:tcBorders>
                    <w:tl2br w:val="nil"/>
                    <w:tr2bl w:val="nil"/>
                  </w:tcBorders>
                  <w:noWrap/>
                  <w:vAlign w:val="center"/>
                </w:tcPr>
                <w:p w14:paraId="29B48AE4">
                  <w:pPr>
                    <w:spacing w:beforeLines="0" w:line="240" w:lineRule="auto"/>
                    <w:jc w:val="center"/>
                    <w:rPr>
                      <w:rFonts w:hint="eastAsia" w:cs="Times New Roman"/>
                      <w:bCs/>
                      <w:color w:val="auto"/>
                      <w:sz w:val="21"/>
                      <w:szCs w:val="21"/>
                      <w:lang w:val="en-US" w:eastAsia="zh-CN"/>
                    </w:rPr>
                  </w:pPr>
                  <w:r>
                    <w:rPr>
                      <w:rFonts w:hint="eastAsia" w:cs="Times New Roman"/>
                      <w:bCs/>
                      <w:color w:val="auto"/>
                      <w:sz w:val="21"/>
                      <w:szCs w:val="21"/>
                      <w:lang w:val="en-US" w:eastAsia="zh-CN"/>
                    </w:rPr>
                    <w:t>10片/箱</w:t>
                  </w:r>
                </w:p>
              </w:tc>
              <w:tc>
                <w:tcPr>
                  <w:tcW w:w="453" w:type="pct"/>
                  <w:tcBorders>
                    <w:tl2br w:val="nil"/>
                    <w:tr2bl w:val="nil"/>
                  </w:tcBorders>
                  <w:noWrap/>
                  <w:vAlign w:val="center"/>
                </w:tcPr>
                <w:p w14:paraId="1BD60C39">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56E86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14:paraId="3B45419A">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65D0D54E">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PVB膜片</w:t>
                  </w:r>
                </w:p>
              </w:tc>
              <w:tc>
                <w:tcPr>
                  <w:tcW w:w="595" w:type="pct"/>
                  <w:tcBorders>
                    <w:tl2br w:val="nil"/>
                    <w:tr2bl w:val="nil"/>
                  </w:tcBorders>
                  <w:noWrap/>
                  <w:vAlign w:val="center"/>
                </w:tcPr>
                <w:p w14:paraId="43E3916B">
                  <w:pPr>
                    <w:spacing w:line="240" w:lineRule="auto"/>
                    <w:jc w:val="center"/>
                    <w:rPr>
                      <w:rFonts w:hint="eastAsia" w:cs="Times New Roman"/>
                      <w:bCs/>
                      <w:color w:val="auto"/>
                      <w:sz w:val="21"/>
                      <w:szCs w:val="21"/>
                      <w:lang w:val="en-US" w:eastAsia="zh-CN"/>
                    </w:rPr>
                  </w:pPr>
                  <w:r>
                    <w:rPr>
                      <w:rFonts w:hint="eastAsia"/>
                      <w:color w:val="auto"/>
                      <w:sz w:val="21"/>
                      <w:szCs w:val="21"/>
                    </w:rPr>
                    <w:t>300000m</w:t>
                  </w:r>
                  <w:r>
                    <w:rPr>
                      <w:rFonts w:hint="eastAsia"/>
                      <w:color w:val="auto"/>
                      <w:sz w:val="21"/>
                      <w:szCs w:val="21"/>
                      <w:vertAlign w:val="superscript"/>
                    </w:rPr>
                    <w:t>2</w:t>
                  </w:r>
                  <w:r>
                    <w:rPr>
                      <w:color w:val="auto"/>
                      <w:sz w:val="21"/>
                      <w:szCs w:val="21"/>
                    </w:rPr>
                    <w:t>/a</w:t>
                  </w:r>
                </w:p>
              </w:tc>
              <w:tc>
                <w:tcPr>
                  <w:tcW w:w="595" w:type="pct"/>
                  <w:tcBorders>
                    <w:tl2br w:val="nil"/>
                    <w:tr2bl w:val="nil"/>
                  </w:tcBorders>
                  <w:noWrap/>
                  <w:vAlign w:val="center"/>
                </w:tcPr>
                <w:p w14:paraId="1BFAF508">
                  <w:pPr>
                    <w:spacing w:line="240" w:lineRule="auto"/>
                    <w:jc w:val="center"/>
                    <w:rPr>
                      <w:rFonts w:hint="eastAsia"/>
                      <w:color w:val="auto"/>
                      <w:sz w:val="21"/>
                      <w:szCs w:val="21"/>
                    </w:rPr>
                  </w:pPr>
                  <w:r>
                    <w:rPr>
                      <w:rFonts w:hint="eastAsia" w:cs="Times New Roman"/>
                      <w:bCs/>
                      <w:color w:val="auto"/>
                      <w:sz w:val="21"/>
                      <w:szCs w:val="21"/>
                      <w:lang w:val="en-US" w:eastAsia="zh-CN"/>
                    </w:rPr>
                    <w:t>/</w:t>
                  </w:r>
                </w:p>
              </w:tc>
              <w:tc>
                <w:tcPr>
                  <w:tcW w:w="672" w:type="pct"/>
                  <w:tcBorders>
                    <w:tl2br w:val="nil"/>
                    <w:tr2bl w:val="nil"/>
                  </w:tcBorders>
                  <w:noWrap/>
                  <w:vAlign w:val="center"/>
                </w:tcPr>
                <w:p w14:paraId="54D99A4B">
                  <w:pPr>
                    <w:spacing w:line="240" w:lineRule="auto"/>
                    <w:jc w:val="center"/>
                    <w:rPr>
                      <w:rFonts w:hint="eastAsia"/>
                      <w:color w:val="auto"/>
                      <w:sz w:val="21"/>
                      <w:szCs w:val="21"/>
                    </w:rPr>
                  </w:pPr>
                  <w:r>
                    <w:rPr>
                      <w:rFonts w:hint="eastAsia"/>
                      <w:color w:val="auto"/>
                      <w:sz w:val="21"/>
                      <w:szCs w:val="21"/>
                    </w:rPr>
                    <w:t>300000m</w:t>
                  </w:r>
                  <w:r>
                    <w:rPr>
                      <w:rFonts w:hint="eastAsia"/>
                      <w:color w:val="auto"/>
                      <w:sz w:val="21"/>
                      <w:szCs w:val="21"/>
                      <w:vertAlign w:val="superscript"/>
                    </w:rPr>
                    <w:t>2</w:t>
                  </w:r>
                  <w:r>
                    <w:rPr>
                      <w:color w:val="auto"/>
                      <w:sz w:val="21"/>
                      <w:szCs w:val="21"/>
                    </w:rPr>
                    <w:t>/a</w:t>
                  </w:r>
                </w:p>
              </w:tc>
              <w:tc>
                <w:tcPr>
                  <w:tcW w:w="508" w:type="pct"/>
                  <w:tcBorders>
                    <w:tl2br w:val="nil"/>
                    <w:tr2bl w:val="nil"/>
                  </w:tcBorders>
                  <w:noWrap/>
                  <w:vAlign w:val="center"/>
                </w:tcPr>
                <w:p w14:paraId="5B853742">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5000m</w:t>
                  </w:r>
                </w:p>
              </w:tc>
              <w:tc>
                <w:tcPr>
                  <w:tcW w:w="440" w:type="pct"/>
                  <w:tcBorders>
                    <w:tl2br w:val="nil"/>
                    <w:tr2bl w:val="nil"/>
                  </w:tcBorders>
                  <w:noWrap/>
                  <w:vAlign w:val="center"/>
                </w:tcPr>
                <w:p w14:paraId="7A65B7CD">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固态</w:t>
                  </w:r>
                </w:p>
              </w:tc>
              <w:tc>
                <w:tcPr>
                  <w:tcW w:w="681" w:type="pct"/>
                  <w:tcBorders>
                    <w:tl2br w:val="nil"/>
                    <w:tr2bl w:val="nil"/>
                  </w:tcBorders>
                  <w:noWrap/>
                  <w:vAlign w:val="center"/>
                </w:tcPr>
                <w:p w14:paraId="4E2ED828">
                  <w:pPr>
                    <w:spacing w:beforeLines="0" w:line="240" w:lineRule="auto"/>
                    <w:jc w:val="center"/>
                    <w:rPr>
                      <w:rFonts w:hint="eastAsia" w:cs="Times New Roman"/>
                      <w:bCs/>
                      <w:color w:val="auto"/>
                      <w:sz w:val="21"/>
                      <w:szCs w:val="21"/>
                      <w:lang w:val="en-US" w:eastAsia="zh-CN"/>
                    </w:rPr>
                  </w:pPr>
                  <w:r>
                    <w:rPr>
                      <w:rFonts w:hint="eastAsia" w:cs="Times New Roman"/>
                      <w:bCs/>
                      <w:color w:val="auto"/>
                      <w:sz w:val="21"/>
                      <w:szCs w:val="21"/>
                      <w:lang w:val="en-US" w:eastAsia="zh-CN"/>
                    </w:rPr>
                    <w:t>247m/卷</w:t>
                  </w:r>
                </w:p>
              </w:tc>
              <w:tc>
                <w:tcPr>
                  <w:tcW w:w="453" w:type="pct"/>
                  <w:tcBorders>
                    <w:tl2br w:val="nil"/>
                    <w:tr2bl w:val="nil"/>
                  </w:tcBorders>
                  <w:noWrap/>
                  <w:vAlign w:val="center"/>
                </w:tcPr>
                <w:p w14:paraId="573D78BE">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6036F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14:paraId="7096718F">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2DCCAF31">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PC板</w:t>
                  </w:r>
                </w:p>
              </w:tc>
              <w:tc>
                <w:tcPr>
                  <w:tcW w:w="595" w:type="pct"/>
                  <w:tcBorders>
                    <w:tl2br w:val="nil"/>
                    <w:tr2bl w:val="nil"/>
                  </w:tcBorders>
                  <w:noWrap/>
                  <w:vAlign w:val="center"/>
                </w:tcPr>
                <w:p w14:paraId="320F310E">
                  <w:pPr>
                    <w:spacing w:line="240" w:lineRule="auto"/>
                    <w:jc w:val="center"/>
                    <w:rPr>
                      <w:rFonts w:hint="eastAsia" w:cs="Times New Roman"/>
                      <w:bCs/>
                      <w:color w:val="auto"/>
                      <w:sz w:val="21"/>
                      <w:szCs w:val="21"/>
                      <w:lang w:val="en-US" w:eastAsia="zh-CN"/>
                    </w:rPr>
                  </w:pPr>
                  <w:r>
                    <w:rPr>
                      <w:rFonts w:hint="eastAsia"/>
                      <w:color w:val="auto"/>
                      <w:sz w:val="21"/>
                      <w:szCs w:val="21"/>
                      <w:lang w:val="en-US" w:eastAsia="zh-CN"/>
                    </w:rPr>
                    <w:t>8000</w:t>
                  </w:r>
                  <w:r>
                    <w:rPr>
                      <w:rFonts w:hint="eastAsia"/>
                      <w:color w:val="auto"/>
                      <w:sz w:val="21"/>
                      <w:szCs w:val="21"/>
                    </w:rPr>
                    <w:t>m</w:t>
                  </w:r>
                  <w:r>
                    <w:rPr>
                      <w:rFonts w:hint="eastAsia"/>
                      <w:color w:val="auto"/>
                      <w:sz w:val="21"/>
                      <w:szCs w:val="21"/>
                      <w:vertAlign w:val="superscript"/>
                    </w:rPr>
                    <w:t>2</w:t>
                  </w:r>
                  <w:r>
                    <w:rPr>
                      <w:color w:val="auto"/>
                      <w:sz w:val="21"/>
                      <w:szCs w:val="21"/>
                    </w:rPr>
                    <w:t>/a</w:t>
                  </w:r>
                </w:p>
              </w:tc>
              <w:tc>
                <w:tcPr>
                  <w:tcW w:w="595" w:type="pct"/>
                  <w:tcBorders>
                    <w:tl2br w:val="nil"/>
                    <w:tr2bl w:val="nil"/>
                  </w:tcBorders>
                  <w:noWrap/>
                  <w:vAlign w:val="center"/>
                </w:tcPr>
                <w:p w14:paraId="02ED4F6D">
                  <w:pPr>
                    <w:spacing w:line="240" w:lineRule="auto"/>
                    <w:jc w:val="center"/>
                    <w:rPr>
                      <w:rFonts w:hint="eastAsia"/>
                      <w:color w:val="auto"/>
                      <w:sz w:val="21"/>
                      <w:szCs w:val="21"/>
                      <w:lang w:val="en-US" w:eastAsia="zh-CN"/>
                    </w:rPr>
                  </w:pPr>
                  <w:r>
                    <w:rPr>
                      <w:rFonts w:hint="eastAsia" w:cs="Times New Roman"/>
                      <w:bCs/>
                      <w:color w:val="auto"/>
                      <w:sz w:val="21"/>
                      <w:szCs w:val="21"/>
                      <w:lang w:val="en-US" w:eastAsia="zh-CN"/>
                    </w:rPr>
                    <w:t>/</w:t>
                  </w:r>
                </w:p>
              </w:tc>
              <w:tc>
                <w:tcPr>
                  <w:tcW w:w="672" w:type="pct"/>
                  <w:tcBorders>
                    <w:tl2br w:val="nil"/>
                    <w:tr2bl w:val="nil"/>
                  </w:tcBorders>
                  <w:noWrap/>
                  <w:vAlign w:val="center"/>
                </w:tcPr>
                <w:p w14:paraId="109878BA">
                  <w:pPr>
                    <w:spacing w:line="240" w:lineRule="auto"/>
                    <w:jc w:val="center"/>
                    <w:rPr>
                      <w:rFonts w:hint="eastAsia"/>
                      <w:color w:val="auto"/>
                      <w:sz w:val="21"/>
                      <w:szCs w:val="21"/>
                      <w:lang w:val="en-US" w:eastAsia="zh-CN"/>
                    </w:rPr>
                  </w:pPr>
                  <w:r>
                    <w:rPr>
                      <w:rFonts w:hint="eastAsia"/>
                      <w:color w:val="auto"/>
                      <w:sz w:val="21"/>
                      <w:szCs w:val="21"/>
                      <w:lang w:val="en-US" w:eastAsia="zh-CN"/>
                    </w:rPr>
                    <w:t>8000</w:t>
                  </w:r>
                  <w:r>
                    <w:rPr>
                      <w:rFonts w:hint="eastAsia"/>
                      <w:color w:val="auto"/>
                      <w:sz w:val="21"/>
                      <w:szCs w:val="21"/>
                    </w:rPr>
                    <w:t>m</w:t>
                  </w:r>
                  <w:r>
                    <w:rPr>
                      <w:rFonts w:hint="eastAsia"/>
                      <w:color w:val="auto"/>
                      <w:sz w:val="21"/>
                      <w:szCs w:val="21"/>
                      <w:vertAlign w:val="superscript"/>
                    </w:rPr>
                    <w:t>2</w:t>
                  </w:r>
                  <w:r>
                    <w:rPr>
                      <w:color w:val="auto"/>
                      <w:sz w:val="21"/>
                      <w:szCs w:val="21"/>
                    </w:rPr>
                    <w:t>/a</w:t>
                  </w:r>
                </w:p>
              </w:tc>
              <w:tc>
                <w:tcPr>
                  <w:tcW w:w="508" w:type="pct"/>
                  <w:tcBorders>
                    <w:tl2br w:val="nil"/>
                    <w:tr2bl w:val="nil"/>
                  </w:tcBorders>
                  <w:noWrap/>
                  <w:vAlign w:val="center"/>
                </w:tcPr>
                <w:p w14:paraId="67E74EE9">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10000m</w:t>
                  </w:r>
                  <w:r>
                    <w:rPr>
                      <w:rFonts w:hint="eastAsia" w:cs="Times New Roman"/>
                      <w:bCs/>
                      <w:color w:val="auto"/>
                      <w:sz w:val="21"/>
                      <w:szCs w:val="21"/>
                      <w:vertAlign w:val="superscript"/>
                      <w:lang w:val="en-US" w:eastAsia="zh-CN"/>
                    </w:rPr>
                    <w:t>2</w:t>
                  </w:r>
                </w:p>
              </w:tc>
              <w:tc>
                <w:tcPr>
                  <w:tcW w:w="440" w:type="pct"/>
                  <w:tcBorders>
                    <w:tl2br w:val="nil"/>
                    <w:tr2bl w:val="nil"/>
                  </w:tcBorders>
                  <w:noWrap/>
                  <w:vAlign w:val="center"/>
                </w:tcPr>
                <w:p w14:paraId="4E0BE4BD">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固态</w:t>
                  </w:r>
                </w:p>
              </w:tc>
              <w:tc>
                <w:tcPr>
                  <w:tcW w:w="681" w:type="pct"/>
                  <w:tcBorders>
                    <w:tl2br w:val="nil"/>
                    <w:tr2bl w:val="nil"/>
                  </w:tcBorders>
                  <w:noWrap/>
                  <w:vAlign w:val="center"/>
                </w:tcPr>
                <w:p w14:paraId="2EF27E25">
                  <w:pPr>
                    <w:spacing w:beforeLines="0" w:line="240" w:lineRule="auto"/>
                    <w:jc w:val="center"/>
                    <w:rPr>
                      <w:rFonts w:hint="eastAsia" w:cs="Times New Roman"/>
                      <w:bCs/>
                      <w:color w:val="auto"/>
                      <w:sz w:val="21"/>
                      <w:szCs w:val="21"/>
                      <w:lang w:val="en-US" w:eastAsia="zh-CN"/>
                    </w:rPr>
                  </w:pPr>
                  <w:r>
                    <w:rPr>
                      <w:rFonts w:hint="eastAsia" w:cs="Times New Roman"/>
                      <w:bCs/>
                      <w:color w:val="auto"/>
                      <w:sz w:val="21"/>
                      <w:szCs w:val="21"/>
                      <w:lang w:val="en-US" w:eastAsia="zh-CN"/>
                    </w:rPr>
                    <w:t>6m</w:t>
                  </w:r>
                  <w:r>
                    <w:rPr>
                      <w:rFonts w:hint="eastAsia" w:cs="Times New Roman"/>
                      <w:bCs/>
                      <w:color w:val="auto"/>
                      <w:sz w:val="21"/>
                      <w:szCs w:val="21"/>
                      <w:vertAlign w:val="superscript"/>
                      <w:lang w:val="en-US" w:eastAsia="zh-CN"/>
                    </w:rPr>
                    <w:t>2</w:t>
                  </w:r>
                  <w:r>
                    <w:rPr>
                      <w:rFonts w:hint="eastAsia" w:cs="Times New Roman"/>
                      <w:bCs/>
                      <w:color w:val="auto"/>
                      <w:sz w:val="21"/>
                      <w:szCs w:val="21"/>
                      <w:lang w:val="en-US" w:eastAsia="zh-CN"/>
                    </w:rPr>
                    <w:t>/张</w:t>
                  </w:r>
                </w:p>
              </w:tc>
              <w:tc>
                <w:tcPr>
                  <w:tcW w:w="453" w:type="pct"/>
                  <w:tcBorders>
                    <w:tl2br w:val="nil"/>
                    <w:tr2bl w:val="nil"/>
                  </w:tcBorders>
                  <w:noWrap/>
                  <w:vAlign w:val="center"/>
                </w:tcPr>
                <w:p w14:paraId="761500DC">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2ACFE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14:paraId="58C8BB0F">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4BAA260B">
                  <w:pPr>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eastAsia="宋体"/>
                      <w:color w:val="auto"/>
                      <w:sz w:val="21"/>
                      <w:szCs w:val="21"/>
                      <w:lang w:eastAsia="zh-CN"/>
                    </w:rPr>
                    <w:t>胶合板箱子</w:t>
                  </w:r>
                </w:p>
              </w:tc>
              <w:tc>
                <w:tcPr>
                  <w:tcW w:w="595" w:type="pct"/>
                  <w:tcBorders>
                    <w:tl2br w:val="nil"/>
                    <w:tr2bl w:val="nil"/>
                  </w:tcBorders>
                  <w:noWrap/>
                  <w:vAlign w:val="center"/>
                </w:tcPr>
                <w:p w14:paraId="2C29EE02">
                  <w:pPr>
                    <w:spacing w:line="240" w:lineRule="auto"/>
                    <w:jc w:val="center"/>
                    <w:rPr>
                      <w:rFonts w:hint="eastAsia" w:cs="Times New Roman"/>
                      <w:bCs/>
                      <w:color w:val="auto"/>
                      <w:sz w:val="21"/>
                      <w:szCs w:val="21"/>
                      <w:lang w:val="en-US" w:eastAsia="zh-CN"/>
                    </w:rPr>
                  </w:pPr>
                  <w:r>
                    <w:rPr>
                      <w:rFonts w:hint="eastAsia"/>
                      <w:color w:val="auto"/>
                      <w:sz w:val="21"/>
                      <w:szCs w:val="21"/>
                      <w:lang w:val="en-US" w:eastAsia="zh-CN"/>
                    </w:rPr>
                    <w:t>3000个</w:t>
                  </w:r>
                  <w:r>
                    <w:rPr>
                      <w:color w:val="auto"/>
                      <w:sz w:val="21"/>
                      <w:szCs w:val="21"/>
                    </w:rPr>
                    <w:t>/a</w:t>
                  </w:r>
                </w:p>
              </w:tc>
              <w:tc>
                <w:tcPr>
                  <w:tcW w:w="595" w:type="pct"/>
                  <w:tcBorders>
                    <w:tl2br w:val="nil"/>
                    <w:tr2bl w:val="nil"/>
                  </w:tcBorders>
                  <w:noWrap/>
                  <w:vAlign w:val="center"/>
                </w:tcPr>
                <w:p w14:paraId="28498452">
                  <w:pPr>
                    <w:spacing w:line="240" w:lineRule="auto"/>
                    <w:jc w:val="center"/>
                    <w:rPr>
                      <w:rFonts w:hint="eastAsia"/>
                      <w:color w:val="auto"/>
                      <w:sz w:val="21"/>
                      <w:szCs w:val="21"/>
                      <w:lang w:val="en-US" w:eastAsia="zh-CN"/>
                    </w:rPr>
                  </w:pPr>
                  <w:r>
                    <w:rPr>
                      <w:rFonts w:hint="eastAsia" w:cs="Times New Roman"/>
                      <w:bCs/>
                      <w:color w:val="auto"/>
                      <w:sz w:val="21"/>
                      <w:szCs w:val="21"/>
                      <w:lang w:val="en-US" w:eastAsia="zh-CN"/>
                    </w:rPr>
                    <w:t>/</w:t>
                  </w:r>
                </w:p>
              </w:tc>
              <w:tc>
                <w:tcPr>
                  <w:tcW w:w="672" w:type="pct"/>
                  <w:tcBorders>
                    <w:tl2br w:val="nil"/>
                    <w:tr2bl w:val="nil"/>
                  </w:tcBorders>
                  <w:noWrap/>
                  <w:vAlign w:val="center"/>
                </w:tcPr>
                <w:p w14:paraId="6F345D34">
                  <w:pPr>
                    <w:spacing w:line="240" w:lineRule="auto"/>
                    <w:jc w:val="center"/>
                    <w:rPr>
                      <w:rFonts w:hint="eastAsia"/>
                      <w:color w:val="auto"/>
                      <w:sz w:val="21"/>
                      <w:szCs w:val="21"/>
                      <w:lang w:val="en-US" w:eastAsia="zh-CN"/>
                    </w:rPr>
                  </w:pPr>
                  <w:r>
                    <w:rPr>
                      <w:rFonts w:hint="eastAsia"/>
                      <w:color w:val="auto"/>
                      <w:sz w:val="21"/>
                      <w:szCs w:val="21"/>
                      <w:lang w:val="en-US" w:eastAsia="zh-CN"/>
                    </w:rPr>
                    <w:t>3000个</w:t>
                  </w:r>
                  <w:r>
                    <w:rPr>
                      <w:color w:val="auto"/>
                      <w:sz w:val="21"/>
                      <w:szCs w:val="21"/>
                    </w:rPr>
                    <w:t>/a</w:t>
                  </w:r>
                </w:p>
              </w:tc>
              <w:tc>
                <w:tcPr>
                  <w:tcW w:w="508" w:type="pct"/>
                  <w:tcBorders>
                    <w:tl2br w:val="nil"/>
                    <w:tr2bl w:val="nil"/>
                  </w:tcBorders>
                  <w:noWrap/>
                  <w:vAlign w:val="center"/>
                </w:tcPr>
                <w:p w14:paraId="64E398CF">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5000个</w:t>
                  </w:r>
                </w:p>
              </w:tc>
              <w:tc>
                <w:tcPr>
                  <w:tcW w:w="440" w:type="pct"/>
                  <w:tcBorders>
                    <w:tl2br w:val="nil"/>
                    <w:tr2bl w:val="nil"/>
                  </w:tcBorders>
                  <w:noWrap/>
                  <w:vAlign w:val="center"/>
                </w:tcPr>
                <w:p w14:paraId="6AC5C551">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固态</w:t>
                  </w:r>
                </w:p>
              </w:tc>
              <w:tc>
                <w:tcPr>
                  <w:tcW w:w="681" w:type="pct"/>
                  <w:tcBorders>
                    <w:tl2br w:val="nil"/>
                    <w:tr2bl w:val="nil"/>
                  </w:tcBorders>
                  <w:noWrap/>
                  <w:vAlign w:val="center"/>
                </w:tcPr>
                <w:p w14:paraId="3E3B77D6">
                  <w:pPr>
                    <w:spacing w:beforeLines="0" w:line="240" w:lineRule="auto"/>
                    <w:jc w:val="center"/>
                    <w:rPr>
                      <w:rFonts w:hint="eastAsia" w:cs="Times New Roman"/>
                      <w:bCs/>
                      <w:color w:val="auto"/>
                      <w:sz w:val="21"/>
                      <w:szCs w:val="21"/>
                      <w:lang w:val="en-US" w:eastAsia="zh-CN"/>
                    </w:rPr>
                  </w:pPr>
                  <w:r>
                    <w:rPr>
                      <w:rFonts w:hint="eastAsia" w:cs="Times New Roman"/>
                      <w:bCs/>
                      <w:color w:val="auto"/>
                      <w:sz w:val="21"/>
                      <w:szCs w:val="21"/>
                      <w:lang w:val="en-US" w:eastAsia="zh-CN"/>
                    </w:rPr>
                    <w:t>2m</w:t>
                  </w:r>
                  <w:r>
                    <w:rPr>
                      <w:rFonts w:hint="eastAsia" w:cs="Times New Roman"/>
                      <w:bCs/>
                      <w:color w:val="auto"/>
                      <w:sz w:val="21"/>
                      <w:szCs w:val="21"/>
                      <w:vertAlign w:val="superscript"/>
                      <w:lang w:val="en-US" w:eastAsia="zh-CN"/>
                    </w:rPr>
                    <w:t>2</w:t>
                  </w:r>
                  <w:r>
                    <w:rPr>
                      <w:rFonts w:hint="eastAsia" w:cs="Times New Roman"/>
                      <w:bCs/>
                      <w:color w:val="auto"/>
                      <w:sz w:val="21"/>
                      <w:szCs w:val="21"/>
                      <w:lang w:val="en-US" w:eastAsia="zh-CN"/>
                    </w:rPr>
                    <w:t>/张</w:t>
                  </w:r>
                </w:p>
              </w:tc>
              <w:tc>
                <w:tcPr>
                  <w:tcW w:w="453" w:type="pct"/>
                  <w:tcBorders>
                    <w:tl2br w:val="nil"/>
                    <w:tr2bl w:val="nil"/>
                  </w:tcBorders>
                  <w:noWrap/>
                  <w:vAlign w:val="center"/>
                </w:tcPr>
                <w:p w14:paraId="455FCA6F">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5800A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restart"/>
                  <w:tcBorders>
                    <w:tl2br w:val="nil"/>
                    <w:tr2bl w:val="nil"/>
                  </w:tcBorders>
                  <w:noWrap/>
                  <w:vAlign w:val="center"/>
                </w:tcPr>
                <w:p w14:paraId="06A4D4AE">
                  <w:pPr>
                    <w:spacing w:line="240" w:lineRule="auto"/>
                    <w:jc w:val="center"/>
                    <w:rPr>
                      <w:rFonts w:hint="default" w:ascii="Times New Roman" w:hAnsi="Times New Roman" w:eastAsia="宋体" w:cs="Times New Roman"/>
                      <w:bCs/>
                      <w:color w:val="auto"/>
                      <w:sz w:val="21"/>
                      <w:szCs w:val="21"/>
                    </w:rPr>
                  </w:pPr>
                  <w:r>
                    <w:rPr>
                      <w:rFonts w:hint="eastAsia" w:cs="Times New Roman"/>
                      <w:bCs/>
                      <w:color w:val="auto"/>
                      <w:szCs w:val="21"/>
                      <w:lang w:val="en-US" w:eastAsia="zh-CN"/>
                    </w:rPr>
                    <w:t>塑料密封件</w:t>
                  </w:r>
                </w:p>
              </w:tc>
              <w:tc>
                <w:tcPr>
                  <w:tcW w:w="529" w:type="pct"/>
                  <w:tcBorders>
                    <w:tl2br w:val="nil"/>
                    <w:tr2bl w:val="nil"/>
                  </w:tcBorders>
                  <w:noWrap/>
                  <w:vAlign w:val="center"/>
                </w:tcPr>
                <w:p w14:paraId="58E4DD63">
                  <w:pPr>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eastAsia="宋体"/>
                      <w:color w:val="auto"/>
                      <w:sz w:val="21"/>
                      <w:szCs w:val="21"/>
                      <w:lang w:eastAsia="zh-CN"/>
                    </w:rPr>
                    <w:t>塑料粒子</w:t>
                  </w:r>
                </w:p>
              </w:tc>
              <w:tc>
                <w:tcPr>
                  <w:tcW w:w="595" w:type="pct"/>
                  <w:tcBorders>
                    <w:tl2br w:val="nil"/>
                    <w:tr2bl w:val="nil"/>
                  </w:tcBorders>
                  <w:noWrap/>
                  <w:vAlign w:val="center"/>
                </w:tcPr>
                <w:p w14:paraId="150CE8CE">
                  <w:pPr>
                    <w:spacing w:line="240" w:lineRule="auto"/>
                    <w:jc w:val="center"/>
                    <w:rPr>
                      <w:rFonts w:hint="eastAsia" w:cs="Times New Roman"/>
                      <w:bCs/>
                      <w:color w:val="auto"/>
                      <w:sz w:val="21"/>
                      <w:szCs w:val="21"/>
                      <w:lang w:val="en-US" w:eastAsia="zh-CN"/>
                    </w:rPr>
                  </w:pPr>
                  <w:r>
                    <w:rPr>
                      <w:rFonts w:hint="eastAsia" w:ascii="Times New Roman" w:hAnsi="Times New Roman" w:cs="Times New Roman"/>
                      <w:color w:val="auto"/>
                      <w:lang w:val="en-US" w:eastAsia="zh-CN"/>
                    </w:rPr>
                    <w:t>72</w:t>
                  </w:r>
                  <w:r>
                    <w:rPr>
                      <w:rFonts w:hint="eastAsia" w:cs="Times New Roman"/>
                      <w:bCs/>
                      <w:color w:val="auto"/>
                      <w:sz w:val="21"/>
                      <w:szCs w:val="21"/>
                      <w:lang w:val="en-US" w:eastAsia="zh-CN"/>
                    </w:rPr>
                    <w:t>t/a</w:t>
                  </w:r>
                </w:p>
              </w:tc>
              <w:tc>
                <w:tcPr>
                  <w:tcW w:w="595" w:type="pct"/>
                  <w:tcBorders>
                    <w:tl2br w:val="nil"/>
                    <w:tr2bl w:val="nil"/>
                  </w:tcBorders>
                  <w:noWrap/>
                  <w:vAlign w:val="center"/>
                </w:tcPr>
                <w:p w14:paraId="0F1C2BD8">
                  <w:pPr>
                    <w:spacing w:line="240" w:lineRule="auto"/>
                    <w:jc w:val="center"/>
                    <w:rPr>
                      <w:rFonts w:hint="eastAsia" w:ascii="Times New Roman" w:hAnsi="Times New Roman" w:cs="Times New Roman"/>
                      <w:color w:val="auto"/>
                      <w:lang w:val="en-US" w:eastAsia="zh-CN"/>
                    </w:rPr>
                  </w:pPr>
                  <w:r>
                    <w:rPr>
                      <w:rFonts w:hint="eastAsia" w:cs="Times New Roman"/>
                      <w:bCs/>
                      <w:color w:val="auto"/>
                      <w:sz w:val="21"/>
                      <w:szCs w:val="21"/>
                      <w:lang w:val="en-US" w:eastAsia="zh-CN"/>
                    </w:rPr>
                    <w:t>/</w:t>
                  </w:r>
                </w:p>
              </w:tc>
              <w:tc>
                <w:tcPr>
                  <w:tcW w:w="672" w:type="pct"/>
                  <w:tcBorders>
                    <w:tl2br w:val="nil"/>
                    <w:tr2bl w:val="nil"/>
                  </w:tcBorders>
                  <w:noWrap/>
                  <w:vAlign w:val="center"/>
                </w:tcPr>
                <w:p w14:paraId="6485330D">
                  <w:pPr>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72</w:t>
                  </w:r>
                  <w:r>
                    <w:rPr>
                      <w:rFonts w:hint="eastAsia" w:cs="Times New Roman"/>
                      <w:bCs/>
                      <w:color w:val="auto"/>
                      <w:sz w:val="21"/>
                      <w:szCs w:val="21"/>
                      <w:lang w:val="en-US" w:eastAsia="zh-CN"/>
                    </w:rPr>
                    <w:t>t/a</w:t>
                  </w:r>
                </w:p>
              </w:tc>
              <w:tc>
                <w:tcPr>
                  <w:tcW w:w="508" w:type="pct"/>
                  <w:tcBorders>
                    <w:tl2br w:val="nil"/>
                    <w:tr2bl w:val="nil"/>
                  </w:tcBorders>
                  <w:noWrap/>
                  <w:vAlign w:val="center"/>
                </w:tcPr>
                <w:p w14:paraId="256EFABB">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10t</w:t>
                  </w:r>
                </w:p>
              </w:tc>
              <w:tc>
                <w:tcPr>
                  <w:tcW w:w="440" w:type="pct"/>
                  <w:tcBorders>
                    <w:tl2br w:val="nil"/>
                    <w:tr2bl w:val="nil"/>
                  </w:tcBorders>
                  <w:noWrap/>
                  <w:vAlign w:val="center"/>
                </w:tcPr>
                <w:p w14:paraId="377E33DD">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固态</w:t>
                  </w:r>
                </w:p>
              </w:tc>
              <w:tc>
                <w:tcPr>
                  <w:tcW w:w="681" w:type="pct"/>
                  <w:tcBorders>
                    <w:tl2br w:val="nil"/>
                    <w:tr2bl w:val="nil"/>
                  </w:tcBorders>
                  <w:noWrap/>
                  <w:vAlign w:val="center"/>
                </w:tcPr>
                <w:p w14:paraId="2EA267E9">
                  <w:pPr>
                    <w:spacing w:beforeLines="0" w:line="240" w:lineRule="auto"/>
                    <w:jc w:val="center"/>
                    <w:rPr>
                      <w:rFonts w:hint="default" w:cs="Times New Roman"/>
                      <w:bCs/>
                      <w:color w:val="auto"/>
                      <w:sz w:val="21"/>
                      <w:szCs w:val="21"/>
                      <w:lang w:val="en-US" w:eastAsia="zh-CN"/>
                    </w:rPr>
                  </w:pPr>
                  <w:r>
                    <w:rPr>
                      <w:rFonts w:hint="eastAsia" w:cs="Times New Roman"/>
                      <w:bCs/>
                      <w:color w:val="auto"/>
                      <w:sz w:val="21"/>
                      <w:szCs w:val="21"/>
                      <w:lang w:val="en-US" w:eastAsia="zh-CN"/>
                    </w:rPr>
                    <w:t>25kg/袋装</w:t>
                  </w:r>
                </w:p>
              </w:tc>
              <w:tc>
                <w:tcPr>
                  <w:tcW w:w="453" w:type="pct"/>
                  <w:tcBorders>
                    <w:tl2br w:val="nil"/>
                    <w:tr2bl w:val="nil"/>
                  </w:tcBorders>
                  <w:noWrap/>
                  <w:vAlign w:val="center"/>
                </w:tcPr>
                <w:p w14:paraId="2BD73598">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69F4A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14:paraId="45E9B476">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61366D2A">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3M胶带</w:t>
                  </w:r>
                </w:p>
              </w:tc>
              <w:tc>
                <w:tcPr>
                  <w:tcW w:w="595" w:type="pct"/>
                  <w:tcBorders>
                    <w:tl2br w:val="nil"/>
                    <w:tr2bl w:val="nil"/>
                  </w:tcBorders>
                  <w:noWrap/>
                  <w:vAlign w:val="center"/>
                </w:tcPr>
                <w:p w14:paraId="07F334C6">
                  <w:pPr>
                    <w:spacing w:line="240" w:lineRule="auto"/>
                    <w:jc w:val="center"/>
                    <w:rPr>
                      <w:rFonts w:hint="eastAsia" w:cs="Times New Roman"/>
                      <w:bCs/>
                      <w:color w:val="auto"/>
                      <w:sz w:val="21"/>
                      <w:szCs w:val="21"/>
                      <w:lang w:val="en-US" w:eastAsia="zh-CN"/>
                    </w:rPr>
                  </w:pPr>
                  <w:r>
                    <w:rPr>
                      <w:rFonts w:hint="eastAsia"/>
                      <w:color w:val="auto"/>
                      <w:sz w:val="21"/>
                      <w:szCs w:val="21"/>
                      <w:lang w:val="en-US" w:eastAsia="zh-CN"/>
                    </w:rPr>
                    <w:t>11200片/a</w:t>
                  </w:r>
                </w:p>
              </w:tc>
              <w:tc>
                <w:tcPr>
                  <w:tcW w:w="595" w:type="pct"/>
                  <w:tcBorders>
                    <w:tl2br w:val="nil"/>
                    <w:tr2bl w:val="nil"/>
                  </w:tcBorders>
                  <w:noWrap/>
                  <w:vAlign w:val="center"/>
                </w:tcPr>
                <w:p w14:paraId="4FBE083A">
                  <w:pPr>
                    <w:spacing w:line="240" w:lineRule="auto"/>
                    <w:jc w:val="center"/>
                    <w:rPr>
                      <w:rFonts w:hint="eastAsia"/>
                      <w:color w:val="auto"/>
                      <w:sz w:val="21"/>
                      <w:szCs w:val="21"/>
                      <w:lang w:val="en-US" w:eastAsia="zh-CN"/>
                    </w:rPr>
                  </w:pPr>
                  <w:r>
                    <w:rPr>
                      <w:rFonts w:hint="eastAsia" w:cs="Times New Roman"/>
                      <w:bCs/>
                      <w:color w:val="auto"/>
                      <w:sz w:val="21"/>
                      <w:szCs w:val="21"/>
                      <w:lang w:val="en-US" w:eastAsia="zh-CN"/>
                    </w:rPr>
                    <w:t>/</w:t>
                  </w:r>
                </w:p>
              </w:tc>
              <w:tc>
                <w:tcPr>
                  <w:tcW w:w="672" w:type="pct"/>
                  <w:tcBorders>
                    <w:tl2br w:val="nil"/>
                    <w:tr2bl w:val="nil"/>
                  </w:tcBorders>
                  <w:noWrap/>
                  <w:vAlign w:val="center"/>
                </w:tcPr>
                <w:p w14:paraId="188578B9">
                  <w:pPr>
                    <w:spacing w:line="240" w:lineRule="auto"/>
                    <w:jc w:val="center"/>
                    <w:rPr>
                      <w:rFonts w:hint="eastAsia"/>
                      <w:color w:val="auto"/>
                      <w:sz w:val="21"/>
                      <w:szCs w:val="21"/>
                      <w:lang w:val="en-US" w:eastAsia="zh-CN"/>
                    </w:rPr>
                  </w:pPr>
                  <w:r>
                    <w:rPr>
                      <w:rFonts w:hint="eastAsia"/>
                      <w:color w:val="auto"/>
                      <w:sz w:val="21"/>
                      <w:szCs w:val="21"/>
                      <w:lang w:val="en-US" w:eastAsia="zh-CN"/>
                    </w:rPr>
                    <w:t>11200片/a</w:t>
                  </w:r>
                </w:p>
              </w:tc>
              <w:tc>
                <w:tcPr>
                  <w:tcW w:w="508" w:type="pct"/>
                  <w:tcBorders>
                    <w:tl2br w:val="nil"/>
                    <w:tr2bl w:val="nil"/>
                  </w:tcBorders>
                  <w:noWrap/>
                  <w:vAlign w:val="center"/>
                </w:tcPr>
                <w:p w14:paraId="3F5FA3A1">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20箱</w:t>
                  </w:r>
                </w:p>
              </w:tc>
              <w:tc>
                <w:tcPr>
                  <w:tcW w:w="440" w:type="pct"/>
                  <w:tcBorders>
                    <w:tl2br w:val="nil"/>
                    <w:tr2bl w:val="nil"/>
                  </w:tcBorders>
                  <w:noWrap/>
                  <w:vAlign w:val="center"/>
                </w:tcPr>
                <w:p w14:paraId="531A049A">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固态</w:t>
                  </w:r>
                </w:p>
              </w:tc>
              <w:tc>
                <w:tcPr>
                  <w:tcW w:w="681" w:type="pct"/>
                  <w:tcBorders>
                    <w:tl2br w:val="nil"/>
                    <w:tr2bl w:val="nil"/>
                  </w:tcBorders>
                  <w:noWrap/>
                  <w:vAlign w:val="center"/>
                </w:tcPr>
                <w:p w14:paraId="62D00DE1">
                  <w:pPr>
                    <w:spacing w:beforeLines="0" w:line="240" w:lineRule="auto"/>
                    <w:jc w:val="center"/>
                    <w:rPr>
                      <w:rFonts w:hint="default" w:cs="Times New Roman"/>
                      <w:bCs/>
                      <w:color w:val="auto"/>
                      <w:sz w:val="21"/>
                      <w:szCs w:val="21"/>
                      <w:lang w:val="en-US" w:eastAsia="zh-CN"/>
                    </w:rPr>
                  </w:pPr>
                  <w:r>
                    <w:rPr>
                      <w:rFonts w:hint="eastAsia" w:cs="Times New Roman"/>
                      <w:bCs/>
                      <w:color w:val="auto"/>
                      <w:sz w:val="21"/>
                      <w:szCs w:val="21"/>
                      <w:lang w:val="en-US" w:eastAsia="zh-CN"/>
                    </w:rPr>
                    <w:t>100卷/箱</w:t>
                  </w:r>
                </w:p>
              </w:tc>
              <w:tc>
                <w:tcPr>
                  <w:tcW w:w="453" w:type="pct"/>
                  <w:tcBorders>
                    <w:tl2br w:val="nil"/>
                    <w:tr2bl w:val="nil"/>
                  </w:tcBorders>
                  <w:noWrap/>
                  <w:vAlign w:val="center"/>
                </w:tcPr>
                <w:p w14:paraId="50815C44">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246EA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continue"/>
                  <w:tcBorders>
                    <w:tl2br w:val="nil"/>
                    <w:tr2bl w:val="nil"/>
                  </w:tcBorders>
                  <w:noWrap/>
                  <w:vAlign w:val="center"/>
                </w:tcPr>
                <w:p w14:paraId="70BE7433">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0F67EC45">
                  <w:pPr>
                    <w:spacing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eastAsia" w:eastAsia="宋体"/>
                      <w:color w:val="auto"/>
                      <w:sz w:val="21"/>
                      <w:szCs w:val="21"/>
                      <w:lang w:eastAsia="zh-CN"/>
                    </w:rPr>
                    <w:t>扣子</w:t>
                  </w:r>
                </w:p>
              </w:tc>
              <w:tc>
                <w:tcPr>
                  <w:tcW w:w="595" w:type="pct"/>
                  <w:tcBorders>
                    <w:tl2br w:val="nil"/>
                    <w:tr2bl w:val="nil"/>
                  </w:tcBorders>
                  <w:noWrap/>
                  <w:vAlign w:val="center"/>
                </w:tcPr>
                <w:p w14:paraId="7D5ACFE3">
                  <w:pPr>
                    <w:spacing w:line="240" w:lineRule="auto"/>
                    <w:jc w:val="center"/>
                    <w:rPr>
                      <w:rFonts w:hint="eastAsia" w:cs="Times New Roman"/>
                      <w:bCs/>
                      <w:color w:val="auto"/>
                      <w:sz w:val="21"/>
                      <w:szCs w:val="21"/>
                      <w:lang w:val="en-US" w:eastAsia="zh-CN"/>
                    </w:rPr>
                  </w:pPr>
                  <w:r>
                    <w:rPr>
                      <w:rFonts w:hint="eastAsia"/>
                      <w:color w:val="auto"/>
                      <w:sz w:val="21"/>
                      <w:szCs w:val="21"/>
                      <w:lang w:val="en-US" w:eastAsia="zh-CN"/>
                    </w:rPr>
                    <w:t>200万粒/a</w:t>
                  </w:r>
                </w:p>
              </w:tc>
              <w:tc>
                <w:tcPr>
                  <w:tcW w:w="595" w:type="pct"/>
                  <w:tcBorders>
                    <w:tl2br w:val="nil"/>
                    <w:tr2bl w:val="nil"/>
                  </w:tcBorders>
                  <w:noWrap/>
                  <w:vAlign w:val="center"/>
                </w:tcPr>
                <w:p w14:paraId="52D6BE43">
                  <w:pPr>
                    <w:spacing w:line="240" w:lineRule="auto"/>
                    <w:jc w:val="center"/>
                    <w:rPr>
                      <w:rFonts w:hint="eastAsia"/>
                      <w:color w:val="auto"/>
                      <w:sz w:val="21"/>
                      <w:szCs w:val="21"/>
                      <w:lang w:val="en-US" w:eastAsia="zh-CN"/>
                    </w:rPr>
                  </w:pPr>
                  <w:r>
                    <w:rPr>
                      <w:rFonts w:hint="eastAsia" w:cs="Times New Roman"/>
                      <w:bCs/>
                      <w:color w:val="auto"/>
                      <w:sz w:val="21"/>
                      <w:szCs w:val="21"/>
                      <w:lang w:val="en-US" w:eastAsia="zh-CN"/>
                    </w:rPr>
                    <w:t>/</w:t>
                  </w:r>
                </w:p>
              </w:tc>
              <w:tc>
                <w:tcPr>
                  <w:tcW w:w="672" w:type="pct"/>
                  <w:tcBorders>
                    <w:tl2br w:val="nil"/>
                    <w:tr2bl w:val="nil"/>
                  </w:tcBorders>
                  <w:noWrap/>
                  <w:vAlign w:val="center"/>
                </w:tcPr>
                <w:p w14:paraId="39F0FED4">
                  <w:pPr>
                    <w:spacing w:line="240" w:lineRule="auto"/>
                    <w:jc w:val="center"/>
                    <w:rPr>
                      <w:rFonts w:hint="eastAsia"/>
                      <w:color w:val="auto"/>
                      <w:sz w:val="21"/>
                      <w:szCs w:val="21"/>
                      <w:lang w:val="en-US" w:eastAsia="zh-CN"/>
                    </w:rPr>
                  </w:pPr>
                  <w:r>
                    <w:rPr>
                      <w:rFonts w:hint="eastAsia"/>
                      <w:color w:val="auto"/>
                      <w:sz w:val="21"/>
                      <w:szCs w:val="21"/>
                      <w:lang w:val="en-US" w:eastAsia="zh-CN"/>
                    </w:rPr>
                    <w:t>200万粒/a</w:t>
                  </w:r>
                </w:p>
              </w:tc>
              <w:tc>
                <w:tcPr>
                  <w:tcW w:w="508" w:type="pct"/>
                  <w:tcBorders>
                    <w:tl2br w:val="nil"/>
                    <w:tr2bl w:val="nil"/>
                  </w:tcBorders>
                  <w:noWrap/>
                  <w:vAlign w:val="center"/>
                </w:tcPr>
                <w:p w14:paraId="3D7539D3">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30包</w:t>
                  </w:r>
                </w:p>
              </w:tc>
              <w:tc>
                <w:tcPr>
                  <w:tcW w:w="440" w:type="pct"/>
                  <w:tcBorders>
                    <w:tl2br w:val="nil"/>
                    <w:tr2bl w:val="nil"/>
                  </w:tcBorders>
                  <w:noWrap/>
                  <w:vAlign w:val="center"/>
                </w:tcPr>
                <w:p w14:paraId="6B9ED4E3">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固态</w:t>
                  </w:r>
                </w:p>
              </w:tc>
              <w:tc>
                <w:tcPr>
                  <w:tcW w:w="681" w:type="pct"/>
                  <w:tcBorders>
                    <w:tl2br w:val="nil"/>
                    <w:tr2bl w:val="nil"/>
                  </w:tcBorders>
                  <w:noWrap/>
                  <w:vAlign w:val="center"/>
                </w:tcPr>
                <w:p w14:paraId="507179E0">
                  <w:pPr>
                    <w:spacing w:beforeLines="0" w:line="240" w:lineRule="auto"/>
                    <w:jc w:val="center"/>
                    <w:rPr>
                      <w:rFonts w:hint="default" w:cs="Times New Roman"/>
                      <w:bCs/>
                      <w:color w:val="auto"/>
                      <w:sz w:val="21"/>
                      <w:szCs w:val="21"/>
                      <w:lang w:val="en-US" w:eastAsia="zh-CN"/>
                    </w:rPr>
                  </w:pPr>
                  <w:r>
                    <w:rPr>
                      <w:rFonts w:hint="eastAsia" w:cs="Times New Roman"/>
                      <w:bCs/>
                      <w:color w:val="auto"/>
                      <w:sz w:val="21"/>
                      <w:szCs w:val="21"/>
                      <w:lang w:val="en-US" w:eastAsia="zh-CN"/>
                    </w:rPr>
                    <w:t>10000粒/包</w:t>
                  </w:r>
                </w:p>
              </w:tc>
              <w:tc>
                <w:tcPr>
                  <w:tcW w:w="453" w:type="pct"/>
                  <w:tcBorders>
                    <w:tl2br w:val="nil"/>
                    <w:tr2bl w:val="nil"/>
                  </w:tcBorders>
                  <w:noWrap/>
                  <w:vAlign w:val="center"/>
                </w:tcPr>
                <w:p w14:paraId="6249590B">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2436C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3" w:type="pct"/>
                  <w:vMerge w:val="restart"/>
                  <w:tcBorders>
                    <w:tl2br w:val="nil"/>
                    <w:tr2bl w:val="nil"/>
                  </w:tcBorders>
                  <w:noWrap/>
                  <w:vAlign w:val="center"/>
                </w:tcPr>
                <w:p w14:paraId="256D6137">
                  <w:pPr>
                    <w:spacing w:beforeLines="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注塑件</w:t>
                  </w:r>
                </w:p>
              </w:tc>
              <w:tc>
                <w:tcPr>
                  <w:tcW w:w="529" w:type="pct"/>
                  <w:tcBorders>
                    <w:tl2br w:val="nil"/>
                    <w:tr2bl w:val="nil"/>
                  </w:tcBorders>
                  <w:noWrap/>
                  <w:vAlign w:val="center"/>
                </w:tcPr>
                <w:p w14:paraId="76496B1F">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PBT</w:t>
                  </w:r>
                </w:p>
              </w:tc>
              <w:tc>
                <w:tcPr>
                  <w:tcW w:w="595" w:type="pct"/>
                  <w:tcBorders>
                    <w:tl2br w:val="nil"/>
                    <w:tr2bl w:val="nil"/>
                  </w:tcBorders>
                  <w:noWrap/>
                  <w:vAlign w:val="center"/>
                </w:tcPr>
                <w:p w14:paraId="2B44FD1C">
                  <w:pPr>
                    <w:spacing w:beforeLines="0" w:line="240" w:lineRule="auto"/>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32FCD31A">
                  <w:pPr>
                    <w:spacing w:beforeLines="0" w:line="240" w:lineRule="auto"/>
                    <w:jc w:val="center"/>
                    <w:rPr>
                      <w:rFonts w:hint="eastAsia" w:cs="Times New Roman"/>
                      <w:bCs/>
                      <w:color w:val="auto"/>
                      <w:sz w:val="21"/>
                      <w:szCs w:val="21"/>
                      <w:lang w:val="en-US" w:eastAsia="zh-CN"/>
                    </w:rPr>
                  </w:pPr>
                  <w:r>
                    <w:rPr>
                      <w:rFonts w:hint="eastAsia" w:cs="Times New Roman"/>
                      <w:bCs/>
                      <w:color w:val="auto"/>
                      <w:sz w:val="21"/>
                      <w:szCs w:val="21"/>
                      <w:lang w:val="en-US" w:eastAsia="zh-CN"/>
                    </w:rPr>
                    <w:t>100t/a</w:t>
                  </w:r>
                </w:p>
              </w:tc>
              <w:tc>
                <w:tcPr>
                  <w:tcW w:w="672" w:type="pct"/>
                  <w:tcBorders>
                    <w:tl2br w:val="nil"/>
                    <w:tr2bl w:val="nil"/>
                  </w:tcBorders>
                  <w:noWrap/>
                  <w:vAlign w:val="center"/>
                </w:tcPr>
                <w:p w14:paraId="0F56741F">
                  <w:pPr>
                    <w:spacing w:beforeLines="0" w:line="240" w:lineRule="auto"/>
                    <w:jc w:val="center"/>
                    <w:rPr>
                      <w:rFonts w:hint="default" w:cs="Times New Roman"/>
                      <w:bCs/>
                      <w:color w:val="auto"/>
                      <w:sz w:val="21"/>
                      <w:szCs w:val="21"/>
                      <w:lang w:val="en-US" w:eastAsia="zh-CN"/>
                    </w:rPr>
                  </w:pPr>
                  <w:r>
                    <w:rPr>
                      <w:rFonts w:hint="eastAsia" w:cs="Times New Roman"/>
                      <w:bCs/>
                      <w:color w:val="auto"/>
                      <w:sz w:val="21"/>
                      <w:szCs w:val="21"/>
                      <w:lang w:val="en-US" w:eastAsia="zh-CN"/>
                    </w:rPr>
                    <w:t>100t/a</w:t>
                  </w:r>
                </w:p>
              </w:tc>
              <w:tc>
                <w:tcPr>
                  <w:tcW w:w="508" w:type="pct"/>
                  <w:tcBorders>
                    <w:tl2br w:val="nil"/>
                    <w:tr2bl w:val="nil"/>
                  </w:tcBorders>
                  <w:noWrap/>
                  <w:vAlign w:val="center"/>
                </w:tcPr>
                <w:p w14:paraId="5CB0152E">
                  <w:pPr>
                    <w:spacing w:beforeLines="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w:t>
                  </w:r>
                  <w:r>
                    <w:rPr>
                      <w:rFonts w:hint="eastAsia" w:cs="Times New Roman"/>
                      <w:bCs/>
                      <w:color w:val="auto"/>
                      <w:sz w:val="21"/>
                      <w:szCs w:val="21"/>
                      <w:lang w:val="en-US" w:eastAsia="zh-CN"/>
                    </w:rPr>
                    <w:t>0</w:t>
                  </w:r>
                  <w:r>
                    <w:rPr>
                      <w:rFonts w:hint="default" w:ascii="Times New Roman" w:hAnsi="Times New Roman" w:cs="Times New Roman"/>
                      <w:bCs/>
                      <w:color w:val="auto"/>
                      <w:sz w:val="21"/>
                      <w:szCs w:val="21"/>
                      <w:lang w:val="en-US" w:eastAsia="zh-CN"/>
                    </w:rPr>
                    <w:t>t</w:t>
                  </w:r>
                </w:p>
              </w:tc>
              <w:tc>
                <w:tcPr>
                  <w:tcW w:w="440" w:type="pct"/>
                  <w:tcBorders>
                    <w:tl2br w:val="nil"/>
                    <w:tr2bl w:val="nil"/>
                  </w:tcBorders>
                  <w:noWrap/>
                  <w:vAlign w:val="center"/>
                </w:tcPr>
                <w:p w14:paraId="56C11396">
                  <w:pPr>
                    <w:spacing w:beforeLines="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固态</w:t>
                  </w:r>
                </w:p>
              </w:tc>
              <w:tc>
                <w:tcPr>
                  <w:tcW w:w="681" w:type="pct"/>
                  <w:tcBorders>
                    <w:tl2br w:val="nil"/>
                    <w:tr2bl w:val="nil"/>
                  </w:tcBorders>
                  <w:noWrap/>
                  <w:vAlign w:val="center"/>
                </w:tcPr>
                <w:p w14:paraId="23F12AB6">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50kg/袋装</w:t>
                  </w:r>
                </w:p>
              </w:tc>
              <w:tc>
                <w:tcPr>
                  <w:tcW w:w="453" w:type="pct"/>
                  <w:tcBorders>
                    <w:tl2br w:val="nil"/>
                    <w:tr2bl w:val="nil"/>
                  </w:tcBorders>
                  <w:noWrap/>
                  <w:vAlign w:val="center"/>
                </w:tcPr>
                <w:p w14:paraId="2A776AE5">
                  <w:pPr>
                    <w:spacing w:beforeLines="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6EB63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23" w:type="pct"/>
                  <w:vMerge w:val="continue"/>
                  <w:tcBorders>
                    <w:tl2br w:val="nil"/>
                    <w:tr2bl w:val="nil"/>
                  </w:tcBorders>
                  <w:noWrap/>
                  <w:vAlign w:val="center"/>
                </w:tcPr>
                <w:p w14:paraId="72AD0E5F">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053D71A1">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PA6/PA66</w:t>
                  </w:r>
                </w:p>
              </w:tc>
              <w:tc>
                <w:tcPr>
                  <w:tcW w:w="595" w:type="pct"/>
                  <w:tcBorders>
                    <w:tl2br w:val="nil"/>
                    <w:tr2bl w:val="nil"/>
                  </w:tcBorders>
                  <w:noWrap/>
                  <w:vAlign w:val="center"/>
                </w:tcPr>
                <w:p w14:paraId="66B65F4F">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79A538BB">
                  <w:pPr>
                    <w:spacing w:beforeLines="0" w:line="240" w:lineRule="auto"/>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50</w:t>
                  </w:r>
                  <w:r>
                    <w:rPr>
                      <w:rFonts w:hint="eastAsia" w:cs="Times New Roman"/>
                      <w:bCs/>
                      <w:color w:val="auto"/>
                      <w:sz w:val="21"/>
                      <w:szCs w:val="21"/>
                      <w:lang w:val="en-US" w:eastAsia="zh-CN"/>
                    </w:rPr>
                    <w:t>t/a</w:t>
                  </w:r>
                </w:p>
              </w:tc>
              <w:tc>
                <w:tcPr>
                  <w:tcW w:w="672" w:type="pct"/>
                  <w:tcBorders>
                    <w:tl2br w:val="nil"/>
                    <w:tr2bl w:val="nil"/>
                  </w:tcBorders>
                  <w:noWrap/>
                  <w:vAlign w:val="center"/>
                </w:tcPr>
                <w:p w14:paraId="5B9294BB">
                  <w:pPr>
                    <w:spacing w:beforeLines="0" w:line="240" w:lineRule="auto"/>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50</w:t>
                  </w:r>
                  <w:r>
                    <w:rPr>
                      <w:rFonts w:hint="eastAsia" w:cs="Times New Roman"/>
                      <w:bCs/>
                      <w:color w:val="auto"/>
                      <w:sz w:val="21"/>
                      <w:szCs w:val="21"/>
                      <w:lang w:val="en-US" w:eastAsia="zh-CN"/>
                    </w:rPr>
                    <w:t>t/a</w:t>
                  </w:r>
                </w:p>
              </w:tc>
              <w:tc>
                <w:tcPr>
                  <w:tcW w:w="508" w:type="pct"/>
                  <w:tcBorders>
                    <w:tl2br w:val="nil"/>
                    <w:tr2bl w:val="nil"/>
                  </w:tcBorders>
                  <w:noWrap/>
                  <w:vAlign w:val="center"/>
                </w:tcPr>
                <w:p w14:paraId="280AC7E6">
                  <w:pPr>
                    <w:spacing w:beforeLines="0"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lang w:val="en-US" w:eastAsia="zh-CN"/>
                    </w:rPr>
                    <w:t>t</w:t>
                  </w:r>
                </w:p>
              </w:tc>
              <w:tc>
                <w:tcPr>
                  <w:tcW w:w="440" w:type="pct"/>
                  <w:tcBorders>
                    <w:tl2br w:val="nil"/>
                    <w:tr2bl w:val="nil"/>
                  </w:tcBorders>
                  <w:noWrap/>
                  <w:vAlign w:val="center"/>
                </w:tcPr>
                <w:p w14:paraId="405A91E8">
                  <w:pPr>
                    <w:spacing w:beforeLines="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固态</w:t>
                  </w:r>
                </w:p>
              </w:tc>
              <w:tc>
                <w:tcPr>
                  <w:tcW w:w="681" w:type="pct"/>
                  <w:tcBorders>
                    <w:tl2br w:val="nil"/>
                    <w:tr2bl w:val="nil"/>
                  </w:tcBorders>
                  <w:noWrap/>
                  <w:vAlign w:val="center"/>
                </w:tcPr>
                <w:p w14:paraId="40E0557F">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lang w:val="en-US" w:eastAsia="zh-CN"/>
                    </w:rPr>
                    <w:t>50kg/袋装</w:t>
                  </w:r>
                </w:p>
              </w:tc>
              <w:tc>
                <w:tcPr>
                  <w:tcW w:w="453" w:type="pct"/>
                  <w:tcBorders>
                    <w:tl2br w:val="nil"/>
                    <w:tr2bl w:val="nil"/>
                  </w:tcBorders>
                  <w:noWrap/>
                  <w:vAlign w:val="center"/>
                </w:tcPr>
                <w:p w14:paraId="761B2239">
                  <w:pPr>
                    <w:spacing w:beforeLines="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6130E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23" w:type="pct"/>
                  <w:vMerge w:val="continue"/>
                  <w:tcBorders>
                    <w:tl2br w:val="nil"/>
                    <w:tr2bl w:val="nil"/>
                  </w:tcBorders>
                  <w:noWrap/>
                  <w:vAlign w:val="center"/>
                </w:tcPr>
                <w:p w14:paraId="400694B6">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2A51DD02">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PC/ABS</w:t>
                  </w:r>
                </w:p>
              </w:tc>
              <w:tc>
                <w:tcPr>
                  <w:tcW w:w="595" w:type="pct"/>
                  <w:tcBorders>
                    <w:tl2br w:val="nil"/>
                    <w:tr2bl w:val="nil"/>
                  </w:tcBorders>
                  <w:noWrap/>
                  <w:vAlign w:val="center"/>
                </w:tcPr>
                <w:p w14:paraId="491172A0">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59997350">
                  <w:pPr>
                    <w:spacing w:beforeLines="0" w:line="240" w:lineRule="auto"/>
                    <w:jc w:val="center"/>
                    <w:rPr>
                      <w:rFonts w:hint="eastAsia" w:cs="Times New Roman"/>
                      <w:color w:val="auto"/>
                      <w:lang w:val="en-US" w:eastAsia="zh-CN"/>
                    </w:rPr>
                  </w:pPr>
                  <w:r>
                    <w:rPr>
                      <w:rFonts w:hint="eastAsia" w:cs="Times New Roman"/>
                      <w:color w:val="auto"/>
                      <w:lang w:val="en-US" w:eastAsia="zh-CN"/>
                    </w:rPr>
                    <w:t>10</w:t>
                  </w:r>
                  <w:r>
                    <w:rPr>
                      <w:rFonts w:hint="eastAsia" w:cs="Times New Roman"/>
                      <w:bCs/>
                      <w:color w:val="auto"/>
                      <w:sz w:val="21"/>
                      <w:szCs w:val="21"/>
                      <w:lang w:val="en-US" w:eastAsia="zh-CN"/>
                    </w:rPr>
                    <w:t>t/a</w:t>
                  </w:r>
                </w:p>
              </w:tc>
              <w:tc>
                <w:tcPr>
                  <w:tcW w:w="672" w:type="pct"/>
                  <w:tcBorders>
                    <w:tl2br w:val="nil"/>
                    <w:tr2bl w:val="nil"/>
                  </w:tcBorders>
                  <w:noWrap/>
                  <w:vAlign w:val="center"/>
                </w:tcPr>
                <w:p w14:paraId="088F0254">
                  <w:pPr>
                    <w:spacing w:beforeLines="0" w:line="240" w:lineRule="auto"/>
                    <w:jc w:val="center"/>
                    <w:rPr>
                      <w:rFonts w:hint="eastAsia" w:cs="Times New Roman"/>
                      <w:color w:val="auto"/>
                      <w:lang w:val="en-US" w:eastAsia="zh-CN"/>
                    </w:rPr>
                  </w:pPr>
                  <w:r>
                    <w:rPr>
                      <w:rFonts w:hint="eastAsia" w:cs="Times New Roman"/>
                      <w:color w:val="auto"/>
                      <w:lang w:val="en-US" w:eastAsia="zh-CN"/>
                    </w:rPr>
                    <w:t>10</w:t>
                  </w:r>
                  <w:r>
                    <w:rPr>
                      <w:rFonts w:hint="eastAsia" w:cs="Times New Roman"/>
                      <w:bCs/>
                      <w:color w:val="auto"/>
                      <w:sz w:val="21"/>
                      <w:szCs w:val="21"/>
                      <w:lang w:val="en-US" w:eastAsia="zh-CN"/>
                    </w:rPr>
                    <w:t>t/a</w:t>
                  </w:r>
                </w:p>
              </w:tc>
              <w:tc>
                <w:tcPr>
                  <w:tcW w:w="508" w:type="pct"/>
                  <w:tcBorders>
                    <w:tl2br w:val="nil"/>
                    <w:tr2bl w:val="nil"/>
                  </w:tcBorders>
                  <w:noWrap/>
                  <w:vAlign w:val="top"/>
                </w:tcPr>
                <w:p w14:paraId="6EC2CE47">
                  <w:pPr>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lang w:val="en-US" w:eastAsia="zh-CN"/>
                    </w:rPr>
                    <w:t>1t</w:t>
                  </w:r>
                </w:p>
              </w:tc>
              <w:tc>
                <w:tcPr>
                  <w:tcW w:w="440" w:type="pct"/>
                  <w:tcBorders>
                    <w:tl2br w:val="nil"/>
                    <w:tr2bl w:val="nil"/>
                  </w:tcBorders>
                  <w:noWrap/>
                  <w:vAlign w:val="center"/>
                </w:tcPr>
                <w:p w14:paraId="0CFF2E87">
                  <w:pPr>
                    <w:spacing w:beforeLines="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固态</w:t>
                  </w:r>
                </w:p>
              </w:tc>
              <w:tc>
                <w:tcPr>
                  <w:tcW w:w="681" w:type="pct"/>
                  <w:tcBorders>
                    <w:tl2br w:val="nil"/>
                    <w:tr2bl w:val="nil"/>
                  </w:tcBorders>
                  <w:noWrap/>
                  <w:vAlign w:val="center"/>
                </w:tcPr>
                <w:p w14:paraId="1EA8AAEF">
                  <w:pPr>
                    <w:spacing w:beforeLines="0" w:line="240" w:lineRule="auto"/>
                    <w:jc w:val="center"/>
                    <w:rPr>
                      <w:rFonts w:hint="eastAsia" w:cs="Times New Roman"/>
                      <w:bCs/>
                      <w:color w:val="auto"/>
                      <w:sz w:val="21"/>
                      <w:szCs w:val="21"/>
                      <w:highlight w:val="none"/>
                      <w:lang w:val="en-US" w:eastAsia="zh-CN"/>
                    </w:rPr>
                  </w:pPr>
                  <w:r>
                    <w:rPr>
                      <w:rFonts w:hint="eastAsia" w:cs="Times New Roman"/>
                      <w:bCs/>
                      <w:color w:val="auto"/>
                      <w:sz w:val="21"/>
                      <w:szCs w:val="21"/>
                      <w:lang w:val="en-US" w:eastAsia="zh-CN"/>
                    </w:rPr>
                    <w:t>50kg/袋装</w:t>
                  </w:r>
                </w:p>
              </w:tc>
              <w:tc>
                <w:tcPr>
                  <w:tcW w:w="453" w:type="pct"/>
                  <w:tcBorders>
                    <w:tl2br w:val="nil"/>
                    <w:tr2bl w:val="nil"/>
                  </w:tcBorders>
                  <w:noWrap/>
                  <w:vAlign w:val="center"/>
                </w:tcPr>
                <w:p w14:paraId="1CD89CA4">
                  <w:pPr>
                    <w:spacing w:beforeLines="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辅料</w:t>
                  </w:r>
                  <w:r>
                    <w:rPr>
                      <w:rFonts w:hint="eastAsia" w:cs="Times New Roman"/>
                      <w:bCs/>
                      <w:color w:val="auto"/>
                      <w:sz w:val="21"/>
                      <w:szCs w:val="21"/>
                      <w:highlight w:val="none"/>
                      <w:lang w:val="en-US" w:eastAsia="zh-CN"/>
                    </w:rPr>
                    <w:t>区</w:t>
                  </w:r>
                </w:p>
              </w:tc>
            </w:tr>
            <w:tr w14:paraId="320FC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23" w:type="pct"/>
                  <w:vMerge w:val="continue"/>
                  <w:tcBorders>
                    <w:tl2br w:val="nil"/>
                    <w:tr2bl w:val="nil"/>
                  </w:tcBorders>
                  <w:noWrap/>
                  <w:vAlign w:val="center"/>
                </w:tcPr>
                <w:p w14:paraId="19FB8659">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29B3136A">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PP</w:t>
                  </w:r>
                </w:p>
              </w:tc>
              <w:tc>
                <w:tcPr>
                  <w:tcW w:w="595" w:type="pct"/>
                  <w:tcBorders>
                    <w:tl2br w:val="nil"/>
                    <w:tr2bl w:val="nil"/>
                  </w:tcBorders>
                  <w:noWrap/>
                  <w:vAlign w:val="center"/>
                </w:tcPr>
                <w:p w14:paraId="370B7C0D">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3C1C6DEF">
                  <w:pPr>
                    <w:spacing w:beforeLines="0"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w:t>
                  </w:r>
                  <w:r>
                    <w:rPr>
                      <w:rFonts w:hint="eastAsia" w:cs="Times New Roman"/>
                      <w:bCs/>
                      <w:color w:val="auto"/>
                      <w:sz w:val="21"/>
                      <w:szCs w:val="21"/>
                      <w:lang w:val="en-US" w:eastAsia="zh-CN"/>
                    </w:rPr>
                    <w:t>t/a</w:t>
                  </w:r>
                </w:p>
              </w:tc>
              <w:tc>
                <w:tcPr>
                  <w:tcW w:w="672" w:type="pct"/>
                  <w:tcBorders>
                    <w:tl2br w:val="nil"/>
                    <w:tr2bl w:val="nil"/>
                  </w:tcBorders>
                  <w:noWrap/>
                  <w:vAlign w:val="center"/>
                </w:tcPr>
                <w:p w14:paraId="3591ECCC">
                  <w:pPr>
                    <w:spacing w:beforeLines="0"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w:t>
                  </w:r>
                  <w:r>
                    <w:rPr>
                      <w:rFonts w:hint="eastAsia" w:cs="Times New Roman"/>
                      <w:bCs/>
                      <w:color w:val="auto"/>
                      <w:sz w:val="21"/>
                      <w:szCs w:val="21"/>
                      <w:lang w:val="en-US" w:eastAsia="zh-CN"/>
                    </w:rPr>
                    <w:t>t/a</w:t>
                  </w:r>
                </w:p>
              </w:tc>
              <w:tc>
                <w:tcPr>
                  <w:tcW w:w="508" w:type="pct"/>
                  <w:tcBorders>
                    <w:tl2br w:val="nil"/>
                    <w:tr2bl w:val="nil"/>
                  </w:tcBorders>
                  <w:noWrap/>
                  <w:vAlign w:val="top"/>
                </w:tcPr>
                <w:p w14:paraId="4FFE783B">
                  <w:pPr>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lang w:val="en-US" w:eastAsia="zh-CN"/>
                    </w:rPr>
                    <w:t>1t</w:t>
                  </w:r>
                </w:p>
              </w:tc>
              <w:tc>
                <w:tcPr>
                  <w:tcW w:w="440" w:type="pct"/>
                  <w:tcBorders>
                    <w:tl2br w:val="nil"/>
                    <w:tr2bl w:val="nil"/>
                  </w:tcBorders>
                  <w:noWrap/>
                  <w:vAlign w:val="center"/>
                </w:tcPr>
                <w:p w14:paraId="5A1EBBE4">
                  <w:pPr>
                    <w:spacing w:beforeLines="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固态</w:t>
                  </w:r>
                </w:p>
              </w:tc>
              <w:tc>
                <w:tcPr>
                  <w:tcW w:w="681" w:type="pct"/>
                  <w:tcBorders>
                    <w:tl2br w:val="nil"/>
                    <w:tr2bl w:val="nil"/>
                  </w:tcBorders>
                  <w:noWrap/>
                  <w:vAlign w:val="center"/>
                </w:tcPr>
                <w:p w14:paraId="641E887E">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lang w:val="en-US" w:eastAsia="zh-CN"/>
                    </w:rPr>
                    <w:t>50kg/袋装</w:t>
                  </w:r>
                </w:p>
              </w:tc>
              <w:tc>
                <w:tcPr>
                  <w:tcW w:w="453" w:type="pct"/>
                  <w:tcBorders>
                    <w:tl2br w:val="nil"/>
                    <w:tr2bl w:val="nil"/>
                  </w:tcBorders>
                  <w:noWrap/>
                  <w:vAlign w:val="center"/>
                </w:tcPr>
                <w:p w14:paraId="25EC8239">
                  <w:pPr>
                    <w:spacing w:beforeLines="0"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7317E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523" w:type="pct"/>
                  <w:vMerge w:val="continue"/>
                  <w:tcBorders>
                    <w:tl2br w:val="nil"/>
                    <w:tr2bl w:val="nil"/>
                  </w:tcBorders>
                  <w:noWrap/>
                  <w:vAlign w:val="center"/>
                </w:tcPr>
                <w:p w14:paraId="5039E9E8">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2974C867">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色母</w:t>
                  </w:r>
                </w:p>
              </w:tc>
              <w:tc>
                <w:tcPr>
                  <w:tcW w:w="595" w:type="pct"/>
                  <w:tcBorders>
                    <w:tl2br w:val="nil"/>
                    <w:tr2bl w:val="nil"/>
                  </w:tcBorders>
                  <w:noWrap/>
                  <w:vAlign w:val="center"/>
                </w:tcPr>
                <w:p w14:paraId="49FF4578">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59B9C057">
                  <w:pPr>
                    <w:spacing w:beforeLines="0" w:line="240" w:lineRule="auto"/>
                    <w:jc w:val="center"/>
                    <w:rPr>
                      <w:rFonts w:hint="eastAsia" w:cs="Times New Roman"/>
                      <w:color w:val="auto"/>
                      <w:lang w:val="en-US" w:eastAsia="zh-CN"/>
                    </w:rPr>
                  </w:pPr>
                  <w:r>
                    <w:rPr>
                      <w:rFonts w:hint="eastAsia" w:cs="Times New Roman"/>
                      <w:color w:val="auto"/>
                      <w:lang w:val="en-US" w:eastAsia="zh-CN"/>
                    </w:rPr>
                    <w:t>0.4</w:t>
                  </w:r>
                  <w:r>
                    <w:rPr>
                      <w:rFonts w:hint="eastAsia" w:cs="Times New Roman"/>
                      <w:bCs/>
                      <w:color w:val="auto"/>
                      <w:sz w:val="21"/>
                      <w:szCs w:val="21"/>
                      <w:lang w:val="en-US" w:eastAsia="zh-CN"/>
                    </w:rPr>
                    <w:t>t/a</w:t>
                  </w:r>
                </w:p>
              </w:tc>
              <w:tc>
                <w:tcPr>
                  <w:tcW w:w="672" w:type="pct"/>
                  <w:tcBorders>
                    <w:tl2br w:val="nil"/>
                    <w:tr2bl w:val="nil"/>
                  </w:tcBorders>
                  <w:noWrap/>
                  <w:vAlign w:val="center"/>
                </w:tcPr>
                <w:p w14:paraId="6D369010">
                  <w:pPr>
                    <w:spacing w:beforeLines="0" w:line="240" w:lineRule="auto"/>
                    <w:jc w:val="center"/>
                    <w:rPr>
                      <w:rFonts w:hint="eastAsia" w:cs="Times New Roman"/>
                      <w:color w:val="auto"/>
                      <w:lang w:val="en-US" w:eastAsia="zh-CN"/>
                    </w:rPr>
                  </w:pPr>
                  <w:r>
                    <w:rPr>
                      <w:rFonts w:hint="eastAsia" w:cs="Times New Roman"/>
                      <w:color w:val="auto"/>
                      <w:lang w:val="en-US" w:eastAsia="zh-CN"/>
                    </w:rPr>
                    <w:t>0.4</w:t>
                  </w:r>
                  <w:r>
                    <w:rPr>
                      <w:rFonts w:hint="eastAsia" w:cs="Times New Roman"/>
                      <w:bCs/>
                      <w:color w:val="auto"/>
                      <w:sz w:val="21"/>
                      <w:szCs w:val="21"/>
                      <w:lang w:val="en-US" w:eastAsia="zh-CN"/>
                    </w:rPr>
                    <w:t>t/a</w:t>
                  </w:r>
                </w:p>
              </w:tc>
              <w:tc>
                <w:tcPr>
                  <w:tcW w:w="508" w:type="pct"/>
                  <w:tcBorders>
                    <w:tl2br w:val="nil"/>
                    <w:tr2bl w:val="nil"/>
                  </w:tcBorders>
                  <w:noWrap/>
                  <w:vAlign w:val="top"/>
                </w:tcPr>
                <w:p w14:paraId="0EBBEFEC">
                  <w:pPr>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0.02</w:t>
                  </w:r>
                  <w:r>
                    <w:rPr>
                      <w:rFonts w:hint="default" w:ascii="Times New Roman" w:hAnsi="Times New Roman" w:cs="Times New Roman"/>
                      <w:bCs/>
                      <w:color w:val="auto"/>
                      <w:sz w:val="21"/>
                      <w:szCs w:val="21"/>
                      <w:lang w:val="en-US" w:eastAsia="zh-CN"/>
                    </w:rPr>
                    <w:t>t</w:t>
                  </w:r>
                </w:p>
              </w:tc>
              <w:tc>
                <w:tcPr>
                  <w:tcW w:w="440" w:type="pct"/>
                  <w:tcBorders>
                    <w:tl2br w:val="nil"/>
                    <w:tr2bl w:val="nil"/>
                  </w:tcBorders>
                  <w:noWrap/>
                  <w:vAlign w:val="center"/>
                </w:tcPr>
                <w:p w14:paraId="185AFBEF">
                  <w:pPr>
                    <w:spacing w:beforeLines="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highlight w:val="none"/>
                      <w:lang w:val="en-US" w:eastAsia="zh-CN"/>
                    </w:rPr>
                    <w:t>固态</w:t>
                  </w:r>
                </w:p>
              </w:tc>
              <w:tc>
                <w:tcPr>
                  <w:tcW w:w="681" w:type="pct"/>
                  <w:tcBorders>
                    <w:tl2br w:val="nil"/>
                    <w:tr2bl w:val="nil"/>
                  </w:tcBorders>
                  <w:noWrap/>
                  <w:vAlign w:val="center"/>
                </w:tcPr>
                <w:p w14:paraId="78475722">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20kg/袋装</w:t>
                  </w:r>
                </w:p>
              </w:tc>
              <w:tc>
                <w:tcPr>
                  <w:tcW w:w="453" w:type="pct"/>
                  <w:tcBorders>
                    <w:tl2br w:val="nil"/>
                    <w:tr2bl w:val="nil"/>
                  </w:tcBorders>
                  <w:noWrap/>
                  <w:vAlign w:val="center"/>
                </w:tcPr>
                <w:p w14:paraId="00F37881">
                  <w:pPr>
                    <w:spacing w:beforeLines="0"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42217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8" w:hRule="atLeast"/>
              </w:trPr>
              <w:tc>
                <w:tcPr>
                  <w:tcW w:w="523" w:type="pct"/>
                  <w:vMerge w:val="restart"/>
                  <w:tcBorders>
                    <w:tl2br w:val="nil"/>
                    <w:tr2bl w:val="nil"/>
                  </w:tcBorders>
                  <w:noWrap/>
                  <w:vAlign w:val="center"/>
                </w:tcPr>
                <w:p w14:paraId="06EA0B34">
                  <w:pPr>
                    <w:spacing w:beforeLines="0"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下卡条</w:t>
                  </w:r>
                </w:p>
              </w:tc>
              <w:tc>
                <w:tcPr>
                  <w:tcW w:w="529" w:type="pct"/>
                  <w:tcBorders>
                    <w:tl2br w:val="nil"/>
                    <w:tr2bl w:val="nil"/>
                  </w:tcBorders>
                  <w:noWrap/>
                  <w:vAlign w:val="center"/>
                </w:tcPr>
                <w:p w14:paraId="76501AD5">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PP</w:t>
                  </w:r>
                </w:p>
              </w:tc>
              <w:tc>
                <w:tcPr>
                  <w:tcW w:w="595" w:type="pct"/>
                  <w:tcBorders>
                    <w:tl2br w:val="nil"/>
                    <w:tr2bl w:val="nil"/>
                  </w:tcBorders>
                  <w:noWrap/>
                  <w:vAlign w:val="center"/>
                </w:tcPr>
                <w:p w14:paraId="5A818685">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755E5F99">
                  <w:pPr>
                    <w:spacing w:beforeLines="0" w:line="240" w:lineRule="auto"/>
                    <w:jc w:val="center"/>
                    <w:rPr>
                      <w:rFonts w:hint="eastAsia" w:cs="Times New Roman"/>
                      <w:color w:val="auto"/>
                      <w:lang w:val="en-US" w:eastAsia="zh-CN"/>
                    </w:rPr>
                  </w:pPr>
                  <w:r>
                    <w:rPr>
                      <w:rFonts w:hint="eastAsia" w:cs="Times New Roman"/>
                      <w:color w:val="auto"/>
                      <w:lang w:val="en-US" w:eastAsia="zh-CN"/>
                    </w:rPr>
                    <w:t>400</w:t>
                  </w:r>
                  <w:r>
                    <w:rPr>
                      <w:rFonts w:hint="eastAsia" w:cs="Times New Roman"/>
                      <w:bCs/>
                      <w:color w:val="auto"/>
                      <w:sz w:val="21"/>
                      <w:szCs w:val="21"/>
                      <w:lang w:val="en-US" w:eastAsia="zh-CN"/>
                    </w:rPr>
                    <w:t>t/a</w:t>
                  </w:r>
                </w:p>
              </w:tc>
              <w:tc>
                <w:tcPr>
                  <w:tcW w:w="672" w:type="pct"/>
                  <w:tcBorders>
                    <w:tl2br w:val="nil"/>
                    <w:tr2bl w:val="nil"/>
                  </w:tcBorders>
                  <w:noWrap/>
                  <w:vAlign w:val="center"/>
                </w:tcPr>
                <w:p w14:paraId="2600C90D">
                  <w:pPr>
                    <w:spacing w:beforeLines="0" w:line="240" w:lineRule="auto"/>
                    <w:jc w:val="center"/>
                    <w:rPr>
                      <w:rFonts w:hint="eastAsia" w:cs="Times New Roman"/>
                      <w:color w:val="auto"/>
                      <w:lang w:val="en-US" w:eastAsia="zh-CN"/>
                    </w:rPr>
                  </w:pPr>
                  <w:r>
                    <w:rPr>
                      <w:rFonts w:hint="eastAsia" w:cs="Times New Roman"/>
                      <w:color w:val="auto"/>
                      <w:lang w:val="en-US" w:eastAsia="zh-CN"/>
                    </w:rPr>
                    <w:t>400</w:t>
                  </w:r>
                  <w:r>
                    <w:rPr>
                      <w:rFonts w:hint="eastAsia" w:cs="Times New Roman"/>
                      <w:bCs/>
                      <w:color w:val="auto"/>
                      <w:sz w:val="21"/>
                      <w:szCs w:val="21"/>
                      <w:lang w:val="en-US" w:eastAsia="zh-CN"/>
                    </w:rPr>
                    <w:t>t/a</w:t>
                  </w:r>
                </w:p>
              </w:tc>
              <w:tc>
                <w:tcPr>
                  <w:tcW w:w="508" w:type="pct"/>
                  <w:tcBorders>
                    <w:tl2br w:val="nil"/>
                    <w:tr2bl w:val="nil"/>
                  </w:tcBorders>
                  <w:noWrap/>
                  <w:vAlign w:val="top"/>
                </w:tcPr>
                <w:p w14:paraId="5541CCA1">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eastAsiaTheme="minorEastAsia"/>
                      <w:color w:val="auto"/>
                      <w:spacing w:val="0"/>
                      <w:sz w:val="21"/>
                      <w:szCs w:val="21"/>
                      <w:vertAlign w:val="baseline"/>
                      <w:lang w:val="en-US" w:eastAsia="zh-CN"/>
                    </w:rPr>
                  </w:pPr>
                  <w:r>
                    <w:rPr>
                      <w:rFonts w:hint="default" w:ascii="Times New Roman" w:hAnsi="Times New Roman" w:cs="Times New Roman" w:eastAsiaTheme="minorEastAsia"/>
                      <w:color w:val="auto"/>
                      <w:spacing w:val="0"/>
                      <w:sz w:val="21"/>
                      <w:szCs w:val="21"/>
                      <w:vertAlign w:val="baseline"/>
                      <w:lang w:val="en-US" w:eastAsia="zh-CN"/>
                    </w:rPr>
                    <w:t>10</w:t>
                  </w:r>
                  <w:r>
                    <w:rPr>
                      <w:rFonts w:hint="default" w:ascii="Times New Roman" w:hAnsi="Times New Roman" w:cs="Times New Roman"/>
                      <w:bCs/>
                      <w:color w:val="auto"/>
                      <w:sz w:val="21"/>
                      <w:szCs w:val="21"/>
                      <w:lang w:val="en-US" w:eastAsia="zh-CN"/>
                    </w:rPr>
                    <w:t>t</w:t>
                  </w:r>
                </w:p>
              </w:tc>
              <w:tc>
                <w:tcPr>
                  <w:tcW w:w="440" w:type="pct"/>
                  <w:tcBorders>
                    <w:tl2br w:val="nil"/>
                    <w:tr2bl w:val="nil"/>
                  </w:tcBorders>
                  <w:noWrap/>
                  <w:vAlign w:val="center"/>
                </w:tcPr>
                <w:p w14:paraId="0BF3D3D9">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highlight w:val="none"/>
                      <w:lang w:val="en-US" w:eastAsia="zh-CN"/>
                    </w:rPr>
                    <w:t>固态</w:t>
                  </w:r>
                </w:p>
              </w:tc>
              <w:tc>
                <w:tcPr>
                  <w:tcW w:w="681" w:type="pct"/>
                  <w:tcBorders>
                    <w:tl2br w:val="nil"/>
                    <w:tr2bl w:val="nil"/>
                  </w:tcBorders>
                  <w:noWrap/>
                  <w:vAlign w:val="center"/>
                </w:tcPr>
                <w:p w14:paraId="1E9554F7">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lang w:val="en-US" w:eastAsia="zh-CN"/>
                    </w:rPr>
                    <w:t>25kg/袋装</w:t>
                  </w:r>
                </w:p>
              </w:tc>
              <w:tc>
                <w:tcPr>
                  <w:tcW w:w="453" w:type="pct"/>
                  <w:tcBorders>
                    <w:tl2br w:val="nil"/>
                    <w:tr2bl w:val="nil"/>
                  </w:tcBorders>
                  <w:noWrap/>
                  <w:vAlign w:val="center"/>
                </w:tcPr>
                <w:p w14:paraId="57F3F155">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2DABA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00CD5C8B">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25A37387">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TPV</w:t>
                  </w:r>
                </w:p>
              </w:tc>
              <w:tc>
                <w:tcPr>
                  <w:tcW w:w="595" w:type="pct"/>
                  <w:tcBorders>
                    <w:tl2br w:val="nil"/>
                    <w:tr2bl w:val="nil"/>
                  </w:tcBorders>
                  <w:noWrap/>
                  <w:vAlign w:val="center"/>
                </w:tcPr>
                <w:p w14:paraId="00BE9070">
                  <w:pPr>
                    <w:spacing w:beforeLines="0" w:line="240" w:lineRule="auto"/>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136922CF">
                  <w:pPr>
                    <w:spacing w:beforeLines="0" w:line="240" w:lineRule="auto"/>
                    <w:jc w:val="center"/>
                    <w:rPr>
                      <w:rFonts w:hint="eastAsia" w:cs="Times New Roman"/>
                      <w:color w:val="auto"/>
                      <w:lang w:val="en-US" w:eastAsia="zh-CN"/>
                    </w:rPr>
                  </w:pPr>
                  <w:r>
                    <w:rPr>
                      <w:rFonts w:hint="eastAsia" w:cs="Times New Roman"/>
                      <w:color w:val="auto"/>
                      <w:lang w:val="en-US" w:eastAsia="zh-CN"/>
                    </w:rPr>
                    <w:t>200</w:t>
                  </w:r>
                  <w:r>
                    <w:rPr>
                      <w:rFonts w:hint="eastAsia" w:cs="Times New Roman"/>
                      <w:bCs/>
                      <w:color w:val="auto"/>
                      <w:sz w:val="21"/>
                      <w:szCs w:val="21"/>
                      <w:lang w:val="en-US" w:eastAsia="zh-CN"/>
                    </w:rPr>
                    <w:t>t/a</w:t>
                  </w:r>
                </w:p>
              </w:tc>
              <w:tc>
                <w:tcPr>
                  <w:tcW w:w="672" w:type="pct"/>
                  <w:tcBorders>
                    <w:tl2br w:val="nil"/>
                    <w:tr2bl w:val="nil"/>
                  </w:tcBorders>
                  <w:noWrap/>
                  <w:vAlign w:val="center"/>
                </w:tcPr>
                <w:p w14:paraId="3336FC1E">
                  <w:pPr>
                    <w:spacing w:beforeLines="0" w:line="240" w:lineRule="auto"/>
                    <w:jc w:val="center"/>
                    <w:rPr>
                      <w:rFonts w:hint="eastAsia" w:cs="Times New Roman"/>
                      <w:color w:val="auto"/>
                      <w:lang w:val="en-US" w:eastAsia="zh-CN"/>
                    </w:rPr>
                  </w:pPr>
                  <w:r>
                    <w:rPr>
                      <w:rFonts w:hint="eastAsia" w:cs="Times New Roman"/>
                      <w:color w:val="auto"/>
                      <w:lang w:val="en-US" w:eastAsia="zh-CN"/>
                    </w:rPr>
                    <w:t>200</w:t>
                  </w:r>
                  <w:r>
                    <w:rPr>
                      <w:rFonts w:hint="eastAsia" w:cs="Times New Roman"/>
                      <w:bCs/>
                      <w:color w:val="auto"/>
                      <w:sz w:val="21"/>
                      <w:szCs w:val="21"/>
                      <w:lang w:val="en-US" w:eastAsia="zh-CN"/>
                    </w:rPr>
                    <w:t>t/a</w:t>
                  </w:r>
                </w:p>
              </w:tc>
              <w:tc>
                <w:tcPr>
                  <w:tcW w:w="508" w:type="pct"/>
                  <w:tcBorders>
                    <w:tl2br w:val="nil"/>
                    <w:tr2bl w:val="nil"/>
                  </w:tcBorders>
                  <w:noWrap/>
                  <w:vAlign w:val="top"/>
                </w:tcPr>
                <w:p w14:paraId="59B5B766">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eastAsiaTheme="minorEastAsia"/>
                      <w:color w:val="auto"/>
                      <w:spacing w:val="0"/>
                      <w:sz w:val="21"/>
                      <w:szCs w:val="21"/>
                      <w:vertAlign w:val="baseline"/>
                      <w:lang w:val="en-US" w:eastAsia="zh-CN"/>
                    </w:rPr>
                  </w:pPr>
                  <w:r>
                    <w:rPr>
                      <w:rFonts w:hint="default" w:ascii="Times New Roman" w:hAnsi="Times New Roman" w:cs="Times New Roman" w:eastAsiaTheme="minorEastAsia"/>
                      <w:color w:val="auto"/>
                      <w:spacing w:val="0"/>
                      <w:sz w:val="21"/>
                      <w:szCs w:val="21"/>
                      <w:vertAlign w:val="baseline"/>
                      <w:lang w:val="en-US" w:eastAsia="zh-CN"/>
                    </w:rPr>
                    <w:t>10</w:t>
                  </w:r>
                  <w:r>
                    <w:rPr>
                      <w:rFonts w:hint="default" w:ascii="Times New Roman" w:hAnsi="Times New Roman" w:cs="Times New Roman"/>
                      <w:bCs/>
                      <w:color w:val="auto"/>
                      <w:sz w:val="21"/>
                      <w:szCs w:val="21"/>
                      <w:lang w:val="en-US" w:eastAsia="zh-CN"/>
                    </w:rPr>
                    <w:t>t</w:t>
                  </w:r>
                </w:p>
              </w:tc>
              <w:tc>
                <w:tcPr>
                  <w:tcW w:w="440" w:type="pct"/>
                  <w:tcBorders>
                    <w:tl2br w:val="nil"/>
                    <w:tr2bl w:val="nil"/>
                  </w:tcBorders>
                  <w:noWrap/>
                  <w:vAlign w:val="center"/>
                </w:tcPr>
                <w:p w14:paraId="5270933D">
                  <w:pPr>
                    <w:spacing w:beforeLines="0" w:line="240" w:lineRule="auto"/>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highlight w:val="none"/>
                      <w:lang w:val="en-US" w:eastAsia="zh-CN"/>
                    </w:rPr>
                    <w:t>固态</w:t>
                  </w:r>
                </w:p>
              </w:tc>
              <w:tc>
                <w:tcPr>
                  <w:tcW w:w="681" w:type="pct"/>
                  <w:tcBorders>
                    <w:tl2br w:val="nil"/>
                    <w:tr2bl w:val="nil"/>
                  </w:tcBorders>
                  <w:noWrap/>
                  <w:vAlign w:val="center"/>
                </w:tcPr>
                <w:p w14:paraId="40F0344E">
                  <w:pPr>
                    <w:spacing w:beforeLines="0" w:line="240" w:lineRule="auto"/>
                    <w:jc w:val="center"/>
                    <w:rPr>
                      <w:rFonts w:hint="eastAsia" w:cs="Times New Roman"/>
                      <w:bCs/>
                      <w:color w:val="auto"/>
                      <w:sz w:val="21"/>
                      <w:szCs w:val="21"/>
                      <w:highlight w:val="none"/>
                      <w:lang w:val="en-US" w:eastAsia="zh-CN"/>
                    </w:rPr>
                  </w:pPr>
                  <w:r>
                    <w:rPr>
                      <w:rFonts w:hint="eastAsia" w:cs="Times New Roman"/>
                      <w:bCs/>
                      <w:color w:val="auto"/>
                      <w:sz w:val="21"/>
                      <w:szCs w:val="21"/>
                      <w:lang w:val="en-US" w:eastAsia="zh-CN"/>
                    </w:rPr>
                    <w:t>25kg/桶装</w:t>
                  </w:r>
                </w:p>
              </w:tc>
              <w:tc>
                <w:tcPr>
                  <w:tcW w:w="453" w:type="pct"/>
                  <w:tcBorders>
                    <w:tl2br w:val="nil"/>
                    <w:tr2bl w:val="nil"/>
                  </w:tcBorders>
                  <w:noWrap/>
                  <w:vAlign w:val="center"/>
                </w:tcPr>
                <w:p w14:paraId="689ED6FE">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辅料</w:t>
                  </w:r>
                  <w:r>
                    <w:rPr>
                      <w:rFonts w:hint="eastAsia" w:cs="Times New Roman"/>
                      <w:bCs/>
                      <w:color w:val="auto"/>
                      <w:sz w:val="21"/>
                      <w:szCs w:val="21"/>
                      <w:highlight w:val="none"/>
                      <w:lang w:val="en-US" w:eastAsia="zh-CN"/>
                    </w:rPr>
                    <w:t>区</w:t>
                  </w:r>
                </w:p>
              </w:tc>
            </w:tr>
            <w:tr w14:paraId="1453A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3736ECF7">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0FC35EF2">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铝带</w:t>
                  </w:r>
                </w:p>
              </w:tc>
              <w:tc>
                <w:tcPr>
                  <w:tcW w:w="595" w:type="pct"/>
                  <w:tcBorders>
                    <w:tl2br w:val="nil"/>
                    <w:tr2bl w:val="nil"/>
                  </w:tcBorders>
                  <w:noWrap/>
                  <w:vAlign w:val="center"/>
                </w:tcPr>
                <w:p w14:paraId="646F3CC5">
                  <w:pPr>
                    <w:spacing w:beforeLines="0" w:line="240" w:lineRule="auto"/>
                    <w:jc w:val="center"/>
                    <w:rPr>
                      <w:rFonts w:hint="default" w:cs="Times New Roman"/>
                      <w:color w:val="auto"/>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30099D6B">
                  <w:pPr>
                    <w:spacing w:beforeLines="0" w:line="240" w:lineRule="auto"/>
                    <w:jc w:val="center"/>
                    <w:rPr>
                      <w:rFonts w:hint="eastAsia" w:cs="Times New Roman"/>
                      <w:color w:val="auto"/>
                      <w:lang w:val="en-US" w:eastAsia="zh-CN"/>
                    </w:rPr>
                  </w:pPr>
                  <w:r>
                    <w:rPr>
                      <w:rFonts w:hint="eastAsia" w:cs="Times New Roman"/>
                      <w:color w:val="auto"/>
                      <w:lang w:val="en-US" w:eastAsia="zh-CN"/>
                    </w:rPr>
                    <w:t>80</w:t>
                  </w:r>
                  <w:r>
                    <w:rPr>
                      <w:rFonts w:hint="eastAsia" w:cs="Times New Roman"/>
                      <w:bCs/>
                      <w:color w:val="auto"/>
                      <w:sz w:val="21"/>
                      <w:szCs w:val="21"/>
                      <w:lang w:val="en-US" w:eastAsia="zh-CN"/>
                    </w:rPr>
                    <w:t>t/a</w:t>
                  </w:r>
                </w:p>
              </w:tc>
              <w:tc>
                <w:tcPr>
                  <w:tcW w:w="672" w:type="pct"/>
                  <w:tcBorders>
                    <w:tl2br w:val="nil"/>
                    <w:tr2bl w:val="nil"/>
                  </w:tcBorders>
                  <w:noWrap/>
                  <w:vAlign w:val="center"/>
                </w:tcPr>
                <w:p w14:paraId="1C91C61A">
                  <w:pPr>
                    <w:spacing w:beforeLines="0" w:line="240" w:lineRule="auto"/>
                    <w:jc w:val="center"/>
                    <w:rPr>
                      <w:rFonts w:hint="eastAsia" w:cs="Times New Roman"/>
                      <w:color w:val="auto"/>
                      <w:lang w:val="en-US" w:eastAsia="zh-CN"/>
                    </w:rPr>
                  </w:pPr>
                  <w:r>
                    <w:rPr>
                      <w:rFonts w:hint="eastAsia" w:cs="Times New Roman"/>
                      <w:color w:val="auto"/>
                      <w:lang w:val="en-US" w:eastAsia="zh-CN"/>
                    </w:rPr>
                    <w:t>80</w:t>
                  </w:r>
                  <w:r>
                    <w:rPr>
                      <w:rFonts w:hint="eastAsia" w:cs="Times New Roman"/>
                      <w:bCs/>
                      <w:color w:val="auto"/>
                      <w:sz w:val="21"/>
                      <w:szCs w:val="21"/>
                      <w:lang w:val="en-US" w:eastAsia="zh-CN"/>
                    </w:rPr>
                    <w:t>t/a</w:t>
                  </w:r>
                </w:p>
              </w:tc>
              <w:tc>
                <w:tcPr>
                  <w:tcW w:w="508" w:type="pct"/>
                  <w:tcBorders>
                    <w:tl2br w:val="nil"/>
                    <w:tr2bl w:val="nil"/>
                  </w:tcBorders>
                  <w:noWrap/>
                  <w:vAlign w:val="top"/>
                </w:tcPr>
                <w:p w14:paraId="31921C01">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eastAsiaTheme="minorEastAsia"/>
                      <w:color w:val="auto"/>
                      <w:spacing w:val="0"/>
                      <w:sz w:val="21"/>
                      <w:szCs w:val="21"/>
                      <w:vertAlign w:val="baseline"/>
                      <w:lang w:val="en-US" w:eastAsia="zh-CN"/>
                    </w:rPr>
                  </w:pPr>
                  <w:r>
                    <w:rPr>
                      <w:rFonts w:hint="eastAsia" w:ascii="Times New Roman" w:hAnsi="Times New Roman" w:cs="Times New Roman" w:eastAsiaTheme="minorEastAsia"/>
                      <w:color w:val="auto"/>
                      <w:spacing w:val="0"/>
                      <w:sz w:val="21"/>
                      <w:szCs w:val="21"/>
                      <w:vertAlign w:val="baseline"/>
                      <w:lang w:val="en-US" w:eastAsia="zh-CN"/>
                    </w:rPr>
                    <w:t>8t</w:t>
                  </w:r>
                </w:p>
              </w:tc>
              <w:tc>
                <w:tcPr>
                  <w:tcW w:w="440" w:type="pct"/>
                  <w:tcBorders>
                    <w:tl2br w:val="nil"/>
                    <w:tr2bl w:val="nil"/>
                  </w:tcBorders>
                  <w:noWrap/>
                  <w:vAlign w:val="center"/>
                </w:tcPr>
                <w:p w14:paraId="714C801D">
                  <w:pPr>
                    <w:spacing w:beforeLines="0" w:line="240" w:lineRule="auto"/>
                    <w:jc w:val="center"/>
                    <w:rPr>
                      <w:rFonts w:hint="eastAsia"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固态</w:t>
                  </w:r>
                </w:p>
              </w:tc>
              <w:tc>
                <w:tcPr>
                  <w:tcW w:w="681" w:type="pct"/>
                  <w:tcBorders>
                    <w:tl2br w:val="nil"/>
                    <w:tr2bl w:val="nil"/>
                  </w:tcBorders>
                  <w:noWrap/>
                  <w:vAlign w:val="center"/>
                </w:tcPr>
                <w:p w14:paraId="01ADDA63">
                  <w:pPr>
                    <w:spacing w:beforeLines="0" w:line="240" w:lineRule="auto"/>
                    <w:jc w:val="center"/>
                    <w:rPr>
                      <w:rFonts w:hint="default" w:cs="Times New Roman"/>
                      <w:bCs/>
                      <w:color w:val="auto"/>
                      <w:sz w:val="21"/>
                      <w:szCs w:val="21"/>
                      <w:lang w:val="en-US" w:eastAsia="zh-CN"/>
                    </w:rPr>
                  </w:pPr>
                  <w:r>
                    <w:rPr>
                      <w:rFonts w:hint="eastAsia" w:cs="Times New Roman"/>
                      <w:bCs/>
                      <w:color w:val="auto"/>
                      <w:sz w:val="21"/>
                      <w:szCs w:val="21"/>
                      <w:lang w:val="en-US" w:eastAsia="zh-CN"/>
                    </w:rPr>
                    <w:t>4t/捆</w:t>
                  </w:r>
                </w:p>
              </w:tc>
              <w:tc>
                <w:tcPr>
                  <w:tcW w:w="453" w:type="pct"/>
                  <w:tcBorders>
                    <w:tl2br w:val="nil"/>
                    <w:tr2bl w:val="nil"/>
                  </w:tcBorders>
                  <w:noWrap/>
                  <w:vAlign w:val="center"/>
                </w:tcPr>
                <w:p w14:paraId="4DE84750">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653F6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1D8D4B9D">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7A12EE4E">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铝带底涂剂</w:t>
                  </w:r>
                </w:p>
              </w:tc>
              <w:tc>
                <w:tcPr>
                  <w:tcW w:w="595" w:type="pct"/>
                  <w:tcBorders>
                    <w:tl2br w:val="nil"/>
                    <w:tr2bl w:val="nil"/>
                  </w:tcBorders>
                  <w:noWrap/>
                  <w:vAlign w:val="center"/>
                </w:tcPr>
                <w:p w14:paraId="5E6B7484">
                  <w:pPr>
                    <w:spacing w:beforeLines="0" w:line="240" w:lineRule="auto"/>
                    <w:jc w:val="center"/>
                    <w:rPr>
                      <w:rFonts w:hint="default" w:cs="Times New Roman"/>
                      <w:color w:val="auto"/>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78FEFEE9">
                  <w:pPr>
                    <w:spacing w:beforeLines="0" w:line="240" w:lineRule="auto"/>
                    <w:jc w:val="center"/>
                    <w:rPr>
                      <w:rFonts w:hint="eastAsia" w:cs="Times New Roman"/>
                      <w:color w:val="auto"/>
                      <w:lang w:val="en-US" w:eastAsia="zh-CN"/>
                    </w:rPr>
                  </w:pPr>
                  <w:r>
                    <w:rPr>
                      <w:rFonts w:hint="eastAsia" w:cs="Times New Roman"/>
                      <w:color w:val="auto"/>
                      <w:lang w:val="en-US" w:eastAsia="zh-CN"/>
                    </w:rPr>
                    <w:t>0.1</w:t>
                  </w:r>
                  <w:r>
                    <w:rPr>
                      <w:rFonts w:hint="eastAsia" w:cs="Times New Roman"/>
                      <w:bCs/>
                      <w:color w:val="auto"/>
                      <w:sz w:val="21"/>
                      <w:szCs w:val="21"/>
                      <w:lang w:val="en-US" w:eastAsia="zh-CN"/>
                    </w:rPr>
                    <w:t>t/a</w:t>
                  </w:r>
                </w:p>
              </w:tc>
              <w:tc>
                <w:tcPr>
                  <w:tcW w:w="672" w:type="pct"/>
                  <w:tcBorders>
                    <w:tl2br w:val="nil"/>
                    <w:tr2bl w:val="nil"/>
                  </w:tcBorders>
                  <w:noWrap/>
                  <w:vAlign w:val="center"/>
                </w:tcPr>
                <w:p w14:paraId="2183498B">
                  <w:pPr>
                    <w:spacing w:beforeLines="0" w:line="240" w:lineRule="auto"/>
                    <w:jc w:val="center"/>
                    <w:rPr>
                      <w:rFonts w:hint="eastAsia" w:cs="Times New Roman"/>
                      <w:color w:val="auto"/>
                      <w:lang w:val="en-US" w:eastAsia="zh-CN"/>
                    </w:rPr>
                  </w:pPr>
                  <w:r>
                    <w:rPr>
                      <w:rFonts w:hint="eastAsia" w:cs="Times New Roman"/>
                      <w:color w:val="auto"/>
                      <w:lang w:val="en-US" w:eastAsia="zh-CN"/>
                    </w:rPr>
                    <w:t>0.1</w:t>
                  </w:r>
                  <w:r>
                    <w:rPr>
                      <w:rFonts w:hint="eastAsia" w:cs="Times New Roman"/>
                      <w:bCs/>
                      <w:color w:val="auto"/>
                      <w:sz w:val="21"/>
                      <w:szCs w:val="21"/>
                      <w:lang w:val="en-US" w:eastAsia="zh-CN"/>
                    </w:rPr>
                    <w:t>t/a</w:t>
                  </w:r>
                </w:p>
              </w:tc>
              <w:tc>
                <w:tcPr>
                  <w:tcW w:w="508" w:type="pct"/>
                  <w:tcBorders>
                    <w:tl2br w:val="nil"/>
                    <w:tr2bl w:val="nil"/>
                  </w:tcBorders>
                  <w:noWrap/>
                  <w:vAlign w:val="top"/>
                </w:tcPr>
                <w:p w14:paraId="71186DA3">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eastAsiaTheme="minorEastAsia"/>
                      <w:color w:val="auto"/>
                      <w:spacing w:val="0"/>
                      <w:sz w:val="21"/>
                      <w:szCs w:val="21"/>
                      <w:vertAlign w:val="baseline"/>
                      <w:lang w:val="en-US" w:eastAsia="zh-CN"/>
                    </w:rPr>
                  </w:pPr>
                  <w:r>
                    <w:rPr>
                      <w:rFonts w:hint="eastAsia" w:ascii="Times New Roman" w:hAnsi="Times New Roman" w:cs="Times New Roman" w:eastAsiaTheme="minorEastAsia"/>
                      <w:color w:val="auto"/>
                      <w:spacing w:val="0"/>
                      <w:sz w:val="21"/>
                      <w:szCs w:val="21"/>
                      <w:vertAlign w:val="baseline"/>
                      <w:lang w:val="en-US" w:eastAsia="zh-CN"/>
                    </w:rPr>
                    <w:t>0.1t</w:t>
                  </w:r>
                </w:p>
              </w:tc>
              <w:tc>
                <w:tcPr>
                  <w:tcW w:w="440" w:type="pct"/>
                  <w:tcBorders>
                    <w:tl2br w:val="nil"/>
                    <w:tr2bl w:val="nil"/>
                  </w:tcBorders>
                  <w:noWrap/>
                  <w:vAlign w:val="center"/>
                </w:tcPr>
                <w:p w14:paraId="0EEAA39F">
                  <w:pPr>
                    <w:spacing w:beforeLines="0"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半固态</w:t>
                  </w:r>
                </w:p>
              </w:tc>
              <w:tc>
                <w:tcPr>
                  <w:tcW w:w="681" w:type="pct"/>
                  <w:tcBorders>
                    <w:tl2br w:val="nil"/>
                    <w:tr2bl w:val="nil"/>
                  </w:tcBorders>
                  <w:noWrap/>
                  <w:vAlign w:val="center"/>
                </w:tcPr>
                <w:p w14:paraId="3B5C9913">
                  <w:pPr>
                    <w:spacing w:beforeLines="0" w:line="240" w:lineRule="auto"/>
                    <w:jc w:val="center"/>
                    <w:rPr>
                      <w:rFonts w:hint="eastAsia" w:cs="Times New Roman"/>
                      <w:bCs/>
                      <w:color w:val="auto"/>
                      <w:sz w:val="21"/>
                      <w:szCs w:val="21"/>
                      <w:lang w:val="en-US" w:eastAsia="zh-CN"/>
                    </w:rPr>
                  </w:pPr>
                  <w:r>
                    <w:rPr>
                      <w:rFonts w:hint="eastAsia" w:cs="Times New Roman"/>
                      <w:bCs/>
                      <w:color w:val="auto"/>
                      <w:sz w:val="21"/>
                      <w:szCs w:val="21"/>
                      <w:lang w:val="en-US" w:eastAsia="zh-CN"/>
                    </w:rPr>
                    <w:t>25kg/桶装</w:t>
                  </w:r>
                </w:p>
              </w:tc>
              <w:tc>
                <w:tcPr>
                  <w:tcW w:w="453" w:type="pct"/>
                  <w:tcBorders>
                    <w:tl2br w:val="nil"/>
                    <w:tr2bl w:val="nil"/>
                  </w:tcBorders>
                  <w:noWrap/>
                  <w:vAlign w:val="center"/>
                </w:tcPr>
                <w:p w14:paraId="3497E43B">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辅料</w:t>
                  </w:r>
                  <w:r>
                    <w:rPr>
                      <w:rFonts w:hint="eastAsia" w:cs="Times New Roman"/>
                      <w:bCs/>
                      <w:color w:val="auto"/>
                      <w:sz w:val="21"/>
                      <w:szCs w:val="21"/>
                      <w:highlight w:val="none"/>
                      <w:lang w:val="en-US" w:eastAsia="zh-CN"/>
                    </w:rPr>
                    <w:t>区</w:t>
                  </w:r>
                </w:p>
              </w:tc>
            </w:tr>
            <w:tr w14:paraId="7A198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6DCABCB7">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0854FA8F">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PP底涂剂</w:t>
                  </w:r>
                </w:p>
              </w:tc>
              <w:tc>
                <w:tcPr>
                  <w:tcW w:w="595" w:type="pct"/>
                  <w:tcBorders>
                    <w:tl2br w:val="nil"/>
                    <w:tr2bl w:val="nil"/>
                  </w:tcBorders>
                  <w:noWrap/>
                  <w:vAlign w:val="center"/>
                </w:tcPr>
                <w:p w14:paraId="0379EA1B">
                  <w:pPr>
                    <w:spacing w:beforeLines="0" w:line="240" w:lineRule="auto"/>
                    <w:jc w:val="center"/>
                    <w:rPr>
                      <w:rFonts w:hint="default" w:cs="Times New Roman"/>
                      <w:color w:val="auto"/>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2248EDF8">
                  <w:pPr>
                    <w:spacing w:beforeLines="0" w:line="240" w:lineRule="auto"/>
                    <w:jc w:val="center"/>
                    <w:rPr>
                      <w:rFonts w:hint="eastAsia" w:cs="Times New Roman"/>
                      <w:color w:val="auto"/>
                      <w:lang w:val="en-US" w:eastAsia="zh-CN"/>
                    </w:rPr>
                  </w:pPr>
                  <w:r>
                    <w:rPr>
                      <w:rFonts w:hint="eastAsia" w:cs="Times New Roman"/>
                      <w:color w:val="auto"/>
                      <w:lang w:val="en-US" w:eastAsia="zh-CN"/>
                    </w:rPr>
                    <w:t>0.1</w:t>
                  </w:r>
                  <w:r>
                    <w:rPr>
                      <w:rFonts w:hint="eastAsia" w:cs="Times New Roman"/>
                      <w:bCs/>
                      <w:color w:val="auto"/>
                      <w:sz w:val="21"/>
                      <w:szCs w:val="21"/>
                      <w:lang w:val="en-US" w:eastAsia="zh-CN"/>
                    </w:rPr>
                    <w:t>t/a</w:t>
                  </w:r>
                </w:p>
              </w:tc>
              <w:tc>
                <w:tcPr>
                  <w:tcW w:w="672" w:type="pct"/>
                  <w:tcBorders>
                    <w:tl2br w:val="nil"/>
                    <w:tr2bl w:val="nil"/>
                  </w:tcBorders>
                  <w:noWrap/>
                  <w:vAlign w:val="center"/>
                </w:tcPr>
                <w:p w14:paraId="1174AE46">
                  <w:pPr>
                    <w:spacing w:beforeLines="0" w:line="240" w:lineRule="auto"/>
                    <w:jc w:val="center"/>
                    <w:rPr>
                      <w:rFonts w:hint="eastAsia" w:cs="Times New Roman"/>
                      <w:color w:val="auto"/>
                      <w:lang w:val="en-US" w:eastAsia="zh-CN"/>
                    </w:rPr>
                  </w:pPr>
                  <w:r>
                    <w:rPr>
                      <w:rFonts w:hint="eastAsia" w:cs="Times New Roman"/>
                      <w:color w:val="auto"/>
                      <w:lang w:val="en-US" w:eastAsia="zh-CN"/>
                    </w:rPr>
                    <w:t>0.1</w:t>
                  </w:r>
                  <w:r>
                    <w:rPr>
                      <w:rFonts w:hint="eastAsia" w:cs="Times New Roman"/>
                      <w:bCs/>
                      <w:color w:val="auto"/>
                      <w:sz w:val="21"/>
                      <w:szCs w:val="21"/>
                      <w:lang w:val="en-US" w:eastAsia="zh-CN"/>
                    </w:rPr>
                    <w:t>t/a</w:t>
                  </w:r>
                </w:p>
              </w:tc>
              <w:tc>
                <w:tcPr>
                  <w:tcW w:w="508" w:type="pct"/>
                  <w:tcBorders>
                    <w:tl2br w:val="nil"/>
                    <w:tr2bl w:val="nil"/>
                  </w:tcBorders>
                  <w:noWrap/>
                  <w:vAlign w:val="top"/>
                </w:tcPr>
                <w:p w14:paraId="6F5D907E">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eastAsiaTheme="minorEastAsia"/>
                      <w:color w:val="auto"/>
                      <w:spacing w:val="0"/>
                      <w:sz w:val="21"/>
                      <w:szCs w:val="21"/>
                      <w:vertAlign w:val="baseline"/>
                      <w:lang w:val="en-US" w:eastAsia="zh-CN"/>
                    </w:rPr>
                  </w:pPr>
                  <w:r>
                    <w:rPr>
                      <w:rFonts w:hint="eastAsia" w:ascii="Times New Roman" w:hAnsi="Times New Roman" w:cs="Times New Roman" w:eastAsiaTheme="minorEastAsia"/>
                      <w:color w:val="auto"/>
                      <w:spacing w:val="0"/>
                      <w:sz w:val="21"/>
                      <w:szCs w:val="21"/>
                      <w:vertAlign w:val="baseline"/>
                      <w:lang w:val="en-US" w:eastAsia="zh-CN"/>
                    </w:rPr>
                    <w:t>0.1t</w:t>
                  </w:r>
                </w:p>
              </w:tc>
              <w:tc>
                <w:tcPr>
                  <w:tcW w:w="440" w:type="pct"/>
                  <w:tcBorders>
                    <w:tl2br w:val="nil"/>
                    <w:tr2bl w:val="nil"/>
                  </w:tcBorders>
                  <w:noWrap/>
                  <w:vAlign w:val="center"/>
                </w:tcPr>
                <w:p w14:paraId="739E18FA">
                  <w:pPr>
                    <w:spacing w:beforeLines="0"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半固态</w:t>
                  </w:r>
                </w:p>
              </w:tc>
              <w:tc>
                <w:tcPr>
                  <w:tcW w:w="681" w:type="pct"/>
                  <w:tcBorders>
                    <w:tl2br w:val="nil"/>
                    <w:tr2bl w:val="nil"/>
                  </w:tcBorders>
                  <w:noWrap/>
                  <w:vAlign w:val="center"/>
                </w:tcPr>
                <w:p w14:paraId="15466143">
                  <w:pPr>
                    <w:spacing w:beforeLines="0" w:line="240" w:lineRule="auto"/>
                    <w:jc w:val="center"/>
                    <w:rPr>
                      <w:rFonts w:hint="eastAsia" w:cs="Times New Roman"/>
                      <w:bCs/>
                      <w:color w:val="auto"/>
                      <w:sz w:val="21"/>
                      <w:szCs w:val="21"/>
                      <w:lang w:val="en-US" w:eastAsia="zh-CN"/>
                    </w:rPr>
                  </w:pPr>
                  <w:r>
                    <w:rPr>
                      <w:rFonts w:hint="eastAsia" w:cs="Times New Roman"/>
                      <w:bCs/>
                      <w:color w:val="auto"/>
                      <w:sz w:val="21"/>
                      <w:szCs w:val="21"/>
                      <w:lang w:val="en-US" w:eastAsia="zh-CN"/>
                    </w:rPr>
                    <w:t>25kg/桶装</w:t>
                  </w:r>
                </w:p>
              </w:tc>
              <w:tc>
                <w:tcPr>
                  <w:tcW w:w="453" w:type="pct"/>
                  <w:tcBorders>
                    <w:tl2br w:val="nil"/>
                    <w:tr2bl w:val="nil"/>
                  </w:tcBorders>
                  <w:noWrap/>
                  <w:vAlign w:val="center"/>
                </w:tcPr>
                <w:p w14:paraId="7D90EE89">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辅料</w:t>
                  </w:r>
                  <w:r>
                    <w:rPr>
                      <w:rFonts w:hint="eastAsia" w:cs="Times New Roman"/>
                      <w:bCs/>
                      <w:color w:val="auto"/>
                      <w:sz w:val="21"/>
                      <w:szCs w:val="21"/>
                      <w:highlight w:val="none"/>
                      <w:lang w:val="en-US" w:eastAsia="zh-CN"/>
                    </w:rPr>
                    <w:t>区</w:t>
                  </w:r>
                </w:p>
              </w:tc>
            </w:tr>
            <w:tr w14:paraId="45B13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5EF0E4DD">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2F720D92">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双面胶带</w:t>
                  </w:r>
                </w:p>
              </w:tc>
              <w:tc>
                <w:tcPr>
                  <w:tcW w:w="595" w:type="pct"/>
                  <w:tcBorders>
                    <w:tl2br w:val="nil"/>
                    <w:tr2bl w:val="nil"/>
                  </w:tcBorders>
                  <w:noWrap/>
                  <w:vAlign w:val="center"/>
                </w:tcPr>
                <w:p w14:paraId="30EA9155">
                  <w:pPr>
                    <w:spacing w:beforeLines="0" w:line="240" w:lineRule="auto"/>
                    <w:jc w:val="center"/>
                    <w:rPr>
                      <w:rFonts w:hint="default" w:cs="Times New Roman"/>
                      <w:color w:val="auto"/>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1E794618">
                  <w:pPr>
                    <w:spacing w:beforeLines="0" w:line="240" w:lineRule="auto"/>
                    <w:jc w:val="center"/>
                    <w:rPr>
                      <w:rFonts w:hint="eastAsia" w:cs="Times New Roman"/>
                      <w:color w:val="auto"/>
                      <w:lang w:val="en-US" w:eastAsia="zh-CN"/>
                    </w:rPr>
                  </w:pPr>
                  <w:r>
                    <w:rPr>
                      <w:rFonts w:hint="eastAsia" w:cs="Times New Roman"/>
                      <w:color w:val="auto"/>
                      <w:lang w:val="en-US" w:eastAsia="zh-CN"/>
                    </w:rPr>
                    <w:t>1000万米/a</w:t>
                  </w:r>
                </w:p>
              </w:tc>
              <w:tc>
                <w:tcPr>
                  <w:tcW w:w="672" w:type="pct"/>
                  <w:tcBorders>
                    <w:tl2br w:val="nil"/>
                    <w:tr2bl w:val="nil"/>
                  </w:tcBorders>
                  <w:noWrap/>
                  <w:vAlign w:val="center"/>
                </w:tcPr>
                <w:p w14:paraId="034D4030">
                  <w:pPr>
                    <w:spacing w:beforeLines="0" w:line="240" w:lineRule="auto"/>
                    <w:jc w:val="center"/>
                    <w:rPr>
                      <w:rFonts w:hint="eastAsia" w:cs="Times New Roman"/>
                      <w:color w:val="auto"/>
                      <w:lang w:val="en-US" w:eastAsia="zh-CN"/>
                    </w:rPr>
                  </w:pPr>
                  <w:r>
                    <w:rPr>
                      <w:rFonts w:hint="eastAsia" w:cs="Times New Roman"/>
                      <w:color w:val="auto"/>
                      <w:lang w:val="en-US" w:eastAsia="zh-CN"/>
                    </w:rPr>
                    <w:t>1000万米/a</w:t>
                  </w:r>
                </w:p>
              </w:tc>
              <w:tc>
                <w:tcPr>
                  <w:tcW w:w="508" w:type="pct"/>
                  <w:tcBorders>
                    <w:tl2br w:val="nil"/>
                    <w:tr2bl w:val="nil"/>
                  </w:tcBorders>
                  <w:noWrap/>
                  <w:vAlign w:val="top"/>
                </w:tcPr>
                <w:p w14:paraId="26344030">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eastAsiaTheme="minorEastAsia"/>
                      <w:color w:val="auto"/>
                      <w:spacing w:val="0"/>
                      <w:sz w:val="21"/>
                      <w:szCs w:val="21"/>
                      <w:vertAlign w:val="baseline"/>
                      <w:lang w:val="en-US" w:eastAsia="zh-CN"/>
                    </w:rPr>
                  </w:pPr>
                  <w:r>
                    <w:rPr>
                      <w:rFonts w:hint="eastAsia" w:ascii="Times New Roman" w:hAnsi="Times New Roman" w:cs="Times New Roman" w:eastAsiaTheme="minorEastAsia"/>
                      <w:color w:val="auto"/>
                      <w:spacing w:val="0"/>
                      <w:sz w:val="21"/>
                      <w:szCs w:val="21"/>
                      <w:vertAlign w:val="baseline"/>
                      <w:lang w:val="en-US" w:eastAsia="zh-CN"/>
                    </w:rPr>
                    <w:t>100万米</w:t>
                  </w:r>
                </w:p>
              </w:tc>
              <w:tc>
                <w:tcPr>
                  <w:tcW w:w="440" w:type="pct"/>
                  <w:tcBorders>
                    <w:tl2br w:val="nil"/>
                    <w:tr2bl w:val="nil"/>
                  </w:tcBorders>
                  <w:noWrap/>
                  <w:vAlign w:val="center"/>
                </w:tcPr>
                <w:p w14:paraId="7ACD0C99">
                  <w:pPr>
                    <w:spacing w:beforeLines="0" w:line="240" w:lineRule="auto"/>
                    <w:jc w:val="center"/>
                    <w:rPr>
                      <w:rFonts w:hint="eastAsia"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固态</w:t>
                  </w:r>
                </w:p>
              </w:tc>
              <w:tc>
                <w:tcPr>
                  <w:tcW w:w="681" w:type="pct"/>
                  <w:tcBorders>
                    <w:tl2br w:val="nil"/>
                    <w:tr2bl w:val="nil"/>
                  </w:tcBorders>
                  <w:noWrap/>
                  <w:vAlign w:val="center"/>
                </w:tcPr>
                <w:p w14:paraId="12266855">
                  <w:pPr>
                    <w:spacing w:beforeLines="0" w:line="240" w:lineRule="auto"/>
                    <w:jc w:val="center"/>
                    <w:rPr>
                      <w:rFonts w:hint="default" w:cs="Times New Roman"/>
                      <w:bCs/>
                      <w:color w:val="auto"/>
                      <w:sz w:val="21"/>
                      <w:szCs w:val="21"/>
                      <w:lang w:val="en-US" w:eastAsia="zh-CN"/>
                    </w:rPr>
                  </w:pPr>
                  <w:r>
                    <w:rPr>
                      <w:rFonts w:hint="eastAsia" w:cs="Times New Roman"/>
                      <w:bCs/>
                      <w:color w:val="auto"/>
                      <w:sz w:val="21"/>
                      <w:szCs w:val="21"/>
                      <w:lang w:val="en-US" w:eastAsia="zh-CN"/>
                    </w:rPr>
                    <w:t>1万米/箱</w:t>
                  </w:r>
                </w:p>
              </w:tc>
              <w:tc>
                <w:tcPr>
                  <w:tcW w:w="453" w:type="pct"/>
                  <w:tcBorders>
                    <w:tl2br w:val="nil"/>
                    <w:tr2bl w:val="nil"/>
                  </w:tcBorders>
                  <w:noWrap/>
                  <w:vAlign w:val="center"/>
                </w:tcPr>
                <w:p w14:paraId="610B29B3">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辅料</w:t>
                  </w:r>
                  <w:r>
                    <w:rPr>
                      <w:rFonts w:hint="eastAsia" w:cs="Times New Roman"/>
                      <w:bCs/>
                      <w:color w:val="auto"/>
                      <w:sz w:val="21"/>
                      <w:szCs w:val="21"/>
                      <w:highlight w:val="none"/>
                      <w:lang w:val="en-US" w:eastAsia="zh-CN"/>
                    </w:rPr>
                    <w:t>区</w:t>
                  </w:r>
                </w:p>
              </w:tc>
            </w:tr>
            <w:tr w14:paraId="0D934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7A91FE01">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4F8FEEFB">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PVC</w:t>
                  </w:r>
                </w:p>
              </w:tc>
              <w:tc>
                <w:tcPr>
                  <w:tcW w:w="595" w:type="pct"/>
                  <w:tcBorders>
                    <w:tl2br w:val="nil"/>
                    <w:tr2bl w:val="nil"/>
                  </w:tcBorders>
                  <w:noWrap/>
                  <w:vAlign w:val="center"/>
                </w:tcPr>
                <w:p w14:paraId="610FE7C4">
                  <w:pPr>
                    <w:spacing w:beforeLines="0" w:line="240" w:lineRule="auto"/>
                    <w:jc w:val="center"/>
                    <w:rPr>
                      <w:rFonts w:hint="default" w:cs="Times New Roman"/>
                      <w:color w:val="auto"/>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45098630">
                  <w:pPr>
                    <w:spacing w:beforeLines="0" w:line="240" w:lineRule="auto"/>
                    <w:jc w:val="center"/>
                    <w:rPr>
                      <w:rFonts w:hint="eastAsia" w:cs="Times New Roman"/>
                      <w:color w:val="auto"/>
                      <w:lang w:val="en-US" w:eastAsia="zh-CN"/>
                    </w:rPr>
                  </w:pPr>
                  <w:r>
                    <w:rPr>
                      <w:rFonts w:hint="eastAsia" w:cs="Times New Roman"/>
                      <w:color w:val="auto"/>
                      <w:lang w:val="en-US" w:eastAsia="zh-CN"/>
                    </w:rPr>
                    <w:t>200t/a</w:t>
                  </w:r>
                </w:p>
              </w:tc>
              <w:tc>
                <w:tcPr>
                  <w:tcW w:w="672" w:type="pct"/>
                  <w:tcBorders>
                    <w:tl2br w:val="nil"/>
                    <w:tr2bl w:val="nil"/>
                  </w:tcBorders>
                  <w:noWrap/>
                  <w:vAlign w:val="center"/>
                </w:tcPr>
                <w:p w14:paraId="6AC8822B">
                  <w:pPr>
                    <w:spacing w:beforeLines="0" w:line="240" w:lineRule="auto"/>
                    <w:jc w:val="center"/>
                    <w:rPr>
                      <w:rFonts w:hint="eastAsia" w:cs="Times New Roman"/>
                      <w:color w:val="auto"/>
                      <w:lang w:val="en-US" w:eastAsia="zh-CN"/>
                    </w:rPr>
                  </w:pPr>
                  <w:r>
                    <w:rPr>
                      <w:rFonts w:hint="eastAsia" w:cs="Times New Roman"/>
                      <w:color w:val="auto"/>
                      <w:lang w:val="en-US" w:eastAsia="zh-CN"/>
                    </w:rPr>
                    <w:t>200t/a</w:t>
                  </w:r>
                </w:p>
              </w:tc>
              <w:tc>
                <w:tcPr>
                  <w:tcW w:w="508" w:type="pct"/>
                  <w:tcBorders>
                    <w:tl2br w:val="nil"/>
                    <w:tr2bl w:val="nil"/>
                  </w:tcBorders>
                  <w:noWrap/>
                  <w:vAlign w:val="top"/>
                </w:tcPr>
                <w:p w14:paraId="26D3BEFC">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eastAsiaTheme="minorEastAsia"/>
                      <w:color w:val="auto"/>
                      <w:spacing w:val="0"/>
                      <w:sz w:val="21"/>
                      <w:szCs w:val="21"/>
                      <w:vertAlign w:val="baseline"/>
                      <w:lang w:val="en-US" w:eastAsia="zh-CN"/>
                    </w:rPr>
                  </w:pPr>
                  <w:r>
                    <w:rPr>
                      <w:rFonts w:hint="eastAsia" w:ascii="Times New Roman" w:hAnsi="Times New Roman" w:cs="Times New Roman" w:eastAsiaTheme="minorEastAsia"/>
                      <w:color w:val="auto"/>
                      <w:spacing w:val="0"/>
                      <w:sz w:val="21"/>
                      <w:szCs w:val="21"/>
                      <w:vertAlign w:val="baseline"/>
                      <w:lang w:val="en-US" w:eastAsia="zh-CN"/>
                    </w:rPr>
                    <w:t>20t</w:t>
                  </w:r>
                </w:p>
              </w:tc>
              <w:tc>
                <w:tcPr>
                  <w:tcW w:w="440" w:type="pct"/>
                  <w:tcBorders>
                    <w:tl2br w:val="nil"/>
                    <w:tr2bl w:val="nil"/>
                  </w:tcBorders>
                  <w:noWrap/>
                  <w:vAlign w:val="center"/>
                </w:tcPr>
                <w:p w14:paraId="7F5C271A">
                  <w:pPr>
                    <w:spacing w:beforeLines="0" w:line="240" w:lineRule="auto"/>
                    <w:jc w:val="center"/>
                    <w:rPr>
                      <w:rFonts w:hint="eastAsia"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固态</w:t>
                  </w:r>
                </w:p>
              </w:tc>
              <w:tc>
                <w:tcPr>
                  <w:tcW w:w="681" w:type="pct"/>
                  <w:tcBorders>
                    <w:tl2br w:val="nil"/>
                    <w:tr2bl w:val="nil"/>
                  </w:tcBorders>
                  <w:noWrap/>
                  <w:vAlign w:val="center"/>
                </w:tcPr>
                <w:p w14:paraId="370B8576">
                  <w:pPr>
                    <w:spacing w:beforeLines="0" w:line="240" w:lineRule="auto"/>
                    <w:jc w:val="center"/>
                    <w:rPr>
                      <w:rFonts w:hint="eastAsia" w:cs="Times New Roman"/>
                      <w:bCs/>
                      <w:color w:val="auto"/>
                      <w:sz w:val="21"/>
                      <w:szCs w:val="21"/>
                      <w:lang w:val="en-US" w:eastAsia="zh-CN"/>
                    </w:rPr>
                  </w:pPr>
                  <w:r>
                    <w:rPr>
                      <w:rFonts w:hint="eastAsia" w:cs="Times New Roman"/>
                      <w:bCs/>
                      <w:color w:val="auto"/>
                      <w:sz w:val="21"/>
                      <w:szCs w:val="21"/>
                      <w:lang w:val="en-US" w:eastAsia="zh-CN"/>
                    </w:rPr>
                    <w:t>50kg/袋装</w:t>
                  </w:r>
                </w:p>
              </w:tc>
              <w:tc>
                <w:tcPr>
                  <w:tcW w:w="453" w:type="pct"/>
                  <w:tcBorders>
                    <w:tl2br w:val="nil"/>
                    <w:tr2bl w:val="nil"/>
                  </w:tcBorders>
                  <w:noWrap/>
                  <w:vAlign w:val="center"/>
                </w:tcPr>
                <w:p w14:paraId="17E706FB">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591D2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restart"/>
                  <w:tcBorders>
                    <w:tl2br w:val="nil"/>
                    <w:tr2bl w:val="nil"/>
                  </w:tcBorders>
                  <w:noWrap/>
                  <w:vAlign w:val="center"/>
                </w:tcPr>
                <w:p w14:paraId="5D039EA4">
                  <w:pPr>
                    <w:spacing w:beforeLines="0" w:line="240" w:lineRule="auto"/>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钣金件</w:t>
                  </w:r>
                </w:p>
              </w:tc>
              <w:tc>
                <w:tcPr>
                  <w:tcW w:w="529" w:type="pct"/>
                  <w:tcBorders>
                    <w:tl2br w:val="nil"/>
                    <w:tr2bl w:val="nil"/>
                  </w:tcBorders>
                  <w:noWrap/>
                  <w:vAlign w:val="center"/>
                </w:tcPr>
                <w:p w14:paraId="5C6EB7F5">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金属钣金</w:t>
                  </w:r>
                </w:p>
              </w:tc>
              <w:tc>
                <w:tcPr>
                  <w:tcW w:w="595" w:type="pct"/>
                  <w:tcBorders>
                    <w:tl2br w:val="nil"/>
                    <w:tr2bl w:val="nil"/>
                  </w:tcBorders>
                  <w:noWrap/>
                  <w:vAlign w:val="center"/>
                </w:tcPr>
                <w:p w14:paraId="04F1A283">
                  <w:pPr>
                    <w:spacing w:beforeLines="0" w:line="240" w:lineRule="auto"/>
                    <w:jc w:val="center"/>
                    <w:rPr>
                      <w:rFonts w:hint="default" w:cs="Times New Roman"/>
                      <w:color w:val="auto"/>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7179250C">
                  <w:pPr>
                    <w:spacing w:beforeLines="0" w:line="240" w:lineRule="auto"/>
                    <w:jc w:val="center"/>
                    <w:rPr>
                      <w:rFonts w:hint="eastAsia" w:cs="Times New Roman"/>
                      <w:color w:val="auto"/>
                      <w:lang w:val="en-US" w:eastAsia="zh-CN"/>
                    </w:rPr>
                  </w:pPr>
                  <w:r>
                    <w:rPr>
                      <w:rFonts w:hint="eastAsia" w:cs="Times New Roman"/>
                      <w:color w:val="auto"/>
                      <w:lang w:val="en-US" w:eastAsia="zh-CN"/>
                    </w:rPr>
                    <w:t>40t/a</w:t>
                  </w:r>
                </w:p>
              </w:tc>
              <w:tc>
                <w:tcPr>
                  <w:tcW w:w="672" w:type="pct"/>
                  <w:tcBorders>
                    <w:tl2br w:val="nil"/>
                    <w:tr2bl w:val="nil"/>
                  </w:tcBorders>
                  <w:noWrap/>
                  <w:vAlign w:val="center"/>
                </w:tcPr>
                <w:p w14:paraId="04D8D888">
                  <w:pPr>
                    <w:spacing w:beforeLines="0" w:line="240" w:lineRule="auto"/>
                    <w:jc w:val="center"/>
                    <w:rPr>
                      <w:rFonts w:hint="eastAsia" w:cs="Times New Roman"/>
                      <w:color w:val="auto"/>
                      <w:lang w:val="en-US" w:eastAsia="zh-CN"/>
                    </w:rPr>
                  </w:pPr>
                  <w:r>
                    <w:rPr>
                      <w:rFonts w:hint="eastAsia" w:cs="Times New Roman"/>
                      <w:color w:val="auto"/>
                      <w:lang w:val="en-US" w:eastAsia="zh-CN"/>
                    </w:rPr>
                    <w:t>40t/a</w:t>
                  </w:r>
                </w:p>
              </w:tc>
              <w:tc>
                <w:tcPr>
                  <w:tcW w:w="508" w:type="pct"/>
                  <w:tcBorders>
                    <w:tl2br w:val="nil"/>
                    <w:tr2bl w:val="nil"/>
                  </w:tcBorders>
                  <w:noWrap/>
                  <w:vAlign w:val="top"/>
                </w:tcPr>
                <w:p w14:paraId="55FB0076">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eastAsiaTheme="minorEastAsia"/>
                      <w:color w:val="auto"/>
                      <w:spacing w:val="0"/>
                      <w:sz w:val="21"/>
                      <w:szCs w:val="21"/>
                      <w:vertAlign w:val="baseline"/>
                      <w:lang w:val="en-US" w:eastAsia="zh-CN"/>
                    </w:rPr>
                  </w:pPr>
                  <w:r>
                    <w:rPr>
                      <w:rFonts w:hint="eastAsia" w:ascii="Times New Roman" w:hAnsi="Times New Roman" w:cs="Times New Roman" w:eastAsiaTheme="minorEastAsia"/>
                      <w:color w:val="auto"/>
                      <w:spacing w:val="0"/>
                      <w:sz w:val="21"/>
                      <w:szCs w:val="21"/>
                      <w:vertAlign w:val="baseline"/>
                      <w:lang w:val="en-US" w:eastAsia="zh-CN"/>
                    </w:rPr>
                    <w:t>4t</w:t>
                  </w:r>
                </w:p>
              </w:tc>
              <w:tc>
                <w:tcPr>
                  <w:tcW w:w="440" w:type="pct"/>
                  <w:tcBorders>
                    <w:tl2br w:val="nil"/>
                    <w:tr2bl w:val="nil"/>
                  </w:tcBorders>
                  <w:noWrap/>
                  <w:vAlign w:val="center"/>
                </w:tcPr>
                <w:p w14:paraId="0EAC7664">
                  <w:pPr>
                    <w:spacing w:beforeLines="0" w:line="240" w:lineRule="auto"/>
                    <w:jc w:val="center"/>
                    <w:rPr>
                      <w:rFonts w:hint="eastAsia"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固态</w:t>
                  </w:r>
                </w:p>
              </w:tc>
              <w:tc>
                <w:tcPr>
                  <w:tcW w:w="681" w:type="pct"/>
                  <w:tcBorders>
                    <w:tl2br w:val="nil"/>
                    <w:tr2bl w:val="nil"/>
                  </w:tcBorders>
                  <w:noWrap/>
                  <w:vAlign w:val="center"/>
                </w:tcPr>
                <w:p w14:paraId="255C670B">
                  <w:pPr>
                    <w:spacing w:beforeLines="0" w:line="240" w:lineRule="auto"/>
                    <w:jc w:val="center"/>
                    <w:rPr>
                      <w:rFonts w:hint="default" w:cs="Times New Roman"/>
                      <w:bCs/>
                      <w:color w:val="auto"/>
                      <w:sz w:val="21"/>
                      <w:szCs w:val="21"/>
                      <w:lang w:val="en-US" w:eastAsia="zh-CN"/>
                    </w:rPr>
                  </w:pPr>
                  <w:r>
                    <w:rPr>
                      <w:rFonts w:hint="eastAsia" w:cs="Times New Roman"/>
                      <w:bCs/>
                      <w:color w:val="auto"/>
                      <w:sz w:val="21"/>
                      <w:szCs w:val="21"/>
                      <w:lang w:val="en-US" w:eastAsia="zh-CN"/>
                    </w:rPr>
                    <w:t>4t/捆</w:t>
                  </w:r>
                </w:p>
              </w:tc>
              <w:tc>
                <w:tcPr>
                  <w:tcW w:w="453" w:type="pct"/>
                  <w:tcBorders>
                    <w:tl2br w:val="nil"/>
                    <w:tr2bl w:val="nil"/>
                  </w:tcBorders>
                  <w:noWrap/>
                  <w:vAlign w:val="center"/>
                </w:tcPr>
                <w:p w14:paraId="113A818B">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lang w:val="en-US" w:eastAsia="zh-CN"/>
                    </w:rPr>
                    <w:t>原料</w:t>
                  </w:r>
                  <w:r>
                    <w:rPr>
                      <w:rFonts w:hint="eastAsia" w:cs="Times New Roman"/>
                      <w:bCs/>
                      <w:color w:val="auto"/>
                      <w:sz w:val="21"/>
                      <w:szCs w:val="21"/>
                      <w:lang w:val="en-US" w:eastAsia="zh-CN"/>
                    </w:rPr>
                    <w:t>区</w:t>
                  </w:r>
                </w:p>
              </w:tc>
            </w:tr>
            <w:tr w14:paraId="4AC40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4CDF8946">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4129AFEE">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vertAlign w:val="baseline"/>
                      <w:lang w:val="en-US" w:eastAsia="zh-CN"/>
                    </w:rPr>
                  </w:pPr>
                  <w:r>
                    <w:rPr>
                      <w:rFonts w:hint="default" w:ascii="Times New Roman" w:hAnsi="Times New Roman" w:eastAsia="宋体" w:cs="Times New Roman"/>
                      <w:color w:val="auto"/>
                      <w:spacing w:val="0"/>
                      <w:sz w:val="21"/>
                      <w:szCs w:val="21"/>
                      <w:vertAlign w:val="baseline"/>
                      <w:lang w:val="en-US" w:eastAsia="zh-CN"/>
                    </w:rPr>
                    <w:t>焊丝（不含铅、镍）</w:t>
                  </w:r>
                </w:p>
              </w:tc>
              <w:tc>
                <w:tcPr>
                  <w:tcW w:w="595" w:type="pct"/>
                  <w:tcBorders>
                    <w:tl2br w:val="nil"/>
                    <w:tr2bl w:val="nil"/>
                  </w:tcBorders>
                  <w:noWrap/>
                  <w:vAlign w:val="center"/>
                </w:tcPr>
                <w:p w14:paraId="718FF368">
                  <w:pPr>
                    <w:spacing w:beforeLines="0" w:line="240" w:lineRule="auto"/>
                    <w:jc w:val="center"/>
                    <w:rPr>
                      <w:rFonts w:hint="default" w:cs="Times New Roman"/>
                      <w:color w:val="auto"/>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5C0FADC1">
                  <w:pPr>
                    <w:spacing w:beforeLines="0" w:line="240" w:lineRule="auto"/>
                    <w:jc w:val="center"/>
                    <w:rPr>
                      <w:rFonts w:hint="eastAsia" w:cs="Times New Roman"/>
                      <w:color w:val="auto"/>
                      <w:lang w:val="en-US" w:eastAsia="zh-CN"/>
                    </w:rPr>
                  </w:pPr>
                  <w:r>
                    <w:rPr>
                      <w:rFonts w:hint="eastAsia" w:cs="Times New Roman"/>
                      <w:color w:val="auto"/>
                      <w:lang w:val="en-US" w:eastAsia="zh-CN"/>
                    </w:rPr>
                    <w:t>0.1t/a</w:t>
                  </w:r>
                </w:p>
              </w:tc>
              <w:tc>
                <w:tcPr>
                  <w:tcW w:w="672" w:type="pct"/>
                  <w:tcBorders>
                    <w:tl2br w:val="nil"/>
                    <w:tr2bl w:val="nil"/>
                  </w:tcBorders>
                  <w:noWrap/>
                  <w:vAlign w:val="center"/>
                </w:tcPr>
                <w:p w14:paraId="345AB48A">
                  <w:pPr>
                    <w:spacing w:beforeLines="0" w:line="240" w:lineRule="auto"/>
                    <w:jc w:val="center"/>
                    <w:rPr>
                      <w:rFonts w:hint="eastAsia" w:cs="Times New Roman"/>
                      <w:color w:val="auto"/>
                      <w:lang w:val="en-US" w:eastAsia="zh-CN"/>
                    </w:rPr>
                  </w:pPr>
                  <w:r>
                    <w:rPr>
                      <w:rFonts w:hint="eastAsia" w:cs="Times New Roman"/>
                      <w:color w:val="auto"/>
                      <w:lang w:val="en-US" w:eastAsia="zh-CN"/>
                    </w:rPr>
                    <w:t>0.1t/a</w:t>
                  </w:r>
                </w:p>
              </w:tc>
              <w:tc>
                <w:tcPr>
                  <w:tcW w:w="508" w:type="pct"/>
                  <w:tcBorders>
                    <w:tl2br w:val="nil"/>
                    <w:tr2bl w:val="nil"/>
                  </w:tcBorders>
                  <w:noWrap/>
                  <w:vAlign w:val="center"/>
                </w:tcPr>
                <w:p w14:paraId="4026B45A">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eastAsiaTheme="minorEastAsia"/>
                      <w:color w:val="auto"/>
                      <w:spacing w:val="0"/>
                      <w:sz w:val="21"/>
                      <w:szCs w:val="21"/>
                      <w:vertAlign w:val="baseline"/>
                      <w:lang w:val="en-US" w:eastAsia="zh-CN"/>
                    </w:rPr>
                  </w:pPr>
                  <w:r>
                    <w:rPr>
                      <w:rFonts w:hint="eastAsia" w:ascii="Times New Roman" w:hAnsi="Times New Roman" w:cs="Times New Roman" w:eastAsiaTheme="minorEastAsia"/>
                      <w:color w:val="auto"/>
                      <w:spacing w:val="0"/>
                      <w:sz w:val="21"/>
                      <w:szCs w:val="21"/>
                      <w:vertAlign w:val="baseline"/>
                      <w:lang w:val="en-US" w:eastAsia="zh-CN"/>
                    </w:rPr>
                    <w:t>0.1t</w:t>
                  </w:r>
                </w:p>
              </w:tc>
              <w:tc>
                <w:tcPr>
                  <w:tcW w:w="440" w:type="pct"/>
                  <w:tcBorders>
                    <w:tl2br w:val="nil"/>
                    <w:tr2bl w:val="nil"/>
                  </w:tcBorders>
                  <w:noWrap/>
                  <w:vAlign w:val="center"/>
                </w:tcPr>
                <w:p w14:paraId="683FD9D1">
                  <w:pPr>
                    <w:spacing w:beforeLines="0" w:line="240" w:lineRule="auto"/>
                    <w:jc w:val="center"/>
                    <w:rPr>
                      <w:rFonts w:hint="eastAsia"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固态</w:t>
                  </w:r>
                </w:p>
              </w:tc>
              <w:tc>
                <w:tcPr>
                  <w:tcW w:w="681" w:type="pct"/>
                  <w:tcBorders>
                    <w:tl2br w:val="nil"/>
                    <w:tr2bl w:val="nil"/>
                  </w:tcBorders>
                  <w:noWrap/>
                  <w:vAlign w:val="center"/>
                </w:tcPr>
                <w:p w14:paraId="2C8AE191">
                  <w:pPr>
                    <w:spacing w:beforeLines="0" w:line="240" w:lineRule="auto"/>
                    <w:jc w:val="center"/>
                    <w:rPr>
                      <w:rFonts w:hint="default" w:cs="Times New Roman"/>
                      <w:bCs/>
                      <w:color w:val="auto"/>
                      <w:sz w:val="21"/>
                      <w:szCs w:val="21"/>
                      <w:lang w:val="en-US" w:eastAsia="zh-CN"/>
                    </w:rPr>
                  </w:pPr>
                  <w:r>
                    <w:rPr>
                      <w:rFonts w:hint="eastAsia"/>
                      <w:color w:val="auto"/>
                      <w:szCs w:val="21"/>
                      <w:lang w:val="en-US" w:eastAsia="zh-CN"/>
                    </w:rPr>
                    <w:t>1</w:t>
                  </w:r>
                  <w:r>
                    <w:rPr>
                      <w:rFonts w:hint="eastAsia"/>
                      <w:color w:val="auto"/>
                      <w:szCs w:val="21"/>
                    </w:rPr>
                    <w:t>00kg/箱</w:t>
                  </w:r>
                </w:p>
              </w:tc>
              <w:tc>
                <w:tcPr>
                  <w:tcW w:w="453" w:type="pct"/>
                  <w:tcBorders>
                    <w:tl2br w:val="nil"/>
                    <w:tr2bl w:val="nil"/>
                  </w:tcBorders>
                  <w:noWrap/>
                  <w:vAlign w:val="center"/>
                </w:tcPr>
                <w:p w14:paraId="3A09DC4C">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辅料</w:t>
                  </w:r>
                  <w:r>
                    <w:rPr>
                      <w:rFonts w:hint="eastAsia" w:cs="Times New Roman"/>
                      <w:bCs/>
                      <w:color w:val="auto"/>
                      <w:sz w:val="21"/>
                      <w:szCs w:val="21"/>
                      <w:highlight w:val="none"/>
                      <w:lang w:val="en-US" w:eastAsia="zh-CN"/>
                    </w:rPr>
                    <w:t>区</w:t>
                  </w:r>
                </w:p>
              </w:tc>
            </w:tr>
            <w:tr w14:paraId="23D46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1C4ED6CB">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3645CC18">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氩气</w:t>
                  </w:r>
                </w:p>
              </w:tc>
              <w:tc>
                <w:tcPr>
                  <w:tcW w:w="595" w:type="pct"/>
                  <w:tcBorders>
                    <w:tl2br w:val="nil"/>
                    <w:tr2bl w:val="nil"/>
                  </w:tcBorders>
                  <w:noWrap/>
                  <w:vAlign w:val="center"/>
                </w:tcPr>
                <w:p w14:paraId="6441FBD6">
                  <w:pPr>
                    <w:spacing w:beforeLines="0" w:line="240" w:lineRule="auto"/>
                    <w:jc w:val="center"/>
                    <w:rPr>
                      <w:rFonts w:hint="default" w:cs="Times New Roman"/>
                      <w:color w:val="auto"/>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0AA8D3E8">
                  <w:pPr>
                    <w:spacing w:beforeLines="0" w:line="240" w:lineRule="auto"/>
                    <w:jc w:val="center"/>
                    <w:rPr>
                      <w:rFonts w:hint="eastAsia" w:cs="Times New Roman"/>
                      <w:color w:val="auto"/>
                      <w:lang w:val="en-US" w:eastAsia="zh-CN"/>
                    </w:rPr>
                  </w:pPr>
                  <w:r>
                    <w:rPr>
                      <w:rFonts w:hint="eastAsia" w:cs="Times New Roman"/>
                      <w:color w:val="auto"/>
                      <w:lang w:val="en-US" w:eastAsia="zh-CN"/>
                    </w:rPr>
                    <w:t>4t/a</w:t>
                  </w:r>
                </w:p>
              </w:tc>
              <w:tc>
                <w:tcPr>
                  <w:tcW w:w="672" w:type="pct"/>
                  <w:tcBorders>
                    <w:tl2br w:val="nil"/>
                    <w:tr2bl w:val="nil"/>
                  </w:tcBorders>
                  <w:noWrap/>
                  <w:vAlign w:val="center"/>
                </w:tcPr>
                <w:p w14:paraId="053780B1">
                  <w:pPr>
                    <w:spacing w:beforeLines="0" w:line="240" w:lineRule="auto"/>
                    <w:jc w:val="center"/>
                    <w:rPr>
                      <w:rFonts w:hint="eastAsia" w:cs="Times New Roman"/>
                      <w:color w:val="auto"/>
                      <w:lang w:val="en-US" w:eastAsia="zh-CN"/>
                    </w:rPr>
                  </w:pPr>
                  <w:r>
                    <w:rPr>
                      <w:rFonts w:hint="eastAsia" w:cs="Times New Roman"/>
                      <w:color w:val="auto"/>
                      <w:lang w:val="en-US" w:eastAsia="zh-CN"/>
                    </w:rPr>
                    <w:t>4t/a</w:t>
                  </w:r>
                </w:p>
              </w:tc>
              <w:tc>
                <w:tcPr>
                  <w:tcW w:w="508" w:type="pct"/>
                  <w:tcBorders>
                    <w:tl2br w:val="nil"/>
                    <w:tr2bl w:val="nil"/>
                  </w:tcBorders>
                  <w:noWrap/>
                  <w:vAlign w:val="top"/>
                </w:tcPr>
                <w:p w14:paraId="49DA47E0">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eastAsiaTheme="minorEastAsia"/>
                      <w:color w:val="auto"/>
                      <w:spacing w:val="0"/>
                      <w:sz w:val="21"/>
                      <w:szCs w:val="21"/>
                      <w:vertAlign w:val="baseline"/>
                      <w:lang w:val="en-US" w:eastAsia="zh-CN"/>
                    </w:rPr>
                  </w:pPr>
                  <w:r>
                    <w:rPr>
                      <w:rFonts w:hint="eastAsia" w:ascii="Times New Roman" w:hAnsi="Times New Roman" w:cs="Times New Roman" w:eastAsiaTheme="minorEastAsia"/>
                      <w:color w:val="auto"/>
                      <w:spacing w:val="0"/>
                      <w:sz w:val="21"/>
                      <w:szCs w:val="21"/>
                      <w:vertAlign w:val="baseline"/>
                      <w:lang w:val="en-US" w:eastAsia="zh-CN"/>
                    </w:rPr>
                    <w:t>0.4L</w:t>
                  </w:r>
                </w:p>
              </w:tc>
              <w:tc>
                <w:tcPr>
                  <w:tcW w:w="440" w:type="pct"/>
                  <w:tcBorders>
                    <w:tl2br w:val="nil"/>
                    <w:tr2bl w:val="nil"/>
                  </w:tcBorders>
                  <w:noWrap/>
                  <w:vAlign w:val="center"/>
                </w:tcPr>
                <w:p w14:paraId="0C31AD71">
                  <w:pPr>
                    <w:spacing w:beforeLines="0"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液化气</w:t>
                  </w:r>
                </w:p>
              </w:tc>
              <w:tc>
                <w:tcPr>
                  <w:tcW w:w="681" w:type="pct"/>
                  <w:tcBorders>
                    <w:tl2br w:val="nil"/>
                    <w:tr2bl w:val="nil"/>
                  </w:tcBorders>
                  <w:noWrap/>
                  <w:vAlign w:val="center"/>
                </w:tcPr>
                <w:p w14:paraId="57AC64A4">
                  <w:pPr>
                    <w:spacing w:beforeLines="0" w:line="240" w:lineRule="auto"/>
                    <w:jc w:val="center"/>
                    <w:rPr>
                      <w:rFonts w:hint="eastAsia" w:cs="Times New Roman"/>
                      <w:bCs/>
                      <w:color w:val="auto"/>
                      <w:sz w:val="21"/>
                      <w:szCs w:val="21"/>
                      <w:lang w:val="en-US" w:eastAsia="zh-CN"/>
                    </w:rPr>
                  </w:pPr>
                  <w:r>
                    <w:rPr>
                      <w:rFonts w:hint="eastAsia"/>
                      <w:color w:val="auto"/>
                      <w:szCs w:val="21"/>
                    </w:rPr>
                    <w:t>40L/瓶</w:t>
                  </w:r>
                </w:p>
              </w:tc>
              <w:tc>
                <w:tcPr>
                  <w:tcW w:w="453" w:type="pct"/>
                  <w:tcBorders>
                    <w:tl2br w:val="nil"/>
                    <w:tr2bl w:val="nil"/>
                  </w:tcBorders>
                  <w:noWrap/>
                  <w:vAlign w:val="center"/>
                </w:tcPr>
                <w:p w14:paraId="6AD93A4B">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辅料</w:t>
                  </w:r>
                  <w:r>
                    <w:rPr>
                      <w:rFonts w:hint="eastAsia" w:cs="Times New Roman"/>
                      <w:bCs/>
                      <w:color w:val="auto"/>
                      <w:sz w:val="21"/>
                      <w:szCs w:val="21"/>
                      <w:highlight w:val="none"/>
                      <w:lang w:val="en-US" w:eastAsia="zh-CN"/>
                    </w:rPr>
                    <w:t>区</w:t>
                  </w:r>
                </w:p>
              </w:tc>
            </w:tr>
            <w:tr w14:paraId="2F5DA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67218A4F">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0D8C3930">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cs="Times New Roman"/>
                      <w:color w:val="auto"/>
                      <w:spacing w:val="0"/>
                      <w:sz w:val="21"/>
                      <w:szCs w:val="21"/>
                      <w:highlight w:val="none"/>
                      <w:vertAlign w:val="baseline"/>
                      <w:lang w:val="en-US" w:eastAsia="zh-CN"/>
                    </w:rPr>
                    <w:t>润滑油</w:t>
                  </w:r>
                </w:p>
              </w:tc>
              <w:tc>
                <w:tcPr>
                  <w:tcW w:w="595" w:type="pct"/>
                  <w:tcBorders>
                    <w:tl2br w:val="nil"/>
                    <w:tr2bl w:val="nil"/>
                  </w:tcBorders>
                  <w:noWrap/>
                  <w:vAlign w:val="center"/>
                </w:tcPr>
                <w:p w14:paraId="27C5054B">
                  <w:pPr>
                    <w:spacing w:beforeLines="0" w:line="240" w:lineRule="auto"/>
                    <w:jc w:val="center"/>
                    <w:rPr>
                      <w:rFonts w:hint="default" w:cs="Times New Roman"/>
                      <w:color w:val="auto"/>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28EEE42C">
                  <w:pPr>
                    <w:spacing w:beforeLines="0" w:line="240" w:lineRule="auto"/>
                    <w:jc w:val="center"/>
                    <w:rPr>
                      <w:rFonts w:hint="eastAsia" w:cs="Times New Roman"/>
                      <w:color w:val="auto"/>
                      <w:lang w:val="en-US" w:eastAsia="zh-CN"/>
                    </w:rPr>
                  </w:pPr>
                  <w:r>
                    <w:rPr>
                      <w:rFonts w:hint="eastAsia" w:cs="Times New Roman"/>
                      <w:color w:val="auto"/>
                      <w:lang w:val="en-US" w:eastAsia="zh-CN"/>
                    </w:rPr>
                    <w:t>0.4t/a</w:t>
                  </w:r>
                </w:p>
              </w:tc>
              <w:tc>
                <w:tcPr>
                  <w:tcW w:w="672" w:type="pct"/>
                  <w:tcBorders>
                    <w:tl2br w:val="nil"/>
                    <w:tr2bl w:val="nil"/>
                  </w:tcBorders>
                  <w:noWrap/>
                  <w:vAlign w:val="center"/>
                </w:tcPr>
                <w:p w14:paraId="4898973D">
                  <w:pPr>
                    <w:spacing w:beforeLines="0" w:line="240" w:lineRule="auto"/>
                    <w:jc w:val="center"/>
                    <w:rPr>
                      <w:rFonts w:hint="eastAsia" w:cs="Times New Roman"/>
                      <w:color w:val="auto"/>
                      <w:lang w:val="en-US" w:eastAsia="zh-CN"/>
                    </w:rPr>
                  </w:pPr>
                  <w:r>
                    <w:rPr>
                      <w:rFonts w:hint="eastAsia" w:cs="Times New Roman"/>
                      <w:color w:val="auto"/>
                      <w:lang w:val="en-US" w:eastAsia="zh-CN"/>
                    </w:rPr>
                    <w:t>0.4t/a</w:t>
                  </w:r>
                </w:p>
              </w:tc>
              <w:tc>
                <w:tcPr>
                  <w:tcW w:w="508" w:type="pct"/>
                  <w:tcBorders>
                    <w:tl2br w:val="nil"/>
                    <w:tr2bl w:val="nil"/>
                  </w:tcBorders>
                  <w:noWrap/>
                  <w:vAlign w:val="top"/>
                </w:tcPr>
                <w:p w14:paraId="0045808A">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eastAsiaTheme="minorEastAsia"/>
                      <w:color w:val="auto"/>
                      <w:spacing w:val="0"/>
                      <w:sz w:val="21"/>
                      <w:szCs w:val="21"/>
                      <w:vertAlign w:val="baseline"/>
                      <w:lang w:val="en-US" w:eastAsia="zh-CN"/>
                    </w:rPr>
                  </w:pPr>
                  <w:r>
                    <w:rPr>
                      <w:rFonts w:hint="eastAsia" w:ascii="Times New Roman" w:hAnsi="Times New Roman" w:cs="Times New Roman" w:eastAsiaTheme="minorEastAsia"/>
                      <w:color w:val="auto"/>
                      <w:spacing w:val="0"/>
                      <w:sz w:val="21"/>
                      <w:szCs w:val="21"/>
                      <w:vertAlign w:val="baseline"/>
                      <w:lang w:val="en-US" w:eastAsia="zh-CN"/>
                    </w:rPr>
                    <w:t>0.2t</w:t>
                  </w:r>
                </w:p>
              </w:tc>
              <w:tc>
                <w:tcPr>
                  <w:tcW w:w="440" w:type="pct"/>
                  <w:tcBorders>
                    <w:tl2br w:val="nil"/>
                    <w:tr2bl w:val="nil"/>
                  </w:tcBorders>
                  <w:noWrap/>
                  <w:vAlign w:val="center"/>
                </w:tcPr>
                <w:p w14:paraId="05BBCBEE">
                  <w:pPr>
                    <w:spacing w:beforeLines="0" w:line="240" w:lineRule="auto"/>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液态</w:t>
                  </w:r>
                </w:p>
              </w:tc>
              <w:tc>
                <w:tcPr>
                  <w:tcW w:w="681" w:type="pct"/>
                  <w:tcBorders>
                    <w:tl2br w:val="nil"/>
                    <w:tr2bl w:val="nil"/>
                  </w:tcBorders>
                  <w:noWrap/>
                  <w:vAlign w:val="center"/>
                </w:tcPr>
                <w:p w14:paraId="1ECC4E27">
                  <w:pPr>
                    <w:spacing w:beforeLines="0" w:line="240" w:lineRule="auto"/>
                    <w:jc w:val="center"/>
                    <w:rPr>
                      <w:rFonts w:hint="eastAsia" w:cs="Times New Roman"/>
                      <w:bCs/>
                      <w:color w:val="auto"/>
                      <w:sz w:val="21"/>
                      <w:szCs w:val="21"/>
                      <w:lang w:val="en-US" w:eastAsia="zh-CN"/>
                    </w:rPr>
                  </w:pPr>
                  <w:r>
                    <w:rPr>
                      <w:rFonts w:hint="eastAsia" w:cs="Times New Roman"/>
                      <w:bCs/>
                      <w:color w:val="auto"/>
                      <w:sz w:val="21"/>
                      <w:szCs w:val="21"/>
                      <w:highlight w:val="none"/>
                      <w:lang w:val="en-US" w:eastAsia="zh-CN"/>
                    </w:rPr>
                    <w:t>180L/桶装</w:t>
                  </w:r>
                </w:p>
              </w:tc>
              <w:tc>
                <w:tcPr>
                  <w:tcW w:w="453" w:type="pct"/>
                  <w:tcBorders>
                    <w:tl2br w:val="nil"/>
                    <w:tr2bl w:val="nil"/>
                  </w:tcBorders>
                  <w:noWrap/>
                  <w:vAlign w:val="center"/>
                </w:tcPr>
                <w:p w14:paraId="31D80A48">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辅料</w:t>
                  </w:r>
                  <w:r>
                    <w:rPr>
                      <w:rFonts w:hint="eastAsia" w:cs="Times New Roman"/>
                      <w:bCs/>
                      <w:color w:val="auto"/>
                      <w:sz w:val="21"/>
                      <w:szCs w:val="21"/>
                      <w:highlight w:val="none"/>
                      <w:lang w:val="en-US" w:eastAsia="zh-CN"/>
                    </w:rPr>
                    <w:t>区</w:t>
                  </w:r>
                </w:p>
              </w:tc>
            </w:tr>
            <w:tr w14:paraId="558D5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3" w:type="pct"/>
                  <w:vMerge w:val="continue"/>
                  <w:tcBorders>
                    <w:tl2br w:val="nil"/>
                    <w:tr2bl w:val="nil"/>
                  </w:tcBorders>
                  <w:noWrap/>
                  <w:vAlign w:val="center"/>
                </w:tcPr>
                <w:p w14:paraId="7DBE57C9">
                  <w:pPr>
                    <w:spacing w:beforeLines="0" w:line="240" w:lineRule="auto"/>
                    <w:jc w:val="center"/>
                    <w:rPr>
                      <w:rFonts w:hint="default" w:ascii="Times New Roman" w:hAnsi="Times New Roman" w:eastAsia="宋体" w:cs="Times New Roman"/>
                      <w:bCs/>
                      <w:color w:val="auto"/>
                      <w:sz w:val="21"/>
                      <w:szCs w:val="21"/>
                    </w:rPr>
                  </w:pPr>
                </w:p>
              </w:tc>
              <w:tc>
                <w:tcPr>
                  <w:tcW w:w="529" w:type="pct"/>
                  <w:tcBorders>
                    <w:tl2br w:val="nil"/>
                    <w:tr2bl w:val="nil"/>
                  </w:tcBorders>
                  <w:noWrap/>
                  <w:vAlign w:val="center"/>
                </w:tcPr>
                <w:p w14:paraId="75531324">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cs="Times New Roman"/>
                      <w:color w:val="auto"/>
                      <w:spacing w:val="0"/>
                      <w:sz w:val="21"/>
                      <w:szCs w:val="21"/>
                      <w:highlight w:val="none"/>
                      <w:vertAlign w:val="baseline"/>
                      <w:lang w:val="en-US" w:eastAsia="zh-CN"/>
                    </w:rPr>
                  </w:pPr>
                  <w:r>
                    <w:rPr>
                      <w:rFonts w:hint="eastAsia" w:ascii="Times New Roman" w:hAnsi="Times New Roman" w:cs="Times New Roman"/>
                      <w:color w:val="auto"/>
                      <w:spacing w:val="0"/>
                      <w:sz w:val="21"/>
                      <w:szCs w:val="21"/>
                      <w:highlight w:val="none"/>
                      <w:vertAlign w:val="baseline"/>
                      <w:lang w:val="en-US" w:eastAsia="zh-CN"/>
                    </w:rPr>
                    <w:t>液压油</w:t>
                  </w:r>
                </w:p>
              </w:tc>
              <w:tc>
                <w:tcPr>
                  <w:tcW w:w="595" w:type="pct"/>
                  <w:tcBorders>
                    <w:tl2br w:val="nil"/>
                    <w:tr2bl w:val="nil"/>
                  </w:tcBorders>
                  <w:noWrap/>
                  <w:vAlign w:val="center"/>
                </w:tcPr>
                <w:p w14:paraId="75A9BAD8">
                  <w:pPr>
                    <w:spacing w:beforeLines="0" w:line="240" w:lineRule="auto"/>
                    <w:jc w:val="center"/>
                    <w:rPr>
                      <w:rFonts w:hint="default" w:cs="Times New Roman"/>
                      <w:color w:val="auto"/>
                      <w:lang w:val="en-US" w:eastAsia="zh-CN"/>
                    </w:rPr>
                  </w:pPr>
                  <w:r>
                    <w:rPr>
                      <w:rFonts w:hint="eastAsia" w:cs="Times New Roman"/>
                      <w:bCs/>
                      <w:color w:val="auto"/>
                      <w:sz w:val="21"/>
                      <w:szCs w:val="21"/>
                      <w:lang w:val="en-US" w:eastAsia="zh-CN"/>
                    </w:rPr>
                    <w:t>/</w:t>
                  </w:r>
                </w:p>
              </w:tc>
              <w:tc>
                <w:tcPr>
                  <w:tcW w:w="595" w:type="pct"/>
                  <w:tcBorders>
                    <w:tl2br w:val="nil"/>
                    <w:tr2bl w:val="nil"/>
                  </w:tcBorders>
                  <w:noWrap/>
                  <w:vAlign w:val="center"/>
                </w:tcPr>
                <w:p w14:paraId="14BFCFC8">
                  <w:pPr>
                    <w:spacing w:beforeLines="0" w:line="240" w:lineRule="auto"/>
                    <w:jc w:val="center"/>
                    <w:rPr>
                      <w:rFonts w:hint="eastAsia" w:cs="Times New Roman"/>
                      <w:color w:val="auto"/>
                      <w:lang w:val="en-US" w:eastAsia="zh-CN"/>
                    </w:rPr>
                  </w:pPr>
                  <w:r>
                    <w:rPr>
                      <w:rFonts w:hint="eastAsia" w:cs="Times New Roman"/>
                      <w:color w:val="auto"/>
                      <w:lang w:val="en-US" w:eastAsia="zh-CN"/>
                    </w:rPr>
                    <w:t>0.2t/a</w:t>
                  </w:r>
                </w:p>
              </w:tc>
              <w:tc>
                <w:tcPr>
                  <w:tcW w:w="672" w:type="pct"/>
                  <w:tcBorders>
                    <w:tl2br w:val="nil"/>
                    <w:tr2bl w:val="nil"/>
                  </w:tcBorders>
                  <w:noWrap/>
                  <w:vAlign w:val="center"/>
                </w:tcPr>
                <w:p w14:paraId="53A6381A">
                  <w:pPr>
                    <w:spacing w:beforeLines="0" w:line="240" w:lineRule="auto"/>
                    <w:jc w:val="center"/>
                    <w:rPr>
                      <w:rFonts w:hint="eastAsia" w:cs="Times New Roman"/>
                      <w:color w:val="auto"/>
                      <w:lang w:val="en-US" w:eastAsia="zh-CN"/>
                    </w:rPr>
                  </w:pPr>
                  <w:r>
                    <w:rPr>
                      <w:rFonts w:hint="eastAsia" w:cs="Times New Roman"/>
                      <w:color w:val="auto"/>
                      <w:lang w:val="en-US" w:eastAsia="zh-CN"/>
                    </w:rPr>
                    <w:t>0.2t/a</w:t>
                  </w:r>
                </w:p>
              </w:tc>
              <w:tc>
                <w:tcPr>
                  <w:tcW w:w="508" w:type="pct"/>
                  <w:tcBorders>
                    <w:tl2br w:val="nil"/>
                    <w:tr2bl w:val="nil"/>
                  </w:tcBorders>
                  <w:noWrap/>
                  <w:vAlign w:val="top"/>
                </w:tcPr>
                <w:p w14:paraId="7EEE4011">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cs="Times New Roman" w:eastAsiaTheme="minorEastAsia"/>
                      <w:color w:val="auto"/>
                      <w:spacing w:val="0"/>
                      <w:sz w:val="21"/>
                      <w:szCs w:val="21"/>
                      <w:vertAlign w:val="baseline"/>
                      <w:lang w:val="en-US" w:eastAsia="zh-CN"/>
                    </w:rPr>
                  </w:pPr>
                  <w:r>
                    <w:rPr>
                      <w:rFonts w:hint="eastAsia" w:ascii="Times New Roman" w:hAnsi="Times New Roman" w:cs="Times New Roman" w:eastAsiaTheme="minorEastAsia"/>
                      <w:color w:val="auto"/>
                      <w:spacing w:val="0"/>
                      <w:sz w:val="21"/>
                      <w:szCs w:val="21"/>
                      <w:vertAlign w:val="baseline"/>
                      <w:lang w:val="en-US" w:eastAsia="zh-CN"/>
                    </w:rPr>
                    <w:t>0.2t</w:t>
                  </w:r>
                </w:p>
              </w:tc>
              <w:tc>
                <w:tcPr>
                  <w:tcW w:w="440" w:type="pct"/>
                  <w:tcBorders>
                    <w:tl2br w:val="nil"/>
                    <w:tr2bl w:val="nil"/>
                  </w:tcBorders>
                  <w:noWrap/>
                  <w:vAlign w:val="center"/>
                </w:tcPr>
                <w:p w14:paraId="0474C820">
                  <w:pPr>
                    <w:spacing w:beforeLines="0" w:line="240" w:lineRule="auto"/>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液态</w:t>
                  </w:r>
                </w:p>
              </w:tc>
              <w:tc>
                <w:tcPr>
                  <w:tcW w:w="681" w:type="pct"/>
                  <w:tcBorders>
                    <w:tl2br w:val="nil"/>
                    <w:tr2bl w:val="nil"/>
                  </w:tcBorders>
                  <w:noWrap/>
                  <w:vAlign w:val="center"/>
                </w:tcPr>
                <w:p w14:paraId="0FFB516A">
                  <w:pPr>
                    <w:spacing w:beforeLines="0" w:line="240" w:lineRule="auto"/>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180L/桶装</w:t>
                  </w:r>
                </w:p>
              </w:tc>
              <w:tc>
                <w:tcPr>
                  <w:tcW w:w="453" w:type="pct"/>
                  <w:tcBorders>
                    <w:tl2br w:val="nil"/>
                    <w:tr2bl w:val="nil"/>
                  </w:tcBorders>
                  <w:noWrap/>
                  <w:vAlign w:val="center"/>
                </w:tcPr>
                <w:p w14:paraId="7ADBDB48">
                  <w:pPr>
                    <w:spacing w:beforeLines="0"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辅料</w:t>
                  </w:r>
                  <w:r>
                    <w:rPr>
                      <w:rFonts w:hint="eastAsia" w:cs="Times New Roman"/>
                      <w:bCs/>
                      <w:color w:val="auto"/>
                      <w:sz w:val="21"/>
                      <w:szCs w:val="21"/>
                      <w:highlight w:val="none"/>
                      <w:lang w:val="en-US" w:eastAsia="zh-CN"/>
                    </w:rPr>
                    <w:t>区</w:t>
                  </w:r>
                </w:p>
              </w:tc>
            </w:tr>
            <w:tr w14:paraId="2E602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9"/>
                  <w:tcBorders>
                    <w:tl2br w:val="nil"/>
                    <w:tr2bl w:val="nil"/>
                  </w:tcBorders>
                  <w:noWrap/>
                  <w:vAlign w:val="center"/>
                </w:tcPr>
                <w:p w14:paraId="1FA52EFD">
                  <w:pPr>
                    <w:spacing w:beforeLines="0" w:line="240" w:lineRule="auto"/>
                    <w:jc w:val="left"/>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二、能源</w:t>
                  </w:r>
                </w:p>
              </w:tc>
            </w:tr>
            <w:tr w14:paraId="060AD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2" w:type="pct"/>
                  <w:gridSpan w:val="2"/>
                  <w:tcBorders>
                    <w:tl2br w:val="nil"/>
                    <w:tr2bl w:val="nil"/>
                  </w:tcBorders>
                  <w:noWrap/>
                  <w:vAlign w:val="center"/>
                </w:tcPr>
                <w:p w14:paraId="517F218C">
                  <w:pPr>
                    <w:spacing w:beforeLines="0"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电</w:t>
                  </w:r>
                </w:p>
              </w:tc>
              <w:tc>
                <w:tcPr>
                  <w:tcW w:w="3947" w:type="pct"/>
                  <w:gridSpan w:val="7"/>
                  <w:tcBorders>
                    <w:tl2br w:val="nil"/>
                    <w:tr2bl w:val="nil"/>
                  </w:tcBorders>
                  <w:noWrap/>
                  <w:vAlign w:val="center"/>
                </w:tcPr>
                <w:p w14:paraId="3AF7739E">
                  <w:pPr>
                    <w:spacing w:beforeLines="0" w:line="240" w:lineRule="auto"/>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7</w:t>
                  </w:r>
                  <w:r>
                    <w:rPr>
                      <w:rFonts w:hint="default" w:ascii="Times New Roman" w:hAnsi="Times New Roman" w:cs="Times New Roman"/>
                      <w:bCs/>
                      <w:color w:val="auto"/>
                      <w:sz w:val="21"/>
                      <w:szCs w:val="21"/>
                      <w:highlight w:val="none"/>
                      <w:lang w:val="en-US" w:eastAsia="zh-CN"/>
                    </w:rPr>
                    <w:t>0万kwh/a</w:t>
                  </w:r>
                </w:p>
              </w:tc>
            </w:tr>
            <w:tr w14:paraId="7D292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2" w:type="pct"/>
                  <w:gridSpan w:val="2"/>
                  <w:tcBorders>
                    <w:tl2br w:val="nil"/>
                    <w:tr2bl w:val="nil"/>
                  </w:tcBorders>
                  <w:noWrap/>
                  <w:vAlign w:val="center"/>
                </w:tcPr>
                <w:p w14:paraId="4193CC7F">
                  <w:pPr>
                    <w:spacing w:beforeLines="0"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w:t>
                  </w:r>
                </w:p>
              </w:tc>
              <w:tc>
                <w:tcPr>
                  <w:tcW w:w="3947" w:type="pct"/>
                  <w:gridSpan w:val="7"/>
                  <w:tcBorders>
                    <w:tl2br w:val="nil"/>
                    <w:tr2bl w:val="nil"/>
                  </w:tcBorders>
                  <w:noWrap/>
                  <w:vAlign w:val="center"/>
                </w:tcPr>
                <w:p w14:paraId="14AF7F60">
                  <w:pPr>
                    <w:spacing w:beforeLines="0" w:line="240" w:lineRule="auto"/>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1120</w:t>
                  </w:r>
                  <w:r>
                    <w:rPr>
                      <w:rFonts w:hint="default" w:ascii="Times New Roman" w:hAnsi="Times New Roman" w:cs="Times New Roman"/>
                      <w:bCs/>
                      <w:color w:val="auto"/>
                      <w:sz w:val="21"/>
                      <w:szCs w:val="21"/>
                      <w:highlight w:val="none"/>
                      <w:lang w:val="en-US" w:eastAsia="zh-CN"/>
                    </w:rPr>
                    <w:t>t/a</w:t>
                  </w:r>
                </w:p>
              </w:tc>
            </w:tr>
            <w:tr w14:paraId="73BEB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9"/>
                  <w:tcBorders>
                    <w:tl2br w:val="nil"/>
                    <w:tr2bl w:val="nil"/>
                  </w:tcBorders>
                  <w:noWrap/>
                  <w:vAlign w:val="center"/>
                </w:tcPr>
                <w:p w14:paraId="38407636">
                  <w:pPr>
                    <w:spacing w:beforeLines="0" w:line="240" w:lineRule="auto"/>
                    <w:jc w:val="left"/>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备注：由于全球汽车行业向轻量化、环保化方向加速转型，车用注塑件对材料性能与环保合规性提出更高要求，因此本项目使用PBT、PA6/PA66、PC/ABS、PP、色母、TPV、PVC等塑料粒子均为原生料，同时为了提高注塑件耐候性和保持长期色泽稳定性，项目使用的PC/ABS塑料粒子特别选用非光气法聚碳酸酯（PC）与丙烯腈-丁二烯-苯乙烯共聚物（ABS）共聚物的混合物，因此本项目注塑过程中不涉及光气的产生。</w:t>
                  </w:r>
                </w:p>
              </w:tc>
            </w:tr>
          </w:tbl>
          <w:p w14:paraId="64FB5133">
            <w:pPr>
              <w:pStyle w:val="33"/>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olor w:val="auto"/>
                <w:vertAlign w:val="baseline"/>
              </w:rPr>
            </w:pPr>
          </w:p>
        </w:tc>
      </w:tr>
    </w:tbl>
    <w:p w14:paraId="27338E82">
      <w:pPr>
        <w:pStyle w:val="30"/>
        <w:widowControl/>
        <w:numPr>
          <w:ilvl w:val="0"/>
          <w:numId w:val="0"/>
        </w:numPr>
        <w:spacing w:before="100" w:beforeAutospacing="1" w:after="100" w:afterAutospacing="1"/>
        <w:jc w:val="center"/>
        <w:outlineLvl w:val="0"/>
        <w:rPr>
          <w:rFonts w:ascii="Times New Roman" w:hAnsi="Times New Roman" w:eastAsia="黑体"/>
          <w:snapToGrid w:val="0"/>
          <w:color w:val="auto"/>
          <w:sz w:val="30"/>
          <w:szCs w:val="30"/>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tbl>
      <w:tblPr>
        <w:tblStyle w:val="35"/>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868"/>
      </w:tblGrid>
      <w:tr w14:paraId="51A1A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0" w:type="dxa"/>
            <w:noWrap w:val="0"/>
            <w:vAlign w:val="center"/>
          </w:tcPr>
          <w:p w14:paraId="4CFB2356">
            <w:pPr>
              <w:pStyle w:val="30"/>
              <w:adjustRightInd w:val="0"/>
              <w:snapToGrid w:val="0"/>
              <w:spacing w:before="0" w:beforeAutospacing="0" w:after="0" w:afterAutospacing="0"/>
              <w:jc w:val="center"/>
              <w:rPr>
                <w:rFonts w:ascii="Times New Roman" w:hAnsi="Times New Roman"/>
                <w:color w:val="auto"/>
                <w:sz w:val="21"/>
                <w:szCs w:val="21"/>
                <w:lang w:val="en-US" w:eastAsia="zh-CN"/>
              </w:rPr>
            </w:pPr>
            <w:r>
              <w:rPr>
                <w:rFonts w:ascii="Times New Roman" w:hAnsi="Times New Roman"/>
                <w:color w:val="auto"/>
                <w:sz w:val="21"/>
                <w:szCs w:val="21"/>
                <w:lang w:val="en-US" w:eastAsia="zh-CN"/>
              </w:rPr>
              <w:t>建设内容</w:t>
            </w:r>
          </w:p>
        </w:tc>
        <w:tc>
          <w:tcPr>
            <w:tcW w:w="8868" w:type="dxa"/>
            <w:noWrap w:val="0"/>
            <w:vAlign w:val="top"/>
          </w:tcPr>
          <w:p w14:paraId="071A678D">
            <w:pPr>
              <w:pStyle w:val="165"/>
              <w:ind w:firstLine="480"/>
              <w:rPr>
                <w:rFonts w:hint="eastAsia" w:ascii="Times New Roman" w:hAnsi="Times New Roman" w:cs="Times New Roman"/>
                <w:color w:val="auto"/>
                <w:lang w:val="zh-CN" w:eastAsia="zh-CN"/>
              </w:rPr>
            </w:pPr>
            <w:r>
              <w:rPr>
                <w:rFonts w:hint="eastAsia" w:ascii="Times New Roman" w:hAnsi="Times New Roman" w:cs="Times New Roman"/>
                <w:color w:val="auto"/>
                <w:lang w:val="zh-CN" w:eastAsia="zh-CN"/>
              </w:rPr>
              <w:t>表2-</w:t>
            </w:r>
            <w:r>
              <w:rPr>
                <w:rFonts w:hint="eastAsia" w:ascii="Times New Roman" w:hAnsi="Times New Roman" w:cs="Times New Roman"/>
                <w:color w:val="auto"/>
                <w:lang w:val="en-US" w:eastAsia="zh-CN"/>
              </w:rPr>
              <w:t>7</w:t>
            </w:r>
            <w:r>
              <w:rPr>
                <w:rFonts w:hint="eastAsia" w:ascii="Times New Roman" w:hAnsi="Times New Roman" w:cs="Times New Roman"/>
                <w:color w:val="auto"/>
                <w:lang w:val="zh-CN" w:eastAsia="zh-CN"/>
              </w:rPr>
              <w:t xml:space="preserve"> </w:t>
            </w:r>
            <w:r>
              <w:rPr>
                <w:rFonts w:hint="default" w:ascii="Times New Roman" w:hAnsi="Times New Roman" w:cs="Times New Roman"/>
                <w:color w:val="auto"/>
                <w:lang w:val="zh-CN" w:eastAsia="zh-CN"/>
              </w:rPr>
              <w:t>主要原辅材料性质介绍</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126"/>
              <w:gridCol w:w="2281"/>
              <w:gridCol w:w="4661"/>
            </w:tblGrid>
            <w:tr w14:paraId="368F7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79D9A2EB">
                  <w:pPr>
                    <w:pStyle w:val="19"/>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序号</w:t>
                  </w:r>
                </w:p>
              </w:tc>
              <w:tc>
                <w:tcPr>
                  <w:tcW w:w="1126" w:type="dxa"/>
                  <w:noWrap w:val="0"/>
                  <w:vAlign w:val="center"/>
                </w:tcPr>
                <w:p w14:paraId="28EC19AA">
                  <w:pPr>
                    <w:pStyle w:val="19"/>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原料名称</w:t>
                  </w:r>
                </w:p>
              </w:tc>
              <w:tc>
                <w:tcPr>
                  <w:tcW w:w="6942" w:type="dxa"/>
                  <w:gridSpan w:val="2"/>
                  <w:noWrap w:val="0"/>
                  <w:vAlign w:val="center"/>
                </w:tcPr>
                <w:p w14:paraId="4DE946BF">
                  <w:pPr>
                    <w:pStyle w:val="19"/>
                    <w:adjustRightInd w:val="0"/>
                    <w:snapToGrid w:val="0"/>
                    <w:spacing w:line="240" w:lineRule="auto"/>
                    <w:jc w:val="center"/>
                    <w:rPr>
                      <w:rFonts w:ascii="Times New Roman" w:hAnsi="Times New Roman"/>
                      <w:b/>
                      <w:color w:val="auto"/>
                      <w:sz w:val="18"/>
                      <w:szCs w:val="18"/>
                    </w:rPr>
                  </w:pPr>
                  <w:r>
                    <w:rPr>
                      <w:rFonts w:ascii="Times New Roman" w:hAnsi="Times New Roman"/>
                      <w:b/>
                      <w:color w:val="auto"/>
                      <w:sz w:val="18"/>
                      <w:szCs w:val="18"/>
                    </w:rPr>
                    <w:t>性质</w:t>
                  </w:r>
                </w:p>
              </w:tc>
            </w:tr>
            <w:tr w14:paraId="24D26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51267FBF">
                  <w:pPr>
                    <w:pStyle w:val="76"/>
                    <w:spacing w:after="0" w:line="240" w:lineRule="auto"/>
                    <w:ind w:left="0" w:leftChars="0" w:firstLine="0"/>
                    <w:jc w:val="center"/>
                    <w:rPr>
                      <w:rFonts w:eastAsia="宋体"/>
                      <w:bCs/>
                      <w:color w:val="auto"/>
                      <w:sz w:val="18"/>
                      <w:szCs w:val="18"/>
                      <w:lang w:val="en-US" w:eastAsia="zh-CN"/>
                    </w:rPr>
                  </w:pPr>
                  <w:r>
                    <w:rPr>
                      <w:rFonts w:hint="eastAsia" w:eastAsia="宋体"/>
                      <w:bCs/>
                      <w:color w:val="auto"/>
                      <w:sz w:val="18"/>
                      <w:szCs w:val="18"/>
                      <w:lang w:val="en-US" w:eastAsia="zh-CN"/>
                    </w:rPr>
                    <w:t>1</w:t>
                  </w:r>
                </w:p>
              </w:tc>
              <w:tc>
                <w:tcPr>
                  <w:tcW w:w="1126" w:type="dxa"/>
                  <w:noWrap w:val="0"/>
                  <w:vAlign w:val="center"/>
                </w:tcPr>
                <w:p w14:paraId="5F848A29">
                  <w:pPr>
                    <w:autoSpaceDE w:val="0"/>
                    <w:autoSpaceDN w:val="0"/>
                    <w:adjustRightInd w:val="0"/>
                    <w:snapToGrid w:val="0"/>
                    <w:spacing w:line="240" w:lineRule="auto"/>
                    <w:jc w:val="center"/>
                    <w:textAlignment w:val="bottom"/>
                    <w:rPr>
                      <w:rFonts w:hint="default" w:eastAsia="宋体"/>
                      <w:color w:val="auto"/>
                      <w:sz w:val="18"/>
                      <w:szCs w:val="18"/>
                      <w:lang w:val="en-US" w:eastAsia="zh-CN"/>
                    </w:rPr>
                  </w:pPr>
                  <w:r>
                    <w:rPr>
                      <w:rFonts w:hint="eastAsia"/>
                      <w:color w:val="auto"/>
                      <w:sz w:val="18"/>
                      <w:szCs w:val="18"/>
                      <w:lang w:val="en-US" w:eastAsia="zh-CN"/>
                    </w:rPr>
                    <w:t>PBT</w:t>
                  </w:r>
                </w:p>
              </w:tc>
              <w:tc>
                <w:tcPr>
                  <w:tcW w:w="6942" w:type="dxa"/>
                  <w:gridSpan w:val="2"/>
                  <w:noWrap w:val="0"/>
                  <w:vAlign w:val="center"/>
                </w:tcPr>
                <w:p w14:paraId="2165BDA8">
                  <w:pPr>
                    <w:autoSpaceDE w:val="0"/>
                    <w:autoSpaceDN w:val="0"/>
                    <w:adjustRightInd w:val="0"/>
                    <w:snapToGrid w:val="0"/>
                    <w:spacing w:line="240" w:lineRule="auto"/>
                    <w:jc w:val="left"/>
                    <w:textAlignment w:val="bottom"/>
                    <w:rPr>
                      <w:rFonts w:hint="eastAsia" w:eastAsia="宋体"/>
                      <w:color w:val="auto"/>
                      <w:sz w:val="18"/>
                      <w:szCs w:val="18"/>
                      <w:lang w:eastAsia="zh-CN"/>
                    </w:rPr>
                  </w:pPr>
                  <w:r>
                    <w:rPr>
                      <w:rFonts w:hint="eastAsia"/>
                      <w:color w:val="auto"/>
                      <w:kern w:val="0"/>
                      <w:sz w:val="18"/>
                      <w:szCs w:val="18"/>
                    </w:rPr>
                    <w:t>聚对苯二甲酸丁二醇酯，为乳白色半透明到不透明、结晶型热塑性聚酯。具有高耐热性、韧性、耐疲劳性，自润滑、低摩擦系数，耐候性、吸水率低，仅为0.1%，在潮湿环境中仍保持各种物性（包括电性能）、电绝缘性，但体积电阻、介电损耗大。耐热水、碱类、酸类、油类、但易受卤化烃侵蚀，耐水解性差，低温下可迅速结晶，成型性良好。成型温度为225～235℃，分解温度为280℃。</w:t>
                  </w:r>
                </w:p>
              </w:tc>
            </w:tr>
            <w:tr w14:paraId="7D60F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791CF1DB">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2</w:t>
                  </w:r>
                </w:p>
              </w:tc>
              <w:tc>
                <w:tcPr>
                  <w:tcW w:w="1126" w:type="dxa"/>
                  <w:noWrap w:val="0"/>
                  <w:vAlign w:val="center"/>
                </w:tcPr>
                <w:p w14:paraId="1BD54B7E">
                  <w:pPr>
                    <w:adjustRightInd w:val="0"/>
                    <w:snapToGrid w:val="0"/>
                    <w:spacing w:line="240" w:lineRule="auto"/>
                    <w:jc w:val="center"/>
                    <w:rPr>
                      <w:rFonts w:hint="default" w:eastAsia="宋体"/>
                      <w:bCs/>
                      <w:color w:val="auto"/>
                      <w:sz w:val="18"/>
                      <w:szCs w:val="18"/>
                      <w:lang w:val="en-US" w:eastAsia="zh-CN"/>
                    </w:rPr>
                  </w:pPr>
                  <w:r>
                    <w:rPr>
                      <w:rFonts w:hint="eastAsia"/>
                      <w:bCs/>
                      <w:color w:val="auto"/>
                      <w:sz w:val="18"/>
                      <w:szCs w:val="18"/>
                      <w:lang w:val="en-US" w:eastAsia="zh-CN"/>
                    </w:rPr>
                    <w:t>PA6</w:t>
                  </w:r>
                </w:p>
              </w:tc>
              <w:tc>
                <w:tcPr>
                  <w:tcW w:w="6942" w:type="dxa"/>
                  <w:gridSpan w:val="2"/>
                  <w:noWrap w:val="0"/>
                  <w:vAlign w:val="center"/>
                </w:tcPr>
                <w:p w14:paraId="019519E4">
                  <w:pPr>
                    <w:adjustRightInd w:val="0"/>
                    <w:snapToGrid w:val="0"/>
                    <w:spacing w:line="240" w:lineRule="auto"/>
                    <w:jc w:val="left"/>
                    <w:rPr>
                      <w:rFonts w:hint="default" w:eastAsia="宋体"/>
                      <w:color w:val="auto"/>
                      <w:sz w:val="18"/>
                      <w:szCs w:val="18"/>
                      <w:lang w:val="en-US" w:eastAsia="zh-CN"/>
                    </w:rPr>
                  </w:pPr>
                  <w:r>
                    <w:rPr>
                      <w:rFonts w:hint="eastAsia"/>
                      <w:color w:val="auto"/>
                      <w:sz w:val="18"/>
                      <w:szCs w:val="18"/>
                    </w:rPr>
                    <w:t>PA6又名聚酰胺6，是半透明或不透明乳白色粒子，具有热塑性、轻质、韧性好、耐化学品和耐久性好等特性。熔化温度为210~220℃，分解温度大于300℃。</w:t>
                  </w:r>
                </w:p>
              </w:tc>
            </w:tr>
            <w:tr w14:paraId="01CC7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124C4948">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3</w:t>
                  </w:r>
                </w:p>
              </w:tc>
              <w:tc>
                <w:tcPr>
                  <w:tcW w:w="1126" w:type="dxa"/>
                  <w:noWrap w:val="0"/>
                  <w:vAlign w:val="center"/>
                </w:tcPr>
                <w:p w14:paraId="01D61B60">
                  <w:pPr>
                    <w:adjustRightInd w:val="0"/>
                    <w:snapToGrid w:val="0"/>
                    <w:spacing w:line="240" w:lineRule="auto"/>
                    <w:jc w:val="center"/>
                    <w:rPr>
                      <w:rFonts w:hint="default"/>
                      <w:bCs/>
                      <w:color w:val="auto"/>
                      <w:sz w:val="18"/>
                      <w:szCs w:val="18"/>
                      <w:lang w:val="en-US" w:eastAsia="zh-CN"/>
                    </w:rPr>
                  </w:pPr>
                  <w:r>
                    <w:rPr>
                      <w:rFonts w:hint="eastAsia"/>
                      <w:bCs/>
                      <w:color w:val="auto"/>
                      <w:sz w:val="18"/>
                      <w:szCs w:val="18"/>
                      <w:lang w:val="en-US" w:eastAsia="zh-CN"/>
                    </w:rPr>
                    <w:t>PA66</w:t>
                  </w:r>
                </w:p>
              </w:tc>
              <w:tc>
                <w:tcPr>
                  <w:tcW w:w="6942" w:type="dxa"/>
                  <w:gridSpan w:val="2"/>
                  <w:noWrap w:val="0"/>
                  <w:vAlign w:val="center"/>
                </w:tcPr>
                <w:p w14:paraId="127F7E45">
                  <w:pPr>
                    <w:adjustRightInd w:val="0"/>
                    <w:snapToGrid w:val="0"/>
                    <w:spacing w:line="240" w:lineRule="auto"/>
                    <w:jc w:val="left"/>
                    <w:rPr>
                      <w:rFonts w:hint="eastAsia" w:eastAsia="宋体"/>
                      <w:color w:val="auto"/>
                      <w:sz w:val="18"/>
                      <w:szCs w:val="18"/>
                      <w:lang w:eastAsia="zh-CN"/>
                    </w:rPr>
                  </w:pPr>
                  <w:r>
                    <w:rPr>
                      <w:rFonts w:hint="eastAsia"/>
                      <w:bCs/>
                      <w:color w:val="auto"/>
                      <w:sz w:val="18"/>
                      <w:szCs w:val="18"/>
                      <w:lang w:val="en-US" w:eastAsia="zh-CN"/>
                    </w:rPr>
                    <w:t>PA66又名</w:t>
                  </w:r>
                  <w:r>
                    <w:rPr>
                      <w:rFonts w:hint="eastAsia"/>
                      <w:color w:val="auto"/>
                      <w:sz w:val="18"/>
                      <w:szCs w:val="18"/>
                      <w:lang w:eastAsia="zh-CN"/>
                    </w:rPr>
                    <w:t>聚酰胺66，为半透明或不透明乳白色结晶型聚合物，具有可塑性。密度 1.15g/cm</w:t>
                  </w:r>
                  <w:r>
                    <w:rPr>
                      <w:rFonts w:hint="eastAsia"/>
                      <w:color w:val="auto"/>
                      <w:sz w:val="18"/>
                      <w:szCs w:val="18"/>
                      <w:vertAlign w:val="superscript"/>
                      <w:lang w:eastAsia="zh-CN"/>
                    </w:rPr>
                    <w:t>3</w:t>
                  </w:r>
                  <w:r>
                    <w:rPr>
                      <w:rFonts w:hint="eastAsia"/>
                      <w:color w:val="auto"/>
                      <w:sz w:val="18"/>
                      <w:szCs w:val="18"/>
                      <w:lang w:eastAsia="zh-CN"/>
                    </w:rPr>
                    <w:t>。熔点252℃。脆化温度-30℃。热分解温度大于350℃。连续耐热80-120℃，平衡吸水率2.5%。能耐酸、碱、大多数无机盐水溶液、卤代烷、烃类、酯类、酮类等腐蚀，但易溶于苯酚、甲酸等极性溶剂。具有优良的耐磨性、自润滑性，机械强度较高。但吸水性较大，因而尺寸稳定性较差PA66是PA系列中机械强度最高、应用最广的品种，因其结晶度高，故其刚性、耐热性都较高。</w:t>
                  </w:r>
                </w:p>
              </w:tc>
            </w:tr>
            <w:tr w14:paraId="1C28F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0E51B9ED">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4</w:t>
                  </w:r>
                </w:p>
              </w:tc>
              <w:tc>
                <w:tcPr>
                  <w:tcW w:w="1126" w:type="dxa"/>
                  <w:noWrap w:val="0"/>
                  <w:vAlign w:val="center"/>
                </w:tcPr>
                <w:p w14:paraId="7F04CF68">
                  <w:pPr>
                    <w:adjustRightInd w:val="0"/>
                    <w:snapToGrid w:val="0"/>
                    <w:spacing w:line="240" w:lineRule="auto"/>
                    <w:jc w:val="center"/>
                    <w:rPr>
                      <w:rFonts w:hint="default"/>
                      <w:bCs/>
                      <w:color w:val="auto"/>
                      <w:sz w:val="18"/>
                      <w:szCs w:val="18"/>
                      <w:lang w:val="en-US" w:eastAsia="zh-CN"/>
                    </w:rPr>
                  </w:pPr>
                  <w:r>
                    <w:rPr>
                      <w:rFonts w:hint="eastAsia"/>
                      <w:bCs/>
                      <w:color w:val="auto"/>
                      <w:sz w:val="18"/>
                      <w:szCs w:val="18"/>
                      <w:lang w:val="en-US" w:eastAsia="zh-CN"/>
                    </w:rPr>
                    <w:t>PA6/PA66</w:t>
                  </w:r>
                </w:p>
              </w:tc>
              <w:tc>
                <w:tcPr>
                  <w:tcW w:w="6942" w:type="dxa"/>
                  <w:gridSpan w:val="2"/>
                  <w:noWrap w:val="0"/>
                  <w:vAlign w:val="center"/>
                </w:tcPr>
                <w:p w14:paraId="7D95E06F">
                  <w:pPr>
                    <w:adjustRightInd w:val="0"/>
                    <w:snapToGrid w:val="0"/>
                    <w:spacing w:line="240" w:lineRule="auto"/>
                    <w:jc w:val="left"/>
                    <w:rPr>
                      <w:rFonts w:hint="eastAsia"/>
                      <w:color w:val="auto"/>
                      <w:sz w:val="18"/>
                      <w:szCs w:val="18"/>
                      <w:lang w:eastAsia="zh-CN"/>
                    </w:rPr>
                  </w:pPr>
                  <w:r>
                    <w:rPr>
                      <w:rFonts w:hint="eastAsia"/>
                      <w:color w:val="auto"/>
                      <w:sz w:val="18"/>
                      <w:szCs w:val="18"/>
                      <w:lang w:eastAsia="zh-CN"/>
                    </w:rPr>
                    <w:t>共聚型聚酰胺材料，由聚酰胺6（PA6）和聚酰胺66（PA66）通过共聚反应制成。这种材料结合了PA6和PA66的优点，具有优异的机械性能、耐热性、耐磨性和化学稳定性。PA6/66的分子结构中，PA6提供良好的韧性和加工性能，而PA66则贡献了更高的强度和耐热性。这种共聚物通常用于需要平衡性能的应用场景，如汽车零部件、电子电器、工业配件等。</w:t>
                  </w:r>
                </w:p>
              </w:tc>
            </w:tr>
            <w:tr w14:paraId="5316B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14FCB64B">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5</w:t>
                  </w:r>
                </w:p>
              </w:tc>
              <w:tc>
                <w:tcPr>
                  <w:tcW w:w="1126" w:type="dxa"/>
                  <w:noWrap w:val="0"/>
                  <w:vAlign w:val="center"/>
                </w:tcPr>
                <w:p w14:paraId="14C603D6">
                  <w:pPr>
                    <w:adjustRightInd w:val="0"/>
                    <w:snapToGrid w:val="0"/>
                    <w:spacing w:line="240" w:lineRule="auto"/>
                    <w:jc w:val="center"/>
                    <w:rPr>
                      <w:rFonts w:hint="default"/>
                      <w:bCs/>
                      <w:color w:val="auto"/>
                      <w:sz w:val="18"/>
                      <w:szCs w:val="18"/>
                      <w:lang w:val="en-US" w:eastAsia="zh-CN"/>
                    </w:rPr>
                  </w:pPr>
                  <w:r>
                    <w:rPr>
                      <w:rFonts w:hint="eastAsia"/>
                      <w:bCs/>
                      <w:color w:val="auto"/>
                      <w:sz w:val="18"/>
                      <w:szCs w:val="18"/>
                      <w:lang w:val="en-US" w:eastAsia="zh-CN"/>
                    </w:rPr>
                    <w:t>PC/ABS</w:t>
                  </w:r>
                </w:p>
              </w:tc>
              <w:tc>
                <w:tcPr>
                  <w:tcW w:w="6942" w:type="dxa"/>
                  <w:gridSpan w:val="2"/>
                  <w:noWrap w:val="0"/>
                  <w:vAlign w:val="center"/>
                </w:tcPr>
                <w:p w14:paraId="1643E546">
                  <w:pPr>
                    <w:adjustRightInd w:val="0"/>
                    <w:snapToGrid w:val="0"/>
                    <w:spacing w:line="240" w:lineRule="auto"/>
                    <w:jc w:val="left"/>
                    <w:rPr>
                      <w:rFonts w:hint="eastAsia"/>
                      <w:color w:val="auto"/>
                      <w:sz w:val="18"/>
                      <w:szCs w:val="18"/>
                      <w:lang w:eastAsia="zh-CN"/>
                    </w:rPr>
                  </w:pPr>
                  <w:r>
                    <w:rPr>
                      <w:rFonts w:hint="eastAsia"/>
                      <w:color w:val="auto"/>
                      <w:sz w:val="18"/>
                      <w:szCs w:val="18"/>
                      <w:lang w:val="en-US" w:eastAsia="zh-CN"/>
                    </w:rPr>
                    <w:t>非光气法</w:t>
                  </w:r>
                  <w:r>
                    <w:rPr>
                      <w:rFonts w:hint="eastAsia"/>
                      <w:color w:val="auto"/>
                      <w:sz w:val="18"/>
                      <w:szCs w:val="18"/>
                      <w:lang w:eastAsia="zh-CN"/>
                    </w:rPr>
                    <w:t>聚碳酸酯和丙烯腈-丁二烯-苯乙烯共聚物的混合物，新粒，是由</w:t>
                  </w:r>
                  <w:r>
                    <w:rPr>
                      <w:rFonts w:hint="eastAsia"/>
                      <w:color w:val="auto"/>
                      <w:sz w:val="18"/>
                      <w:szCs w:val="18"/>
                      <w:lang w:val="en-US" w:eastAsia="zh-CN"/>
                    </w:rPr>
                    <w:t>非光气法</w:t>
                  </w:r>
                  <w:r>
                    <w:rPr>
                      <w:rFonts w:hint="eastAsia"/>
                      <w:color w:val="auto"/>
                      <w:sz w:val="18"/>
                      <w:szCs w:val="18"/>
                      <w:lang w:eastAsia="zh-CN"/>
                    </w:rPr>
                    <w:t>聚碳酸酯(PC)和聚丙烯腈(ABS)合并而成的热可塑性塑胶，一般是不透明的，外观呈浅象牙色、无毒、无味，兼有韧、硬、刚的特性。这种材料既具有PC树脂的优良耐热耐候性、尺寸稳定性和耐冲击性能，又具有ABS树脂优良的加工流动性。所以应用在薄壁及复杂形状制品，能保持其优异的性能，以及保持塑料与一种酯组成的材料的成型性。成型温度约230℃，分解温度约300℃，密度为1.05-1.20g/cm³。</w:t>
                  </w:r>
                </w:p>
              </w:tc>
            </w:tr>
            <w:tr w14:paraId="12CFB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1BFEB02B">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6</w:t>
                  </w:r>
                </w:p>
              </w:tc>
              <w:tc>
                <w:tcPr>
                  <w:tcW w:w="1126" w:type="dxa"/>
                  <w:noWrap w:val="0"/>
                  <w:vAlign w:val="center"/>
                </w:tcPr>
                <w:p w14:paraId="6DA215A5">
                  <w:pPr>
                    <w:adjustRightInd w:val="0"/>
                    <w:snapToGrid w:val="0"/>
                    <w:spacing w:line="240" w:lineRule="auto"/>
                    <w:jc w:val="center"/>
                    <w:rPr>
                      <w:rFonts w:hint="default"/>
                      <w:bCs/>
                      <w:color w:val="auto"/>
                      <w:sz w:val="18"/>
                      <w:szCs w:val="18"/>
                      <w:lang w:val="en-US" w:eastAsia="zh-CN"/>
                    </w:rPr>
                  </w:pPr>
                  <w:r>
                    <w:rPr>
                      <w:rFonts w:hint="eastAsia"/>
                      <w:bCs/>
                      <w:color w:val="auto"/>
                      <w:sz w:val="18"/>
                      <w:szCs w:val="18"/>
                      <w:lang w:val="en-US" w:eastAsia="zh-CN"/>
                    </w:rPr>
                    <w:t>PC</w:t>
                  </w:r>
                </w:p>
              </w:tc>
              <w:tc>
                <w:tcPr>
                  <w:tcW w:w="6942" w:type="dxa"/>
                  <w:gridSpan w:val="2"/>
                  <w:noWrap w:val="0"/>
                  <w:vAlign w:val="center"/>
                </w:tcPr>
                <w:p w14:paraId="7FDEF36D">
                  <w:pPr>
                    <w:adjustRightInd w:val="0"/>
                    <w:snapToGrid w:val="0"/>
                    <w:spacing w:line="240" w:lineRule="auto"/>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聚碳酸酯，215℃开始软化，225℃以上开始流动，260℃以下熔体黏度过高，制品易出现不足，成型温度一般在230℃-320℃之间选用，超过340℃会出现分解，干燥温度为120℃-130℃之间，干燥时间为4小时以上，密度：1.18-1.22g/c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，无色透明，耐热，抗冲击，阻燃BI级，在普通使用温度内都有良好的机械性能。</w:t>
                  </w:r>
                </w:p>
              </w:tc>
            </w:tr>
            <w:tr w14:paraId="5A77E4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27069D49">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7</w:t>
                  </w:r>
                </w:p>
              </w:tc>
              <w:tc>
                <w:tcPr>
                  <w:tcW w:w="1126" w:type="dxa"/>
                  <w:noWrap w:val="0"/>
                  <w:vAlign w:val="center"/>
                </w:tcPr>
                <w:p w14:paraId="01CA52BC">
                  <w:pPr>
                    <w:adjustRightInd w:val="0"/>
                    <w:snapToGrid w:val="0"/>
                    <w:spacing w:line="240" w:lineRule="auto"/>
                    <w:jc w:val="center"/>
                    <w:rPr>
                      <w:rFonts w:hint="eastAsia"/>
                      <w:bCs/>
                      <w:color w:val="auto"/>
                      <w:sz w:val="18"/>
                      <w:szCs w:val="18"/>
                      <w:lang w:val="en-US" w:eastAsia="zh-CN"/>
                    </w:rPr>
                  </w:pPr>
                  <w:r>
                    <w:rPr>
                      <w:rFonts w:hint="eastAsia"/>
                      <w:bCs/>
                      <w:color w:val="auto"/>
                      <w:sz w:val="18"/>
                      <w:szCs w:val="18"/>
                      <w:lang w:val="en-US" w:eastAsia="zh-CN"/>
                    </w:rPr>
                    <w:t>ABS</w:t>
                  </w:r>
                </w:p>
              </w:tc>
              <w:tc>
                <w:tcPr>
                  <w:tcW w:w="6942" w:type="dxa"/>
                  <w:gridSpan w:val="2"/>
                  <w:noWrap w:val="0"/>
                  <w:vAlign w:val="center"/>
                </w:tcPr>
                <w:p w14:paraId="38D9E6E4">
                  <w:pPr>
                    <w:adjustRightInd w:val="0"/>
                    <w:snapToGrid w:val="0"/>
                    <w:spacing w:line="240" w:lineRule="auto"/>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ABS 树脂是丙烯腈(Acrylonitrile)、1,3-丁二烯(Butadiene)、苯乙烯(Styrene)三元共聚物，A代表丙烯腈，B代表丁二烯，S代表苯乙烯；外观为白色圆柱状，长度约为0.5～1.5cm 左右，有一定的韧性，密度约为1.04～1.06g/cm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。其中，丙烯腈占15%～35%，丁二烯占5%～30%，苯乙烯占40%～60%，它抗酸、碱、盐的腐蚀能力比较强，也可在一定程度上耐受有机溶剂溶解。ABS塑料的熔融温度在190~240℃，热分解温度&gt;250℃。</w:t>
                  </w:r>
                </w:p>
              </w:tc>
            </w:tr>
            <w:tr w14:paraId="7ACC5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0D268288">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8</w:t>
                  </w:r>
                </w:p>
              </w:tc>
              <w:tc>
                <w:tcPr>
                  <w:tcW w:w="1126" w:type="dxa"/>
                  <w:noWrap w:val="0"/>
                  <w:vAlign w:val="center"/>
                </w:tcPr>
                <w:p w14:paraId="74A75F67">
                  <w:pPr>
                    <w:adjustRightInd w:val="0"/>
                    <w:snapToGrid w:val="0"/>
                    <w:spacing w:line="240" w:lineRule="auto"/>
                    <w:jc w:val="center"/>
                    <w:rPr>
                      <w:rFonts w:hint="default"/>
                      <w:bCs/>
                      <w:color w:val="auto"/>
                      <w:sz w:val="18"/>
                      <w:szCs w:val="18"/>
                      <w:lang w:val="en-US" w:eastAsia="zh-CN"/>
                    </w:rPr>
                  </w:pPr>
                  <w:r>
                    <w:rPr>
                      <w:rFonts w:hint="eastAsia"/>
                      <w:bCs/>
                      <w:color w:val="auto"/>
                      <w:sz w:val="18"/>
                      <w:szCs w:val="18"/>
                      <w:lang w:val="en-US" w:eastAsia="zh-CN"/>
                    </w:rPr>
                    <w:t>PP</w:t>
                  </w:r>
                </w:p>
              </w:tc>
              <w:tc>
                <w:tcPr>
                  <w:tcW w:w="6942" w:type="dxa"/>
                  <w:gridSpan w:val="2"/>
                  <w:noWrap w:val="0"/>
                  <w:vAlign w:val="center"/>
                </w:tcPr>
                <w:p w14:paraId="329B3723">
                  <w:pPr>
                    <w:adjustRightInd w:val="0"/>
                    <w:snapToGrid w:val="0"/>
                    <w:spacing w:line="240" w:lineRule="auto"/>
                    <w:jc w:val="left"/>
                    <w:rPr>
                      <w:rFonts w:hint="default" w:ascii="Times New Roman" w:hAnsi="Times New Roman" w:cs="Times New Roman"/>
                      <w:color w:val="auto"/>
                      <w:sz w:val="18"/>
                      <w:szCs w:val="18"/>
                      <w:lang w:val="en-US" w:eastAsia="zh-CN"/>
                    </w:rPr>
                  </w:pPr>
                  <w:r>
                    <w:rPr>
                      <w:rFonts w:hint="default" w:ascii="Times New Roman" w:hAnsi="Times New Roman" w:eastAsia="宋体" w:cs="Times New Roman"/>
                      <w:bCs/>
                      <w:color w:val="auto"/>
                      <w:sz w:val="18"/>
                      <w:szCs w:val="18"/>
                      <w:highlight w:val="none"/>
                      <w:lang w:val="en-US" w:eastAsia="zh-CN"/>
                    </w:rPr>
                    <w:t>即聚丙烯树脂，白色固体颗粒，具有可燃性，由乙烯-丙烯共聚物和添加剂组成，它比PE要更坚硬并且有更高的熔点。由于均聚物型的PP温度高于0℃以上时非常脆，因此许多商业的PP材料是加入1~4%乙烯的无规则共聚物或更高比率乙烯含量的</w:t>
                  </w:r>
                  <w:r>
                    <w:rPr>
                      <w:rFonts w:hint="eastAsia" w:cs="Times New Roman"/>
                      <w:bCs/>
                      <w:color w:val="auto"/>
                      <w:sz w:val="18"/>
                      <w:szCs w:val="18"/>
                      <w:highlight w:val="none"/>
                      <w:lang w:val="en-US" w:eastAsia="zh-CN"/>
                    </w:rPr>
                    <w:t>嵌段</w:t>
                  </w:r>
                  <w:r>
                    <w:rPr>
                      <w:rFonts w:hint="default" w:ascii="Times New Roman" w:hAnsi="Times New Roman" w:eastAsia="宋体" w:cs="Times New Roman"/>
                      <w:bCs/>
                      <w:color w:val="auto"/>
                      <w:sz w:val="18"/>
                      <w:szCs w:val="18"/>
                      <w:highlight w:val="none"/>
                      <w:lang w:val="en-US" w:eastAsia="zh-CN"/>
                    </w:rPr>
                    <w:t>式共聚物。共聚物型的PP材料有较低的热扭曲温度（100℃）、低透明度、低光泽度、低刚性，但是有更强的抗冲击强度。PP的强度随着乙烯含量的增加而增大。PP的维卡软化温度为150℃。由于结晶度较高，这种材料的表面刚度和抗划痕特性很好。</w:t>
                  </w:r>
                  <w:r>
                    <w:rPr>
                      <w:rFonts w:hint="default" w:ascii="Times New Roman" w:hAnsi="Times New Roman" w:cs="Times New Roman"/>
                      <w:color w:val="auto"/>
                      <w:sz w:val="18"/>
                      <w:szCs w:val="18"/>
                      <w:highlight w:val="none"/>
                      <w:lang w:val="en-US" w:eastAsia="zh-CN"/>
                    </w:rPr>
                    <w:t>分解温度3</w:t>
                  </w:r>
                  <w:r>
                    <w:rPr>
                      <w:rFonts w:hint="eastAsia" w:cs="Times New Roman"/>
                      <w:color w:val="auto"/>
                      <w:sz w:val="18"/>
                      <w:szCs w:val="18"/>
                      <w:highlight w:val="none"/>
                      <w:lang w:val="en-US" w:eastAsia="zh-CN"/>
                    </w:rPr>
                    <w:t>0</w:t>
                  </w:r>
                  <w:r>
                    <w:rPr>
                      <w:rFonts w:hint="default" w:ascii="Times New Roman" w:hAnsi="Times New Roman" w:cs="Times New Roman"/>
                      <w:color w:val="auto"/>
                      <w:sz w:val="18"/>
                      <w:szCs w:val="18"/>
                      <w:highlight w:val="none"/>
                      <w:lang w:val="en-US" w:eastAsia="zh-CN"/>
                    </w:rPr>
                    <w:t>0～</w:t>
                  </w:r>
                  <w:r>
                    <w:rPr>
                      <w:rFonts w:hint="eastAsia"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val="en-US" w:eastAsia="zh-CN"/>
                    </w:rPr>
                    <w:t>50°C</w:t>
                  </w:r>
                  <w:r>
                    <w:rPr>
                      <w:rFonts w:hint="eastAsia" w:ascii="Times New Roman" w:hAnsi="Times New Roman" w:cs="Times New Roman"/>
                      <w:color w:val="auto"/>
                      <w:sz w:val="18"/>
                      <w:szCs w:val="18"/>
                      <w:highlight w:val="none"/>
                      <w:lang w:val="en-US" w:eastAsia="zh-CN"/>
                    </w:rPr>
                    <w:t>。</w:t>
                  </w:r>
                </w:p>
              </w:tc>
            </w:tr>
            <w:tr w14:paraId="5D26F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793A9379">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9</w:t>
                  </w:r>
                </w:p>
              </w:tc>
              <w:tc>
                <w:tcPr>
                  <w:tcW w:w="1126" w:type="dxa"/>
                  <w:noWrap w:val="0"/>
                  <w:vAlign w:val="center"/>
                </w:tcPr>
                <w:p w14:paraId="63437BB5">
                  <w:pPr>
                    <w:adjustRightInd w:val="0"/>
                    <w:snapToGrid w:val="0"/>
                    <w:spacing w:line="240" w:lineRule="auto"/>
                    <w:jc w:val="center"/>
                    <w:rPr>
                      <w:rFonts w:hint="eastAsia"/>
                      <w:bCs/>
                      <w:color w:val="auto"/>
                      <w:sz w:val="18"/>
                      <w:szCs w:val="18"/>
                      <w:lang w:val="en-US" w:eastAsia="zh-CN"/>
                    </w:rPr>
                  </w:pPr>
                  <w:r>
                    <w:rPr>
                      <w:rFonts w:hint="eastAsia"/>
                      <w:bCs/>
                      <w:color w:val="auto"/>
                      <w:sz w:val="18"/>
                      <w:szCs w:val="18"/>
                      <w:lang w:val="en-US" w:eastAsia="zh-CN"/>
                    </w:rPr>
                    <w:t>色母</w:t>
                  </w:r>
                </w:p>
              </w:tc>
              <w:tc>
                <w:tcPr>
                  <w:tcW w:w="6942" w:type="dxa"/>
                  <w:gridSpan w:val="2"/>
                  <w:noWrap w:val="0"/>
                  <w:vAlign w:val="center"/>
                </w:tcPr>
                <w:p w14:paraId="65F0A728">
                  <w:pPr>
                    <w:adjustRightInd w:val="0"/>
                    <w:snapToGrid w:val="0"/>
                    <w:spacing w:line="240" w:lineRule="auto"/>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色母的全称叫色母粒，也叫色种，是一种新型高分子材料专用着色剂，亦称颜料制备物。色母主要用在塑料上。色母由颜料或染料、载体和添加剂三种基本要素所组成，是把超常量的颜料均匀载附于树脂之中而制得的聚集体，可称颜料浓缩物，所以它的着色力高于颜料本身。加工时用少量色母料和未着色树脂掺混，就可达到设计颜料浓度的着色树</w:t>
                  </w:r>
                </w:p>
                <w:p w14:paraId="08EBDB79">
                  <w:pPr>
                    <w:adjustRightInd w:val="0"/>
                    <w:snapToGrid w:val="0"/>
                    <w:spacing w:line="240" w:lineRule="auto"/>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脂或制品。</w:t>
                  </w:r>
                </w:p>
              </w:tc>
            </w:tr>
            <w:tr w14:paraId="4A860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41ABA414">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10</w:t>
                  </w:r>
                </w:p>
              </w:tc>
              <w:tc>
                <w:tcPr>
                  <w:tcW w:w="1126" w:type="dxa"/>
                  <w:noWrap w:val="0"/>
                  <w:vAlign w:val="center"/>
                </w:tcPr>
                <w:p w14:paraId="09BEF18B">
                  <w:pPr>
                    <w:adjustRightInd w:val="0"/>
                    <w:snapToGrid w:val="0"/>
                    <w:spacing w:line="240" w:lineRule="auto"/>
                    <w:jc w:val="center"/>
                    <w:rPr>
                      <w:rFonts w:hint="eastAsia"/>
                      <w:bCs/>
                      <w:color w:val="auto"/>
                      <w:sz w:val="18"/>
                      <w:szCs w:val="18"/>
                      <w:lang w:val="en-US" w:eastAsia="zh-CN"/>
                    </w:rPr>
                  </w:pPr>
                  <w:r>
                    <w:rPr>
                      <w:rFonts w:hint="eastAsia"/>
                      <w:bCs/>
                      <w:color w:val="auto"/>
                      <w:sz w:val="18"/>
                      <w:szCs w:val="18"/>
                      <w:lang w:val="en-US" w:eastAsia="zh-CN"/>
                    </w:rPr>
                    <w:t>TPV</w:t>
                  </w:r>
                </w:p>
              </w:tc>
              <w:tc>
                <w:tcPr>
                  <w:tcW w:w="6942" w:type="dxa"/>
                  <w:gridSpan w:val="2"/>
                  <w:noWrap w:val="0"/>
                  <w:vAlign w:val="center"/>
                </w:tcPr>
                <w:p w14:paraId="6A31A069">
                  <w:pPr>
                    <w:adjustRightInd w:val="0"/>
                    <w:snapToGrid w:val="0"/>
                    <w:spacing w:line="240" w:lineRule="auto"/>
                    <w:jc w:val="left"/>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热塑性硫化橡胶</w:t>
                  </w:r>
                  <w:r>
                    <w:rPr>
                      <w:rFonts w:hint="eastAsia" w:cs="Times New Roman"/>
                      <w:color w:val="auto"/>
                      <w:sz w:val="18"/>
                      <w:szCs w:val="18"/>
                      <w:lang w:val="en-US" w:eastAsia="zh-CN"/>
                    </w:rPr>
                    <w:t>，主要由聚丙烯作为塑料连续相，三元乙丙橡胶作为橡胶分散相，通过动态硫化工艺形成海岛结构，热分解温度通常在200</w:t>
                  </w:r>
                  <w:r>
                    <w:rPr>
                      <w:rFonts w:hint="default" w:ascii="Times New Roman" w:hAnsi="Times New Roman" w:cs="Times New Roman"/>
                      <w:color w:val="auto"/>
                      <w:sz w:val="18"/>
                      <w:szCs w:val="18"/>
                      <w:highlight w:val="none"/>
                      <w:lang w:val="en-US" w:eastAsia="zh-CN"/>
                    </w:rPr>
                    <w:t>°C</w:t>
                  </w:r>
                  <w:r>
                    <w:rPr>
                      <w:rFonts w:hint="eastAsia" w:cs="Times New Roman"/>
                      <w:color w:val="auto"/>
                      <w:sz w:val="18"/>
                      <w:szCs w:val="18"/>
                      <w:lang w:val="en-US" w:eastAsia="zh-CN"/>
                    </w:rPr>
                    <w:t>以上‌</w:t>
                  </w:r>
                </w:p>
              </w:tc>
            </w:tr>
            <w:tr w14:paraId="56EAE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restart"/>
                  <w:noWrap w:val="0"/>
                  <w:vAlign w:val="center"/>
                </w:tcPr>
                <w:p w14:paraId="1455677B">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11</w:t>
                  </w:r>
                </w:p>
              </w:tc>
              <w:tc>
                <w:tcPr>
                  <w:tcW w:w="1126" w:type="dxa"/>
                  <w:vMerge w:val="restart"/>
                  <w:noWrap w:val="0"/>
                  <w:vAlign w:val="center"/>
                </w:tcPr>
                <w:p w14:paraId="23E0C86C">
                  <w:pPr>
                    <w:adjustRightInd w:val="0"/>
                    <w:snapToGrid w:val="0"/>
                    <w:spacing w:line="240" w:lineRule="auto"/>
                    <w:jc w:val="center"/>
                    <w:rPr>
                      <w:rFonts w:hint="default"/>
                      <w:bCs/>
                      <w:color w:val="auto"/>
                      <w:sz w:val="18"/>
                      <w:szCs w:val="18"/>
                      <w:lang w:val="en-US" w:eastAsia="zh-CN"/>
                    </w:rPr>
                  </w:pPr>
                  <w:r>
                    <w:rPr>
                      <w:rFonts w:hint="eastAsia"/>
                      <w:bCs/>
                      <w:color w:val="auto"/>
                      <w:sz w:val="18"/>
                      <w:szCs w:val="18"/>
                      <w:lang w:val="en-US" w:eastAsia="zh-CN"/>
                    </w:rPr>
                    <w:t>铝带底涂剂</w:t>
                  </w:r>
                </w:p>
              </w:tc>
              <w:tc>
                <w:tcPr>
                  <w:tcW w:w="2281" w:type="dxa"/>
                  <w:vMerge w:val="restart"/>
                  <w:tcBorders>
                    <w:right w:val="single" w:color="000000" w:sz="4" w:space="0"/>
                  </w:tcBorders>
                  <w:noWrap w:val="0"/>
                  <w:vAlign w:val="center"/>
                </w:tcPr>
                <w:p w14:paraId="7AF2A484">
                  <w:pPr>
                    <w:adjustRightInd w:val="0"/>
                    <w:snapToGrid w:val="0"/>
                    <w:spacing w:line="240" w:lineRule="auto"/>
                    <w:jc w:val="left"/>
                    <w:rPr>
                      <w:rFonts w:hint="default" w:ascii="Times New Roman" w:hAnsi="Times New Roman" w:cs="Times New Roman"/>
                      <w:color w:val="auto"/>
                      <w:sz w:val="18"/>
                      <w:szCs w:val="18"/>
                      <w:lang w:val="en-US" w:eastAsia="zh-CN"/>
                    </w:rPr>
                  </w:pPr>
                  <w:r>
                    <w:rPr>
                      <w:rFonts w:hint="default" w:ascii="Times New Roman" w:hAnsi="Times New Roman" w:eastAsia="宋体" w:cs="Times New Roman"/>
                      <w:bCs/>
                      <w:color w:val="auto"/>
                      <w:sz w:val="18"/>
                      <w:szCs w:val="18"/>
                      <w:highlight w:val="none"/>
                      <w:lang w:val="en-US" w:eastAsia="zh-CN"/>
                    </w:rPr>
                    <w:t>根据建设单位提供的MSDS可知，铝带底涂剂的主要成分为</w:t>
                  </w:r>
                  <w:r>
                    <w:rPr>
                      <w:rFonts w:hint="eastAsia" w:ascii="Times New Roman" w:hAnsi="Times New Roman" w:eastAsia="宋体" w:cs="Times New Roman"/>
                      <w:bCs/>
                      <w:color w:val="auto"/>
                      <w:sz w:val="18"/>
                      <w:szCs w:val="18"/>
                      <w:highlight w:val="none"/>
                      <w:lang w:val="en-US" w:eastAsia="zh-CN"/>
                    </w:rPr>
                    <w:t>甲苯</w:t>
                  </w: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eastAsia="宋体" w:cs="Times New Roman"/>
                      <w:bCs/>
                      <w:color w:val="auto"/>
                      <w:sz w:val="18"/>
                      <w:szCs w:val="18"/>
                      <w:highlight w:val="none"/>
                      <w:lang w:val="en-US" w:eastAsia="zh-CN"/>
                    </w:rPr>
                    <w:t>85</w:t>
                  </w:r>
                  <w:r>
                    <w:rPr>
                      <w:rFonts w:hint="eastAsia" w:cs="Times New Roman"/>
                      <w:bCs/>
                      <w:color w:val="auto"/>
                      <w:sz w:val="18"/>
                      <w:szCs w:val="18"/>
                      <w:highlight w:val="none"/>
                      <w:lang w:val="en-US" w:eastAsia="zh-CN"/>
                    </w:rPr>
                    <w:t>-</w:t>
                  </w:r>
                  <w:r>
                    <w:rPr>
                      <w:rFonts w:hint="eastAsia" w:ascii="Times New Roman" w:hAnsi="Times New Roman" w:eastAsia="宋体" w:cs="Times New Roman"/>
                      <w:bCs/>
                      <w:color w:val="auto"/>
                      <w:sz w:val="18"/>
                      <w:szCs w:val="18"/>
                      <w:highlight w:val="none"/>
                      <w:lang w:val="en-US" w:eastAsia="zh-CN"/>
                    </w:rPr>
                    <w:t>95</w:t>
                  </w:r>
                  <w:r>
                    <w:rPr>
                      <w:rFonts w:hint="default" w:ascii="Times New Roman" w:hAnsi="Times New Roman" w:eastAsia="宋体" w:cs="Times New Roman"/>
                      <w:bCs/>
                      <w:color w:val="auto"/>
                      <w:sz w:val="18"/>
                      <w:szCs w:val="18"/>
                      <w:highlight w:val="none"/>
                      <w:lang w:val="en-US" w:eastAsia="zh-CN"/>
                    </w:rPr>
                    <w:t>t%）、2,5-呋喃二酮，与氯化聚丙烯的反应产物（</w:t>
                  </w:r>
                  <w:r>
                    <w:rPr>
                      <w:rFonts w:hint="eastAsia" w:ascii="Times New Roman" w:hAnsi="Times New Roman" w:eastAsia="宋体" w:cs="Times New Roman"/>
                      <w:bCs/>
                      <w:color w:val="auto"/>
                      <w:sz w:val="18"/>
                      <w:szCs w:val="18"/>
                      <w:highlight w:val="none"/>
                      <w:lang w:val="en-US" w:eastAsia="zh-CN"/>
                    </w:rPr>
                    <w:t>1-5</w:t>
                  </w: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eastAsia="宋体" w:cs="Times New Roman"/>
                      <w:bCs/>
                      <w:color w:val="auto"/>
                      <w:sz w:val="18"/>
                      <w:szCs w:val="18"/>
                      <w:highlight w:val="none"/>
                      <w:lang w:val="en-US" w:eastAsia="zh-CN"/>
                    </w:rPr>
                    <w:t>聚酰胺胺</w:t>
                  </w: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eastAsia="宋体" w:cs="Times New Roman"/>
                      <w:bCs/>
                      <w:color w:val="auto"/>
                      <w:sz w:val="18"/>
                      <w:szCs w:val="18"/>
                      <w:highlight w:val="none"/>
                      <w:lang w:val="en-US" w:eastAsia="zh-CN"/>
                    </w:rPr>
                    <w:t>1-5</w:t>
                  </w: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eastAsia="宋体" w:cs="Times New Roman"/>
                      <w:bCs/>
                      <w:color w:val="auto"/>
                      <w:sz w:val="18"/>
                      <w:szCs w:val="18"/>
                      <w:highlight w:val="none"/>
                      <w:lang w:val="en-US" w:eastAsia="zh-CN"/>
                    </w:rPr>
                    <w:t>异丙醇</w:t>
                  </w: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eastAsia="宋体" w:cs="Times New Roman"/>
                      <w:bCs/>
                      <w:color w:val="auto"/>
                      <w:sz w:val="18"/>
                      <w:szCs w:val="18"/>
                      <w:highlight w:val="none"/>
                      <w:lang w:val="en-US" w:eastAsia="zh-CN"/>
                    </w:rPr>
                    <w:t>1</w:t>
                  </w: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eastAsia="宋体" w:cs="Times New Roman"/>
                      <w:bCs/>
                      <w:color w:val="auto"/>
                      <w:sz w:val="18"/>
                      <w:szCs w:val="18"/>
                      <w:highlight w:val="none"/>
                      <w:lang w:val="en-US" w:eastAsia="zh-CN"/>
                    </w:rPr>
                    <w:t>5</w:t>
                  </w:r>
                  <w:r>
                    <w:rPr>
                      <w:rFonts w:hint="default" w:ascii="Times New Roman" w:hAnsi="Times New Roman" w:eastAsia="宋体" w:cs="Times New Roman"/>
                      <w:bCs/>
                      <w:color w:val="auto"/>
                      <w:sz w:val="18"/>
                      <w:szCs w:val="18"/>
                      <w:highlight w:val="none"/>
                      <w:lang w:val="en-US" w:eastAsia="zh-CN"/>
                    </w:rPr>
                    <w:t>t%）、1-甲氧基-2-丙醇（</w:t>
                  </w:r>
                  <w:r>
                    <w:rPr>
                      <w:rFonts w:hint="eastAsia" w:ascii="Times New Roman" w:hAnsi="Times New Roman" w:eastAsia="宋体" w:cs="Times New Roman"/>
                      <w:bCs/>
                      <w:color w:val="auto"/>
                      <w:sz w:val="18"/>
                      <w:szCs w:val="18"/>
                      <w:highlight w:val="none"/>
                      <w:lang w:val="en-US" w:eastAsia="zh-CN"/>
                    </w:rPr>
                    <w:t>0.5-1.5</w:t>
                  </w:r>
                  <w:r>
                    <w:rPr>
                      <w:rFonts w:hint="default" w:ascii="Times New Roman" w:hAnsi="Times New Roman" w:eastAsia="宋体" w:cs="Times New Roman"/>
                      <w:bCs/>
                      <w:color w:val="auto"/>
                      <w:sz w:val="18"/>
                      <w:szCs w:val="18"/>
                      <w:highlight w:val="none"/>
                      <w:lang w:val="en-US" w:eastAsia="zh-CN"/>
                    </w:rPr>
                    <w:t>%）等</w:t>
                  </w:r>
                  <w:r>
                    <w:rPr>
                      <w:rFonts w:hint="eastAsia" w:ascii="Times New Roman" w:hAnsi="Times New Roman" w:eastAsia="宋体" w:cs="Times New Roman"/>
                      <w:bCs/>
                      <w:color w:val="auto"/>
                      <w:sz w:val="18"/>
                      <w:szCs w:val="18"/>
                      <w:highlight w:val="none"/>
                      <w:lang w:val="en-US" w:eastAsia="zh-CN"/>
                    </w:rPr>
                    <w:t>，</w:t>
                  </w:r>
                  <w:r>
                    <w:rPr>
                      <w:rFonts w:hint="eastAsia"/>
                      <w:color w:val="auto"/>
                      <w:sz w:val="18"/>
                      <w:szCs w:val="18"/>
                      <w:lang w:eastAsia="zh-CN"/>
                    </w:rPr>
                    <w:t>密度</w:t>
                  </w:r>
                  <w:r>
                    <w:rPr>
                      <w:rFonts w:hint="eastAsia"/>
                      <w:color w:val="auto"/>
                      <w:sz w:val="18"/>
                      <w:szCs w:val="18"/>
                      <w:lang w:val="en-US" w:eastAsia="zh-CN"/>
                    </w:rPr>
                    <w:t>0.86</w:t>
                  </w:r>
                  <w:r>
                    <w:rPr>
                      <w:rFonts w:hint="eastAsia"/>
                      <w:color w:val="auto"/>
                      <w:sz w:val="18"/>
                      <w:szCs w:val="18"/>
                      <w:lang w:eastAsia="zh-CN"/>
                    </w:rPr>
                    <w:t>g/cm</w:t>
                  </w:r>
                  <w:r>
                    <w:rPr>
                      <w:rFonts w:hint="eastAsia"/>
                      <w:color w:val="auto"/>
                      <w:sz w:val="18"/>
                      <w:szCs w:val="18"/>
                      <w:vertAlign w:val="superscript"/>
                      <w:lang w:eastAsia="zh-CN"/>
                    </w:rPr>
                    <w:t>3</w:t>
                  </w:r>
                  <w:r>
                    <w:rPr>
                      <w:rFonts w:hint="eastAsia"/>
                      <w:color w:val="auto"/>
                      <w:sz w:val="18"/>
                      <w:szCs w:val="18"/>
                      <w:vertAlign w:val="baseline"/>
                      <w:lang w:eastAsia="zh-CN"/>
                    </w:rPr>
                    <w:t>。</w:t>
                  </w:r>
                </w:p>
              </w:tc>
              <w:tc>
                <w:tcPr>
                  <w:tcW w:w="4661" w:type="dxa"/>
                  <w:tcBorders>
                    <w:left w:val="single" w:color="000000" w:sz="4" w:space="0"/>
                  </w:tcBorders>
                  <w:noWrap w:val="0"/>
                  <w:vAlign w:val="center"/>
                </w:tcPr>
                <w:p w14:paraId="52003690">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甲苯：甲苯（分子式C</w:t>
                  </w:r>
                  <w:r>
                    <w:rPr>
                      <w:rFonts w:hint="eastAsia" w:cs="Times New Roman"/>
                      <w:bCs/>
                      <w:color w:val="auto"/>
                      <w:sz w:val="18"/>
                      <w:szCs w:val="18"/>
                      <w:highlight w:val="none"/>
                      <w:vertAlign w:val="subscript"/>
                      <w:lang w:val="en-US" w:eastAsia="zh-CN"/>
                    </w:rPr>
                    <w:t>7</w:t>
                  </w:r>
                  <w:r>
                    <w:rPr>
                      <w:rFonts w:hint="eastAsia" w:cs="Times New Roman"/>
                      <w:bCs/>
                      <w:color w:val="auto"/>
                      <w:sz w:val="18"/>
                      <w:szCs w:val="18"/>
                      <w:highlight w:val="none"/>
                      <w:lang w:val="en-US" w:eastAsia="zh-CN"/>
                    </w:rPr>
                    <w:t>H</w:t>
                  </w:r>
                  <w:r>
                    <w:rPr>
                      <w:rFonts w:hint="eastAsia" w:cs="Times New Roman"/>
                      <w:bCs/>
                      <w:color w:val="auto"/>
                      <w:sz w:val="18"/>
                      <w:szCs w:val="18"/>
                      <w:highlight w:val="none"/>
                      <w:vertAlign w:val="subscript"/>
                      <w:lang w:val="en-US" w:eastAsia="zh-CN"/>
                    </w:rPr>
                    <w:t>8</w:t>
                  </w:r>
                  <w:r>
                    <w:rPr>
                      <w:rFonts w:hint="eastAsia" w:cs="Times New Roman"/>
                      <w:bCs/>
                      <w:color w:val="auto"/>
                      <w:sz w:val="18"/>
                      <w:szCs w:val="18"/>
                      <w:highlight w:val="none"/>
                      <w:lang w:val="en-US" w:eastAsia="zh-CN"/>
                    </w:rPr>
                    <w:t>）是一种无色透明、具有芳香气味的易挥发液体，密度‌：相对密度0.866（水=1），不溶于水，但可与乙醇、乙醚、丙酮等有机溶剂混溶；低毒，但高浓度蒸气有麻醉性，长期接触可能引起神经衰弱综合征或皮肤炎症‌。</w:t>
                  </w:r>
                </w:p>
              </w:tc>
            </w:tr>
            <w:tr w14:paraId="774B6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noWrap w:val="0"/>
                  <w:vAlign w:val="center"/>
                </w:tcPr>
                <w:p w14:paraId="240240AA">
                  <w:pPr>
                    <w:pStyle w:val="76"/>
                    <w:spacing w:after="0" w:line="240" w:lineRule="auto"/>
                    <w:ind w:left="0" w:leftChars="0" w:firstLine="0"/>
                    <w:jc w:val="center"/>
                    <w:rPr>
                      <w:rFonts w:hint="eastAsia" w:eastAsia="宋体"/>
                      <w:bCs/>
                      <w:color w:val="auto"/>
                      <w:sz w:val="18"/>
                      <w:szCs w:val="18"/>
                      <w:lang w:val="en-US" w:eastAsia="zh-CN"/>
                    </w:rPr>
                  </w:pPr>
                </w:p>
              </w:tc>
              <w:tc>
                <w:tcPr>
                  <w:tcW w:w="1126" w:type="dxa"/>
                  <w:vMerge w:val="continue"/>
                  <w:noWrap w:val="0"/>
                  <w:vAlign w:val="center"/>
                </w:tcPr>
                <w:p w14:paraId="2DE12570">
                  <w:pPr>
                    <w:adjustRightInd w:val="0"/>
                    <w:snapToGrid w:val="0"/>
                    <w:spacing w:line="240" w:lineRule="auto"/>
                    <w:jc w:val="center"/>
                    <w:rPr>
                      <w:rFonts w:hint="eastAsia"/>
                      <w:bCs/>
                      <w:color w:val="auto"/>
                      <w:sz w:val="18"/>
                      <w:szCs w:val="18"/>
                      <w:lang w:val="en-US" w:eastAsia="zh-CN"/>
                    </w:rPr>
                  </w:pPr>
                </w:p>
              </w:tc>
              <w:tc>
                <w:tcPr>
                  <w:tcW w:w="2281" w:type="dxa"/>
                  <w:vMerge w:val="continue"/>
                  <w:tcBorders>
                    <w:right w:val="single" w:color="000000" w:sz="4" w:space="0"/>
                  </w:tcBorders>
                  <w:noWrap w:val="0"/>
                  <w:vAlign w:val="center"/>
                </w:tcPr>
                <w:p w14:paraId="13C68EBC">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1B7B3DE0">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2,5-呋喃二酮</w:t>
                  </w:r>
                  <w:r>
                    <w:rPr>
                      <w:rFonts w:hint="eastAsia" w:cs="Times New Roman"/>
                      <w:bCs/>
                      <w:color w:val="auto"/>
                      <w:sz w:val="18"/>
                      <w:szCs w:val="18"/>
                      <w:highlight w:val="none"/>
                      <w:lang w:val="en-US" w:eastAsia="zh-CN"/>
                    </w:rPr>
                    <w:t>：无色正交针状结晶或白色结晶性粉末，具腐蚀性，可能刺激皮肤和眼睛，需佩戴防护装备操</w:t>
                  </w:r>
                </w:p>
              </w:tc>
            </w:tr>
            <w:tr w14:paraId="43C5D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noWrap w:val="0"/>
                  <w:vAlign w:val="center"/>
                </w:tcPr>
                <w:p w14:paraId="5C3F0326">
                  <w:pPr>
                    <w:pStyle w:val="76"/>
                    <w:spacing w:after="0" w:line="240" w:lineRule="auto"/>
                    <w:ind w:left="0" w:leftChars="0" w:firstLine="0"/>
                    <w:jc w:val="center"/>
                    <w:rPr>
                      <w:rFonts w:hint="eastAsia" w:eastAsia="宋体"/>
                      <w:bCs/>
                      <w:color w:val="auto"/>
                      <w:sz w:val="18"/>
                      <w:szCs w:val="18"/>
                      <w:lang w:val="en-US" w:eastAsia="zh-CN"/>
                    </w:rPr>
                  </w:pPr>
                </w:p>
              </w:tc>
              <w:tc>
                <w:tcPr>
                  <w:tcW w:w="1126" w:type="dxa"/>
                  <w:vMerge w:val="continue"/>
                  <w:noWrap w:val="0"/>
                  <w:vAlign w:val="center"/>
                </w:tcPr>
                <w:p w14:paraId="335EF32B">
                  <w:pPr>
                    <w:adjustRightInd w:val="0"/>
                    <w:snapToGrid w:val="0"/>
                    <w:spacing w:line="240" w:lineRule="auto"/>
                    <w:jc w:val="center"/>
                    <w:rPr>
                      <w:rFonts w:hint="eastAsia"/>
                      <w:bCs/>
                      <w:color w:val="auto"/>
                      <w:sz w:val="18"/>
                      <w:szCs w:val="18"/>
                      <w:lang w:val="en-US" w:eastAsia="zh-CN"/>
                    </w:rPr>
                  </w:pPr>
                </w:p>
              </w:tc>
              <w:tc>
                <w:tcPr>
                  <w:tcW w:w="2281" w:type="dxa"/>
                  <w:vMerge w:val="continue"/>
                  <w:tcBorders>
                    <w:right w:val="single" w:color="000000" w:sz="4" w:space="0"/>
                  </w:tcBorders>
                  <w:noWrap w:val="0"/>
                  <w:vAlign w:val="center"/>
                </w:tcPr>
                <w:p w14:paraId="488AD144">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248601C8">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氯化聚丙烯的反应产物：通常为白色或微黄色固体粉末或颗粒，无毒‌，密度约1.63 g/cm</w:t>
                  </w:r>
                  <w:r>
                    <w:rPr>
                      <w:rFonts w:hint="eastAsia" w:cs="Times New Roman"/>
                      <w:bCs/>
                      <w:color w:val="auto"/>
                      <w:sz w:val="18"/>
                      <w:szCs w:val="18"/>
                      <w:highlight w:val="none"/>
                      <w:vertAlign w:val="superscript"/>
                      <w:lang w:val="en-US" w:eastAsia="zh-CN"/>
                    </w:rPr>
                    <w:t>3</w:t>
                  </w:r>
                  <w:r>
                    <w:rPr>
                      <w:rFonts w:hint="eastAsia" w:cs="Times New Roman"/>
                      <w:bCs/>
                      <w:color w:val="auto"/>
                      <w:sz w:val="18"/>
                      <w:szCs w:val="18"/>
                      <w:highlight w:val="none"/>
                      <w:lang w:val="en-US" w:eastAsia="zh-CN"/>
                    </w:rPr>
                    <w:t>，硬度高，耐磨性、耐老化性优异。</w:t>
                  </w:r>
                </w:p>
              </w:tc>
            </w:tr>
            <w:tr w14:paraId="658FB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noWrap w:val="0"/>
                  <w:vAlign w:val="center"/>
                </w:tcPr>
                <w:p w14:paraId="1E6CCD58">
                  <w:pPr>
                    <w:pStyle w:val="76"/>
                    <w:spacing w:after="0" w:line="240" w:lineRule="auto"/>
                    <w:ind w:left="0" w:leftChars="0" w:firstLine="0"/>
                    <w:jc w:val="center"/>
                    <w:rPr>
                      <w:rFonts w:hint="eastAsia" w:eastAsia="宋体"/>
                      <w:bCs/>
                      <w:color w:val="auto"/>
                      <w:sz w:val="18"/>
                      <w:szCs w:val="18"/>
                      <w:lang w:val="en-US" w:eastAsia="zh-CN"/>
                    </w:rPr>
                  </w:pPr>
                </w:p>
              </w:tc>
              <w:tc>
                <w:tcPr>
                  <w:tcW w:w="1126" w:type="dxa"/>
                  <w:vMerge w:val="continue"/>
                  <w:noWrap w:val="0"/>
                  <w:vAlign w:val="center"/>
                </w:tcPr>
                <w:p w14:paraId="29ECB373">
                  <w:pPr>
                    <w:adjustRightInd w:val="0"/>
                    <w:snapToGrid w:val="0"/>
                    <w:spacing w:line="240" w:lineRule="auto"/>
                    <w:jc w:val="center"/>
                    <w:rPr>
                      <w:rFonts w:hint="eastAsia"/>
                      <w:bCs/>
                      <w:color w:val="auto"/>
                      <w:sz w:val="18"/>
                      <w:szCs w:val="18"/>
                      <w:lang w:val="en-US" w:eastAsia="zh-CN"/>
                    </w:rPr>
                  </w:pPr>
                </w:p>
              </w:tc>
              <w:tc>
                <w:tcPr>
                  <w:tcW w:w="2281" w:type="dxa"/>
                  <w:vMerge w:val="continue"/>
                  <w:tcBorders>
                    <w:right w:val="single" w:color="000000" w:sz="4" w:space="0"/>
                  </w:tcBorders>
                  <w:noWrap w:val="0"/>
                  <w:vAlign w:val="center"/>
                </w:tcPr>
                <w:p w14:paraId="393A25C4">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6013801E">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异丙醇</w:t>
                  </w:r>
                  <w:r>
                    <w:rPr>
                      <w:rFonts w:hint="eastAsia" w:cs="Times New Roman"/>
                      <w:bCs/>
                      <w:color w:val="auto"/>
                      <w:sz w:val="18"/>
                      <w:szCs w:val="18"/>
                      <w:highlight w:val="none"/>
                      <w:lang w:val="en-US" w:eastAsia="zh-CN"/>
                    </w:rPr>
                    <w:t>：无色透明液体，具有似乙醇和丙酮混合物的气味‌，密度：0.7855 g/cm</w:t>
                  </w:r>
                  <w:r>
                    <w:rPr>
                      <w:rFonts w:hint="eastAsia" w:cs="Times New Roman"/>
                      <w:bCs/>
                      <w:color w:val="auto"/>
                      <w:sz w:val="18"/>
                      <w:szCs w:val="18"/>
                      <w:highlight w:val="none"/>
                      <w:vertAlign w:val="superscript"/>
                      <w:lang w:val="en-US" w:eastAsia="zh-CN"/>
                    </w:rPr>
                    <w:t>3</w:t>
                  </w:r>
                  <w:r>
                    <w:rPr>
                      <w:rFonts w:hint="eastAsia" w:cs="Times New Roman"/>
                      <w:bCs/>
                      <w:color w:val="auto"/>
                      <w:sz w:val="18"/>
                      <w:szCs w:val="18"/>
                      <w:highlight w:val="none"/>
                      <w:lang w:val="en-US" w:eastAsia="zh-CN"/>
                    </w:rPr>
                    <w:t>‌，遇明火、高热易燃烧，常温下可引火燃烧。</w:t>
                  </w:r>
                </w:p>
              </w:tc>
            </w:tr>
            <w:tr w14:paraId="7AF78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vMerge w:val="continue"/>
                  <w:noWrap w:val="0"/>
                  <w:vAlign w:val="center"/>
                </w:tcPr>
                <w:p w14:paraId="3E86F71D">
                  <w:pPr>
                    <w:pStyle w:val="76"/>
                    <w:spacing w:after="0" w:line="240" w:lineRule="auto"/>
                    <w:ind w:left="0" w:leftChars="0" w:firstLine="0"/>
                    <w:jc w:val="center"/>
                    <w:rPr>
                      <w:rFonts w:hint="eastAsia" w:eastAsia="宋体"/>
                      <w:bCs/>
                      <w:color w:val="auto"/>
                      <w:sz w:val="18"/>
                      <w:szCs w:val="18"/>
                      <w:lang w:val="en-US" w:eastAsia="zh-CN"/>
                    </w:rPr>
                  </w:pPr>
                </w:p>
              </w:tc>
              <w:tc>
                <w:tcPr>
                  <w:tcW w:w="1126" w:type="dxa"/>
                  <w:vMerge w:val="continue"/>
                  <w:noWrap w:val="0"/>
                  <w:vAlign w:val="center"/>
                </w:tcPr>
                <w:p w14:paraId="7353530C">
                  <w:pPr>
                    <w:adjustRightInd w:val="0"/>
                    <w:snapToGrid w:val="0"/>
                    <w:spacing w:line="240" w:lineRule="auto"/>
                    <w:jc w:val="center"/>
                    <w:rPr>
                      <w:rFonts w:hint="eastAsia"/>
                      <w:bCs/>
                      <w:color w:val="auto"/>
                      <w:sz w:val="18"/>
                      <w:szCs w:val="18"/>
                      <w:lang w:val="en-US" w:eastAsia="zh-CN"/>
                    </w:rPr>
                  </w:pPr>
                </w:p>
              </w:tc>
              <w:tc>
                <w:tcPr>
                  <w:tcW w:w="2281" w:type="dxa"/>
                  <w:vMerge w:val="continue"/>
                  <w:tcBorders>
                    <w:right w:val="single" w:color="000000" w:sz="4" w:space="0"/>
                  </w:tcBorders>
                  <w:noWrap w:val="0"/>
                  <w:vAlign w:val="center"/>
                </w:tcPr>
                <w:p w14:paraId="64BB00CA">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3A5B0AA1">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1-甲氧基-2-丙醇</w:t>
                  </w:r>
                  <w:r>
                    <w:rPr>
                      <w:rFonts w:hint="eastAsia" w:cs="Times New Roman"/>
                      <w:bCs/>
                      <w:color w:val="auto"/>
                      <w:sz w:val="18"/>
                      <w:szCs w:val="18"/>
                      <w:highlight w:val="none"/>
                      <w:lang w:val="en-US" w:eastAsia="zh-CN"/>
                    </w:rPr>
                    <w:t>：常温下为无色透明液体，密度‌：0.922g/mL，与水混溶，可溶解油脂、树脂等物质。</w:t>
                  </w:r>
                </w:p>
              </w:tc>
            </w:tr>
            <w:tr w14:paraId="54D8A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restart"/>
                  <w:noWrap w:val="0"/>
                  <w:vAlign w:val="center"/>
                </w:tcPr>
                <w:p w14:paraId="785125B1">
                  <w:pPr>
                    <w:pStyle w:val="76"/>
                    <w:spacing w:after="0" w:line="240" w:lineRule="auto"/>
                    <w:ind w:left="0" w:leftChars="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12</w:t>
                  </w:r>
                </w:p>
              </w:tc>
              <w:tc>
                <w:tcPr>
                  <w:tcW w:w="1126" w:type="dxa"/>
                  <w:vMerge w:val="restart"/>
                  <w:noWrap w:val="0"/>
                  <w:vAlign w:val="center"/>
                </w:tcPr>
                <w:p w14:paraId="007E5A25">
                  <w:pPr>
                    <w:adjustRightInd w:val="0"/>
                    <w:snapToGrid w:val="0"/>
                    <w:spacing w:line="240" w:lineRule="auto"/>
                    <w:jc w:val="center"/>
                    <w:rPr>
                      <w:rFonts w:hint="default"/>
                      <w:bCs/>
                      <w:color w:val="auto"/>
                      <w:sz w:val="18"/>
                      <w:szCs w:val="18"/>
                      <w:lang w:val="en-US" w:eastAsia="zh-CN"/>
                    </w:rPr>
                  </w:pPr>
                  <w:r>
                    <w:rPr>
                      <w:rFonts w:hint="eastAsia"/>
                      <w:bCs/>
                      <w:color w:val="auto"/>
                      <w:sz w:val="18"/>
                      <w:szCs w:val="18"/>
                      <w:lang w:val="en-US" w:eastAsia="zh-CN"/>
                    </w:rPr>
                    <w:t>PP底涂剂</w:t>
                  </w:r>
                </w:p>
              </w:tc>
              <w:tc>
                <w:tcPr>
                  <w:tcW w:w="2281" w:type="dxa"/>
                  <w:vMerge w:val="restart"/>
                  <w:tcBorders>
                    <w:right w:val="single" w:color="000000" w:sz="4" w:space="0"/>
                  </w:tcBorders>
                  <w:noWrap w:val="0"/>
                  <w:vAlign w:val="center"/>
                </w:tcPr>
                <w:p w14:paraId="19C01C8E">
                  <w:pPr>
                    <w:adjustRightInd w:val="0"/>
                    <w:snapToGrid w:val="0"/>
                    <w:spacing w:line="240" w:lineRule="auto"/>
                    <w:jc w:val="left"/>
                    <w:rPr>
                      <w:rFonts w:hint="default" w:ascii="Times New Roman" w:hAnsi="Times New Roman" w:cs="Times New Roman"/>
                      <w:color w:val="auto"/>
                      <w:sz w:val="18"/>
                      <w:szCs w:val="18"/>
                      <w:lang w:val="en-US" w:eastAsia="zh-CN"/>
                    </w:rPr>
                  </w:pPr>
                  <w:r>
                    <w:rPr>
                      <w:rFonts w:hint="default" w:ascii="Times New Roman" w:hAnsi="Times New Roman" w:eastAsia="宋体" w:cs="Times New Roman"/>
                      <w:bCs/>
                      <w:color w:val="auto"/>
                      <w:sz w:val="18"/>
                      <w:szCs w:val="18"/>
                      <w:highlight w:val="none"/>
                      <w:lang w:val="en-US" w:eastAsia="zh-CN"/>
                    </w:rPr>
                    <w:t>根据建设单位提供的MSDS可知，PP底涂剂的主要成分为</w:t>
                  </w:r>
                  <w:r>
                    <w:rPr>
                      <w:rFonts w:hint="eastAsia" w:cs="Times New Roman"/>
                      <w:bCs/>
                      <w:color w:val="auto"/>
                      <w:sz w:val="18"/>
                      <w:szCs w:val="18"/>
                      <w:highlight w:val="none"/>
                      <w:lang w:val="en-US" w:eastAsia="zh-CN"/>
                    </w:rPr>
                    <w:t>甲基环己烷</w:t>
                  </w: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eastAsia="宋体" w:cs="Times New Roman"/>
                      <w:bCs/>
                      <w:color w:val="auto"/>
                      <w:sz w:val="18"/>
                      <w:szCs w:val="18"/>
                      <w:highlight w:val="none"/>
                      <w:lang w:val="en-US" w:eastAsia="zh-CN"/>
                    </w:rPr>
                    <w:t>60</w:t>
                  </w:r>
                  <w:r>
                    <w:rPr>
                      <w:rFonts w:hint="default" w:ascii="Times New Roman" w:hAnsi="Times New Roman" w:eastAsia="宋体" w:cs="Times New Roman"/>
                      <w:bCs/>
                      <w:color w:val="auto"/>
                      <w:sz w:val="18"/>
                      <w:szCs w:val="18"/>
                      <w:highlight w:val="none"/>
                      <w:lang w:val="en-US" w:eastAsia="zh-CN"/>
                    </w:rPr>
                    <w:t>wt%）、</w:t>
                  </w:r>
                  <w:r>
                    <w:rPr>
                      <w:rFonts w:hint="eastAsia" w:cs="Times New Roman"/>
                      <w:bCs/>
                      <w:color w:val="auto"/>
                      <w:sz w:val="18"/>
                      <w:szCs w:val="18"/>
                      <w:highlight w:val="none"/>
                      <w:lang w:val="en-US" w:eastAsia="zh-CN"/>
                    </w:rPr>
                    <w:t>环己酮</w:t>
                  </w: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eastAsia="宋体" w:cs="Times New Roman"/>
                      <w:bCs/>
                      <w:color w:val="auto"/>
                      <w:sz w:val="18"/>
                      <w:szCs w:val="18"/>
                      <w:highlight w:val="none"/>
                      <w:lang w:val="en-US" w:eastAsia="zh-CN"/>
                    </w:rPr>
                    <w:t>17</w:t>
                  </w:r>
                  <w:r>
                    <w:rPr>
                      <w:rFonts w:hint="default" w:ascii="Times New Roman" w:hAnsi="Times New Roman" w:eastAsia="宋体" w:cs="Times New Roman"/>
                      <w:bCs/>
                      <w:color w:val="auto"/>
                      <w:sz w:val="18"/>
                      <w:szCs w:val="18"/>
                      <w:highlight w:val="none"/>
                      <w:lang w:val="en-US" w:eastAsia="zh-CN"/>
                    </w:rPr>
                    <w:t>wt%）、芳香族碳化氢（10wt%）、萘（1</w:t>
                  </w:r>
                  <w:r>
                    <w:rPr>
                      <w:rFonts w:hint="eastAsia" w:ascii="Times New Roman" w:hAnsi="Times New Roman" w:eastAsia="宋体" w:cs="Times New Roman"/>
                      <w:bCs/>
                      <w:color w:val="auto"/>
                      <w:sz w:val="18"/>
                      <w:szCs w:val="18"/>
                      <w:highlight w:val="none"/>
                      <w:lang w:val="en-US" w:eastAsia="zh-CN"/>
                    </w:rPr>
                    <w:t>.</w:t>
                  </w:r>
                  <w:r>
                    <w:rPr>
                      <w:rFonts w:hint="default" w:ascii="Times New Roman" w:hAnsi="Times New Roman" w:eastAsia="宋体" w:cs="Times New Roman"/>
                      <w:bCs/>
                      <w:color w:val="auto"/>
                      <w:sz w:val="18"/>
                      <w:szCs w:val="18"/>
                      <w:highlight w:val="none"/>
                      <w:lang w:val="en-US" w:eastAsia="zh-CN"/>
                    </w:rPr>
                    <w:t>5wt%）、1,3,5-三甲基苯（1</w:t>
                  </w:r>
                  <w:r>
                    <w:rPr>
                      <w:rFonts w:hint="eastAsia" w:ascii="Times New Roman" w:hAnsi="Times New Roman" w:eastAsia="宋体" w:cs="Times New Roman"/>
                      <w:bCs/>
                      <w:color w:val="auto"/>
                      <w:sz w:val="18"/>
                      <w:szCs w:val="18"/>
                      <w:highlight w:val="none"/>
                      <w:lang w:val="en-US" w:eastAsia="zh-CN"/>
                    </w:rPr>
                    <w:t>.4</w:t>
                  </w:r>
                  <w:r>
                    <w:rPr>
                      <w:rFonts w:hint="default" w:ascii="Times New Roman" w:hAnsi="Times New Roman" w:eastAsia="宋体" w:cs="Times New Roman"/>
                      <w:bCs/>
                      <w:color w:val="auto"/>
                      <w:sz w:val="18"/>
                      <w:szCs w:val="18"/>
                      <w:highlight w:val="none"/>
                      <w:lang w:val="en-US" w:eastAsia="zh-CN"/>
                    </w:rPr>
                    <w:t>wt%）</w:t>
                  </w:r>
                  <w:r>
                    <w:rPr>
                      <w:rFonts w:hint="eastAsia" w:ascii="Times New Roman" w:hAnsi="Times New Roman" w:eastAsia="宋体" w:cs="Times New Roman"/>
                      <w:bCs/>
                      <w:color w:val="auto"/>
                      <w:sz w:val="18"/>
                      <w:szCs w:val="18"/>
                      <w:highlight w:val="none"/>
                      <w:lang w:val="en-US" w:eastAsia="zh-CN"/>
                    </w:rPr>
                    <w:t>、</w:t>
                  </w:r>
                  <w:r>
                    <w:rPr>
                      <w:rFonts w:hint="default" w:ascii="Times New Roman" w:hAnsi="Times New Roman" w:eastAsia="宋体" w:cs="Times New Roman"/>
                      <w:bCs/>
                      <w:color w:val="auto"/>
                      <w:sz w:val="18"/>
                      <w:szCs w:val="18"/>
                      <w:highlight w:val="none"/>
                      <w:lang w:val="en-US" w:eastAsia="zh-CN"/>
                    </w:rPr>
                    <w:t>1,</w:t>
                  </w:r>
                  <w:r>
                    <w:rPr>
                      <w:rFonts w:hint="eastAsia" w:ascii="Times New Roman" w:hAnsi="Times New Roman" w:eastAsia="宋体" w:cs="Times New Roman"/>
                      <w:bCs/>
                      <w:color w:val="auto"/>
                      <w:sz w:val="18"/>
                      <w:szCs w:val="18"/>
                      <w:highlight w:val="none"/>
                      <w:lang w:val="en-US" w:eastAsia="zh-CN"/>
                    </w:rPr>
                    <w:t>2</w:t>
                  </w: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eastAsia="宋体" w:cs="Times New Roman"/>
                      <w:bCs/>
                      <w:color w:val="auto"/>
                      <w:sz w:val="18"/>
                      <w:szCs w:val="18"/>
                      <w:highlight w:val="none"/>
                      <w:lang w:val="en-US" w:eastAsia="zh-CN"/>
                    </w:rPr>
                    <w:t>4</w:t>
                  </w:r>
                  <w:r>
                    <w:rPr>
                      <w:rFonts w:hint="default" w:ascii="Times New Roman" w:hAnsi="Times New Roman" w:eastAsia="宋体" w:cs="Times New Roman"/>
                      <w:bCs/>
                      <w:color w:val="auto"/>
                      <w:sz w:val="18"/>
                      <w:szCs w:val="18"/>
                      <w:highlight w:val="none"/>
                      <w:lang w:val="en-US" w:eastAsia="zh-CN"/>
                    </w:rPr>
                    <w:t>-三甲基苯（1</w:t>
                  </w:r>
                  <w:r>
                    <w:rPr>
                      <w:rFonts w:hint="eastAsia" w:ascii="Times New Roman" w:hAnsi="Times New Roman" w:eastAsia="宋体" w:cs="Times New Roman"/>
                      <w:bCs/>
                      <w:color w:val="auto"/>
                      <w:sz w:val="18"/>
                      <w:szCs w:val="18"/>
                      <w:highlight w:val="none"/>
                      <w:lang w:val="en-US" w:eastAsia="zh-CN"/>
                    </w:rPr>
                    <w:t>.4</w:t>
                  </w:r>
                  <w:r>
                    <w:rPr>
                      <w:rFonts w:hint="default" w:ascii="Times New Roman" w:hAnsi="Times New Roman" w:eastAsia="宋体" w:cs="Times New Roman"/>
                      <w:bCs/>
                      <w:color w:val="auto"/>
                      <w:sz w:val="18"/>
                      <w:szCs w:val="18"/>
                      <w:highlight w:val="none"/>
                      <w:lang w:val="en-US" w:eastAsia="zh-CN"/>
                    </w:rPr>
                    <w:t>wt%）</w:t>
                  </w:r>
                  <w:r>
                    <w:rPr>
                      <w:rFonts w:hint="eastAsia" w:ascii="Times New Roman" w:hAnsi="Times New Roman" w:eastAsia="宋体" w:cs="Times New Roman"/>
                      <w:bCs/>
                      <w:color w:val="auto"/>
                      <w:sz w:val="18"/>
                      <w:szCs w:val="18"/>
                      <w:highlight w:val="none"/>
                      <w:lang w:val="en-US" w:eastAsia="zh-CN"/>
                    </w:rPr>
                    <w:t>、</w:t>
                  </w:r>
                  <w:r>
                    <w:rPr>
                      <w:rFonts w:hint="default" w:ascii="Times New Roman" w:hAnsi="Times New Roman" w:eastAsia="宋体" w:cs="Times New Roman"/>
                      <w:bCs/>
                      <w:color w:val="auto"/>
                      <w:sz w:val="18"/>
                      <w:szCs w:val="18"/>
                      <w:highlight w:val="none"/>
                      <w:lang w:val="en-US" w:eastAsia="zh-CN"/>
                    </w:rPr>
                    <w:t>氯化聚丙烯</w:t>
                  </w:r>
                  <w:r>
                    <w:rPr>
                      <w:rFonts w:hint="eastAsia" w:ascii="Times New Roman" w:hAnsi="Times New Roman" w:eastAsia="宋体" w:cs="Times New Roman"/>
                      <w:bCs/>
                      <w:color w:val="auto"/>
                      <w:sz w:val="18"/>
                      <w:szCs w:val="18"/>
                      <w:highlight w:val="none"/>
                      <w:lang w:val="en-US" w:eastAsia="zh-CN"/>
                    </w:rPr>
                    <w:t>（5-15</w:t>
                  </w:r>
                  <w:r>
                    <w:rPr>
                      <w:rFonts w:hint="default" w:ascii="Times New Roman" w:hAnsi="Times New Roman" w:eastAsia="宋体" w:cs="Times New Roman"/>
                      <w:bCs/>
                      <w:color w:val="auto"/>
                      <w:sz w:val="18"/>
                      <w:szCs w:val="18"/>
                      <w:highlight w:val="none"/>
                      <w:lang w:val="en-US" w:eastAsia="zh-CN"/>
                    </w:rPr>
                    <w:t>wt%</w:t>
                  </w:r>
                  <w:r>
                    <w:rPr>
                      <w:rFonts w:hint="eastAsia" w:ascii="Times New Roman" w:hAnsi="Times New Roman" w:eastAsia="宋体" w:cs="Times New Roman"/>
                      <w:bCs/>
                      <w:color w:val="auto"/>
                      <w:sz w:val="18"/>
                      <w:szCs w:val="18"/>
                      <w:highlight w:val="none"/>
                      <w:lang w:val="en-US" w:eastAsia="zh-CN"/>
                    </w:rPr>
                    <w:t>）</w:t>
                  </w:r>
                  <w:r>
                    <w:rPr>
                      <w:rFonts w:hint="default" w:ascii="Times New Roman" w:hAnsi="Times New Roman" w:eastAsia="宋体" w:cs="Times New Roman"/>
                      <w:bCs/>
                      <w:color w:val="auto"/>
                      <w:sz w:val="18"/>
                      <w:szCs w:val="18"/>
                      <w:highlight w:val="none"/>
                      <w:lang w:val="en-US" w:eastAsia="zh-CN"/>
                    </w:rPr>
                    <w:t>等</w:t>
                  </w:r>
                  <w:r>
                    <w:rPr>
                      <w:rFonts w:hint="eastAsia" w:ascii="Times New Roman" w:hAnsi="Times New Roman" w:eastAsia="宋体" w:cs="Times New Roman"/>
                      <w:bCs/>
                      <w:color w:val="auto"/>
                      <w:sz w:val="18"/>
                      <w:szCs w:val="18"/>
                      <w:highlight w:val="none"/>
                      <w:lang w:val="en-US" w:eastAsia="zh-CN"/>
                    </w:rPr>
                    <w:t>，</w:t>
                  </w:r>
                  <w:r>
                    <w:rPr>
                      <w:rFonts w:hint="eastAsia"/>
                      <w:color w:val="auto"/>
                      <w:sz w:val="18"/>
                      <w:szCs w:val="18"/>
                      <w:lang w:eastAsia="zh-CN"/>
                    </w:rPr>
                    <w:t>密度</w:t>
                  </w:r>
                  <w:r>
                    <w:rPr>
                      <w:rFonts w:hint="eastAsia"/>
                      <w:color w:val="auto"/>
                      <w:sz w:val="18"/>
                      <w:szCs w:val="18"/>
                      <w:lang w:val="en-US" w:eastAsia="zh-CN"/>
                    </w:rPr>
                    <w:t>0.8</w:t>
                  </w:r>
                  <w:r>
                    <w:rPr>
                      <w:rFonts w:hint="eastAsia"/>
                      <w:color w:val="auto"/>
                      <w:sz w:val="18"/>
                      <w:szCs w:val="18"/>
                      <w:lang w:eastAsia="zh-CN"/>
                    </w:rPr>
                    <w:t>g/cm</w:t>
                  </w:r>
                  <w:r>
                    <w:rPr>
                      <w:rFonts w:hint="eastAsia"/>
                      <w:color w:val="auto"/>
                      <w:sz w:val="18"/>
                      <w:szCs w:val="18"/>
                      <w:vertAlign w:val="superscript"/>
                      <w:lang w:eastAsia="zh-CN"/>
                    </w:rPr>
                    <w:t>3</w:t>
                  </w:r>
                  <w:r>
                    <w:rPr>
                      <w:rFonts w:hint="eastAsia"/>
                      <w:color w:val="auto"/>
                      <w:sz w:val="18"/>
                      <w:szCs w:val="18"/>
                      <w:vertAlign w:val="baseline"/>
                      <w:lang w:eastAsia="zh-CN"/>
                    </w:rPr>
                    <w:t>。</w:t>
                  </w:r>
                </w:p>
              </w:tc>
              <w:tc>
                <w:tcPr>
                  <w:tcW w:w="4661" w:type="dxa"/>
                  <w:tcBorders>
                    <w:left w:val="single" w:color="000000" w:sz="4" w:space="0"/>
                  </w:tcBorders>
                  <w:noWrap w:val="0"/>
                  <w:vAlign w:val="center"/>
                </w:tcPr>
                <w:p w14:paraId="1AE6DC6B">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甲基环己烷：化学式：C</w:t>
                  </w:r>
                  <w:r>
                    <w:rPr>
                      <w:rFonts w:hint="eastAsia" w:cs="Times New Roman"/>
                      <w:bCs/>
                      <w:color w:val="auto"/>
                      <w:sz w:val="18"/>
                      <w:szCs w:val="18"/>
                      <w:highlight w:val="none"/>
                      <w:vertAlign w:val="subscript"/>
                      <w:lang w:val="en-US" w:eastAsia="zh-CN"/>
                    </w:rPr>
                    <w:t>7</w:t>
                  </w:r>
                  <w:r>
                    <w:rPr>
                      <w:rFonts w:hint="eastAsia" w:cs="Times New Roman"/>
                      <w:bCs/>
                      <w:color w:val="auto"/>
                      <w:sz w:val="18"/>
                      <w:szCs w:val="18"/>
                      <w:highlight w:val="none"/>
                      <w:lang w:val="en-US" w:eastAsia="zh-CN"/>
                    </w:rPr>
                    <w:t>H</w:t>
                  </w:r>
                  <w:r>
                    <w:rPr>
                      <w:rFonts w:hint="eastAsia" w:cs="Times New Roman"/>
                      <w:bCs/>
                      <w:color w:val="auto"/>
                      <w:sz w:val="18"/>
                      <w:szCs w:val="18"/>
                      <w:highlight w:val="none"/>
                      <w:vertAlign w:val="subscript"/>
                      <w:lang w:val="en-US" w:eastAsia="zh-CN"/>
                    </w:rPr>
                    <w:t>14</w:t>
                  </w:r>
                  <w:r>
                    <w:rPr>
                      <w:rFonts w:hint="eastAsia" w:cs="Times New Roman"/>
                      <w:bCs/>
                      <w:color w:val="auto"/>
                      <w:sz w:val="18"/>
                      <w:szCs w:val="18"/>
                      <w:highlight w:val="none"/>
                      <w:lang w:val="en-US" w:eastAsia="zh-CN"/>
                    </w:rPr>
                    <w:t>是一种无色透明的有机液体，密度‌：0.78–0.8 g/cm³‌，不溶于水，可溶于乙醇、乙醚、苯、丙酮等有机溶剂。</w:t>
                  </w:r>
                </w:p>
              </w:tc>
            </w:tr>
            <w:tr w14:paraId="4F81B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noWrap w:val="0"/>
                  <w:vAlign w:val="center"/>
                </w:tcPr>
                <w:p w14:paraId="5B0BFB2A">
                  <w:pPr>
                    <w:adjustRightInd w:val="0"/>
                    <w:snapToGrid w:val="0"/>
                    <w:spacing w:line="240" w:lineRule="auto"/>
                    <w:jc w:val="left"/>
                    <w:rPr>
                      <w:color w:val="auto"/>
                    </w:rPr>
                  </w:pPr>
                </w:p>
              </w:tc>
              <w:tc>
                <w:tcPr>
                  <w:tcW w:w="1126" w:type="dxa"/>
                  <w:vMerge w:val="continue"/>
                  <w:noWrap w:val="0"/>
                  <w:vAlign w:val="center"/>
                </w:tcPr>
                <w:p w14:paraId="226FD3B4">
                  <w:pPr>
                    <w:adjustRightInd w:val="0"/>
                    <w:snapToGrid w:val="0"/>
                    <w:spacing w:line="240" w:lineRule="auto"/>
                    <w:jc w:val="left"/>
                    <w:rPr>
                      <w:color w:val="auto"/>
                    </w:rPr>
                  </w:pPr>
                </w:p>
              </w:tc>
              <w:tc>
                <w:tcPr>
                  <w:tcW w:w="2281" w:type="dxa"/>
                  <w:vMerge w:val="continue"/>
                  <w:tcBorders>
                    <w:right w:val="single" w:color="000000" w:sz="4" w:space="0"/>
                  </w:tcBorders>
                  <w:noWrap w:val="0"/>
                  <w:vAlign w:val="center"/>
                </w:tcPr>
                <w:p w14:paraId="6C0485A5">
                  <w:pPr>
                    <w:adjustRightInd w:val="0"/>
                    <w:snapToGrid w:val="0"/>
                    <w:spacing w:line="240" w:lineRule="auto"/>
                    <w:jc w:val="left"/>
                    <w:rPr>
                      <w:color w:val="auto"/>
                    </w:rPr>
                  </w:pPr>
                </w:p>
              </w:tc>
              <w:tc>
                <w:tcPr>
                  <w:tcW w:w="4661" w:type="dxa"/>
                  <w:tcBorders>
                    <w:left w:val="single" w:color="000000" w:sz="4" w:space="0"/>
                  </w:tcBorders>
                  <w:noWrap w:val="0"/>
                  <w:vAlign w:val="center"/>
                </w:tcPr>
                <w:p w14:paraId="4405E831">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环己酮：无色或浅黄色透明液体，久置可能因杂质变为灰黄色，带有类似薄荷油和丙酮的刺激性气味‌，密度‌：0.947 g/cm³，常温下稳定，但易燃，需避免与强氧化剂接触‌。</w:t>
                  </w:r>
                </w:p>
              </w:tc>
            </w:tr>
            <w:tr w14:paraId="2E312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noWrap w:val="0"/>
                  <w:vAlign w:val="center"/>
                </w:tcPr>
                <w:p w14:paraId="2D1739E7">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Merge w:val="continue"/>
                  <w:noWrap w:val="0"/>
                  <w:vAlign w:val="center"/>
                </w:tcPr>
                <w:p w14:paraId="65C4FE54">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2281" w:type="dxa"/>
                  <w:vMerge w:val="continue"/>
                  <w:tcBorders>
                    <w:right w:val="single" w:color="000000" w:sz="4" w:space="0"/>
                  </w:tcBorders>
                  <w:noWrap w:val="0"/>
                  <w:vAlign w:val="center"/>
                </w:tcPr>
                <w:p w14:paraId="326E1285">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7D79DDC7">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芳香族碳化氢：芳香族碳氢化合物（简称芳香烃）是一类由碳和氢元素组成的有机化合物，其分子结构中含有苯环或其他具有类似稳定性的环状结构‌。</w:t>
                  </w:r>
                </w:p>
              </w:tc>
            </w:tr>
            <w:tr w14:paraId="1E2A6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noWrap w:val="0"/>
                  <w:vAlign w:val="center"/>
                </w:tcPr>
                <w:p w14:paraId="16DEE258">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Merge w:val="continue"/>
                  <w:noWrap w:val="0"/>
                  <w:vAlign w:val="center"/>
                </w:tcPr>
                <w:p w14:paraId="73DBE69C">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2281" w:type="dxa"/>
                  <w:vMerge w:val="continue"/>
                  <w:tcBorders>
                    <w:right w:val="single" w:color="000000" w:sz="4" w:space="0"/>
                  </w:tcBorders>
                  <w:noWrap w:val="0"/>
                  <w:vAlign w:val="center"/>
                </w:tcPr>
                <w:p w14:paraId="0E56CB91">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07B332EE">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萘：萘是一种重要的稠环芳香烃，白色闪光晶体，有特殊气味（类似樟脑），密度‌：1.162 g/cm。</w:t>
                  </w:r>
                </w:p>
              </w:tc>
            </w:tr>
            <w:tr w14:paraId="47F24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noWrap w:val="0"/>
                  <w:vAlign w:val="center"/>
                </w:tcPr>
                <w:p w14:paraId="7AB750B8">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Merge w:val="continue"/>
                  <w:noWrap w:val="0"/>
                  <w:vAlign w:val="center"/>
                </w:tcPr>
                <w:p w14:paraId="0AED33A0">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2281" w:type="dxa"/>
                  <w:vMerge w:val="continue"/>
                  <w:tcBorders>
                    <w:right w:val="single" w:color="000000" w:sz="4" w:space="0"/>
                  </w:tcBorders>
                  <w:noWrap w:val="0"/>
                  <w:vAlign w:val="center"/>
                </w:tcPr>
                <w:p w14:paraId="65CC489D">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03AFAA92">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三甲苯（1,3,5-三甲基苯、1,2,4-三甲基苯）：无色透明液体，具有特殊气味‌，约为0.863 g/cm，属微毒类，吸入蒸气可能引起头痛、头晕、恶心，长期接触可导致皮炎‌。</w:t>
                  </w:r>
                </w:p>
              </w:tc>
            </w:tr>
            <w:tr w14:paraId="16C1B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81" w:type="dxa"/>
                  <w:vMerge w:val="continue"/>
                  <w:noWrap w:val="0"/>
                  <w:vAlign w:val="center"/>
                </w:tcPr>
                <w:p w14:paraId="23D50A9D">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1126" w:type="dxa"/>
                  <w:vMerge w:val="continue"/>
                  <w:noWrap w:val="0"/>
                  <w:vAlign w:val="center"/>
                </w:tcPr>
                <w:p w14:paraId="3377D8B1">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2281" w:type="dxa"/>
                  <w:vMerge w:val="continue"/>
                  <w:tcBorders>
                    <w:right w:val="single" w:color="000000" w:sz="4" w:space="0"/>
                  </w:tcBorders>
                  <w:noWrap w:val="0"/>
                  <w:vAlign w:val="center"/>
                </w:tcPr>
                <w:p w14:paraId="5E9A63F7">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p>
              </w:tc>
              <w:tc>
                <w:tcPr>
                  <w:tcW w:w="4661" w:type="dxa"/>
                  <w:tcBorders>
                    <w:left w:val="single" w:color="000000" w:sz="4" w:space="0"/>
                  </w:tcBorders>
                  <w:noWrap w:val="0"/>
                  <w:vAlign w:val="center"/>
                </w:tcPr>
                <w:p w14:paraId="2639D50E">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氯化聚丙烯：是一种由聚丙烯氯化改性制得的热塑性树脂，通常为白色或微黄色固体粉末或颗粒，无毒‌，密度约1.63 g/cm</w:t>
                  </w:r>
                  <w:r>
                    <w:rPr>
                      <w:rFonts w:hint="eastAsia" w:cs="Times New Roman"/>
                      <w:bCs/>
                      <w:color w:val="auto"/>
                      <w:sz w:val="18"/>
                      <w:szCs w:val="18"/>
                      <w:highlight w:val="none"/>
                      <w:vertAlign w:val="superscript"/>
                      <w:lang w:val="en-US" w:eastAsia="zh-CN"/>
                    </w:rPr>
                    <w:t>3</w:t>
                  </w:r>
                  <w:r>
                    <w:rPr>
                      <w:rFonts w:hint="eastAsia" w:cs="Times New Roman"/>
                      <w:bCs/>
                      <w:color w:val="auto"/>
                      <w:sz w:val="18"/>
                      <w:szCs w:val="18"/>
                      <w:highlight w:val="none"/>
                      <w:lang w:val="en-US" w:eastAsia="zh-CN"/>
                    </w:rPr>
                    <w:t>，硬度高，耐磨性、耐老化性优异。</w:t>
                  </w:r>
                </w:p>
              </w:tc>
            </w:tr>
            <w:tr w14:paraId="08EF3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1" w:type="dxa"/>
                  <w:noWrap w:val="0"/>
                  <w:vAlign w:val="center"/>
                </w:tcPr>
                <w:p w14:paraId="0921548C">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13</w:t>
                  </w:r>
                </w:p>
              </w:tc>
              <w:tc>
                <w:tcPr>
                  <w:tcW w:w="1126" w:type="dxa"/>
                  <w:noWrap w:val="0"/>
                  <w:vAlign w:val="center"/>
                </w:tcPr>
                <w:p w14:paraId="0A30C645">
                  <w:pPr>
                    <w:adjustRightInd w:val="0"/>
                    <w:snapToGrid w:val="0"/>
                    <w:spacing w:line="240" w:lineRule="auto"/>
                    <w:jc w:val="center"/>
                    <w:rPr>
                      <w:rFonts w:hint="default"/>
                      <w:bCs/>
                      <w:color w:val="auto"/>
                      <w:sz w:val="18"/>
                      <w:szCs w:val="18"/>
                      <w:lang w:val="en-US" w:eastAsia="zh-CN"/>
                    </w:rPr>
                  </w:pPr>
                  <w:r>
                    <w:rPr>
                      <w:rFonts w:hint="eastAsia"/>
                      <w:bCs/>
                      <w:color w:val="auto"/>
                      <w:sz w:val="18"/>
                      <w:szCs w:val="18"/>
                      <w:lang w:val="en-US" w:eastAsia="zh-CN"/>
                    </w:rPr>
                    <w:t>PVC</w:t>
                  </w:r>
                </w:p>
              </w:tc>
              <w:tc>
                <w:tcPr>
                  <w:tcW w:w="6942" w:type="dxa"/>
                  <w:gridSpan w:val="2"/>
                  <w:noWrap w:val="0"/>
                  <w:vAlign w:val="center"/>
                </w:tcPr>
                <w:p w14:paraId="3F9D3DB0">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PVC树脂粉是由氯乙烯单体在过氧化物、偶氮化合物等引发剂或在光、热作用下按自由基聚合反应机理聚合而成的聚合物。为无定形结构的白色粉末，支化度较小。它在常温下不溶于水、汽油和酒精，但能溶于丙酮、二氯乙烷、二甲苯等溶剂。相对密度为1.35~1.46g/cm³，折射率为1.544(20)。在常温下可耐任何浓度的盐酸、90%以下的硫酸、50~60%的硝酸及20%以下的烧碱。具有较高的化学稳定性，能够抵抗多种化学物质的侵蚀。</w:t>
                  </w:r>
                </w:p>
              </w:tc>
            </w:tr>
            <w:tr w14:paraId="0220F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vMerge w:val="restart"/>
                  <w:noWrap w:val="0"/>
                  <w:vAlign w:val="center"/>
                </w:tcPr>
                <w:p w14:paraId="076D24AC">
                  <w:pPr>
                    <w:pStyle w:val="76"/>
                    <w:spacing w:after="0" w:line="240" w:lineRule="auto"/>
                    <w:ind w:left="0" w:leftChars="0" w:firstLine="0"/>
                    <w:jc w:val="center"/>
                    <w:rPr>
                      <w:rFonts w:hint="default" w:eastAsia="宋体"/>
                      <w:bCs/>
                      <w:color w:val="auto"/>
                      <w:sz w:val="18"/>
                      <w:szCs w:val="18"/>
                      <w:lang w:val="en-US" w:eastAsia="zh-CN"/>
                    </w:rPr>
                  </w:pPr>
                  <w:r>
                    <w:rPr>
                      <w:rFonts w:hint="eastAsia" w:eastAsia="宋体"/>
                      <w:bCs/>
                      <w:color w:val="auto"/>
                      <w:sz w:val="18"/>
                      <w:szCs w:val="18"/>
                      <w:lang w:val="en-US" w:eastAsia="zh-CN"/>
                    </w:rPr>
                    <w:t>14</w:t>
                  </w:r>
                </w:p>
              </w:tc>
              <w:tc>
                <w:tcPr>
                  <w:tcW w:w="1126" w:type="dxa"/>
                  <w:vMerge w:val="restart"/>
                  <w:noWrap w:val="0"/>
                  <w:vAlign w:val="center"/>
                </w:tcPr>
                <w:p w14:paraId="32525EDF">
                  <w:pPr>
                    <w:adjustRightInd w:val="0"/>
                    <w:snapToGrid w:val="0"/>
                    <w:spacing w:line="240" w:lineRule="auto"/>
                    <w:jc w:val="center"/>
                    <w:rPr>
                      <w:rFonts w:hint="eastAsia"/>
                      <w:bCs/>
                      <w:color w:val="auto"/>
                      <w:sz w:val="18"/>
                      <w:szCs w:val="18"/>
                      <w:lang w:val="en-US" w:eastAsia="zh-CN"/>
                    </w:rPr>
                  </w:pPr>
                  <w:r>
                    <w:rPr>
                      <w:rFonts w:hint="eastAsia"/>
                      <w:bCs/>
                      <w:color w:val="auto"/>
                      <w:sz w:val="18"/>
                      <w:szCs w:val="18"/>
                      <w:lang w:val="en-US" w:eastAsia="zh-CN"/>
                    </w:rPr>
                    <w:t>金属钣金</w:t>
                  </w:r>
                </w:p>
              </w:tc>
              <w:tc>
                <w:tcPr>
                  <w:tcW w:w="2281" w:type="dxa"/>
                  <w:vMerge w:val="restart"/>
                  <w:noWrap w:val="0"/>
                  <w:vAlign w:val="center"/>
                </w:tcPr>
                <w:p w14:paraId="0833AB91">
                  <w:pPr>
                    <w:adjustRightInd w:val="0"/>
                    <w:snapToGrid w:val="0"/>
                    <w:spacing w:line="240" w:lineRule="auto"/>
                    <w:jc w:val="left"/>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项目使用的金属钣金主要成分为铁、不锈钢和铝。</w:t>
                  </w:r>
                </w:p>
              </w:tc>
              <w:tc>
                <w:tcPr>
                  <w:tcW w:w="4661" w:type="dxa"/>
                  <w:noWrap w:val="0"/>
                  <w:vAlign w:val="center"/>
                </w:tcPr>
                <w:p w14:paraId="7BA93FAD">
                  <w:pPr>
                    <w:adjustRightInd w:val="0"/>
                    <w:snapToGrid w:val="0"/>
                    <w:spacing w:line="240" w:lineRule="auto"/>
                    <w:jc w:val="left"/>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铁：纯铁呈银白色，密度7.86 g/cm³，熔沸点较高，导电、导热、延展性好，可被磁体吸引‌。</w:t>
                  </w:r>
                </w:p>
              </w:tc>
            </w:tr>
            <w:tr w14:paraId="3269B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vMerge w:val="continue"/>
                  <w:noWrap w:val="0"/>
                  <w:vAlign w:val="center"/>
                </w:tcPr>
                <w:p w14:paraId="22FF093A">
                  <w:pPr>
                    <w:adjustRightInd w:val="0"/>
                    <w:snapToGrid w:val="0"/>
                    <w:spacing w:line="240" w:lineRule="auto"/>
                    <w:jc w:val="left"/>
                    <w:rPr>
                      <w:color w:val="auto"/>
                    </w:rPr>
                  </w:pPr>
                </w:p>
              </w:tc>
              <w:tc>
                <w:tcPr>
                  <w:tcW w:w="1126" w:type="dxa"/>
                  <w:vMerge w:val="continue"/>
                  <w:noWrap w:val="0"/>
                  <w:vAlign w:val="center"/>
                </w:tcPr>
                <w:p w14:paraId="0D4BFF93">
                  <w:pPr>
                    <w:adjustRightInd w:val="0"/>
                    <w:snapToGrid w:val="0"/>
                    <w:spacing w:line="240" w:lineRule="auto"/>
                    <w:jc w:val="left"/>
                    <w:rPr>
                      <w:color w:val="auto"/>
                    </w:rPr>
                  </w:pPr>
                </w:p>
              </w:tc>
              <w:tc>
                <w:tcPr>
                  <w:tcW w:w="2281" w:type="dxa"/>
                  <w:vMerge w:val="continue"/>
                  <w:noWrap w:val="0"/>
                  <w:vAlign w:val="center"/>
                </w:tcPr>
                <w:p w14:paraId="3051D39B">
                  <w:pPr>
                    <w:adjustRightInd w:val="0"/>
                    <w:snapToGrid w:val="0"/>
                    <w:spacing w:line="240" w:lineRule="auto"/>
                    <w:jc w:val="left"/>
                    <w:rPr>
                      <w:color w:val="auto"/>
                    </w:rPr>
                  </w:pPr>
                </w:p>
              </w:tc>
              <w:tc>
                <w:tcPr>
                  <w:tcW w:w="4661" w:type="dxa"/>
                  <w:noWrap w:val="0"/>
                  <w:vAlign w:val="center"/>
                </w:tcPr>
                <w:p w14:paraId="52A7D8D8">
                  <w:pPr>
                    <w:adjustRightInd w:val="0"/>
                    <w:snapToGrid w:val="0"/>
                    <w:spacing w:line="240" w:lineRule="auto"/>
                    <w:jc w:val="left"/>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不锈钢：密度7.85 g/cm³，无磁性，表面可加工为镜面或拉丝效果。</w:t>
                  </w:r>
                </w:p>
              </w:tc>
            </w:tr>
            <w:tr w14:paraId="3139F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vMerge w:val="continue"/>
                  <w:noWrap w:val="0"/>
                  <w:vAlign w:val="center"/>
                </w:tcPr>
                <w:p w14:paraId="03B7A2C3">
                  <w:pPr>
                    <w:adjustRightInd w:val="0"/>
                    <w:snapToGrid w:val="0"/>
                    <w:spacing w:line="240" w:lineRule="auto"/>
                    <w:jc w:val="left"/>
                    <w:rPr>
                      <w:rFonts w:hint="eastAsia" w:cs="Times New Roman"/>
                      <w:bCs/>
                      <w:color w:val="auto"/>
                      <w:sz w:val="18"/>
                      <w:szCs w:val="18"/>
                      <w:highlight w:val="none"/>
                      <w:lang w:val="en-US" w:eastAsia="zh-CN"/>
                    </w:rPr>
                  </w:pPr>
                </w:p>
              </w:tc>
              <w:tc>
                <w:tcPr>
                  <w:tcW w:w="1126" w:type="dxa"/>
                  <w:vMerge w:val="continue"/>
                  <w:noWrap w:val="0"/>
                  <w:vAlign w:val="center"/>
                </w:tcPr>
                <w:p w14:paraId="65471F2D">
                  <w:pPr>
                    <w:adjustRightInd w:val="0"/>
                    <w:snapToGrid w:val="0"/>
                    <w:spacing w:line="240" w:lineRule="auto"/>
                    <w:jc w:val="left"/>
                    <w:rPr>
                      <w:rFonts w:hint="eastAsia" w:cs="Times New Roman"/>
                      <w:bCs/>
                      <w:color w:val="auto"/>
                      <w:sz w:val="18"/>
                      <w:szCs w:val="18"/>
                      <w:highlight w:val="none"/>
                      <w:lang w:val="en-US" w:eastAsia="zh-CN"/>
                    </w:rPr>
                  </w:pPr>
                </w:p>
              </w:tc>
              <w:tc>
                <w:tcPr>
                  <w:tcW w:w="2281" w:type="dxa"/>
                  <w:vMerge w:val="continue"/>
                  <w:noWrap w:val="0"/>
                  <w:vAlign w:val="center"/>
                </w:tcPr>
                <w:p w14:paraId="5BC76BB3">
                  <w:pPr>
                    <w:adjustRightInd w:val="0"/>
                    <w:snapToGrid w:val="0"/>
                    <w:spacing w:line="240" w:lineRule="auto"/>
                    <w:jc w:val="left"/>
                    <w:rPr>
                      <w:rFonts w:hint="eastAsia" w:cs="Times New Roman"/>
                      <w:bCs/>
                      <w:color w:val="auto"/>
                      <w:sz w:val="18"/>
                      <w:szCs w:val="18"/>
                      <w:highlight w:val="none"/>
                      <w:lang w:val="en-US" w:eastAsia="zh-CN"/>
                    </w:rPr>
                  </w:pPr>
                </w:p>
              </w:tc>
              <w:tc>
                <w:tcPr>
                  <w:tcW w:w="4661" w:type="dxa"/>
                  <w:noWrap w:val="0"/>
                  <w:vAlign w:val="center"/>
                </w:tcPr>
                <w:p w14:paraId="1431132D">
                  <w:pPr>
                    <w:adjustRightInd w:val="0"/>
                    <w:snapToGrid w:val="0"/>
                    <w:spacing w:line="240" w:lineRule="auto"/>
                    <w:jc w:val="left"/>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铝：密度2.7 g/cm³，熔点660℃，轻质，导电、导热性好，表面易形成氧化铝防腐蚀层‌。</w:t>
                  </w:r>
                </w:p>
              </w:tc>
            </w:tr>
            <w:tr w14:paraId="1AF7B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noWrap w:val="0"/>
                  <w:vAlign w:val="center"/>
                </w:tcPr>
                <w:p w14:paraId="11035E21">
                  <w:pPr>
                    <w:adjustRightInd w:val="0"/>
                    <w:snapToGrid w:val="0"/>
                    <w:spacing w:line="240" w:lineRule="auto"/>
                    <w:jc w:val="left"/>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15</w:t>
                  </w:r>
                </w:p>
              </w:tc>
              <w:tc>
                <w:tcPr>
                  <w:tcW w:w="1126" w:type="dxa"/>
                  <w:noWrap w:val="0"/>
                  <w:vAlign w:val="center"/>
                </w:tcPr>
                <w:p w14:paraId="26ACB959">
                  <w:pPr>
                    <w:adjustRightInd w:val="0"/>
                    <w:snapToGrid w:val="0"/>
                    <w:spacing w:line="240" w:lineRule="auto"/>
                    <w:jc w:val="left"/>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焊丝（不含铅、镍）</w:t>
                  </w:r>
                </w:p>
              </w:tc>
              <w:tc>
                <w:tcPr>
                  <w:tcW w:w="6942" w:type="dxa"/>
                  <w:gridSpan w:val="2"/>
                  <w:noWrap w:val="0"/>
                  <w:vAlign w:val="center"/>
                </w:tcPr>
                <w:p w14:paraId="1B0B81D2">
                  <w:pPr>
                    <w:adjustRightInd w:val="0"/>
                    <w:snapToGrid w:val="0"/>
                    <w:spacing w:line="240" w:lineRule="auto"/>
                    <w:jc w:val="left"/>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项目使用的焊丝为无铅碳钢焊丝，以铁为基体，主要含碳（C）、锰（Mn）、硅（Si）等元素，塑性好、焊接性优良，不易产生裂纹或气孔，是钣金焊接的理想材料。</w:t>
                  </w:r>
                </w:p>
              </w:tc>
            </w:tr>
            <w:tr w14:paraId="02AAB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81" w:type="dxa"/>
                  <w:noWrap w:val="0"/>
                  <w:vAlign w:val="center"/>
                </w:tcPr>
                <w:p w14:paraId="57F7419A">
                  <w:pPr>
                    <w:adjustRightInd w:val="0"/>
                    <w:snapToGrid w:val="0"/>
                    <w:spacing w:line="240" w:lineRule="auto"/>
                    <w:jc w:val="left"/>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16</w:t>
                  </w:r>
                </w:p>
              </w:tc>
              <w:tc>
                <w:tcPr>
                  <w:tcW w:w="1126" w:type="dxa"/>
                  <w:noWrap w:val="0"/>
                  <w:vAlign w:val="center"/>
                </w:tcPr>
                <w:p w14:paraId="53C109E9">
                  <w:pPr>
                    <w:adjustRightInd w:val="0"/>
                    <w:snapToGrid w:val="0"/>
                    <w:spacing w:line="240" w:lineRule="auto"/>
                    <w:jc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氩气</w:t>
                  </w:r>
                </w:p>
              </w:tc>
              <w:tc>
                <w:tcPr>
                  <w:tcW w:w="6942" w:type="dxa"/>
                  <w:gridSpan w:val="2"/>
                  <w:noWrap w:val="0"/>
                  <w:vAlign w:val="center"/>
                </w:tcPr>
                <w:p w14:paraId="7EF38776">
                  <w:pPr>
                    <w:adjustRightInd w:val="0"/>
                    <w:snapToGrid w:val="0"/>
                    <w:spacing w:line="240" w:lineRule="auto"/>
                    <w:jc w:val="left"/>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氩气是一种无色、无味的惰性气体，由氩原子组成。在常温下与其他物质均不起化学反应，在高温下也不溶于液态金属中，在焊接有色金属时更能显示其优越性。可用于灯泡充气和对不锈钢、镁、铝等的电弧焊接。根据《建设项目环境风险评价技术导则》（HJ 169-2018）附录B、《企业突发环境事件风险分级方法》 HJ941-2018附录A及《危险化学品重大危险源辨识》（GB 18218-2018），项目使用的氩气均不在内，所以不属于环境风险物质。</w:t>
                  </w:r>
                </w:p>
              </w:tc>
            </w:tr>
            <w:tr w14:paraId="35CA5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8649" w:type="dxa"/>
                  <w:gridSpan w:val="4"/>
                  <w:noWrap w:val="0"/>
                  <w:vAlign w:val="center"/>
                </w:tcPr>
                <w:p w14:paraId="3C23EAC9">
                  <w:pPr>
                    <w:adjustRightInd w:val="0"/>
                    <w:snapToGrid w:val="0"/>
                    <w:spacing w:line="240" w:lineRule="auto"/>
                    <w:jc w:val="left"/>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备注：项目使用的PBT、PA6/PA66、PC/ABS、PP、色母、TPV、PVC等塑料粒子均为原生料，项目使用的PC/ABS塑料粒子特别选用非光气法聚碳酸酯（PC）与丙烯腈-丁二烯-苯乙烯共聚物（ABS）共聚物的混合物</w:t>
                  </w:r>
                </w:p>
              </w:tc>
            </w:tr>
          </w:tbl>
          <w:p w14:paraId="6B1E6116">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eastAsia="zh-CN"/>
              </w:rPr>
              <w:t>6</w:t>
            </w:r>
            <w:r>
              <w:rPr>
                <w:rFonts w:hint="eastAsia" w:ascii="Times New Roman" w:hAnsi="Times New Roman" w:eastAsia="宋体" w:cs="Times New Roman"/>
                <w:b/>
                <w:bCs/>
                <w:color w:val="auto"/>
                <w:sz w:val="24"/>
              </w:rPr>
              <w:t xml:space="preserve"> 水平衡</w:t>
            </w:r>
          </w:p>
          <w:p w14:paraId="21773391">
            <w:pPr>
              <w:adjustRightInd w:val="0"/>
              <w:snapToGrid w:val="0"/>
              <w:spacing w:line="360" w:lineRule="auto"/>
              <w:ind w:firstLine="480" w:firstLineChars="200"/>
              <w:rPr>
                <w:color w:val="auto"/>
                <w:sz w:val="24"/>
              </w:rPr>
            </w:pPr>
            <w:r>
              <w:rPr>
                <w:rFonts w:hint="eastAsia"/>
                <w:color w:val="auto"/>
                <w:sz w:val="24"/>
              </w:rPr>
              <w:t>给水：给水由市政自来水管网供给。</w:t>
            </w:r>
          </w:p>
          <w:p w14:paraId="3E5B5A57">
            <w:pPr>
              <w:adjustRightInd w:val="0"/>
              <w:snapToGrid w:val="0"/>
              <w:spacing w:line="360" w:lineRule="auto"/>
              <w:ind w:firstLine="480" w:firstLineChars="200"/>
              <w:rPr>
                <w:color w:val="auto"/>
                <w:sz w:val="24"/>
              </w:rPr>
            </w:pPr>
            <w:r>
              <w:rPr>
                <w:rFonts w:hint="eastAsia"/>
                <w:color w:val="auto"/>
                <w:sz w:val="24"/>
              </w:rPr>
              <w:t>排水</w:t>
            </w:r>
            <w:r>
              <w:rPr>
                <w:color w:val="auto"/>
                <w:sz w:val="24"/>
              </w:rPr>
              <w:t>：</w:t>
            </w:r>
            <w:r>
              <w:rPr>
                <w:rFonts w:hint="eastAsia"/>
                <w:color w:val="auto"/>
                <w:sz w:val="24"/>
              </w:rPr>
              <w:t>厂区排水采用雨水、污水分设排水管网的分流制排水系统。</w:t>
            </w:r>
          </w:p>
          <w:p w14:paraId="673D5759">
            <w:pPr>
              <w:adjustRightInd w:val="0"/>
              <w:snapToGrid w:val="0"/>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项目职工食堂依托福建三锋汽配开发有限公司厂区内现有食堂，本次评价不考虑食堂用排水情况</w:t>
            </w:r>
          </w:p>
          <w:p w14:paraId="6543856E">
            <w:pPr>
              <w:adjustRightInd w:val="0"/>
              <w:snapToGrid w:val="0"/>
              <w:spacing w:line="360" w:lineRule="auto"/>
              <w:ind w:firstLine="480" w:firstLineChars="200"/>
              <w:rPr>
                <w:color w:val="auto"/>
                <w:sz w:val="24"/>
                <w:highlight w:val="none"/>
              </w:rPr>
            </w:pPr>
            <w:r>
              <w:rPr>
                <w:rFonts w:hint="eastAsia"/>
                <w:color w:val="auto"/>
                <w:sz w:val="24"/>
                <w:highlight w:val="none"/>
              </w:rPr>
              <w:t>①现有工程</w:t>
            </w:r>
          </w:p>
          <w:p w14:paraId="7B027F47">
            <w:pPr>
              <w:adjustRightInd w:val="0"/>
              <w:snapToGrid w:val="0"/>
              <w:spacing w:line="360" w:lineRule="auto"/>
              <w:ind w:firstLine="480" w:firstLineChars="200"/>
              <w:rPr>
                <w:rFonts w:hint="eastAsia" w:hAnsi="宋体" w:eastAsia="宋体"/>
                <w:color w:val="auto"/>
                <w:sz w:val="24"/>
                <w:highlight w:val="none"/>
                <w:lang w:val="en-US" w:eastAsia="zh-CN"/>
              </w:rPr>
            </w:pPr>
            <w:r>
              <w:rPr>
                <w:rFonts w:hint="eastAsia"/>
                <w:color w:val="auto"/>
                <w:sz w:val="24"/>
                <w:highlight w:val="none"/>
              </w:rPr>
              <w:t>厂区</w:t>
            </w:r>
            <w:r>
              <w:rPr>
                <w:rFonts w:hint="eastAsia"/>
                <w:color w:val="auto"/>
                <w:sz w:val="24"/>
                <w:highlight w:val="none"/>
                <w:lang w:val="en-US" w:eastAsia="zh-CN"/>
              </w:rPr>
              <w:t>实行</w:t>
            </w:r>
            <w:r>
              <w:rPr>
                <w:rFonts w:hint="eastAsia"/>
                <w:color w:val="auto"/>
                <w:sz w:val="24"/>
                <w:highlight w:val="none"/>
              </w:rPr>
              <w:t>雨污分流，雨水经雨水管网收集后排入市政雨水管网，</w:t>
            </w:r>
            <w:r>
              <w:rPr>
                <w:rFonts w:hint="eastAsia" w:hAnsi="宋体"/>
                <w:color w:val="auto"/>
                <w:sz w:val="24"/>
                <w:highlight w:val="none"/>
                <w:lang w:val="en-US" w:eastAsia="zh-CN"/>
              </w:rPr>
              <w:t>现有工程</w:t>
            </w:r>
            <w:r>
              <w:rPr>
                <w:rFonts w:hint="eastAsia" w:hAnsi="宋体"/>
                <w:color w:val="auto"/>
                <w:sz w:val="24"/>
                <w:highlight w:val="none"/>
              </w:rPr>
              <w:t>职工人数</w:t>
            </w:r>
            <w:r>
              <w:rPr>
                <w:rFonts w:hint="eastAsia" w:hAnsi="宋体"/>
                <w:color w:val="auto"/>
                <w:sz w:val="24"/>
                <w:highlight w:val="none"/>
                <w:lang w:val="en-US" w:eastAsia="zh-CN"/>
              </w:rPr>
              <w:t>45人，均不住厂</w:t>
            </w:r>
            <w:r>
              <w:rPr>
                <w:rFonts w:hint="eastAsia" w:hAnsi="宋体"/>
                <w:color w:val="auto"/>
                <w:sz w:val="24"/>
                <w:highlight w:val="none"/>
                <w:lang w:eastAsia="zh-CN"/>
              </w:rPr>
              <w:t>，</w:t>
            </w:r>
            <w:r>
              <w:rPr>
                <w:color w:val="auto"/>
                <w:kern w:val="18"/>
                <w:sz w:val="24"/>
                <w:highlight w:val="none"/>
              </w:rPr>
              <w:t>生活用水量</w:t>
            </w:r>
            <w:r>
              <w:rPr>
                <w:rFonts w:hint="eastAsia"/>
                <w:color w:val="auto"/>
                <w:kern w:val="18"/>
                <w:sz w:val="24"/>
                <w:highlight w:val="none"/>
                <w:lang w:eastAsia="zh-CN"/>
              </w:rPr>
              <w:t>约</w:t>
            </w:r>
            <w:r>
              <w:rPr>
                <w:color w:val="auto"/>
                <w:kern w:val="18"/>
                <w:sz w:val="24"/>
                <w:highlight w:val="none"/>
              </w:rPr>
              <w:t>为</w:t>
            </w:r>
            <w:r>
              <w:rPr>
                <w:rFonts w:hint="eastAsia"/>
                <w:color w:val="auto"/>
                <w:kern w:val="18"/>
                <w:sz w:val="24"/>
                <w:highlight w:val="none"/>
                <w:lang w:val="en-US" w:eastAsia="zh-CN"/>
              </w:rPr>
              <w:t>551.25t/a，</w:t>
            </w:r>
            <w:r>
              <w:rPr>
                <w:rFonts w:hint="eastAsia" w:hAnsi="宋体"/>
                <w:color w:val="auto"/>
                <w:sz w:val="24"/>
                <w:highlight w:val="none"/>
                <w:lang w:eastAsia="zh-CN"/>
              </w:rPr>
              <w:t>生活污水</w:t>
            </w:r>
            <w:r>
              <w:rPr>
                <w:rFonts w:hint="eastAsia" w:hAnsi="宋体"/>
                <w:color w:val="auto"/>
                <w:sz w:val="24"/>
                <w:highlight w:val="none"/>
                <w:lang w:val="en-US" w:eastAsia="zh-CN"/>
              </w:rPr>
              <w:t>排放量约496.125t/a，</w:t>
            </w:r>
            <w:r>
              <w:rPr>
                <w:rFonts w:hint="eastAsia"/>
                <w:color w:val="auto"/>
                <w:sz w:val="24"/>
                <w:highlight w:val="none"/>
              </w:rPr>
              <w:t>生活污水经化粪池处理达标后纳入</w:t>
            </w:r>
            <w:r>
              <w:rPr>
                <w:rFonts w:hint="eastAsia"/>
                <w:color w:val="auto"/>
                <w:sz w:val="24"/>
                <w:highlight w:val="none"/>
                <w:lang w:eastAsia="zh-CN"/>
              </w:rPr>
              <w:t>福清市融元污水处理厂</w:t>
            </w:r>
            <w:r>
              <w:rPr>
                <w:rFonts w:hint="eastAsia"/>
                <w:color w:val="auto"/>
                <w:spacing w:val="4"/>
                <w:sz w:val="24"/>
                <w:highlight w:val="none"/>
              </w:rPr>
              <w:t>处理。</w:t>
            </w:r>
            <w:r>
              <w:rPr>
                <w:rFonts w:hint="eastAsia"/>
                <w:color w:val="auto"/>
                <w:spacing w:val="4"/>
                <w:sz w:val="24"/>
                <w:highlight w:val="none"/>
                <w:lang w:val="en-US" w:eastAsia="zh-CN"/>
              </w:rPr>
              <w:t>生产用水主要为冷却用水和清洗用水，冷却水年用量约为208.25t/a，</w:t>
            </w:r>
            <w:r>
              <w:rPr>
                <w:rFonts w:hint="eastAsia" w:hAnsi="宋体"/>
                <w:color w:val="auto"/>
                <w:sz w:val="24"/>
                <w:highlight w:val="none"/>
                <w:lang w:val="en-US" w:eastAsia="zh-CN"/>
              </w:rPr>
              <w:t>循环使用不外排，仅需定期补充蒸发损耗。清洗用水年用量约为150t/a，清洗废水排放量约为150t/a，经过滤棉过滤和沉淀后排入福清市融元污水处理厂集中</w:t>
            </w:r>
            <w:r>
              <w:rPr>
                <w:rFonts w:hint="eastAsia"/>
                <w:color w:val="auto"/>
                <w:spacing w:val="4"/>
                <w:sz w:val="24"/>
                <w:highlight w:val="none"/>
              </w:rPr>
              <w:t>处理</w:t>
            </w:r>
            <w:r>
              <w:rPr>
                <w:rFonts w:hint="eastAsia"/>
                <w:color w:val="auto"/>
                <w:spacing w:val="4"/>
                <w:sz w:val="24"/>
                <w:highlight w:val="none"/>
                <w:lang w:eastAsia="zh-CN"/>
              </w:rPr>
              <w:t>。</w:t>
            </w:r>
          </w:p>
          <w:p w14:paraId="3F0ADA24">
            <w:pPr>
              <w:adjustRightInd w:val="0"/>
              <w:snapToGrid w:val="0"/>
              <w:spacing w:line="360" w:lineRule="auto"/>
              <w:ind w:firstLine="480" w:firstLineChars="200"/>
              <w:rPr>
                <w:color w:val="auto"/>
                <w:sz w:val="24"/>
                <w:highlight w:val="none"/>
              </w:rPr>
            </w:pPr>
            <w:r>
              <w:rPr>
                <w:rFonts w:hint="eastAsia"/>
                <w:color w:val="auto"/>
                <w:sz w:val="24"/>
                <w:highlight w:val="none"/>
              </w:rPr>
              <w:t>②</w:t>
            </w:r>
            <w:r>
              <w:rPr>
                <w:rFonts w:hint="eastAsia"/>
                <w:color w:val="auto"/>
                <w:sz w:val="24"/>
                <w:highlight w:val="none"/>
                <w:lang w:eastAsia="zh-CN"/>
              </w:rPr>
              <w:t>扩建</w:t>
            </w:r>
            <w:r>
              <w:rPr>
                <w:rFonts w:hint="eastAsia"/>
                <w:color w:val="auto"/>
                <w:sz w:val="24"/>
                <w:highlight w:val="none"/>
              </w:rPr>
              <w:t>工程</w:t>
            </w:r>
          </w:p>
          <w:p w14:paraId="4CAB3C61">
            <w:pPr>
              <w:adjustRightInd w:val="0"/>
              <w:snapToGri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本次扩建，车间地面不冲洗，采取清扫的方式来进行清洁，不产生车间清洗废水。</w:t>
            </w:r>
            <w:r>
              <w:rPr>
                <w:rFonts w:hint="eastAsia"/>
                <w:color w:val="auto"/>
                <w:sz w:val="24"/>
                <w:highlight w:val="none"/>
                <w:lang w:val="en-US" w:eastAsia="zh-CN"/>
              </w:rPr>
              <w:t>新增用水环节为注塑挤出工序设备冷却用水和职工日常生活用水。</w:t>
            </w:r>
          </w:p>
          <w:p w14:paraId="7CAEBBC9">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生产用排水</w:t>
            </w:r>
          </w:p>
          <w:p w14:paraId="330D765C">
            <w:pPr>
              <w:pStyle w:val="30"/>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bCs/>
                <w:snapToGrid w:val="0"/>
                <w:color w:val="auto"/>
                <w:kern w:val="0"/>
                <w:sz w:val="24"/>
                <w:szCs w:val="24"/>
                <w:highlight w:val="no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①冷却水</w:t>
            </w:r>
          </w:p>
          <w:p w14:paraId="64A03714">
            <w:pPr>
              <w:pStyle w:val="30"/>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bCs/>
                <w:snapToGrid w:val="0"/>
                <w:color w:val="auto"/>
                <w:kern w:val="0"/>
                <w:sz w:val="24"/>
                <w:szCs w:val="24"/>
                <w:highlight w:val="none"/>
                <w:lang w:val="en-US" w:eastAsia="zh-CN" w:bidi="ar-SA"/>
              </w:rPr>
            </w:pPr>
            <w:r>
              <w:rPr>
                <w:rFonts w:hint="default" w:ascii="Times New Roman" w:hAnsi="Times New Roman" w:eastAsia="宋体" w:cs="Times New Roman"/>
                <w:bCs/>
                <w:snapToGrid w:val="0"/>
                <w:color w:val="auto"/>
                <w:kern w:val="0"/>
                <w:sz w:val="24"/>
                <w:szCs w:val="24"/>
                <w:highlight w:val="none"/>
                <w:lang w:val="en-US" w:eastAsia="zh-CN" w:bidi="ar-SA"/>
              </w:rPr>
              <w:t>本项目</w:t>
            </w:r>
            <w:r>
              <w:rPr>
                <w:rFonts w:hint="eastAsia" w:ascii="Times New Roman" w:hAnsi="Times New Roman" w:eastAsia="宋体" w:cs="Times New Roman"/>
                <w:bCs/>
                <w:snapToGrid w:val="0"/>
                <w:color w:val="auto"/>
                <w:kern w:val="0"/>
                <w:sz w:val="24"/>
                <w:szCs w:val="24"/>
                <w:highlight w:val="none"/>
                <w:lang w:val="en-US" w:eastAsia="zh-CN" w:bidi="ar-SA"/>
              </w:rPr>
              <w:t>注塑件、下卡条生产</w:t>
            </w:r>
            <w:r>
              <w:rPr>
                <w:rFonts w:hint="default" w:ascii="Times New Roman" w:hAnsi="Times New Roman" w:eastAsia="宋体" w:cs="Times New Roman"/>
                <w:bCs/>
                <w:snapToGrid w:val="0"/>
                <w:color w:val="auto"/>
                <w:kern w:val="0"/>
                <w:sz w:val="24"/>
                <w:szCs w:val="24"/>
                <w:highlight w:val="none"/>
                <w:lang w:val="en-US" w:eastAsia="zh-CN" w:bidi="ar-SA"/>
              </w:rPr>
              <w:t>过</w:t>
            </w:r>
            <w:r>
              <w:rPr>
                <w:rFonts w:hint="eastAsia" w:ascii="Times New Roman" w:hAnsi="Times New Roman" w:cs="Times New Roman"/>
                <w:bCs/>
                <w:snapToGrid w:val="0"/>
                <w:color w:val="auto"/>
                <w:kern w:val="0"/>
                <w:sz w:val="24"/>
                <w:szCs w:val="24"/>
                <w:highlight w:val="none"/>
                <w:lang w:val="en-US" w:eastAsia="zh-CN" w:bidi="ar-SA"/>
              </w:rPr>
              <w:t>程中</w:t>
            </w:r>
            <w:r>
              <w:rPr>
                <w:rFonts w:hint="default" w:ascii="Times New Roman" w:hAnsi="Times New Roman" w:eastAsia="宋体" w:cs="Times New Roman"/>
                <w:bCs/>
                <w:snapToGrid w:val="0"/>
                <w:color w:val="auto"/>
                <w:kern w:val="0"/>
                <w:sz w:val="24"/>
                <w:szCs w:val="24"/>
                <w:highlight w:val="none"/>
                <w:lang w:val="en-US" w:eastAsia="zh-CN" w:bidi="ar-SA"/>
              </w:rPr>
              <w:t>需要使用冷却水对设备进行冷却，厂内配有统一的冷却水池和冷却塔，循环水量取</w:t>
            </w:r>
            <w:r>
              <w:rPr>
                <w:rFonts w:hint="eastAsia" w:ascii="Times New Roman" w:hAnsi="Times New Roman" w:cs="Times New Roman"/>
                <w:bCs/>
                <w:snapToGrid w:val="0"/>
                <w:color w:val="auto"/>
                <w:kern w:val="0"/>
                <w:sz w:val="24"/>
                <w:szCs w:val="24"/>
                <w:highlight w:val="none"/>
                <w:lang w:val="en-US" w:eastAsia="zh-CN" w:bidi="ar-SA"/>
              </w:rPr>
              <w:t>1</w:t>
            </w:r>
            <w:r>
              <w:rPr>
                <w:rFonts w:hint="default" w:ascii="Times New Roman" w:hAnsi="Times New Roman" w:eastAsia="宋体" w:cs="Times New Roman"/>
                <w:bCs/>
                <w:snapToGrid w:val="0"/>
                <w:color w:val="auto"/>
                <w:kern w:val="0"/>
                <w:sz w:val="24"/>
                <w:szCs w:val="24"/>
                <w:highlight w:val="none"/>
                <w:lang w:val="en-US" w:eastAsia="zh-CN" w:bidi="ar-SA"/>
              </w:rPr>
              <w:t>t</w:t>
            </w:r>
            <w:r>
              <w:rPr>
                <w:rFonts w:hint="eastAsia" w:ascii="Times New Roman" w:hAnsi="Times New Roman" w:eastAsia="宋体" w:cs="Times New Roman"/>
                <w:bCs/>
                <w:snapToGrid w:val="0"/>
                <w:color w:val="auto"/>
                <w:kern w:val="0"/>
                <w:sz w:val="24"/>
                <w:szCs w:val="24"/>
                <w:highlight w:val="none"/>
                <w:lang w:val="en-US" w:eastAsia="zh-CN" w:bidi="ar-SA"/>
              </w:rPr>
              <w:t>/h</w:t>
            </w:r>
            <w:r>
              <w:rPr>
                <w:rFonts w:hint="default" w:ascii="Times New Roman" w:hAnsi="Times New Roman" w:eastAsia="宋体" w:cs="Times New Roman"/>
                <w:bCs/>
                <w:snapToGrid w:val="0"/>
                <w:color w:val="auto"/>
                <w:kern w:val="0"/>
                <w:sz w:val="24"/>
                <w:szCs w:val="24"/>
                <w:highlight w:val="none"/>
                <w:lang w:val="en-US" w:eastAsia="zh-CN" w:bidi="ar-SA"/>
              </w:rPr>
              <w:t>，共</w:t>
            </w:r>
            <w:r>
              <w:rPr>
                <w:rFonts w:hint="eastAsia" w:ascii="Times New Roman" w:hAnsi="Times New Roman" w:eastAsia="宋体" w:cs="Times New Roman"/>
                <w:bCs/>
                <w:snapToGrid w:val="0"/>
                <w:color w:val="auto"/>
                <w:kern w:val="0"/>
                <w:sz w:val="24"/>
                <w:szCs w:val="24"/>
                <w:highlight w:val="none"/>
                <w:lang w:val="en-US" w:eastAsia="zh-CN" w:bidi="ar-SA"/>
              </w:rPr>
              <w:t>2</w:t>
            </w:r>
            <w:r>
              <w:rPr>
                <w:rFonts w:hint="default" w:ascii="Times New Roman" w:hAnsi="Times New Roman" w:eastAsia="宋体" w:cs="Times New Roman"/>
                <w:bCs/>
                <w:snapToGrid w:val="0"/>
                <w:color w:val="auto"/>
                <w:kern w:val="0"/>
                <w:sz w:val="24"/>
                <w:szCs w:val="24"/>
                <w:highlight w:val="none"/>
                <w:lang w:val="en-US" w:eastAsia="zh-CN" w:bidi="ar-SA"/>
              </w:rPr>
              <w:t>台冷却塔，则全年系统循环水量为</w:t>
            </w:r>
            <w:r>
              <w:rPr>
                <w:rFonts w:hint="eastAsia" w:ascii="Times New Roman" w:hAnsi="Times New Roman" w:cs="Times New Roman"/>
                <w:bCs/>
                <w:snapToGrid w:val="0"/>
                <w:color w:val="auto"/>
                <w:kern w:val="0"/>
                <w:sz w:val="24"/>
                <w:szCs w:val="24"/>
                <w:highlight w:val="none"/>
                <w:lang w:val="en-US" w:eastAsia="zh-CN" w:bidi="ar-SA"/>
              </w:rPr>
              <w:t>48</w:t>
            </w:r>
            <w:r>
              <w:rPr>
                <w:rFonts w:hint="default" w:ascii="Times New Roman" w:hAnsi="Times New Roman" w:eastAsia="宋体" w:cs="Times New Roman"/>
                <w:bCs/>
                <w:snapToGrid w:val="0"/>
                <w:color w:val="auto"/>
                <w:kern w:val="0"/>
                <w:sz w:val="24"/>
                <w:szCs w:val="24"/>
                <w:highlight w:val="none"/>
                <w:lang w:val="en-US" w:eastAsia="zh-CN" w:bidi="ar-SA"/>
              </w:rPr>
              <w:t>00t</w:t>
            </w:r>
            <w:r>
              <w:rPr>
                <w:rFonts w:hint="eastAsia" w:ascii="Times New Roman" w:hAnsi="Times New Roman" w:eastAsia="宋体" w:cs="Times New Roman"/>
                <w:bCs/>
                <w:snapToGrid w:val="0"/>
                <w:color w:val="auto"/>
                <w:kern w:val="0"/>
                <w:sz w:val="24"/>
                <w:szCs w:val="24"/>
                <w:highlight w:val="none"/>
                <w:lang w:val="en-US" w:eastAsia="zh-CN" w:bidi="ar-SA"/>
              </w:rPr>
              <w:t>/</w:t>
            </w:r>
            <w:r>
              <w:rPr>
                <w:rFonts w:hint="default" w:ascii="Times New Roman" w:hAnsi="Times New Roman" w:eastAsia="宋体" w:cs="Times New Roman"/>
                <w:bCs/>
                <w:snapToGrid w:val="0"/>
                <w:color w:val="auto"/>
                <w:kern w:val="0"/>
                <w:sz w:val="24"/>
                <w:szCs w:val="24"/>
                <w:highlight w:val="none"/>
                <w:lang w:val="en-US" w:eastAsia="zh-CN" w:bidi="ar-SA"/>
              </w:rPr>
              <w:t>a。本厂房冷却水为敞开式系统</w:t>
            </w:r>
            <w:r>
              <w:rPr>
                <w:rFonts w:hint="eastAsia" w:ascii="Times New Roman" w:hAnsi="Times New Roman" w:eastAsia="宋体" w:cs="Times New Roman"/>
                <w:bCs/>
                <w:snapToGrid w:val="0"/>
                <w:color w:val="auto"/>
                <w:kern w:val="0"/>
                <w:sz w:val="24"/>
                <w:szCs w:val="24"/>
                <w:highlight w:val="none"/>
                <w:lang w:val="en-US" w:eastAsia="zh-CN" w:bidi="ar-SA"/>
              </w:rPr>
              <w:t>，</w:t>
            </w:r>
            <w:r>
              <w:rPr>
                <w:rFonts w:hint="default" w:ascii="Times New Roman" w:hAnsi="Times New Roman" w:eastAsia="宋体" w:cs="Times New Roman"/>
                <w:bCs/>
                <w:snapToGrid w:val="0"/>
                <w:color w:val="auto"/>
                <w:kern w:val="0"/>
                <w:sz w:val="24"/>
                <w:szCs w:val="24"/>
                <w:highlight w:val="none"/>
                <w:lang w:val="en-US" w:eastAsia="zh-CN" w:bidi="ar-SA"/>
              </w:rPr>
              <w:t>根据《全国民用建筑工程设计技术措施》(2009版，给排水)计算循环水塔的补水量</w:t>
            </w:r>
            <w:r>
              <w:rPr>
                <w:rFonts w:hint="eastAsia" w:ascii="Times New Roman" w:hAnsi="Times New Roman" w:eastAsia="宋体" w:cs="Times New Roman"/>
                <w:bCs/>
                <w:snapToGrid w:val="0"/>
                <w:color w:val="auto"/>
                <w:kern w:val="0"/>
                <w:sz w:val="24"/>
                <w:szCs w:val="24"/>
                <w:highlight w:val="none"/>
                <w:lang w:val="en-US" w:eastAsia="zh-CN" w:bidi="ar-SA"/>
              </w:rPr>
              <w:t>。</w:t>
            </w:r>
          </w:p>
          <w:p w14:paraId="7486FC9F">
            <w:pPr>
              <w:pStyle w:val="30"/>
              <w:widowControl w:val="0"/>
              <w:autoSpaceDE w:val="0"/>
              <w:autoSpaceDN w:val="0"/>
              <w:adjustRightInd w:val="0"/>
              <w:snapToGrid w:val="0"/>
              <w:spacing w:before="0" w:beforeAutospacing="0" w:after="0" w:afterAutospacing="0" w:line="360" w:lineRule="auto"/>
              <w:jc w:val="center"/>
              <w:textAlignment w:val="baseline"/>
              <w:rPr>
                <w:rFonts w:hint="default" w:ascii="Times New Roman" w:hAnsi="Times New Roman" w:eastAsia="宋体" w:cs="Times New Roman"/>
                <w:bCs/>
                <w:snapToGrid w:val="0"/>
                <w:color w:val="auto"/>
                <w:kern w:val="0"/>
                <w:sz w:val="24"/>
                <w:szCs w:val="24"/>
                <w:highlight w:val="no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Q</w:t>
            </w:r>
            <w:r>
              <w:rPr>
                <w:rFonts w:hint="eastAsia" w:ascii="Times New Roman" w:hAnsi="Times New Roman" w:eastAsia="宋体" w:cs="Times New Roman"/>
                <w:bCs/>
                <w:snapToGrid w:val="0"/>
                <w:color w:val="auto"/>
                <w:kern w:val="0"/>
                <w:sz w:val="24"/>
                <w:szCs w:val="24"/>
                <w:highlight w:val="none"/>
                <w:vertAlign w:val="subscript"/>
                <w:lang w:val="en-US" w:eastAsia="zh-CN" w:bidi="ar-SA"/>
              </w:rPr>
              <w:t>e</w:t>
            </w:r>
            <w:r>
              <w:rPr>
                <w:rFonts w:hint="eastAsia" w:ascii="Times New Roman" w:hAnsi="Times New Roman" w:eastAsia="宋体" w:cs="Times New Roman"/>
                <w:bCs/>
                <w:snapToGrid w:val="0"/>
                <w:color w:val="auto"/>
                <w:kern w:val="0"/>
                <w:sz w:val="24"/>
                <w:szCs w:val="24"/>
                <w:highlight w:val="none"/>
                <w:lang w:val="en-US" w:eastAsia="zh-CN" w:bidi="ar-SA"/>
              </w:rPr>
              <w:t>=k×△t×Q</w:t>
            </w:r>
            <w:r>
              <w:rPr>
                <w:rFonts w:hint="eastAsia" w:ascii="Times New Roman" w:hAnsi="Times New Roman" w:eastAsia="宋体" w:cs="Times New Roman"/>
                <w:bCs/>
                <w:snapToGrid w:val="0"/>
                <w:color w:val="auto"/>
                <w:kern w:val="0"/>
                <w:sz w:val="24"/>
                <w:szCs w:val="24"/>
                <w:highlight w:val="none"/>
                <w:vertAlign w:val="subscript"/>
                <w:lang w:val="en-US" w:eastAsia="zh-CN" w:bidi="ar-SA"/>
              </w:rPr>
              <w:t>r</w:t>
            </w:r>
          </w:p>
          <w:p w14:paraId="4A54296C">
            <w:pPr>
              <w:pStyle w:val="30"/>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eastAsia" w:ascii="Times New Roman" w:hAnsi="Times New Roman" w:eastAsia="宋体" w:cs="Times New Roman"/>
                <w:bCs/>
                <w:snapToGrid w:val="0"/>
                <w:color w:val="auto"/>
                <w:kern w:val="0"/>
                <w:sz w:val="24"/>
                <w:szCs w:val="24"/>
                <w:highlight w:val="none"/>
                <w:vertAlign w:val="baseli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式中：Q</w:t>
            </w:r>
            <w:r>
              <w:rPr>
                <w:rFonts w:hint="eastAsia" w:ascii="Times New Roman" w:hAnsi="Times New Roman" w:eastAsia="宋体" w:cs="Times New Roman"/>
                <w:bCs/>
                <w:snapToGrid w:val="0"/>
                <w:color w:val="auto"/>
                <w:kern w:val="0"/>
                <w:sz w:val="24"/>
                <w:szCs w:val="24"/>
                <w:highlight w:val="none"/>
                <w:vertAlign w:val="subscript"/>
                <w:lang w:val="en-US" w:eastAsia="zh-CN" w:bidi="ar-SA"/>
              </w:rPr>
              <w:t>e</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——蒸发水量（m</w:t>
            </w:r>
            <w:r>
              <w:rPr>
                <w:rFonts w:hint="eastAsia" w:ascii="Times New Roman" w:hAnsi="Times New Roman" w:eastAsia="宋体" w:cs="Times New Roman"/>
                <w:bCs/>
                <w:snapToGrid w:val="0"/>
                <w:color w:val="auto"/>
                <w:kern w:val="0"/>
                <w:sz w:val="24"/>
                <w:szCs w:val="24"/>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/h）；</w:t>
            </w:r>
          </w:p>
          <w:p w14:paraId="78C34119">
            <w:pPr>
              <w:pStyle w:val="30"/>
              <w:widowControl w:val="0"/>
              <w:autoSpaceDE w:val="0"/>
              <w:autoSpaceDN w:val="0"/>
              <w:adjustRightInd w:val="0"/>
              <w:snapToGrid w:val="0"/>
              <w:spacing w:before="0" w:beforeAutospacing="0" w:after="0" w:afterAutospacing="0" w:line="360" w:lineRule="auto"/>
              <w:ind w:firstLine="1200" w:firstLineChars="500"/>
              <w:jc w:val="both"/>
              <w:textAlignment w:val="baseline"/>
              <w:rPr>
                <w:rFonts w:hint="eastAsia" w:ascii="Times New Roman" w:hAnsi="Times New Roman" w:eastAsia="宋体" w:cs="Times New Roman"/>
                <w:bCs/>
                <w:snapToGrid w:val="0"/>
                <w:color w:val="auto"/>
                <w:kern w:val="0"/>
                <w:sz w:val="24"/>
                <w:szCs w:val="24"/>
                <w:highlight w:val="none"/>
                <w:vertAlign w:val="baseli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Q</w:t>
            </w:r>
            <w:r>
              <w:rPr>
                <w:rFonts w:hint="eastAsia" w:ascii="Times New Roman" w:hAnsi="Times New Roman" w:eastAsia="宋体" w:cs="Times New Roman"/>
                <w:bCs/>
                <w:snapToGrid w:val="0"/>
                <w:color w:val="auto"/>
                <w:kern w:val="0"/>
                <w:sz w:val="24"/>
                <w:szCs w:val="24"/>
                <w:highlight w:val="none"/>
                <w:vertAlign w:val="subscript"/>
                <w:lang w:val="en-US" w:eastAsia="zh-CN" w:bidi="ar-SA"/>
              </w:rPr>
              <w:t>r</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——循环冷却水量（m</w:t>
            </w:r>
            <w:r>
              <w:rPr>
                <w:rFonts w:hint="eastAsia" w:ascii="Times New Roman" w:hAnsi="Times New Roman" w:eastAsia="宋体" w:cs="Times New Roman"/>
                <w:bCs/>
                <w:snapToGrid w:val="0"/>
                <w:color w:val="auto"/>
                <w:kern w:val="0"/>
                <w:sz w:val="24"/>
                <w:szCs w:val="24"/>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/h）；</w:t>
            </w:r>
          </w:p>
          <w:p w14:paraId="0A09A156">
            <w:pPr>
              <w:pStyle w:val="30"/>
              <w:widowControl w:val="0"/>
              <w:autoSpaceDE w:val="0"/>
              <w:autoSpaceDN w:val="0"/>
              <w:adjustRightInd w:val="0"/>
              <w:snapToGrid w:val="0"/>
              <w:spacing w:before="0" w:beforeAutospacing="0" w:after="0" w:afterAutospacing="0" w:line="360" w:lineRule="auto"/>
              <w:ind w:firstLine="1200" w:firstLineChars="500"/>
              <w:jc w:val="both"/>
              <w:textAlignment w:val="baseline"/>
              <w:rPr>
                <w:rFonts w:hint="eastAsia" w:ascii="Times New Roman" w:hAnsi="Times New Roman" w:eastAsia="宋体" w:cs="Times New Roman"/>
                <w:bCs/>
                <w:snapToGrid w:val="0"/>
                <w:color w:val="auto"/>
                <w:kern w:val="0"/>
                <w:sz w:val="24"/>
                <w:szCs w:val="24"/>
                <w:highlight w:val="none"/>
                <w:vertAlign w:val="baseli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△t</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——循环冷却水进、出冷却塔温差（℃）；</w:t>
            </w:r>
          </w:p>
          <w:p w14:paraId="3E211A09">
            <w:pPr>
              <w:pStyle w:val="30"/>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60" w:lineRule="auto"/>
              <w:ind w:firstLine="1200" w:firstLineChars="500"/>
              <w:jc w:val="both"/>
              <w:textAlignment w:val="baseline"/>
              <w:rPr>
                <w:rFonts w:hint="default" w:ascii="Times New Roman" w:hAnsi="Times New Roman" w:eastAsia="宋体" w:cs="Times New Roman"/>
                <w:bCs/>
                <w:snapToGrid w:val="0"/>
                <w:color w:val="auto"/>
                <w:kern w:val="0"/>
                <w:sz w:val="24"/>
                <w:szCs w:val="24"/>
                <w:highlight w:val="none"/>
                <w:vertAlign w:val="baseli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k</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——蒸发损失系数（1/℃），按表2-</w:t>
            </w:r>
            <w:r>
              <w:rPr>
                <w:rFonts w:hint="eastAsia" w:ascii="Times New Roman" w:hAnsi="Times New Roman" w:cs="Times New Roman"/>
                <w:bCs/>
                <w:snapToGrid w:val="0"/>
                <w:color w:val="auto"/>
                <w:kern w:val="0"/>
                <w:sz w:val="24"/>
                <w:szCs w:val="24"/>
                <w:highlight w:val="none"/>
                <w:vertAlign w:val="baseline"/>
                <w:lang w:val="en-US" w:eastAsia="zh-CN" w:bidi="ar-SA"/>
              </w:rPr>
              <w:t>8</w:t>
            </w:r>
            <w:r>
              <w:rPr>
                <w:rFonts w:hint="eastAsia" w:ascii="Times New Roman" w:hAnsi="Times New Roman" w:eastAsia="宋体" w:cs="Times New Roman"/>
                <w:bCs/>
                <w:snapToGrid w:val="0"/>
                <w:color w:val="auto"/>
                <w:kern w:val="0"/>
                <w:sz w:val="24"/>
                <w:szCs w:val="24"/>
                <w:highlight w:val="none"/>
                <w:vertAlign w:val="baseline"/>
                <w:lang w:val="en-US" w:eastAsia="zh-CN" w:bidi="ar-SA"/>
              </w:rPr>
              <w:t>取值，气温为中间值采用内插法计算。</w:t>
            </w:r>
          </w:p>
          <w:p w14:paraId="6CCC5F85">
            <w:pPr>
              <w:pStyle w:val="16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zh-CN" w:eastAsia="zh-CN"/>
              </w:rPr>
              <w:t>表</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lang w:val="zh-CN" w:eastAsia="zh-CN"/>
              </w:rPr>
              <w:t xml:space="preserve">  </w:t>
            </w:r>
            <w:r>
              <w:rPr>
                <w:rFonts w:hint="eastAsia" w:ascii="Times New Roman" w:hAnsi="Times New Roman" w:cs="Times New Roman"/>
                <w:color w:val="auto"/>
                <w:highlight w:val="none"/>
                <w:lang w:val="en-US" w:eastAsia="zh-CN"/>
              </w:rPr>
              <w:t>蒸发损失系数k</w:t>
            </w:r>
          </w:p>
          <w:tbl>
            <w:tblPr>
              <w:tblStyle w:val="3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1096"/>
              <w:gridCol w:w="1096"/>
              <w:gridCol w:w="1096"/>
              <w:gridCol w:w="1096"/>
              <w:gridCol w:w="1096"/>
              <w:gridCol w:w="1099"/>
            </w:tblGrid>
            <w:tr w14:paraId="0484B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63" w:type="dxa"/>
                  <w:tcBorders>
                    <w:tl2br w:val="nil"/>
                    <w:tr2bl w:val="nil"/>
                  </w:tcBorders>
                  <w:noWrap w:val="0"/>
                  <w:vAlign w:val="top"/>
                </w:tcPr>
                <w:p w14:paraId="5A0F01EB">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进塔大气温度（℃）</w:t>
                  </w:r>
                </w:p>
              </w:tc>
              <w:tc>
                <w:tcPr>
                  <w:tcW w:w="1096" w:type="dxa"/>
                  <w:tcBorders>
                    <w:tl2br w:val="nil"/>
                    <w:tr2bl w:val="nil"/>
                  </w:tcBorders>
                  <w:noWrap w:val="0"/>
                  <w:vAlign w:val="top"/>
                </w:tcPr>
                <w:p w14:paraId="05D204B2">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-10</w:t>
                  </w:r>
                </w:p>
              </w:tc>
              <w:tc>
                <w:tcPr>
                  <w:tcW w:w="1096" w:type="dxa"/>
                  <w:tcBorders>
                    <w:tl2br w:val="nil"/>
                    <w:tr2bl w:val="nil"/>
                  </w:tcBorders>
                  <w:noWrap w:val="0"/>
                  <w:vAlign w:val="top"/>
                </w:tcPr>
                <w:p w14:paraId="1FB97A7F">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2</w:t>
                  </w:r>
                </w:p>
              </w:tc>
              <w:tc>
                <w:tcPr>
                  <w:tcW w:w="1096" w:type="dxa"/>
                  <w:tcBorders>
                    <w:tl2br w:val="nil"/>
                    <w:tr2bl w:val="nil"/>
                  </w:tcBorders>
                  <w:noWrap w:val="0"/>
                  <w:vAlign w:val="top"/>
                </w:tcPr>
                <w:p w14:paraId="4A90630C">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10</w:t>
                  </w:r>
                </w:p>
              </w:tc>
              <w:tc>
                <w:tcPr>
                  <w:tcW w:w="1096" w:type="dxa"/>
                  <w:tcBorders>
                    <w:tl2br w:val="nil"/>
                    <w:tr2bl w:val="nil"/>
                  </w:tcBorders>
                  <w:noWrap w:val="0"/>
                  <w:vAlign w:val="top"/>
                </w:tcPr>
                <w:p w14:paraId="4CA66961">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20</w:t>
                  </w:r>
                </w:p>
              </w:tc>
              <w:tc>
                <w:tcPr>
                  <w:tcW w:w="1096" w:type="dxa"/>
                  <w:tcBorders>
                    <w:tl2br w:val="nil"/>
                    <w:tr2bl w:val="nil"/>
                  </w:tcBorders>
                  <w:noWrap w:val="0"/>
                  <w:vAlign w:val="top"/>
                </w:tcPr>
                <w:p w14:paraId="217ACB85">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30</w:t>
                  </w:r>
                </w:p>
              </w:tc>
              <w:tc>
                <w:tcPr>
                  <w:tcW w:w="1099" w:type="dxa"/>
                  <w:tcBorders>
                    <w:tl2br w:val="nil"/>
                    <w:tr2bl w:val="nil"/>
                  </w:tcBorders>
                  <w:noWrap w:val="0"/>
                  <w:vAlign w:val="top"/>
                </w:tcPr>
                <w:p w14:paraId="5775E2FA">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40</w:t>
                  </w:r>
                </w:p>
              </w:tc>
            </w:tr>
            <w:tr w14:paraId="11132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63" w:type="dxa"/>
                  <w:tcBorders>
                    <w:tl2br w:val="nil"/>
                    <w:tr2bl w:val="nil"/>
                  </w:tcBorders>
                  <w:noWrap w:val="0"/>
                  <w:vAlign w:val="top"/>
                </w:tcPr>
                <w:p w14:paraId="15C85E8A">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K（1/℃）</w:t>
                  </w:r>
                </w:p>
              </w:tc>
              <w:tc>
                <w:tcPr>
                  <w:tcW w:w="1096" w:type="dxa"/>
                  <w:tcBorders>
                    <w:tl2br w:val="nil"/>
                    <w:tr2bl w:val="nil"/>
                  </w:tcBorders>
                  <w:noWrap w:val="0"/>
                  <w:vAlign w:val="top"/>
                </w:tcPr>
                <w:p w14:paraId="3687255D">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0.0008</w:t>
                  </w:r>
                </w:p>
              </w:tc>
              <w:tc>
                <w:tcPr>
                  <w:tcW w:w="1096" w:type="dxa"/>
                  <w:tcBorders>
                    <w:tl2br w:val="nil"/>
                    <w:tr2bl w:val="nil"/>
                  </w:tcBorders>
                  <w:noWrap w:val="0"/>
                  <w:vAlign w:val="top"/>
                </w:tcPr>
                <w:p w14:paraId="76ED7BB3">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0.0010</w:t>
                  </w:r>
                </w:p>
              </w:tc>
              <w:tc>
                <w:tcPr>
                  <w:tcW w:w="1096" w:type="dxa"/>
                  <w:tcBorders>
                    <w:tl2br w:val="nil"/>
                    <w:tr2bl w:val="nil"/>
                  </w:tcBorders>
                  <w:noWrap w:val="0"/>
                  <w:vAlign w:val="top"/>
                </w:tcPr>
                <w:p w14:paraId="55826D23">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0.0012</w:t>
                  </w:r>
                </w:p>
              </w:tc>
              <w:tc>
                <w:tcPr>
                  <w:tcW w:w="1096" w:type="dxa"/>
                  <w:tcBorders>
                    <w:tl2br w:val="nil"/>
                    <w:tr2bl w:val="nil"/>
                  </w:tcBorders>
                  <w:noWrap w:val="0"/>
                  <w:vAlign w:val="top"/>
                </w:tcPr>
                <w:p w14:paraId="0EC3BB14">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0.0014</w:t>
                  </w:r>
                </w:p>
              </w:tc>
              <w:tc>
                <w:tcPr>
                  <w:tcW w:w="1096" w:type="dxa"/>
                  <w:tcBorders>
                    <w:tl2br w:val="nil"/>
                    <w:tr2bl w:val="nil"/>
                  </w:tcBorders>
                  <w:noWrap w:val="0"/>
                  <w:vAlign w:val="top"/>
                </w:tcPr>
                <w:p w14:paraId="50FB7DBD">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0.0015</w:t>
                  </w:r>
                </w:p>
              </w:tc>
              <w:tc>
                <w:tcPr>
                  <w:tcW w:w="1099" w:type="dxa"/>
                  <w:tcBorders>
                    <w:tl2br w:val="nil"/>
                    <w:tr2bl w:val="nil"/>
                  </w:tcBorders>
                  <w:noWrap w:val="0"/>
                  <w:vAlign w:val="top"/>
                </w:tcPr>
                <w:p w14:paraId="4D6EF521">
                  <w:pPr>
                    <w:pStyle w:val="15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0.0016</w:t>
                  </w:r>
                </w:p>
              </w:tc>
            </w:tr>
          </w:tbl>
          <w:p w14:paraId="16E1ED5F">
            <w:pPr>
              <w:pStyle w:val="30"/>
              <w:widowControl w:val="0"/>
              <w:autoSpaceDE w:val="0"/>
              <w:autoSpaceDN w:val="0"/>
              <w:adjustRightInd w:val="0"/>
              <w:snapToGrid w:val="0"/>
              <w:spacing w:before="157" w:beforeLines="50" w:beforeAutospacing="0" w:after="0" w:afterAutospacing="0" w:line="360" w:lineRule="auto"/>
              <w:ind w:firstLine="480" w:firstLineChars="200"/>
              <w:jc w:val="both"/>
              <w:textAlignment w:val="baseline"/>
              <w:rPr>
                <w:rFonts w:hint="default" w:ascii="Times New Roman" w:hAnsi="Times New Roman" w:eastAsia="宋体" w:cs="Times New Roman"/>
                <w:bCs/>
                <w:snapToGrid w:val="0"/>
                <w:color w:val="auto"/>
                <w:kern w:val="0"/>
                <w:sz w:val="24"/>
                <w:szCs w:val="24"/>
                <w:highlight w:val="no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项目循环冷却水进、出冷却塔温差为△t=10℃（40℃-30℃），大气温度取常温25℃，则对应k值为0.00145，则蒸发水量为69.6m</w:t>
            </w:r>
            <w:r>
              <w:rPr>
                <w:rFonts w:hint="eastAsia" w:ascii="Times New Roman" w:hAnsi="Times New Roman" w:eastAsia="宋体" w:cs="Times New Roman"/>
                <w:bCs/>
                <w:snapToGrid w:val="0"/>
                <w:color w:val="auto"/>
                <w:kern w:val="0"/>
                <w:sz w:val="24"/>
                <w:szCs w:val="24"/>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4"/>
                <w:highlight w:val="none"/>
                <w:lang w:val="en-US" w:eastAsia="zh-CN" w:bidi="ar-SA"/>
              </w:rPr>
              <w:t>/a（0.00145×10℃×</w:t>
            </w:r>
            <w:r>
              <w:rPr>
                <w:rFonts w:hint="eastAsia" w:ascii="Times New Roman" w:hAnsi="Times New Roman" w:cs="Times New Roman"/>
                <w:bCs/>
                <w:snapToGrid w:val="0"/>
                <w:color w:val="auto"/>
                <w:kern w:val="0"/>
                <w:sz w:val="24"/>
                <w:szCs w:val="24"/>
                <w:highlight w:val="none"/>
                <w:lang w:val="en-US" w:eastAsia="zh-CN" w:bidi="ar-SA"/>
              </w:rPr>
              <w:t>1</w:t>
            </w:r>
            <w:r>
              <w:rPr>
                <w:rFonts w:hint="eastAsia" w:ascii="Times New Roman" w:hAnsi="Times New Roman" w:eastAsia="宋体" w:cs="Times New Roman"/>
                <w:bCs/>
                <w:snapToGrid w:val="0"/>
                <w:color w:val="auto"/>
                <w:kern w:val="0"/>
                <w:sz w:val="24"/>
                <w:szCs w:val="24"/>
                <w:highlight w:val="none"/>
                <w:lang w:val="en-US" w:eastAsia="zh-CN" w:bidi="ar-SA"/>
              </w:rPr>
              <w:t>m</w:t>
            </w:r>
            <w:r>
              <w:rPr>
                <w:rFonts w:hint="eastAsia" w:ascii="Times New Roman" w:hAnsi="Times New Roman" w:eastAsia="宋体" w:cs="Times New Roman"/>
                <w:bCs/>
                <w:snapToGrid w:val="0"/>
                <w:color w:val="auto"/>
                <w:kern w:val="0"/>
                <w:sz w:val="24"/>
                <w:szCs w:val="24"/>
                <w:highlight w:val="none"/>
                <w:vertAlign w:val="superscript"/>
                <w:lang w:val="en-US" w:eastAsia="zh-CN" w:bidi="ar-SA"/>
              </w:rPr>
              <w:t>3</w:t>
            </w:r>
            <w:r>
              <w:rPr>
                <w:rFonts w:hint="eastAsia" w:ascii="Times New Roman" w:hAnsi="Times New Roman" w:eastAsia="宋体" w:cs="Times New Roman"/>
                <w:bCs/>
                <w:snapToGrid w:val="0"/>
                <w:color w:val="auto"/>
                <w:kern w:val="0"/>
                <w:sz w:val="24"/>
                <w:szCs w:val="24"/>
                <w:highlight w:val="none"/>
                <w:lang w:val="en-US" w:eastAsia="zh-CN" w:bidi="ar-SA"/>
              </w:rPr>
              <w:t>/h×8h×300d×2），冷却水不外排。</w:t>
            </w:r>
          </w:p>
          <w:p w14:paraId="0CF9B821">
            <w:pPr>
              <w:spacing w:line="360" w:lineRule="auto"/>
              <w:ind w:firstLine="482" w:firstLineChars="200"/>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snapToGrid w:val="0"/>
                <w:color w:val="auto"/>
                <w:sz w:val="24"/>
                <w:szCs w:val="24"/>
                <w:highlight w:val="none"/>
                <w:lang w:val="en-US" w:eastAsia="zh-CN"/>
              </w:rPr>
              <w:t>生活</w:t>
            </w:r>
            <w:r>
              <w:rPr>
                <w:rFonts w:hint="eastAsia" w:ascii="Times New Roman" w:hAnsi="Times New Roman" w:eastAsia="宋体" w:cs="Times New Roman"/>
                <w:b/>
                <w:bCs w:val="0"/>
                <w:color w:val="auto"/>
                <w:sz w:val="24"/>
                <w:szCs w:val="24"/>
                <w:highlight w:val="none"/>
                <w:lang w:val="en-US" w:eastAsia="zh-CN"/>
              </w:rPr>
              <w:t>用排水</w:t>
            </w:r>
          </w:p>
          <w:p w14:paraId="217CB038">
            <w:pPr>
              <w:keepLines/>
              <w:pageBreakBefore w:val="0"/>
              <w:kinsoku/>
              <w:wordWrap/>
              <w:topLinePunct w:val="0"/>
              <w:bidi w:val="0"/>
              <w:spacing w:line="360" w:lineRule="auto"/>
              <w:ind w:firstLine="480" w:firstLineChars="200"/>
              <w:rPr>
                <w:rFonts w:hint="eastAsia"/>
                <w:color w:val="auto"/>
                <w:sz w:val="24"/>
                <w:highlight w:val="none"/>
              </w:rPr>
            </w:pPr>
            <w:r>
              <w:rPr>
                <w:color w:val="auto"/>
                <w:sz w:val="24"/>
                <w:highlight w:val="none"/>
              </w:rPr>
              <w:t>本项目</w:t>
            </w:r>
            <w:r>
              <w:rPr>
                <w:rFonts w:hint="eastAsia"/>
                <w:color w:val="auto"/>
                <w:sz w:val="24"/>
                <w:highlight w:val="none"/>
              </w:rPr>
              <w:t>新增</w:t>
            </w:r>
            <w:r>
              <w:rPr>
                <w:color w:val="auto"/>
                <w:sz w:val="24"/>
                <w:highlight w:val="none"/>
              </w:rPr>
              <w:t>劳动定员</w:t>
            </w:r>
            <w:r>
              <w:rPr>
                <w:rFonts w:hint="eastAsia"/>
                <w:color w:val="auto"/>
                <w:sz w:val="24"/>
                <w:highlight w:val="none"/>
                <w:lang w:val="en-US" w:eastAsia="zh-CN"/>
              </w:rPr>
              <w:t>70</w:t>
            </w:r>
            <w:r>
              <w:rPr>
                <w:rFonts w:hint="eastAsia"/>
                <w:color w:val="auto"/>
                <w:sz w:val="24"/>
                <w:highlight w:val="none"/>
              </w:rPr>
              <w:t>人</w:t>
            </w:r>
            <w:r>
              <w:rPr>
                <w:rFonts w:hint="eastAsia"/>
                <w:color w:val="auto"/>
                <w:sz w:val="24"/>
                <w:highlight w:val="none"/>
                <w:lang w:eastAsia="zh-CN"/>
              </w:rPr>
              <w:t>，</w:t>
            </w:r>
            <w:r>
              <w:rPr>
                <w:rFonts w:hint="eastAsia" w:cs="Times New Roman"/>
                <w:b w:val="0"/>
                <w:bCs/>
                <w:caps w:val="0"/>
                <w:smallCaps w:val="0"/>
                <w:color w:val="auto"/>
                <w:sz w:val="24"/>
                <w:szCs w:val="24"/>
                <w:highlight w:val="none"/>
                <w:lang w:val="en-US" w:eastAsia="zh-CN"/>
              </w:rPr>
              <w:t>均不住厂</w:t>
            </w:r>
            <w:r>
              <w:rPr>
                <w:rFonts w:hint="eastAsia"/>
                <w:color w:val="auto"/>
                <w:sz w:val="24"/>
                <w:highlight w:val="none"/>
                <w:lang w:val="en-US" w:eastAsia="zh-CN"/>
              </w:rPr>
              <w:t>，</w:t>
            </w:r>
            <w:r>
              <w:rPr>
                <w:rFonts w:hint="eastAsia" w:ascii="Times New Roman" w:hAnsi="Times New Roman" w:eastAsia="宋体" w:cs="Times New Roman"/>
                <w:b w:val="0"/>
                <w:bCs/>
                <w:caps w:val="0"/>
                <w:smallCaps w:val="0"/>
                <w:color w:val="auto"/>
                <w:sz w:val="24"/>
                <w:szCs w:val="24"/>
                <w:highlight w:val="none"/>
                <w:lang w:val="en-US" w:eastAsia="zh-CN"/>
              </w:rPr>
              <w:t>参考《建筑给水排水设计标准》（GB50015-2019），车间工人的生活用水定额应根据车间性质确定，</w:t>
            </w:r>
            <w:r>
              <w:rPr>
                <w:rFonts w:hint="eastAsia" w:ascii="Times New Roman" w:hAnsi="Times New Roman" w:eastAsia="宋体" w:cs="Times New Roman"/>
                <w:color w:val="auto"/>
                <w:sz w:val="24"/>
                <w:highlight w:val="none"/>
                <w:lang w:val="en-US" w:eastAsia="zh-CN"/>
              </w:rPr>
              <w:t>本评价</w:t>
            </w:r>
            <w:r>
              <w:rPr>
                <w:rFonts w:hint="default" w:ascii="Times New Roman" w:hAnsi="Times New Roman" w:eastAsia="宋体" w:cs="Times New Roman"/>
                <w:color w:val="auto"/>
                <w:sz w:val="24"/>
                <w:highlight w:val="none"/>
                <w:lang w:val="en-US" w:eastAsia="zh-CN"/>
              </w:rPr>
              <w:t>按</w:t>
            </w:r>
            <w:r>
              <w:rPr>
                <w:rFonts w:hint="eastAsia" w:ascii="Times New Roman" w:hAnsi="Times New Roman" w:eastAsia="宋体" w:cs="Times New Roman"/>
                <w:color w:val="auto"/>
                <w:sz w:val="24"/>
                <w:highlight w:val="none"/>
                <w:lang w:val="en-US" w:eastAsia="zh-CN"/>
              </w:rPr>
              <w:t>不住厂员工生活用水量</w:t>
            </w:r>
            <w:r>
              <w:rPr>
                <w:rFonts w:hint="default" w:ascii="Times New Roman" w:hAnsi="Times New Roman" w:eastAsia="宋体" w:cs="Times New Roman"/>
                <w:color w:val="auto"/>
                <w:sz w:val="24"/>
                <w:highlight w:val="none"/>
                <w:lang w:val="en-US" w:eastAsia="zh-CN"/>
              </w:rPr>
              <w:t>50L/人·班</w:t>
            </w:r>
            <w:r>
              <w:rPr>
                <w:rFonts w:hint="eastAsia" w:ascii="Times New Roman" w:hAnsi="Times New Roman" w:eastAsia="宋体" w:cs="Times New Roman"/>
                <w:b w:val="0"/>
                <w:bCs/>
                <w:caps w:val="0"/>
                <w:smallCaps w:val="0"/>
                <w:color w:val="auto"/>
                <w:sz w:val="24"/>
                <w:szCs w:val="24"/>
                <w:highlight w:val="none"/>
                <w:lang w:val="en-US" w:eastAsia="zh-CN"/>
              </w:rPr>
              <w:t>，年工作300天，则</w:t>
            </w:r>
            <w:r>
              <w:rPr>
                <w:rFonts w:hint="eastAsia"/>
                <w:color w:val="auto"/>
                <w:kern w:val="18"/>
                <w:sz w:val="24"/>
                <w:highlight w:val="none"/>
              </w:rPr>
              <w:t>新增</w:t>
            </w:r>
            <w:r>
              <w:rPr>
                <w:rFonts w:hint="eastAsia" w:ascii="Times New Roman" w:hAnsi="Times New Roman" w:eastAsia="宋体" w:cs="Times New Roman"/>
                <w:b w:val="0"/>
                <w:bCs/>
                <w:caps w:val="0"/>
                <w:smallCaps w:val="0"/>
                <w:color w:val="auto"/>
                <w:sz w:val="24"/>
                <w:szCs w:val="24"/>
                <w:highlight w:val="none"/>
                <w:lang w:val="en-US" w:eastAsia="zh-CN"/>
              </w:rPr>
              <w:t>职工生活用水量约为</w:t>
            </w:r>
            <w:r>
              <w:rPr>
                <w:rFonts w:hint="eastAsia" w:cs="Times New Roman"/>
                <w:b w:val="0"/>
                <w:bCs/>
                <w:caps w:val="0"/>
                <w:smallCaps w:val="0"/>
                <w:color w:val="auto"/>
                <w:sz w:val="24"/>
                <w:szCs w:val="24"/>
                <w:highlight w:val="none"/>
                <w:lang w:val="en-US" w:eastAsia="zh-CN"/>
              </w:rPr>
              <w:t>3.5</w:t>
            </w:r>
            <w:r>
              <w:rPr>
                <w:rFonts w:hint="eastAsia" w:ascii="Times New Roman" w:hAnsi="Times New Roman" w:eastAsia="宋体" w:cs="Times New Roman"/>
                <w:b w:val="0"/>
                <w:bCs/>
                <w:caps w:val="0"/>
                <w:smallCaps w:val="0"/>
                <w:color w:val="auto"/>
                <w:sz w:val="24"/>
                <w:szCs w:val="24"/>
                <w:highlight w:val="none"/>
                <w:lang w:val="en-US" w:eastAsia="zh-CN"/>
              </w:rPr>
              <w:t>t/d(</w:t>
            </w:r>
            <w:r>
              <w:rPr>
                <w:rFonts w:hint="eastAsia" w:cs="Times New Roman"/>
                <w:b w:val="0"/>
                <w:bCs/>
                <w:caps w:val="0"/>
                <w:smallCaps w:val="0"/>
                <w:color w:val="auto"/>
                <w:sz w:val="24"/>
                <w:szCs w:val="24"/>
                <w:highlight w:val="none"/>
                <w:lang w:val="en-US" w:eastAsia="zh-CN"/>
              </w:rPr>
              <w:t>1050</w:t>
            </w:r>
            <w:r>
              <w:rPr>
                <w:rFonts w:hint="eastAsia" w:ascii="Times New Roman" w:hAnsi="Times New Roman" w:eastAsia="宋体" w:cs="Times New Roman"/>
                <w:b w:val="0"/>
                <w:bCs/>
                <w:caps w:val="0"/>
                <w:smallCaps w:val="0"/>
                <w:color w:val="auto"/>
                <w:sz w:val="24"/>
                <w:szCs w:val="24"/>
                <w:highlight w:val="none"/>
                <w:lang w:val="en-US" w:eastAsia="zh-CN"/>
              </w:rPr>
              <w:t>t/a)。</w:t>
            </w:r>
            <w:r>
              <w:rPr>
                <w:rFonts w:hint="default" w:ascii="Times New Roman" w:hAnsi="Times New Roman" w:eastAsia="宋体" w:cs="Times New Roman"/>
                <w:color w:val="auto"/>
                <w:sz w:val="24"/>
                <w:highlight w:val="none"/>
                <w:lang w:val="en-US" w:eastAsia="zh-CN"/>
              </w:rPr>
              <w:t>根据《室外排水设计规范》(GB 50014-20</w:t>
            </w:r>
            <w:r>
              <w:rPr>
                <w:rFonts w:hint="eastAsia"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lang w:val="en-US" w:eastAsia="zh-CN"/>
              </w:rPr>
              <w:t>)，居民生活污水定额可按用水定额的</w:t>
            </w:r>
            <w:r>
              <w:rPr>
                <w:rFonts w:hint="eastAsia"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0%计算(其余</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0%蒸发损耗等)</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b w:val="0"/>
                <w:bCs/>
                <w:caps w:val="0"/>
                <w:smallCaps w:val="0"/>
                <w:color w:val="auto"/>
                <w:sz w:val="24"/>
                <w:szCs w:val="24"/>
                <w:highlight w:val="none"/>
                <w:lang w:val="en-US" w:eastAsia="zh-CN"/>
              </w:rPr>
              <w:t>则</w:t>
            </w:r>
            <w:r>
              <w:rPr>
                <w:rFonts w:hint="eastAsia"/>
                <w:color w:val="auto"/>
                <w:kern w:val="18"/>
                <w:sz w:val="24"/>
                <w:highlight w:val="none"/>
              </w:rPr>
              <w:t>新增</w:t>
            </w:r>
            <w:r>
              <w:rPr>
                <w:rFonts w:hint="eastAsia" w:ascii="Times New Roman" w:hAnsi="Times New Roman" w:eastAsia="宋体" w:cs="Times New Roman"/>
                <w:b w:val="0"/>
                <w:bCs/>
                <w:caps w:val="0"/>
                <w:smallCaps w:val="0"/>
                <w:color w:val="auto"/>
                <w:sz w:val="24"/>
                <w:szCs w:val="24"/>
                <w:highlight w:val="none"/>
                <w:lang w:val="en-US" w:eastAsia="zh-CN"/>
              </w:rPr>
              <w:t>生活污水产生量约为</w:t>
            </w:r>
            <w:r>
              <w:rPr>
                <w:rFonts w:hint="eastAsia" w:cs="Times New Roman"/>
                <w:b w:val="0"/>
                <w:bCs/>
                <w:caps w:val="0"/>
                <w:smallCaps w:val="0"/>
                <w:color w:val="auto"/>
                <w:sz w:val="24"/>
                <w:szCs w:val="24"/>
                <w:highlight w:val="none"/>
                <w:lang w:val="en-US" w:eastAsia="zh-CN"/>
              </w:rPr>
              <w:t>3.15</w:t>
            </w:r>
            <w:r>
              <w:rPr>
                <w:rFonts w:hint="eastAsia" w:ascii="Times New Roman" w:hAnsi="Times New Roman" w:eastAsia="宋体" w:cs="Times New Roman"/>
                <w:b w:val="0"/>
                <w:bCs/>
                <w:caps w:val="0"/>
                <w:smallCaps w:val="0"/>
                <w:color w:val="auto"/>
                <w:sz w:val="24"/>
                <w:szCs w:val="24"/>
                <w:highlight w:val="none"/>
                <w:lang w:val="en-US" w:eastAsia="zh-CN"/>
              </w:rPr>
              <w:t>t/d(</w:t>
            </w:r>
            <w:r>
              <w:rPr>
                <w:rFonts w:hint="eastAsia" w:cs="Times New Roman"/>
                <w:b w:val="0"/>
                <w:bCs/>
                <w:caps w:val="0"/>
                <w:smallCaps w:val="0"/>
                <w:color w:val="auto"/>
                <w:sz w:val="24"/>
                <w:szCs w:val="24"/>
                <w:highlight w:val="none"/>
                <w:lang w:val="en-US" w:eastAsia="zh-CN"/>
              </w:rPr>
              <w:t>945</w:t>
            </w:r>
            <w:r>
              <w:rPr>
                <w:rFonts w:hint="eastAsia" w:ascii="Times New Roman" w:hAnsi="Times New Roman" w:eastAsia="宋体" w:cs="Times New Roman"/>
                <w:b w:val="0"/>
                <w:bCs/>
                <w:caps w:val="0"/>
                <w:smallCaps w:val="0"/>
                <w:color w:val="auto"/>
                <w:sz w:val="24"/>
                <w:szCs w:val="24"/>
                <w:highlight w:val="none"/>
                <w:lang w:val="en-US" w:eastAsia="zh-CN"/>
              </w:rPr>
              <w:t>t/a)，项目职工日常生活污水经化粪池处理后，排入市政污水管网，</w:t>
            </w:r>
            <w:r>
              <w:rPr>
                <w:rFonts w:hint="eastAsia"/>
                <w:color w:val="auto"/>
                <w:sz w:val="24"/>
                <w:highlight w:val="none"/>
              </w:rPr>
              <w:t>纳入</w:t>
            </w:r>
            <w:r>
              <w:rPr>
                <w:rFonts w:hint="eastAsia"/>
                <w:color w:val="auto"/>
                <w:sz w:val="24"/>
                <w:highlight w:val="none"/>
                <w:lang w:eastAsia="zh-CN"/>
              </w:rPr>
              <w:t>福清市融元污水处理厂</w:t>
            </w:r>
            <w:r>
              <w:rPr>
                <w:rFonts w:hint="eastAsia"/>
                <w:color w:val="auto"/>
                <w:sz w:val="24"/>
                <w:highlight w:val="none"/>
              </w:rPr>
              <w:t>集中处理。</w:t>
            </w:r>
          </w:p>
          <w:p w14:paraId="1DC9ECF4">
            <w:pPr>
              <w:tabs>
                <w:tab w:val="left" w:pos="5184"/>
              </w:tabs>
              <w:spacing w:line="360" w:lineRule="auto"/>
              <w:ind w:firstLine="0" w:firstLineChars="0"/>
              <w:jc w:val="center"/>
              <w:rPr>
                <w:rFonts w:hint="eastAsia" w:eastAsia="宋体"/>
                <w:b/>
                <w:color w:val="auto"/>
                <w:kern w:val="21"/>
                <w:sz w:val="24"/>
                <w:highlight w:val="none"/>
                <w:lang w:val="en-US" w:eastAsia="zh-CN"/>
              </w:rPr>
            </w:pPr>
            <w:r>
              <w:rPr>
                <w:rFonts w:hint="eastAsia" w:eastAsia="宋体"/>
                <w:color w:val="auto"/>
                <w:sz w:val="24"/>
                <w:highlight w:val="none"/>
                <w:lang w:eastAsia="zh-CN"/>
              </w:rPr>
              <w:object>
                <v:shape id="_x0000_i1025" o:spt="75" type="#_x0000_t75" style="height:160.15pt;width:435pt;" o:ole="t" filled="f" o:preferrelative="t" stroked="f" coordsize="21600,21600">
                  <v:path/>
                  <v:fill on="f" focussize="0,0"/>
                  <v:stroke on="f"/>
                  <v:imagedata r:id="rId15" o:title=""/>
                  <o:lock v:ext="edit" aspectratio="f"/>
                  <w10:wrap type="none"/>
                  <w10:anchorlock/>
                </v:shape>
                <o:OLEObject Type="Embed" ProgID="Visio.Drawing.15" ShapeID="_x0000_i1025" DrawAspect="Content" ObjectID="_1468075725" r:id="rId14">
                  <o:LockedField>false</o:LockedField>
                </o:OLEObject>
              </w:object>
            </w:r>
            <w:r>
              <w:rPr>
                <w:rFonts w:hint="default" w:eastAsia="宋体"/>
                <w:b/>
                <w:color w:val="auto"/>
                <w:kern w:val="21"/>
                <w:sz w:val="24"/>
                <w:highlight w:val="none"/>
                <w:lang w:val="en-US" w:eastAsia="zh-CN"/>
              </w:rPr>
              <w:t>图2-1 扩建项目水平衡图   单位：t/a</w:t>
            </w:r>
          </w:p>
          <w:p w14:paraId="3BF55F2A">
            <w:pPr>
              <w:pStyle w:val="15"/>
              <w:jc w:val="center"/>
              <w:rPr>
                <w:rFonts w:hint="eastAsia"/>
                <w:color w:val="auto"/>
                <w:highlight w:val="none"/>
                <w:lang w:val="en-US" w:eastAsia="zh-CN"/>
              </w:rPr>
            </w:pPr>
            <w:r>
              <w:rPr>
                <w:rFonts w:hint="eastAsia"/>
                <w:color w:val="auto"/>
                <w:highlight w:val="none"/>
                <w:lang w:val="en-US" w:eastAsia="zh-CN"/>
              </w:rPr>
              <w:object>
                <v:shape id="_x0000_i1026" o:spt="75" type="#_x0000_t75" style="height:332.15pt;width:400.85pt;" o:ole="t" filled="f" o:preferrelative="t" stroked="f" coordsize="21600,21600">
                  <v:path/>
                  <v:fill on="f" focussize="0,0"/>
                  <v:stroke on="f"/>
                  <v:imagedata r:id="rId17" o:title=""/>
                  <o:lock v:ext="edit" aspectratio="f"/>
                  <w10:wrap type="none"/>
                  <w10:anchorlock/>
                </v:shape>
                <o:OLEObject Type="Embed" ProgID="Visio.Drawing.15" ShapeID="_x0000_i1026" DrawAspect="Content" ObjectID="_1468075726" r:id="rId16">
                  <o:LockedField>false</o:LockedField>
                </o:OLEObject>
              </w:object>
            </w:r>
          </w:p>
          <w:p w14:paraId="3BF042CF">
            <w:pPr>
              <w:pStyle w:val="15"/>
              <w:jc w:val="center"/>
              <w:rPr>
                <w:rFonts w:hint="default" w:ascii="Times New Roman" w:hAnsi="Times New Roman" w:eastAsia="宋体" w:cs="Times New Roman"/>
                <w:b/>
                <w:color w:val="auto"/>
                <w:kern w:val="21"/>
                <w:sz w:val="24"/>
                <w:szCs w:val="24"/>
                <w:highlight w:val="none"/>
                <w:lang w:val="en-US" w:eastAsia="zh-CN" w:bidi="ar-SA"/>
              </w:rPr>
            </w:pPr>
            <w:r>
              <w:rPr>
                <w:rFonts w:hint="default" w:ascii="Times New Roman" w:hAnsi="Times New Roman" w:eastAsia="宋体" w:cs="Times New Roman"/>
                <w:b/>
                <w:color w:val="auto"/>
                <w:kern w:val="21"/>
                <w:sz w:val="24"/>
                <w:szCs w:val="24"/>
                <w:highlight w:val="none"/>
                <w:lang w:val="en-US" w:eastAsia="zh-CN" w:bidi="ar-SA"/>
              </w:rPr>
              <w:t>图2-2 改扩建后全厂项目水平衡图   单位：t/a</w:t>
            </w:r>
          </w:p>
          <w:p w14:paraId="2016FD7C">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val="en-US" w:eastAsia="zh-CN"/>
              </w:rPr>
              <w:t>7</w:t>
            </w:r>
            <w:r>
              <w:rPr>
                <w:rFonts w:hint="eastAsia" w:ascii="Times New Roman" w:hAnsi="Times New Roman" w:eastAsia="宋体" w:cs="Times New Roman"/>
                <w:b/>
                <w:bCs/>
                <w:color w:val="auto"/>
                <w:sz w:val="24"/>
              </w:rPr>
              <w:t xml:space="preserve"> VOC平衡</w:t>
            </w:r>
            <w:r>
              <w:rPr>
                <w:rFonts w:hint="eastAsia" w:ascii="Times New Roman" w:hAnsi="Times New Roman" w:eastAsia="宋体" w:cs="Times New Roman"/>
                <w:b/>
                <w:bCs/>
                <w:color w:val="auto"/>
                <w:sz w:val="24"/>
                <w:lang w:eastAsia="zh-CN"/>
              </w:rPr>
              <w:t>及物料平衡</w:t>
            </w:r>
          </w:p>
          <w:p w14:paraId="2A133AFA">
            <w:pPr>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项目VOC平衡详见下图。</w:t>
            </w:r>
          </w:p>
          <w:p w14:paraId="5F37FC58">
            <w:pPr>
              <w:adjustRightInd w:val="0"/>
              <w:snapToGrid w:val="0"/>
              <w:spacing w:line="360" w:lineRule="auto"/>
              <w:rPr>
                <w:rFonts w:hint="eastAsia" w:ascii="Times New Roman" w:hAnsi="Times New Roman" w:eastAsia="宋体" w:cs="Times New Roman"/>
                <w:color w:val="auto"/>
                <w:sz w:val="24"/>
                <w:szCs w:val="24"/>
                <w:highlight w:val="yellow"/>
                <w:lang w:val="en-US" w:eastAsia="zh-CN"/>
              </w:rPr>
            </w:pPr>
            <w:r>
              <w:rPr>
                <w:rFonts w:hint="eastAsia" w:ascii="Times New Roman" w:hAnsi="Times New Roman" w:eastAsia="宋体" w:cs="Times New Roman"/>
                <w:color w:val="auto"/>
                <w:sz w:val="24"/>
                <w:szCs w:val="24"/>
                <w:highlight w:val="none"/>
                <w:lang w:val="en-US" w:eastAsia="zh-CN"/>
              </w:rPr>
              <w:object>
                <v:shape id="_x0000_i1027" o:spt="75" type="#_x0000_t75" style="height:199.65pt;width:429.1pt;" o:ole="t" filled="f" o:preferrelative="t" stroked="f" coordsize="21600,21600">
                  <v:path/>
                  <v:fill on="f" focussize="0,0"/>
                  <v:stroke on="f"/>
                  <v:imagedata r:id="rId19" cropleft="4845f" o:title=""/>
                  <o:lock v:ext="edit" aspectratio="f"/>
                  <w10:wrap type="none"/>
                  <w10:anchorlock/>
                </v:shape>
                <o:OLEObject Type="Embed" ProgID="Visio.Drawing.15" ShapeID="_x0000_i1027" DrawAspect="Content" ObjectID="_1468075727" r:id="rId18">
                  <o:LockedField>false</o:LockedField>
                </o:OLEObject>
              </w:object>
            </w:r>
          </w:p>
          <w:p w14:paraId="6B735501">
            <w:pPr>
              <w:pStyle w:val="15"/>
              <w:jc w:val="center"/>
              <w:rPr>
                <w:rFonts w:hint="default" w:ascii="Times New Roman" w:hAnsi="Times New Roman" w:eastAsia="宋体" w:cs="Times New Roman"/>
                <w:b/>
                <w:color w:val="auto"/>
                <w:kern w:val="21"/>
                <w:sz w:val="24"/>
                <w:szCs w:val="24"/>
                <w:lang w:val="en-US" w:eastAsia="zh-CN" w:bidi="ar-SA"/>
              </w:rPr>
            </w:pPr>
            <w:r>
              <w:rPr>
                <w:rFonts w:hint="default" w:ascii="Times New Roman" w:hAnsi="Times New Roman" w:eastAsia="宋体" w:cs="Times New Roman"/>
                <w:b/>
                <w:color w:val="auto"/>
                <w:kern w:val="21"/>
                <w:sz w:val="24"/>
                <w:szCs w:val="24"/>
                <w:lang w:val="en-US" w:eastAsia="zh-CN" w:bidi="ar-SA"/>
              </w:rPr>
              <w:t>图2-</w:t>
            </w:r>
            <w:r>
              <w:rPr>
                <w:rFonts w:hint="eastAsia" w:ascii="Times New Roman" w:hAnsi="Times New Roman" w:eastAsia="宋体" w:cs="Times New Roman"/>
                <w:b/>
                <w:color w:val="auto"/>
                <w:kern w:val="21"/>
                <w:sz w:val="24"/>
                <w:szCs w:val="24"/>
                <w:lang w:val="en-US" w:eastAsia="zh-CN" w:bidi="ar-SA"/>
              </w:rPr>
              <w:t>3</w:t>
            </w:r>
            <w:r>
              <w:rPr>
                <w:rFonts w:hint="default" w:ascii="Times New Roman" w:hAnsi="Times New Roman" w:eastAsia="宋体" w:cs="Times New Roman"/>
                <w:b/>
                <w:color w:val="auto"/>
                <w:kern w:val="21"/>
                <w:sz w:val="24"/>
                <w:szCs w:val="24"/>
                <w:lang w:val="en-US" w:eastAsia="zh-CN" w:bidi="ar-SA"/>
              </w:rPr>
              <w:t xml:space="preserve">  </w:t>
            </w:r>
            <w:r>
              <w:rPr>
                <w:rFonts w:hint="eastAsia" w:ascii="Times New Roman" w:hAnsi="Times New Roman" w:eastAsia="宋体" w:cs="Times New Roman"/>
                <w:b/>
                <w:color w:val="auto"/>
                <w:kern w:val="21"/>
                <w:sz w:val="24"/>
                <w:szCs w:val="24"/>
                <w:lang w:val="en-US" w:eastAsia="zh-CN" w:bidi="ar-SA"/>
              </w:rPr>
              <w:t>注塑件生产</w:t>
            </w:r>
            <w:r>
              <w:rPr>
                <w:rFonts w:hint="default" w:ascii="Times New Roman" w:hAnsi="Times New Roman" w:eastAsia="宋体" w:cs="Times New Roman"/>
                <w:b/>
                <w:color w:val="auto"/>
                <w:kern w:val="21"/>
                <w:sz w:val="24"/>
                <w:szCs w:val="24"/>
                <w:lang w:val="en-US" w:eastAsia="zh-CN" w:bidi="ar-SA"/>
              </w:rPr>
              <w:t>物料平衡图 单位：t/a</w:t>
            </w:r>
          </w:p>
          <w:p w14:paraId="2D86DC0E">
            <w:pPr>
              <w:pStyle w:val="15"/>
              <w:jc w:val="center"/>
              <w:rPr>
                <w:rFonts w:hint="default" w:ascii="Times New Roman" w:hAnsi="Times New Roman" w:eastAsia="宋体" w:cs="Times New Roman"/>
                <w:b/>
                <w:color w:val="auto"/>
                <w:kern w:val="21"/>
                <w:sz w:val="24"/>
                <w:szCs w:val="24"/>
                <w:lang w:val="en-US" w:eastAsia="zh-CN" w:bidi="ar-SA"/>
              </w:rPr>
            </w:pPr>
            <w:r>
              <w:rPr>
                <w:rFonts w:hint="eastAsia" w:ascii="Times New Roman" w:hAnsi="Times New Roman" w:eastAsia="黑体" w:cs="Times New Roman"/>
                <w:color w:val="auto"/>
                <w:sz w:val="24"/>
                <w:highlight w:val="none"/>
                <w:lang w:val="en-US" w:eastAsia="zh-CN"/>
              </w:rPr>
              <w:object>
                <v:shape id="_x0000_i1028" o:spt="75" type="#_x0000_t75" style="height:295.2pt;width:434.95pt;" o:ole="t" filled="f" o:preferrelative="t" stroked="f" coordsize="21600,21600">
                  <v:path/>
                  <v:fill on="f" focussize="0,0"/>
                  <v:stroke on="f"/>
                  <v:imagedata r:id="rId21" cropleft="1170f" o:title=""/>
                  <o:lock v:ext="edit" aspectratio="f"/>
                  <w10:wrap type="none"/>
                  <w10:anchorlock/>
                </v:shape>
                <o:OLEObject Type="Embed" ProgID="Visio.Drawing.15" ShapeID="_x0000_i1028" DrawAspect="Content" ObjectID="_1468075728" r:id="rId20">
                  <o:LockedField>false</o:LockedField>
                </o:OLEObject>
              </w:object>
            </w:r>
            <w:r>
              <w:rPr>
                <w:rFonts w:hint="default" w:ascii="Times New Roman" w:hAnsi="Times New Roman" w:eastAsia="宋体" w:cs="Times New Roman"/>
                <w:b/>
                <w:color w:val="auto"/>
                <w:kern w:val="21"/>
                <w:sz w:val="24"/>
                <w:szCs w:val="24"/>
                <w:lang w:val="en-US" w:eastAsia="zh-CN" w:bidi="ar-SA"/>
              </w:rPr>
              <w:t>图2-</w:t>
            </w:r>
            <w:r>
              <w:rPr>
                <w:rFonts w:hint="eastAsia" w:ascii="Times New Roman" w:hAnsi="Times New Roman" w:eastAsia="宋体" w:cs="Times New Roman"/>
                <w:b/>
                <w:color w:val="auto"/>
                <w:kern w:val="21"/>
                <w:sz w:val="24"/>
                <w:szCs w:val="24"/>
                <w:lang w:val="en-US" w:eastAsia="zh-CN" w:bidi="ar-SA"/>
              </w:rPr>
              <w:t>4</w:t>
            </w:r>
            <w:r>
              <w:rPr>
                <w:rFonts w:hint="default" w:ascii="Times New Roman" w:hAnsi="Times New Roman" w:eastAsia="宋体" w:cs="Times New Roman"/>
                <w:b/>
                <w:color w:val="auto"/>
                <w:kern w:val="21"/>
                <w:sz w:val="24"/>
                <w:szCs w:val="24"/>
                <w:lang w:val="en-US" w:eastAsia="zh-CN" w:bidi="ar-SA"/>
              </w:rPr>
              <w:t xml:space="preserve">  </w:t>
            </w:r>
            <w:r>
              <w:rPr>
                <w:rFonts w:hint="eastAsia" w:ascii="Times New Roman" w:hAnsi="Times New Roman" w:eastAsia="宋体" w:cs="Times New Roman"/>
                <w:b/>
                <w:color w:val="auto"/>
                <w:kern w:val="21"/>
                <w:sz w:val="24"/>
                <w:szCs w:val="24"/>
                <w:lang w:val="en-US" w:eastAsia="zh-CN" w:bidi="ar-SA"/>
              </w:rPr>
              <w:t>下卡条生产</w:t>
            </w:r>
            <w:r>
              <w:rPr>
                <w:rFonts w:hint="default" w:ascii="Times New Roman" w:hAnsi="Times New Roman" w:eastAsia="宋体" w:cs="Times New Roman"/>
                <w:b/>
                <w:color w:val="auto"/>
                <w:kern w:val="21"/>
                <w:sz w:val="24"/>
                <w:szCs w:val="24"/>
                <w:lang w:val="en-US" w:eastAsia="zh-CN" w:bidi="ar-SA"/>
              </w:rPr>
              <w:t>物料平衡图 单位：t/a</w:t>
            </w:r>
          </w:p>
          <w:p w14:paraId="1481EB70">
            <w:pPr>
              <w:pStyle w:val="15"/>
              <w:jc w:val="center"/>
              <w:rPr>
                <w:rFonts w:hint="eastAsia" w:ascii="Times New Roman" w:hAnsi="Times New Roman" w:eastAsia="黑体" w:cs="Times New Roman"/>
                <w:color w:val="auto"/>
                <w:sz w:val="24"/>
                <w:highlight w:val="none"/>
                <w:lang w:val="en-US" w:eastAsia="zh-CN"/>
              </w:rPr>
            </w:pPr>
          </w:p>
          <w:p w14:paraId="3147ABC1">
            <w:pPr>
              <w:adjustRightInd w:val="0"/>
              <w:snapToGrid w:val="0"/>
              <w:spacing w:line="360" w:lineRule="auto"/>
              <w:jc w:val="center"/>
              <w:rPr>
                <w:rFonts w:hint="eastAsia" w:ascii="Times New Roman" w:hAnsi="Times New Roman" w:eastAsia="宋体" w:cs="Times New Roman"/>
                <w:color w:val="auto"/>
                <w:sz w:val="24"/>
                <w:szCs w:val="24"/>
                <w:highlight w:val="yellow"/>
                <w:lang w:val="en-US" w:eastAsia="zh-CN"/>
              </w:rPr>
            </w:pPr>
            <w:r>
              <w:rPr>
                <w:rFonts w:hint="eastAsia" w:ascii="Times New Roman" w:hAnsi="Times New Roman" w:eastAsia="宋体" w:cs="Times New Roman"/>
                <w:color w:val="auto"/>
                <w:sz w:val="24"/>
                <w:szCs w:val="24"/>
                <w:highlight w:val="none"/>
                <w:lang w:val="en-US" w:eastAsia="zh-CN"/>
              </w:rPr>
              <w:object>
                <v:shape id="_x0000_i1029" o:spt="75" type="#_x0000_t75" style="height:166.6pt;width:289.55pt;" o:ole="t" filled="f" o:preferrelative="t" stroked="f" coordsize="21600,21600">
                  <v:path/>
                  <v:fill on="f" focussize="0,0"/>
                  <v:stroke on="f"/>
                  <v:imagedata r:id="rId23" o:title=""/>
                  <o:lock v:ext="edit" aspectratio="f"/>
                  <w10:wrap type="none"/>
                  <w10:anchorlock/>
                </v:shape>
                <o:OLEObject Type="Embed" ProgID="Visio.Drawing.15" ShapeID="_x0000_i1029" DrawAspect="Content" ObjectID="_1468075729" r:id="rId22">
                  <o:LockedField>false</o:LockedField>
                </o:OLEObject>
              </w:object>
            </w:r>
          </w:p>
          <w:p w14:paraId="4EADE044">
            <w:pPr>
              <w:pStyle w:val="15"/>
              <w:jc w:val="center"/>
              <w:rPr>
                <w:rFonts w:hint="default" w:ascii="Times New Roman" w:hAnsi="Times New Roman" w:eastAsia="宋体" w:cs="Times New Roman"/>
                <w:b/>
                <w:color w:val="auto"/>
                <w:kern w:val="21"/>
                <w:sz w:val="24"/>
                <w:szCs w:val="24"/>
                <w:lang w:val="en-US" w:eastAsia="zh-CN" w:bidi="ar-SA"/>
              </w:rPr>
            </w:pPr>
            <w:r>
              <w:rPr>
                <w:rFonts w:hint="default" w:ascii="Times New Roman" w:hAnsi="Times New Roman" w:eastAsia="宋体" w:cs="Times New Roman"/>
                <w:b/>
                <w:color w:val="auto"/>
                <w:kern w:val="21"/>
                <w:sz w:val="24"/>
                <w:szCs w:val="24"/>
                <w:lang w:val="en-US" w:eastAsia="zh-CN" w:bidi="ar-SA"/>
              </w:rPr>
              <w:t>图2-5 钣金件生产物料平衡图 单位：t/a</w:t>
            </w:r>
          </w:p>
          <w:p w14:paraId="30FF93AB">
            <w:pPr>
              <w:keepNext w:val="0"/>
              <w:keepLines w:val="0"/>
              <w:pageBreakBefore w:val="0"/>
              <w:widowControl w:val="0"/>
              <w:numPr>
                <w:ilvl w:val="0"/>
                <w:numId w:val="0"/>
              </w:numPr>
              <w:tabs>
                <w:tab w:val="left" w:pos="1080"/>
              </w:tabs>
              <w:kinsoku/>
              <w:wordWrap/>
              <w:overflowPunct/>
              <w:topLinePunct w:val="0"/>
              <w:autoSpaceDE/>
              <w:autoSpaceDN/>
              <w:bidi w:val="0"/>
              <w:adjustRightInd w:val="0"/>
              <w:snapToGrid w:val="0"/>
              <w:spacing w:before="0" w:after="0" w:line="360" w:lineRule="auto"/>
              <w:ind w:firstLine="482" w:firstLineChars="200"/>
              <w:jc w:val="both"/>
              <w:textAlignment w:val="auto"/>
              <w:outlineLvl w:val="9"/>
              <w:rPr>
                <w:rFonts w:hint="eastAsia" w:ascii="Times New Roman" w:hAnsi="Times New Roman" w:eastAsia="宋体" w:cs="Times New Roman"/>
                <w:b/>
                <w:bCs w:val="0"/>
                <w:caps w:val="0"/>
                <w:smallCaps w:val="0"/>
                <w:color w:val="auto"/>
                <w:sz w:val="24"/>
                <w:szCs w:val="24"/>
                <w:highlight w:val="none"/>
                <w:lang w:val="en-US" w:eastAsia="zh-CN"/>
              </w:rPr>
            </w:pPr>
            <w:r>
              <w:rPr>
                <w:rFonts w:hint="eastAsia" w:ascii="Times New Roman" w:hAnsi="Times New Roman" w:eastAsia="宋体" w:cs="Times New Roman"/>
                <w:b/>
                <w:bCs w:val="0"/>
                <w:caps w:val="0"/>
                <w:smallCaps w:val="0"/>
                <w:color w:val="auto"/>
                <w:sz w:val="24"/>
                <w:szCs w:val="24"/>
                <w:highlight w:val="none"/>
                <w:lang w:val="en-US" w:eastAsia="zh-CN"/>
              </w:rPr>
              <w:t>物料平衡</w:t>
            </w:r>
          </w:p>
          <w:p w14:paraId="1F73E29D">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表2-9 扩建项目物料平衡表</w:t>
            </w:r>
          </w:p>
          <w:tbl>
            <w:tblPr>
              <w:tblStyle w:val="35"/>
              <w:tblW w:w="848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90"/>
              <w:gridCol w:w="1560"/>
              <w:gridCol w:w="738"/>
              <w:gridCol w:w="1093"/>
              <w:gridCol w:w="1765"/>
              <w:gridCol w:w="1838"/>
            </w:tblGrid>
            <w:tr w14:paraId="6EBB2C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50" w:type="dxa"/>
                  <w:gridSpan w:val="2"/>
                  <w:tcBorders>
                    <w:tl2br w:val="nil"/>
                    <w:tr2bl w:val="nil"/>
                  </w:tcBorders>
                  <w:noWrap w:val="0"/>
                  <w:vAlign w:val="center"/>
                </w:tcPr>
                <w:p w14:paraId="500FE0B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b/>
                      <w:bCs/>
                      <w:caps w:val="0"/>
                      <w:smallCaps w:val="0"/>
                      <w:color w:val="auto"/>
                      <w:sz w:val="21"/>
                      <w:szCs w:val="21"/>
                      <w:highlight w:val="none"/>
                      <w:lang w:val="en-US" w:eastAsia="zh-CN"/>
                    </w:rPr>
                  </w:pPr>
                  <w:r>
                    <w:rPr>
                      <w:rFonts w:ascii="Times New Roman" w:hAnsi="Times New Roman" w:eastAsia="宋体"/>
                      <w:b/>
                      <w:bCs/>
                      <w:caps w:val="0"/>
                      <w:smallCaps w:val="0"/>
                      <w:color w:val="auto"/>
                      <w:sz w:val="21"/>
                      <w:szCs w:val="21"/>
                      <w:highlight w:val="none"/>
                      <w:lang w:val="en-US" w:eastAsia="zh-CN"/>
                    </w:rPr>
                    <w:t>投入</w:t>
                  </w:r>
                  <w:r>
                    <w:rPr>
                      <w:rFonts w:hint="eastAsia" w:ascii="Times New Roman" w:hAnsi="Times New Roman" w:eastAsia="宋体"/>
                      <w:b/>
                      <w:bCs/>
                      <w:caps w:val="0"/>
                      <w:smallCaps w:val="0"/>
                      <w:color w:val="auto"/>
                      <w:sz w:val="21"/>
                      <w:szCs w:val="21"/>
                      <w:highlight w:val="none"/>
                      <w:lang w:val="en-US" w:eastAsia="zh-CN"/>
                    </w:rPr>
                    <w:t>（t/a）</w:t>
                  </w:r>
                </w:p>
              </w:tc>
              <w:tc>
                <w:tcPr>
                  <w:tcW w:w="5434" w:type="dxa"/>
                  <w:gridSpan w:val="4"/>
                  <w:tcBorders>
                    <w:tl2br w:val="nil"/>
                    <w:tr2bl w:val="nil"/>
                  </w:tcBorders>
                  <w:noWrap w:val="0"/>
                  <w:vAlign w:val="center"/>
                </w:tcPr>
                <w:p w14:paraId="59E398F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b/>
                      <w:bCs/>
                      <w:caps w:val="0"/>
                      <w:smallCaps w:val="0"/>
                      <w:color w:val="auto"/>
                      <w:sz w:val="21"/>
                      <w:szCs w:val="21"/>
                      <w:highlight w:val="none"/>
                      <w:lang w:val="en-US" w:eastAsia="zh-CN"/>
                    </w:rPr>
                  </w:pPr>
                  <w:r>
                    <w:rPr>
                      <w:rFonts w:hint="eastAsia" w:ascii="Times New Roman" w:hAnsi="Times New Roman" w:eastAsia="宋体" w:cs="Times New Roman"/>
                      <w:b/>
                      <w:bCs/>
                      <w:caps w:val="0"/>
                      <w:smallCaps w:val="0"/>
                      <w:color w:val="auto"/>
                      <w:sz w:val="21"/>
                      <w:szCs w:val="21"/>
                      <w:highlight w:val="none"/>
                      <w:lang w:val="en-US" w:eastAsia="zh-CN"/>
                    </w:rPr>
                    <w:t>产出</w:t>
                  </w:r>
                  <w:r>
                    <w:rPr>
                      <w:rFonts w:hint="eastAsia" w:ascii="Times New Roman" w:hAnsi="Times New Roman" w:eastAsia="宋体"/>
                      <w:b/>
                      <w:bCs/>
                      <w:caps w:val="0"/>
                      <w:smallCaps w:val="0"/>
                      <w:color w:val="auto"/>
                      <w:sz w:val="21"/>
                      <w:szCs w:val="21"/>
                      <w:highlight w:val="none"/>
                      <w:lang w:val="en-US" w:eastAsia="zh-CN"/>
                    </w:rPr>
                    <w:t>（t/a）</w:t>
                  </w:r>
                </w:p>
              </w:tc>
            </w:tr>
            <w:tr w14:paraId="145B8D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7F0C573F">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PBT</w:t>
                  </w:r>
                </w:p>
              </w:tc>
              <w:tc>
                <w:tcPr>
                  <w:tcW w:w="1560" w:type="dxa"/>
                  <w:tcBorders>
                    <w:tl2br w:val="nil"/>
                    <w:tr2bl w:val="nil"/>
                  </w:tcBorders>
                  <w:noWrap w:val="0"/>
                  <w:vAlign w:val="center"/>
                </w:tcPr>
                <w:p w14:paraId="4B904B77">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100</w:t>
                  </w:r>
                </w:p>
              </w:tc>
              <w:tc>
                <w:tcPr>
                  <w:tcW w:w="738" w:type="dxa"/>
                  <w:vMerge w:val="restart"/>
                  <w:tcBorders>
                    <w:tl2br w:val="nil"/>
                    <w:tr2bl w:val="nil"/>
                  </w:tcBorders>
                  <w:noWrap w:val="0"/>
                  <w:vAlign w:val="center"/>
                </w:tcPr>
                <w:p w14:paraId="419CFA2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ascii="Times New Roman" w:hAnsi="Times New Roman" w:eastAsia="宋体" w:cs="Times New Roman"/>
                      <w:caps w:val="0"/>
                      <w:smallCaps w:val="0"/>
                      <w:color w:val="auto"/>
                      <w:sz w:val="21"/>
                      <w:szCs w:val="21"/>
                      <w:highlight w:val="none"/>
                      <w:lang w:val="en-US" w:eastAsia="zh-CN"/>
                    </w:rPr>
                    <w:t>产品</w:t>
                  </w:r>
                </w:p>
              </w:tc>
              <w:tc>
                <w:tcPr>
                  <w:tcW w:w="2858" w:type="dxa"/>
                  <w:gridSpan w:val="2"/>
                  <w:tcBorders>
                    <w:tl2br w:val="nil"/>
                    <w:tr2bl w:val="nil"/>
                  </w:tcBorders>
                  <w:noWrap w:val="0"/>
                  <w:vAlign w:val="center"/>
                </w:tcPr>
                <w:p w14:paraId="087E69E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注塑件</w:t>
                  </w:r>
                </w:p>
              </w:tc>
              <w:tc>
                <w:tcPr>
                  <w:tcW w:w="1838" w:type="dxa"/>
                  <w:tcBorders>
                    <w:tl2br w:val="nil"/>
                    <w:tr2bl w:val="nil"/>
                  </w:tcBorders>
                  <w:noWrap w:val="0"/>
                  <w:vAlign w:val="center"/>
                </w:tcPr>
                <w:p w14:paraId="260D1AB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169.934</w:t>
                  </w:r>
                </w:p>
              </w:tc>
            </w:tr>
            <w:tr w14:paraId="2E3E69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50D02E81">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eastAsia="宋体"/>
                      <w:caps w:val="0"/>
                      <w:smallCaps w:val="0"/>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PA6/PA66</w:t>
                  </w:r>
                </w:p>
              </w:tc>
              <w:tc>
                <w:tcPr>
                  <w:tcW w:w="1560" w:type="dxa"/>
                  <w:tcBorders>
                    <w:tl2br w:val="nil"/>
                    <w:tr2bl w:val="nil"/>
                  </w:tcBorders>
                  <w:noWrap w:val="0"/>
                  <w:vAlign w:val="center"/>
                </w:tcPr>
                <w:p w14:paraId="09DB2DB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50</w:t>
                  </w:r>
                </w:p>
              </w:tc>
              <w:tc>
                <w:tcPr>
                  <w:tcW w:w="738" w:type="dxa"/>
                  <w:vMerge w:val="continue"/>
                  <w:tcBorders>
                    <w:tl2br w:val="nil"/>
                    <w:tr2bl w:val="nil"/>
                  </w:tcBorders>
                  <w:noWrap w:val="0"/>
                  <w:vAlign w:val="center"/>
                </w:tcPr>
                <w:p w14:paraId="4CEED17E">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493EC03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下卡条</w:t>
                  </w:r>
                </w:p>
              </w:tc>
              <w:tc>
                <w:tcPr>
                  <w:tcW w:w="1838" w:type="dxa"/>
                  <w:tcBorders>
                    <w:tl2br w:val="nil"/>
                    <w:tr2bl w:val="nil"/>
                  </w:tcBorders>
                  <w:noWrap w:val="0"/>
                  <w:vAlign w:val="center"/>
                </w:tcPr>
                <w:p w14:paraId="36610DD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833.853</w:t>
                  </w:r>
                </w:p>
              </w:tc>
            </w:tr>
            <w:tr w14:paraId="4C0898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0A17A724">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aps w:val="0"/>
                      <w:smallCaps w:val="0"/>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PC/ABS</w:t>
                  </w:r>
                </w:p>
              </w:tc>
              <w:tc>
                <w:tcPr>
                  <w:tcW w:w="1560" w:type="dxa"/>
                  <w:tcBorders>
                    <w:tl2br w:val="nil"/>
                    <w:tr2bl w:val="nil"/>
                  </w:tcBorders>
                  <w:noWrap w:val="0"/>
                  <w:vAlign w:val="center"/>
                </w:tcPr>
                <w:p w14:paraId="56010A2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10</w:t>
                  </w:r>
                </w:p>
              </w:tc>
              <w:tc>
                <w:tcPr>
                  <w:tcW w:w="738" w:type="dxa"/>
                  <w:vMerge w:val="continue"/>
                  <w:tcBorders>
                    <w:tl2br w:val="nil"/>
                    <w:tr2bl w:val="nil"/>
                  </w:tcBorders>
                  <w:noWrap w:val="0"/>
                  <w:vAlign w:val="center"/>
                </w:tcPr>
                <w:p w14:paraId="4B7DBBD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72C0EC9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钣金件</w:t>
                  </w:r>
                </w:p>
              </w:tc>
              <w:tc>
                <w:tcPr>
                  <w:tcW w:w="1838" w:type="dxa"/>
                  <w:tcBorders>
                    <w:tl2br w:val="nil"/>
                    <w:tr2bl w:val="nil"/>
                  </w:tcBorders>
                  <w:noWrap w:val="0"/>
                  <w:vAlign w:val="center"/>
                </w:tcPr>
                <w:p w14:paraId="40E14E3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36.094</w:t>
                  </w:r>
                </w:p>
              </w:tc>
            </w:tr>
            <w:tr w14:paraId="4199DA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4B299928">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aps w:val="0"/>
                      <w:smallCaps w:val="0"/>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PP</w:t>
                  </w:r>
                </w:p>
              </w:tc>
              <w:tc>
                <w:tcPr>
                  <w:tcW w:w="1560" w:type="dxa"/>
                  <w:tcBorders>
                    <w:tl2br w:val="nil"/>
                    <w:tr2bl w:val="nil"/>
                  </w:tcBorders>
                  <w:noWrap w:val="0"/>
                  <w:vAlign w:val="center"/>
                </w:tcPr>
                <w:p w14:paraId="1637FD0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410</w:t>
                  </w:r>
                </w:p>
              </w:tc>
              <w:tc>
                <w:tcPr>
                  <w:tcW w:w="738" w:type="dxa"/>
                  <w:vMerge w:val="restart"/>
                  <w:tcBorders>
                    <w:tl2br w:val="nil"/>
                    <w:tr2bl w:val="nil"/>
                  </w:tcBorders>
                  <w:noWrap w:val="0"/>
                  <w:vAlign w:val="center"/>
                </w:tcPr>
                <w:p w14:paraId="4C21794E">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r>
                    <w:rPr>
                      <w:rFonts w:ascii="Times New Roman" w:hAnsi="Times New Roman" w:eastAsia="宋体"/>
                      <w:caps w:val="0"/>
                      <w:smallCaps w:val="0"/>
                      <w:color w:val="auto"/>
                      <w:sz w:val="21"/>
                      <w:szCs w:val="21"/>
                      <w:highlight w:val="none"/>
                      <w:lang w:val="en-US" w:eastAsia="zh-CN"/>
                    </w:rPr>
                    <w:t>废气</w:t>
                  </w:r>
                </w:p>
              </w:tc>
              <w:tc>
                <w:tcPr>
                  <w:tcW w:w="1093" w:type="dxa"/>
                  <w:vMerge w:val="restart"/>
                  <w:tcBorders>
                    <w:tl2br w:val="nil"/>
                    <w:tr2bl w:val="nil"/>
                  </w:tcBorders>
                  <w:noWrap w:val="0"/>
                  <w:vAlign w:val="center"/>
                </w:tcPr>
                <w:p w14:paraId="1178D2C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形成</w:t>
                  </w:r>
                  <w:r>
                    <w:rPr>
                      <w:rFonts w:hint="eastAsia" w:eastAsia="宋体"/>
                      <w:caps w:val="0"/>
                      <w:smallCaps w:val="0"/>
                      <w:color w:val="auto"/>
                      <w:sz w:val="21"/>
                      <w:szCs w:val="21"/>
                      <w:highlight w:val="none"/>
                      <w:lang w:val="en-US" w:eastAsia="zh-CN"/>
                    </w:rPr>
                    <w:t>有机废气</w:t>
                  </w:r>
                </w:p>
              </w:tc>
              <w:tc>
                <w:tcPr>
                  <w:tcW w:w="1765" w:type="dxa"/>
                  <w:tcBorders>
                    <w:tl2br w:val="nil"/>
                    <w:tr2bl w:val="nil"/>
                  </w:tcBorders>
                  <w:noWrap w:val="0"/>
                  <w:vAlign w:val="center"/>
                </w:tcPr>
                <w:p w14:paraId="0507EBA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有组织排放</w:t>
                  </w:r>
                </w:p>
              </w:tc>
              <w:tc>
                <w:tcPr>
                  <w:tcW w:w="1838" w:type="dxa"/>
                  <w:tcBorders>
                    <w:tl2br w:val="nil"/>
                    <w:tr2bl w:val="nil"/>
                  </w:tcBorders>
                  <w:noWrap w:val="0"/>
                  <w:vAlign w:val="center"/>
                </w:tcPr>
                <w:p w14:paraId="7CF5BB1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s="Times New Roman"/>
                      <w:caps w:val="0"/>
                      <w:smallCaps w:val="0"/>
                      <w:color w:val="auto"/>
                      <w:sz w:val="21"/>
                      <w:szCs w:val="21"/>
                      <w:highlight w:val="none"/>
                      <w:lang w:val="en-US" w:eastAsia="zh-CN"/>
                    </w:rPr>
                    <w:t>0.505</w:t>
                  </w:r>
                </w:p>
              </w:tc>
            </w:tr>
            <w:tr w14:paraId="176DC7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64443934">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ascii="Times New Roman" w:hAnsi="Times New Roman" w:eastAsia="宋体"/>
                      <w:caps w:val="0"/>
                      <w:smallCaps w:val="0"/>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色母</w:t>
                  </w:r>
                </w:p>
              </w:tc>
              <w:tc>
                <w:tcPr>
                  <w:tcW w:w="1560" w:type="dxa"/>
                  <w:tcBorders>
                    <w:tl2br w:val="nil"/>
                    <w:tr2bl w:val="nil"/>
                  </w:tcBorders>
                  <w:noWrap w:val="0"/>
                  <w:vAlign w:val="center"/>
                </w:tcPr>
                <w:p w14:paraId="28C12567">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0.4</w:t>
                  </w:r>
                </w:p>
              </w:tc>
              <w:tc>
                <w:tcPr>
                  <w:tcW w:w="738" w:type="dxa"/>
                  <w:vMerge w:val="continue"/>
                  <w:tcBorders>
                    <w:tl2br w:val="nil"/>
                    <w:tr2bl w:val="nil"/>
                  </w:tcBorders>
                  <w:noWrap w:val="0"/>
                  <w:vAlign w:val="center"/>
                </w:tcPr>
                <w:p w14:paraId="669F129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093" w:type="dxa"/>
                  <w:vMerge w:val="continue"/>
                  <w:tcBorders>
                    <w:tl2br w:val="nil"/>
                    <w:tr2bl w:val="nil"/>
                  </w:tcBorders>
                  <w:noWrap w:val="0"/>
                  <w:vAlign w:val="center"/>
                </w:tcPr>
                <w:p w14:paraId="447FFEB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p>
              </w:tc>
              <w:tc>
                <w:tcPr>
                  <w:tcW w:w="1765" w:type="dxa"/>
                  <w:tcBorders>
                    <w:tl2br w:val="nil"/>
                    <w:tr2bl w:val="nil"/>
                  </w:tcBorders>
                  <w:noWrap w:val="0"/>
                  <w:vAlign w:val="center"/>
                </w:tcPr>
                <w:p w14:paraId="07594C4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r>
                    <w:rPr>
                      <w:rFonts w:hint="eastAsia" w:ascii="Times New Roman" w:hAnsi="Times New Roman" w:cs="Times New Roman"/>
                      <w:caps w:val="0"/>
                      <w:smallCaps w:val="0"/>
                      <w:color w:val="auto"/>
                      <w:sz w:val="21"/>
                      <w:szCs w:val="21"/>
                      <w:highlight w:val="none"/>
                      <w:lang w:val="en-US" w:eastAsia="zh-CN"/>
                    </w:rPr>
                    <w:t>无组织排放</w:t>
                  </w:r>
                </w:p>
              </w:tc>
              <w:tc>
                <w:tcPr>
                  <w:tcW w:w="1838" w:type="dxa"/>
                  <w:tcBorders>
                    <w:tl2br w:val="nil"/>
                    <w:tr2bl w:val="nil"/>
                  </w:tcBorders>
                  <w:noWrap w:val="0"/>
                  <w:vAlign w:val="center"/>
                </w:tcPr>
                <w:p w14:paraId="0A682DD7">
                  <w:pPr>
                    <w:keepNext w:val="0"/>
                    <w:keepLines w:val="0"/>
                    <w:widowControl/>
                    <w:suppressLineNumbers w:val="0"/>
                    <w:spacing w:line="240" w:lineRule="auto"/>
                    <w:jc w:val="center"/>
                    <w:textAlignment w:val="center"/>
                    <w:rPr>
                      <w:rFonts w:hint="default" w:ascii="Times New Roman" w:hAnsi="Times New Roman" w:eastAsia="宋体" w:cs="Times New Roman"/>
                      <w:caps w:val="0"/>
                      <w:smallCaps w:val="0"/>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0.281</w:t>
                  </w:r>
                </w:p>
              </w:tc>
            </w:tr>
            <w:tr w14:paraId="4C0381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03BFA7A4">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PVC</w:t>
                  </w:r>
                </w:p>
              </w:tc>
              <w:tc>
                <w:tcPr>
                  <w:tcW w:w="1560" w:type="dxa"/>
                  <w:tcBorders>
                    <w:tl2br w:val="nil"/>
                    <w:tr2bl w:val="nil"/>
                  </w:tcBorders>
                  <w:noWrap w:val="0"/>
                  <w:vAlign w:val="center"/>
                </w:tcPr>
                <w:p w14:paraId="1DF173AE">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200</w:t>
                  </w:r>
                </w:p>
              </w:tc>
              <w:tc>
                <w:tcPr>
                  <w:tcW w:w="738" w:type="dxa"/>
                  <w:vMerge w:val="continue"/>
                  <w:tcBorders>
                    <w:tl2br w:val="nil"/>
                    <w:tr2bl w:val="nil"/>
                  </w:tcBorders>
                  <w:noWrap w:val="0"/>
                  <w:vAlign w:val="center"/>
                </w:tcPr>
                <w:p w14:paraId="412B512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1093" w:type="dxa"/>
                  <w:vMerge w:val="continue"/>
                  <w:tcBorders>
                    <w:tl2br w:val="nil"/>
                    <w:tr2bl w:val="nil"/>
                  </w:tcBorders>
                  <w:noWrap w:val="0"/>
                  <w:vAlign w:val="center"/>
                </w:tcPr>
                <w:p w14:paraId="2127B90F">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p>
              </w:tc>
              <w:tc>
                <w:tcPr>
                  <w:tcW w:w="1765" w:type="dxa"/>
                  <w:tcBorders>
                    <w:tl2br w:val="nil"/>
                    <w:tr2bl w:val="nil"/>
                  </w:tcBorders>
                  <w:noWrap w:val="0"/>
                  <w:vAlign w:val="center"/>
                </w:tcPr>
                <w:p w14:paraId="13B6780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活性炭</w:t>
                  </w:r>
                  <w:r>
                    <w:rPr>
                      <w:rFonts w:hint="eastAsia" w:ascii="Times New Roman" w:hAnsi="Times New Roman"/>
                      <w:caps w:val="0"/>
                      <w:smallCaps w:val="0"/>
                      <w:color w:val="auto"/>
                      <w:sz w:val="21"/>
                      <w:szCs w:val="21"/>
                      <w:highlight w:val="none"/>
                      <w:lang w:val="en-US" w:eastAsia="zh-CN"/>
                    </w:rPr>
                    <w:t>吸附废气</w:t>
                  </w:r>
                </w:p>
              </w:tc>
              <w:tc>
                <w:tcPr>
                  <w:tcW w:w="1838" w:type="dxa"/>
                  <w:tcBorders>
                    <w:tl2br w:val="nil"/>
                    <w:tr2bl w:val="nil"/>
                  </w:tcBorders>
                  <w:noWrap w:val="0"/>
                  <w:vAlign w:val="center"/>
                </w:tcPr>
                <w:p w14:paraId="512E7C80">
                  <w:pPr>
                    <w:keepNext w:val="0"/>
                    <w:keepLines w:val="0"/>
                    <w:widowControl/>
                    <w:suppressLineNumbers w:val="0"/>
                    <w:spacing w:line="240" w:lineRule="auto"/>
                    <w:jc w:val="center"/>
                    <w:textAlignment w:val="center"/>
                    <w:rPr>
                      <w:rFonts w:hint="default" w:ascii="Times New Roman" w:hAnsi="Times New Roman" w:eastAsia="宋体" w:cs="Times New Roman"/>
                      <w:caps w:val="0"/>
                      <w:smallCaps w:val="0"/>
                      <w:color w:val="auto"/>
                      <w:szCs w:val="21"/>
                      <w:highlight w:val="none"/>
                      <w:lang w:val="en-US" w:eastAsia="zh-CN"/>
                    </w:rPr>
                  </w:pPr>
                  <w:r>
                    <w:rPr>
                      <w:rFonts w:hint="eastAsia" w:cs="Times New Roman"/>
                      <w:caps w:val="0"/>
                      <w:smallCaps w:val="0"/>
                      <w:color w:val="auto"/>
                      <w:szCs w:val="21"/>
                      <w:highlight w:val="none"/>
                      <w:lang w:val="en-US" w:eastAsia="zh-CN"/>
                    </w:rPr>
                    <w:t>2.02</w:t>
                  </w:r>
                </w:p>
              </w:tc>
            </w:tr>
            <w:tr w14:paraId="4338F2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4B0C383C">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TPV</w:t>
                  </w:r>
                </w:p>
              </w:tc>
              <w:tc>
                <w:tcPr>
                  <w:tcW w:w="1560" w:type="dxa"/>
                  <w:tcBorders>
                    <w:tl2br w:val="nil"/>
                    <w:tr2bl w:val="nil"/>
                  </w:tcBorders>
                  <w:noWrap w:val="0"/>
                  <w:vAlign w:val="center"/>
                </w:tcPr>
                <w:p w14:paraId="516DDB6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200</w:t>
                  </w:r>
                </w:p>
              </w:tc>
              <w:tc>
                <w:tcPr>
                  <w:tcW w:w="738" w:type="dxa"/>
                  <w:vMerge w:val="continue"/>
                  <w:tcBorders>
                    <w:tl2br w:val="nil"/>
                    <w:tr2bl w:val="nil"/>
                  </w:tcBorders>
                  <w:noWrap w:val="0"/>
                  <w:vAlign w:val="center"/>
                </w:tcPr>
                <w:p w14:paraId="686B06D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7A96878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无组织颗粒物粉尘</w:t>
                  </w:r>
                </w:p>
              </w:tc>
              <w:tc>
                <w:tcPr>
                  <w:tcW w:w="1838" w:type="dxa"/>
                  <w:tcBorders>
                    <w:tl2br w:val="nil"/>
                    <w:tr2bl w:val="nil"/>
                  </w:tcBorders>
                  <w:noWrap w:val="0"/>
                  <w:vAlign w:val="center"/>
                </w:tcPr>
                <w:p w14:paraId="2930A0B1">
                  <w:pPr>
                    <w:keepNext w:val="0"/>
                    <w:keepLines w:val="0"/>
                    <w:widowControl/>
                    <w:suppressLineNumbers w:val="0"/>
                    <w:spacing w:line="240" w:lineRule="auto"/>
                    <w:jc w:val="center"/>
                    <w:textAlignment w:val="center"/>
                    <w:rPr>
                      <w:rFonts w:hint="default" w:ascii="Times New Roman" w:hAnsi="Times New Roman" w:eastAsia="宋体" w:cs="Times New Roman"/>
                      <w:caps w:val="0"/>
                      <w:smallCaps w:val="0"/>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0.002</w:t>
                  </w:r>
                </w:p>
              </w:tc>
            </w:tr>
            <w:tr w14:paraId="1C8AB1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02E8C859">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铝带</w:t>
                  </w:r>
                </w:p>
              </w:tc>
              <w:tc>
                <w:tcPr>
                  <w:tcW w:w="1560" w:type="dxa"/>
                  <w:tcBorders>
                    <w:tl2br w:val="nil"/>
                    <w:tr2bl w:val="nil"/>
                  </w:tcBorders>
                  <w:noWrap w:val="0"/>
                  <w:vAlign w:val="center"/>
                </w:tcPr>
                <w:p w14:paraId="35D3031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80</w:t>
                  </w:r>
                </w:p>
              </w:tc>
              <w:tc>
                <w:tcPr>
                  <w:tcW w:w="738" w:type="dxa"/>
                  <w:vMerge w:val="continue"/>
                  <w:tcBorders>
                    <w:tl2br w:val="nil"/>
                    <w:tr2bl w:val="nil"/>
                  </w:tcBorders>
                  <w:noWrap w:val="0"/>
                  <w:vAlign w:val="center"/>
                </w:tcPr>
                <w:p w14:paraId="0AC0949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4AE88D9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焊烟净化器处理粉尘</w:t>
                  </w:r>
                </w:p>
              </w:tc>
              <w:tc>
                <w:tcPr>
                  <w:tcW w:w="1838" w:type="dxa"/>
                  <w:tcBorders>
                    <w:tl2br w:val="nil"/>
                    <w:tr2bl w:val="nil"/>
                  </w:tcBorders>
                  <w:noWrap w:val="0"/>
                  <w:vAlign w:val="center"/>
                </w:tcPr>
                <w:p w14:paraId="36EE1054">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0.001</w:t>
                  </w:r>
                </w:p>
              </w:tc>
            </w:tr>
            <w:tr w14:paraId="240602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0E81E9B8">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hint="eastAsia" w:ascii="Times New Roman" w:hAnsi="Times New Roman" w:eastAsia="宋体" w:cs="Times New Roman"/>
                      <w:color w:val="auto"/>
                      <w:spacing w:val="0"/>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铝带底涂剂</w:t>
                  </w:r>
                </w:p>
              </w:tc>
              <w:tc>
                <w:tcPr>
                  <w:tcW w:w="1560" w:type="dxa"/>
                  <w:tcBorders>
                    <w:tl2br w:val="nil"/>
                    <w:tr2bl w:val="nil"/>
                  </w:tcBorders>
                  <w:noWrap w:val="0"/>
                  <w:vAlign w:val="center"/>
                </w:tcPr>
                <w:p w14:paraId="2F848F5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0.1</w:t>
                  </w:r>
                </w:p>
              </w:tc>
              <w:tc>
                <w:tcPr>
                  <w:tcW w:w="738" w:type="dxa"/>
                  <w:vMerge w:val="continue"/>
                  <w:tcBorders>
                    <w:tl2br w:val="nil"/>
                    <w:tr2bl w:val="nil"/>
                  </w:tcBorders>
                  <w:noWrap w:val="0"/>
                  <w:vAlign w:val="center"/>
                </w:tcPr>
                <w:p w14:paraId="41BF29EE">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51EA797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布袋收集尘</w:t>
                  </w:r>
                </w:p>
              </w:tc>
              <w:tc>
                <w:tcPr>
                  <w:tcW w:w="1838" w:type="dxa"/>
                  <w:tcBorders>
                    <w:tl2br w:val="nil"/>
                    <w:tr2bl w:val="nil"/>
                  </w:tcBorders>
                  <w:noWrap w:val="0"/>
                  <w:vAlign w:val="center"/>
                </w:tcPr>
                <w:p w14:paraId="3465779D">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0.005</w:t>
                  </w:r>
                </w:p>
              </w:tc>
            </w:tr>
            <w:tr w14:paraId="6BB306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37F46363">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line="240" w:lineRule="auto"/>
                    <w:jc w:val="center"/>
                    <w:rPr>
                      <w:rFonts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PP底涂剂</w:t>
                  </w:r>
                </w:p>
              </w:tc>
              <w:tc>
                <w:tcPr>
                  <w:tcW w:w="1560" w:type="dxa"/>
                  <w:tcBorders>
                    <w:tl2br w:val="nil"/>
                    <w:tr2bl w:val="nil"/>
                  </w:tcBorders>
                  <w:noWrap w:val="0"/>
                  <w:vAlign w:val="center"/>
                </w:tcPr>
                <w:p w14:paraId="3021A90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0.1</w:t>
                  </w:r>
                </w:p>
              </w:tc>
              <w:tc>
                <w:tcPr>
                  <w:tcW w:w="738" w:type="dxa"/>
                  <w:vMerge w:val="restart"/>
                  <w:tcBorders>
                    <w:tl2br w:val="nil"/>
                    <w:tr2bl w:val="nil"/>
                  </w:tcBorders>
                  <w:noWrap w:val="0"/>
                  <w:vAlign w:val="center"/>
                </w:tcPr>
                <w:p w14:paraId="727CC7F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r>
                    <w:rPr>
                      <w:rFonts w:ascii="Times New Roman" w:hAnsi="Times New Roman" w:eastAsia="宋体"/>
                      <w:caps w:val="0"/>
                      <w:smallCaps w:val="0"/>
                      <w:color w:val="auto"/>
                      <w:sz w:val="21"/>
                      <w:szCs w:val="21"/>
                      <w:highlight w:val="none"/>
                      <w:lang w:val="en-US" w:eastAsia="zh-CN"/>
                    </w:rPr>
                    <w:t>固废</w:t>
                  </w:r>
                </w:p>
              </w:tc>
              <w:tc>
                <w:tcPr>
                  <w:tcW w:w="2858" w:type="dxa"/>
                  <w:gridSpan w:val="2"/>
                  <w:tcBorders>
                    <w:tl2br w:val="nil"/>
                    <w:tr2bl w:val="nil"/>
                  </w:tcBorders>
                  <w:noWrap w:val="0"/>
                  <w:vAlign w:val="center"/>
                </w:tcPr>
                <w:p w14:paraId="33BF700B">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边角料</w:t>
                  </w:r>
                </w:p>
              </w:tc>
              <w:tc>
                <w:tcPr>
                  <w:tcW w:w="1838" w:type="dxa"/>
                  <w:tcBorders>
                    <w:tl2br w:val="nil"/>
                    <w:tr2bl w:val="nil"/>
                  </w:tcBorders>
                  <w:noWrap w:val="0"/>
                  <w:vAlign w:val="center"/>
                </w:tcPr>
                <w:p w14:paraId="6B8BDB34">
                  <w:pPr>
                    <w:keepNext w:val="0"/>
                    <w:keepLines w:val="0"/>
                    <w:widowControl/>
                    <w:suppressLineNumbers w:val="0"/>
                    <w:spacing w:line="240" w:lineRule="auto"/>
                    <w:jc w:val="center"/>
                    <w:textAlignment w:val="center"/>
                    <w:rPr>
                      <w:rFonts w:hint="default" w:ascii="Times New Roman" w:hAnsi="Times New Roman" w:eastAsia="宋体" w:cs="Times New Roman"/>
                      <w:caps w:val="0"/>
                      <w:smallCaps w:val="0"/>
                      <w:color w:val="auto"/>
                      <w:szCs w:val="21"/>
                      <w:highlight w:val="none"/>
                      <w:lang w:val="en-US" w:eastAsia="zh-CN"/>
                    </w:rPr>
                  </w:pPr>
                  <w:r>
                    <w:rPr>
                      <w:rFonts w:hint="eastAsia" w:cs="Times New Roman"/>
                      <w:caps w:val="0"/>
                      <w:smallCaps w:val="0"/>
                      <w:color w:val="auto"/>
                      <w:szCs w:val="21"/>
                      <w:highlight w:val="none"/>
                      <w:lang w:val="en-US" w:eastAsia="zh-CN"/>
                    </w:rPr>
                    <w:t>48</w:t>
                  </w:r>
                </w:p>
              </w:tc>
            </w:tr>
            <w:tr w14:paraId="4D9D07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7CE5B514">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金属钣金</w:t>
                  </w:r>
                </w:p>
              </w:tc>
              <w:tc>
                <w:tcPr>
                  <w:tcW w:w="1560" w:type="dxa"/>
                  <w:tcBorders>
                    <w:tl2br w:val="nil"/>
                    <w:tr2bl w:val="nil"/>
                  </w:tcBorders>
                  <w:noWrap w:val="0"/>
                  <w:vAlign w:val="center"/>
                </w:tcPr>
                <w:p w14:paraId="6D80FD3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40</w:t>
                  </w:r>
                </w:p>
              </w:tc>
              <w:tc>
                <w:tcPr>
                  <w:tcW w:w="738" w:type="dxa"/>
                  <w:vMerge w:val="continue"/>
                  <w:tcBorders>
                    <w:tl2br w:val="nil"/>
                    <w:tr2bl w:val="nil"/>
                  </w:tcBorders>
                  <w:noWrap w:val="0"/>
                  <w:vAlign w:val="center"/>
                </w:tcPr>
                <w:p w14:paraId="7BE6BEB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p>
              </w:tc>
              <w:tc>
                <w:tcPr>
                  <w:tcW w:w="2858" w:type="dxa"/>
                  <w:gridSpan w:val="2"/>
                  <w:tcBorders>
                    <w:tl2br w:val="nil"/>
                    <w:tr2bl w:val="nil"/>
                  </w:tcBorders>
                  <w:noWrap w:val="0"/>
                  <w:vAlign w:val="center"/>
                </w:tcPr>
                <w:p w14:paraId="77D8A7D7">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废焊丝、焊渣</w:t>
                  </w:r>
                </w:p>
              </w:tc>
              <w:tc>
                <w:tcPr>
                  <w:tcW w:w="1838" w:type="dxa"/>
                  <w:tcBorders>
                    <w:tl2br w:val="nil"/>
                    <w:tr2bl w:val="nil"/>
                  </w:tcBorders>
                  <w:noWrap w:val="0"/>
                  <w:vAlign w:val="center"/>
                </w:tcPr>
                <w:p w14:paraId="5BEFD0E9">
                  <w:pPr>
                    <w:keepNext w:val="0"/>
                    <w:keepLines w:val="0"/>
                    <w:widowControl/>
                    <w:suppressLineNumbers w:val="0"/>
                    <w:spacing w:line="240" w:lineRule="auto"/>
                    <w:jc w:val="center"/>
                    <w:textAlignment w:val="center"/>
                    <w:rPr>
                      <w:rFonts w:hint="default" w:eastAsia="宋体" w:cs="Times New Roman"/>
                      <w:caps w:val="0"/>
                      <w:smallCaps w:val="0"/>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0.005</w:t>
                  </w:r>
                </w:p>
              </w:tc>
            </w:tr>
            <w:tr w14:paraId="0FE2FE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1490" w:type="dxa"/>
                  <w:tcBorders>
                    <w:tl2br w:val="nil"/>
                    <w:tr2bl w:val="nil"/>
                  </w:tcBorders>
                  <w:noWrap w:val="0"/>
                  <w:vAlign w:val="center"/>
                </w:tcPr>
                <w:p w14:paraId="0149A3B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焊丝</w:t>
                  </w:r>
                </w:p>
              </w:tc>
              <w:tc>
                <w:tcPr>
                  <w:tcW w:w="1560" w:type="dxa"/>
                  <w:tcBorders>
                    <w:tl2br w:val="nil"/>
                    <w:tr2bl w:val="nil"/>
                  </w:tcBorders>
                  <w:noWrap w:val="0"/>
                  <w:vAlign w:val="center"/>
                </w:tcPr>
                <w:p w14:paraId="2886549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0.1</w:t>
                  </w:r>
                </w:p>
              </w:tc>
              <w:tc>
                <w:tcPr>
                  <w:tcW w:w="738" w:type="dxa"/>
                  <w:vMerge w:val="continue"/>
                  <w:tcBorders>
                    <w:tl2br w:val="nil"/>
                    <w:tr2bl w:val="nil"/>
                  </w:tcBorders>
                  <w:noWrap w:val="0"/>
                  <w:vAlign w:val="center"/>
                </w:tcPr>
                <w:p w14:paraId="1F80C079">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p>
              </w:tc>
              <w:tc>
                <w:tcPr>
                  <w:tcW w:w="2858" w:type="dxa"/>
                  <w:gridSpan w:val="2"/>
                  <w:tcBorders>
                    <w:tl2br w:val="nil"/>
                    <w:tr2bl w:val="nil"/>
                  </w:tcBorders>
                  <w:noWrap w:val="0"/>
                  <w:vAlign w:val="center"/>
                </w:tcPr>
                <w:p w14:paraId="79DA9242">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颗粒边角料</w:t>
                  </w:r>
                </w:p>
              </w:tc>
              <w:tc>
                <w:tcPr>
                  <w:tcW w:w="1838" w:type="dxa"/>
                  <w:tcBorders>
                    <w:tl2br w:val="nil"/>
                    <w:tr2bl w:val="nil"/>
                  </w:tcBorders>
                  <w:noWrap w:val="0"/>
                  <w:vAlign w:val="center"/>
                </w:tcPr>
                <w:p w14:paraId="6328B2B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17.04</w:t>
                  </w:r>
                </w:p>
              </w:tc>
            </w:tr>
            <w:tr w14:paraId="173DCE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490" w:type="dxa"/>
                  <w:tcBorders>
                    <w:tl2br w:val="nil"/>
                    <w:tr2bl w:val="nil"/>
                  </w:tcBorders>
                  <w:noWrap w:val="0"/>
                  <w:vAlign w:val="center"/>
                </w:tcPr>
                <w:p w14:paraId="3F2C1D39">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颗粒边角料</w:t>
                  </w:r>
                </w:p>
              </w:tc>
              <w:tc>
                <w:tcPr>
                  <w:tcW w:w="1560" w:type="dxa"/>
                  <w:tcBorders>
                    <w:tl2br w:val="nil"/>
                    <w:tr2bl w:val="nil"/>
                  </w:tcBorders>
                  <w:noWrap w:val="0"/>
                  <w:vAlign w:val="center"/>
                </w:tcPr>
                <w:p w14:paraId="473643E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17.04</w:t>
                  </w:r>
                </w:p>
              </w:tc>
              <w:tc>
                <w:tcPr>
                  <w:tcW w:w="738" w:type="dxa"/>
                  <w:tcBorders>
                    <w:tl2br w:val="nil"/>
                    <w:tr2bl w:val="nil"/>
                  </w:tcBorders>
                  <w:noWrap w:val="0"/>
                  <w:vAlign w:val="center"/>
                </w:tcPr>
                <w:p w14:paraId="1B3463E2">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r>
                    <w:rPr>
                      <w:rFonts w:hint="eastAsia"/>
                      <w:caps w:val="0"/>
                      <w:smallCaps w:val="0"/>
                      <w:color w:val="auto"/>
                      <w:szCs w:val="21"/>
                      <w:highlight w:val="none"/>
                      <w:lang w:val="en-US" w:eastAsia="zh-CN"/>
                    </w:rPr>
                    <w:t>/</w:t>
                  </w:r>
                </w:p>
              </w:tc>
              <w:tc>
                <w:tcPr>
                  <w:tcW w:w="2858" w:type="dxa"/>
                  <w:gridSpan w:val="2"/>
                  <w:tcBorders>
                    <w:tl2br w:val="nil"/>
                    <w:tr2bl w:val="nil"/>
                  </w:tcBorders>
                  <w:noWrap w:val="0"/>
                  <w:vAlign w:val="center"/>
                </w:tcPr>
                <w:p w14:paraId="604E1CBC">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1838" w:type="dxa"/>
                  <w:tcBorders>
                    <w:tl2br w:val="nil"/>
                    <w:tr2bl w:val="nil"/>
                  </w:tcBorders>
                  <w:noWrap w:val="0"/>
                  <w:vAlign w:val="center"/>
                </w:tcPr>
                <w:p w14:paraId="4E3F07B6">
                  <w:pPr>
                    <w:keepNext w:val="0"/>
                    <w:keepLines w:val="0"/>
                    <w:widowControl/>
                    <w:suppressLineNumbers w:val="0"/>
                    <w:spacing w:line="240" w:lineRule="auto"/>
                    <w:jc w:val="center"/>
                    <w:textAlignment w:val="center"/>
                    <w:rPr>
                      <w:rFonts w:hint="default" w:eastAsia="宋体" w:cs="Times New Roman"/>
                      <w:caps w:val="0"/>
                      <w:smallCaps w:val="0"/>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w:t>
                  </w:r>
                </w:p>
              </w:tc>
            </w:tr>
            <w:tr w14:paraId="75023C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3E4ECB51">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1560" w:type="dxa"/>
                  <w:tcBorders>
                    <w:tl2br w:val="nil"/>
                    <w:tr2bl w:val="nil"/>
                  </w:tcBorders>
                  <w:noWrap w:val="0"/>
                  <w:vAlign w:val="center"/>
                </w:tcPr>
                <w:p w14:paraId="03E888C8">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738" w:type="dxa"/>
                  <w:tcBorders>
                    <w:tl2br w:val="nil"/>
                    <w:tr2bl w:val="nil"/>
                  </w:tcBorders>
                  <w:noWrap w:val="0"/>
                  <w:vAlign w:val="center"/>
                </w:tcPr>
                <w:p w14:paraId="0E53299B">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r>
                    <w:rPr>
                      <w:rFonts w:hint="eastAsia"/>
                      <w:caps w:val="0"/>
                      <w:smallCaps w:val="0"/>
                      <w:color w:val="auto"/>
                      <w:szCs w:val="21"/>
                      <w:highlight w:val="none"/>
                      <w:lang w:val="en-US" w:eastAsia="zh-CN"/>
                    </w:rPr>
                    <w:t>/</w:t>
                  </w:r>
                </w:p>
              </w:tc>
              <w:tc>
                <w:tcPr>
                  <w:tcW w:w="2858" w:type="dxa"/>
                  <w:gridSpan w:val="2"/>
                  <w:tcBorders>
                    <w:tl2br w:val="nil"/>
                    <w:tr2bl w:val="nil"/>
                  </w:tcBorders>
                  <w:noWrap w:val="0"/>
                  <w:vAlign w:val="center"/>
                </w:tcPr>
                <w:p w14:paraId="14EB0AA6">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eastAsia"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1838" w:type="dxa"/>
                  <w:tcBorders>
                    <w:tl2br w:val="nil"/>
                    <w:tr2bl w:val="nil"/>
                  </w:tcBorders>
                  <w:noWrap w:val="0"/>
                  <w:vAlign w:val="center"/>
                </w:tcPr>
                <w:p w14:paraId="66728E9F">
                  <w:pPr>
                    <w:keepNext w:val="0"/>
                    <w:keepLines w:val="0"/>
                    <w:widowControl/>
                    <w:suppressLineNumbers w:val="0"/>
                    <w:spacing w:line="240" w:lineRule="auto"/>
                    <w:jc w:val="center"/>
                    <w:textAlignment w:val="center"/>
                    <w:rPr>
                      <w:rFonts w:hint="default" w:eastAsia="宋体" w:cs="Times New Roman"/>
                      <w:caps w:val="0"/>
                      <w:smallCaps w:val="0"/>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w:t>
                  </w:r>
                </w:p>
              </w:tc>
            </w:tr>
            <w:tr w14:paraId="091D76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4B01197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1560" w:type="dxa"/>
                  <w:tcBorders>
                    <w:tl2br w:val="nil"/>
                    <w:tr2bl w:val="nil"/>
                  </w:tcBorders>
                  <w:noWrap w:val="0"/>
                  <w:vAlign w:val="center"/>
                </w:tcPr>
                <w:p w14:paraId="7BF46F10">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738" w:type="dxa"/>
                  <w:tcBorders>
                    <w:tl2br w:val="nil"/>
                    <w:tr2bl w:val="nil"/>
                  </w:tcBorders>
                  <w:noWrap w:val="0"/>
                  <w:vAlign w:val="center"/>
                </w:tcPr>
                <w:p w14:paraId="000CA8B4">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jc w:val="center"/>
                    <w:textAlignment w:val="auto"/>
                    <w:rPr>
                      <w:rFonts w:ascii="Times New Roman" w:hAnsi="Times New Roman" w:eastAsia="宋体"/>
                      <w:caps w:val="0"/>
                      <w:smallCaps w:val="0"/>
                      <w:color w:val="auto"/>
                      <w:szCs w:val="21"/>
                      <w:highlight w:val="none"/>
                      <w:lang w:val="en-US" w:eastAsia="zh-CN"/>
                    </w:rPr>
                  </w:pPr>
                  <w:r>
                    <w:rPr>
                      <w:rFonts w:hint="eastAsia"/>
                      <w:caps w:val="0"/>
                      <w:smallCaps w:val="0"/>
                      <w:color w:val="auto"/>
                      <w:szCs w:val="21"/>
                      <w:highlight w:val="none"/>
                      <w:lang w:val="en-US" w:eastAsia="zh-CN"/>
                    </w:rPr>
                    <w:t>/</w:t>
                  </w:r>
                </w:p>
              </w:tc>
              <w:tc>
                <w:tcPr>
                  <w:tcW w:w="2858" w:type="dxa"/>
                  <w:gridSpan w:val="2"/>
                  <w:tcBorders>
                    <w:tl2br w:val="nil"/>
                    <w:tr2bl w:val="nil"/>
                  </w:tcBorders>
                  <w:noWrap w:val="0"/>
                  <w:vAlign w:val="center"/>
                </w:tcPr>
                <w:p w14:paraId="1E916A33">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jc w:val="center"/>
                    <w:textAlignment w:val="auto"/>
                    <w:rPr>
                      <w:rFonts w:hint="default"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w:t>
                  </w:r>
                </w:p>
              </w:tc>
              <w:tc>
                <w:tcPr>
                  <w:tcW w:w="1838" w:type="dxa"/>
                  <w:tcBorders>
                    <w:tl2br w:val="nil"/>
                    <w:tr2bl w:val="nil"/>
                  </w:tcBorders>
                  <w:noWrap w:val="0"/>
                  <w:vAlign w:val="center"/>
                </w:tcPr>
                <w:p w14:paraId="473C384D">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2B7E16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0" w:type="dxa"/>
                  <w:tcBorders>
                    <w:tl2br w:val="nil"/>
                    <w:tr2bl w:val="nil"/>
                  </w:tcBorders>
                  <w:noWrap w:val="0"/>
                  <w:vAlign w:val="center"/>
                </w:tcPr>
                <w:p w14:paraId="6F0C2337">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r>
                    <w:rPr>
                      <w:rFonts w:ascii="Times New Roman" w:hAnsi="Times New Roman" w:eastAsia="宋体"/>
                      <w:caps w:val="0"/>
                      <w:smallCaps w:val="0"/>
                      <w:color w:val="auto"/>
                      <w:sz w:val="21"/>
                      <w:szCs w:val="21"/>
                      <w:highlight w:val="none"/>
                      <w:lang w:val="en-US" w:eastAsia="zh-CN"/>
                    </w:rPr>
                    <w:t>投入合计</w:t>
                  </w:r>
                </w:p>
              </w:tc>
              <w:tc>
                <w:tcPr>
                  <w:tcW w:w="1560" w:type="dxa"/>
                  <w:tcBorders>
                    <w:tl2br w:val="nil"/>
                    <w:tr2bl w:val="nil"/>
                  </w:tcBorders>
                  <w:noWrap w:val="0"/>
                  <w:vAlign w:val="center"/>
                </w:tcPr>
                <w:p w14:paraId="0A62EDD8">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1107.74</w:t>
                  </w:r>
                </w:p>
              </w:tc>
              <w:tc>
                <w:tcPr>
                  <w:tcW w:w="3596" w:type="dxa"/>
                  <w:gridSpan w:val="3"/>
                  <w:tcBorders>
                    <w:tl2br w:val="nil"/>
                    <w:tr2bl w:val="nil"/>
                  </w:tcBorders>
                  <w:noWrap w:val="0"/>
                  <w:vAlign w:val="center"/>
                </w:tcPr>
                <w:p w14:paraId="65B1F80A">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eastAsia="宋体"/>
                      <w:caps w:val="0"/>
                      <w:smallCaps w:val="0"/>
                      <w:color w:val="auto"/>
                      <w:sz w:val="21"/>
                      <w:szCs w:val="21"/>
                      <w:highlight w:val="none"/>
                      <w:lang w:val="en-US" w:eastAsia="zh-CN"/>
                    </w:rPr>
                  </w:pPr>
                  <w:r>
                    <w:rPr>
                      <w:rFonts w:ascii="Times New Roman" w:hAnsi="Times New Roman" w:eastAsia="宋体"/>
                      <w:caps w:val="0"/>
                      <w:smallCaps w:val="0"/>
                      <w:color w:val="auto"/>
                      <w:sz w:val="21"/>
                      <w:szCs w:val="21"/>
                      <w:highlight w:val="none"/>
                      <w:lang w:val="en-US" w:eastAsia="zh-CN"/>
                    </w:rPr>
                    <w:t>产出合计</w:t>
                  </w:r>
                </w:p>
              </w:tc>
              <w:tc>
                <w:tcPr>
                  <w:tcW w:w="1838" w:type="dxa"/>
                  <w:tcBorders>
                    <w:tl2br w:val="nil"/>
                    <w:tr2bl w:val="nil"/>
                  </w:tcBorders>
                  <w:noWrap w:val="0"/>
                  <w:vAlign w:val="center"/>
                </w:tcPr>
                <w:p w14:paraId="0087A5B5">
                  <w:pPr>
                    <w:pStyle w:val="66"/>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firstLine="0" w:firstLineChars="0"/>
                    <w:textAlignment w:val="auto"/>
                    <w:rPr>
                      <w:rFonts w:hint="default" w:ascii="Times New Roman" w:hAnsi="Times New Roman" w:eastAsia="宋体" w:cs="Times New Roman"/>
                      <w:caps w:val="0"/>
                      <w:smallCaps w:val="0"/>
                      <w:color w:val="auto"/>
                      <w:sz w:val="21"/>
                      <w:szCs w:val="21"/>
                      <w:highlight w:val="none"/>
                      <w:lang w:val="en-US" w:eastAsia="zh-CN"/>
                    </w:rPr>
                  </w:pPr>
                  <w:r>
                    <w:rPr>
                      <w:rFonts w:hint="eastAsia"/>
                      <w:caps w:val="0"/>
                      <w:smallCaps w:val="0"/>
                      <w:color w:val="auto"/>
                      <w:sz w:val="21"/>
                      <w:szCs w:val="21"/>
                      <w:highlight w:val="none"/>
                      <w:lang w:val="en-US" w:eastAsia="zh-CN"/>
                    </w:rPr>
                    <w:t>1107.74</w:t>
                  </w:r>
                </w:p>
              </w:tc>
            </w:tr>
          </w:tbl>
          <w:p w14:paraId="3DEC935D">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val="en-US" w:eastAsia="zh-CN"/>
              </w:rPr>
              <w:t>8</w:t>
            </w:r>
            <w:r>
              <w:rPr>
                <w:rFonts w:hint="eastAsia" w:ascii="Times New Roman" w:hAnsi="Times New Roman" w:eastAsia="宋体" w:cs="Times New Roman"/>
                <w:b/>
                <w:bCs/>
                <w:color w:val="auto"/>
                <w:sz w:val="24"/>
              </w:rPr>
              <w:t xml:space="preserve"> 项目总平面布置</w:t>
            </w:r>
          </w:p>
          <w:p w14:paraId="20AE8443">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rPr>
              <w:t>本次</w:t>
            </w:r>
            <w:r>
              <w:rPr>
                <w:rFonts w:hint="eastAsia"/>
                <w:color w:val="auto"/>
                <w:sz w:val="24"/>
                <w:highlight w:val="none"/>
                <w:lang w:eastAsia="zh-CN"/>
              </w:rPr>
              <w:t>扩建</w:t>
            </w:r>
            <w:r>
              <w:rPr>
                <w:rFonts w:hint="eastAsia"/>
                <w:color w:val="auto"/>
                <w:sz w:val="24"/>
                <w:highlight w:val="none"/>
              </w:rPr>
              <w:t>区域位于</w:t>
            </w:r>
            <w:r>
              <w:rPr>
                <w:rFonts w:hint="eastAsia" w:cs="Times New Roman"/>
                <w:color w:val="auto"/>
                <w:sz w:val="24"/>
                <w:highlight w:val="none"/>
                <w:lang w:eastAsia="zh-CN"/>
              </w:rPr>
              <w:t>福建三锋汽配开发有限公司</w:t>
            </w:r>
            <w:r>
              <w:rPr>
                <w:rFonts w:hint="eastAsia" w:ascii="Times New Roman" w:hAnsi="Times New Roman" w:eastAsia="宋体" w:cs="Times New Roman"/>
                <w:color w:val="auto"/>
                <w:sz w:val="24"/>
                <w:highlight w:val="none"/>
              </w:rPr>
              <w:t>厂区内</w:t>
            </w:r>
            <w:r>
              <w:rPr>
                <w:rFonts w:hint="eastAsia" w:ascii="Times New Roman" w:hAnsi="Times New Roman" w:eastAsia="宋体" w:cs="Times New Roman"/>
                <w:color w:val="auto"/>
                <w:sz w:val="24"/>
                <w:szCs w:val="24"/>
                <w:highlight w:val="none"/>
                <w:lang w:val="en-US" w:eastAsia="zh-CN"/>
              </w:rPr>
              <w:t>（</w:t>
            </w:r>
            <w:r>
              <w:rPr>
                <w:rFonts w:hint="eastAsia"/>
                <w:b w:val="0"/>
                <w:bCs w:val="0"/>
                <w:color w:val="auto"/>
                <w:sz w:val="24"/>
                <w:szCs w:val="24"/>
                <w:highlight w:val="none"/>
                <w:lang w:val="en-US" w:eastAsia="zh-CN"/>
              </w:rPr>
              <w:t>租赁厂房四局部一层、厂房五一至三层</w:t>
            </w:r>
            <w:r>
              <w:rPr>
                <w:rFonts w:hint="eastAsia" w:ascii="Times New Roman" w:hAnsi="Times New Roman" w:eastAsia="宋体" w:cs="Times New Roman"/>
                <w:color w:val="auto"/>
                <w:sz w:val="24"/>
                <w:szCs w:val="24"/>
                <w:highlight w:val="none"/>
                <w:lang w:val="en-US" w:eastAsia="zh-CN"/>
              </w:rPr>
              <w:t>）建设本项目</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其中</w:t>
            </w:r>
            <w:r>
              <w:rPr>
                <w:rFonts w:hint="eastAsia" w:ascii="Times New Roman" w:hAnsi="Times New Roman" w:eastAsia="宋体" w:cs="Times New Roman"/>
                <w:color w:val="auto"/>
                <w:sz w:val="24"/>
                <w:highlight w:val="none"/>
              </w:rPr>
              <w:t>厂房</w:t>
            </w:r>
            <w:r>
              <w:rPr>
                <w:rFonts w:hint="eastAsia" w:cs="Times New Roman"/>
                <w:color w:val="auto"/>
                <w:sz w:val="24"/>
                <w:highlight w:val="none"/>
                <w:lang w:val="en-US" w:eastAsia="zh-CN"/>
              </w:rPr>
              <w:t>五</w:t>
            </w:r>
            <w:r>
              <w:rPr>
                <w:rFonts w:hint="eastAsia" w:ascii="Times New Roman" w:hAnsi="Times New Roman" w:eastAsia="宋体" w:cs="Times New Roman"/>
                <w:color w:val="auto"/>
                <w:sz w:val="24"/>
                <w:highlight w:val="none"/>
                <w:lang w:eastAsia="zh-CN"/>
              </w:rPr>
              <w:t>在</w:t>
            </w:r>
            <w:r>
              <w:rPr>
                <w:rFonts w:hint="eastAsia" w:cs="Times New Roman"/>
                <w:color w:val="auto"/>
                <w:sz w:val="24"/>
                <w:highlight w:val="none"/>
                <w:lang w:val="en-US" w:eastAsia="zh-CN"/>
              </w:rPr>
              <w:t>现有特种玻璃生产线、注塑密封件生产线的基础上，新增注塑件、下卡条生产线，租赁厂房四一层局部区域新上钣金加工生产线：</w:t>
            </w:r>
            <w:r>
              <w:rPr>
                <w:rFonts w:hint="eastAsia" w:cs="Times New Roman"/>
                <w:color w:val="auto"/>
                <w:sz w:val="24"/>
                <w:szCs w:val="24"/>
                <w:highlight w:val="none"/>
                <w:lang w:val="en-US" w:eastAsia="zh-CN"/>
              </w:rPr>
              <w:t>其中</w:t>
            </w:r>
            <w:r>
              <w:rPr>
                <w:rFonts w:hint="eastAsia"/>
                <w:color w:val="auto"/>
                <w:sz w:val="24"/>
                <w:lang w:eastAsia="zh-CN"/>
              </w:rPr>
              <w:t>厂房</w:t>
            </w:r>
            <w:r>
              <w:rPr>
                <w:rFonts w:hint="eastAsia"/>
                <w:color w:val="auto"/>
                <w:sz w:val="24"/>
                <w:lang w:val="en-US" w:eastAsia="zh-CN"/>
              </w:rPr>
              <w:t>五</w:t>
            </w:r>
            <w:r>
              <w:rPr>
                <w:rFonts w:hint="eastAsia"/>
                <w:color w:val="auto"/>
                <w:sz w:val="24"/>
                <w:lang w:eastAsia="zh-CN"/>
              </w:rPr>
              <w:t>一层</w:t>
            </w:r>
            <w:r>
              <w:rPr>
                <w:rFonts w:hint="eastAsia"/>
                <w:color w:val="auto"/>
                <w:sz w:val="24"/>
                <w:lang w:val="en-US" w:eastAsia="zh-CN"/>
              </w:rPr>
              <w:t>空置区域布置注塑件生产线，设置原料区、拌料区、注塑区、半成品区、成品区、破碎区；厂房五二层将原有成品仓库调整为下卡条生产线，设有开卷区、辊压成型、涂胶区、复合挤出区、收卷区、组合区、拉弯成型区、裁切区、原料区、辅料区、成品区；厂房四一层设置钣金件加工生产线，设有冲压区、焊接区、攻牙区、原料区、辅料区、成品区。</w:t>
            </w:r>
            <w:r>
              <w:rPr>
                <w:rFonts w:hint="eastAsia" w:ascii="Times New Roman" w:hAnsi="Times New Roman" w:eastAsia="宋体" w:cs="Times New Roman"/>
                <w:color w:val="auto"/>
                <w:sz w:val="24"/>
                <w:highlight w:val="none"/>
                <w:lang w:val="en-US" w:eastAsia="zh-CN"/>
              </w:rPr>
              <w:t>一般固废仓库、</w:t>
            </w:r>
            <w:r>
              <w:rPr>
                <w:rFonts w:hint="eastAsia" w:cs="Times New Roman"/>
                <w:color w:val="auto"/>
                <w:sz w:val="24"/>
                <w:highlight w:val="none"/>
                <w:lang w:val="en-US" w:eastAsia="zh-CN"/>
              </w:rPr>
              <w:t>危险废物贮存间</w:t>
            </w:r>
            <w:r>
              <w:rPr>
                <w:rFonts w:hint="eastAsia" w:ascii="Times New Roman" w:hAnsi="Times New Roman" w:eastAsia="宋体" w:cs="Times New Roman"/>
                <w:color w:val="auto"/>
                <w:sz w:val="24"/>
                <w:highlight w:val="none"/>
                <w:lang w:val="en-US" w:eastAsia="zh-CN"/>
              </w:rPr>
              <w:t>依托现有，位于厂房五三层北侧</w:t>
            </w:r>
            <w:r>
              <w:rPr>
                <w:rFonts w:hint="default" w:ascii="Times New Roman" w:hAnsi="Times New Roman" w:eastAsia="宋体" w:cs="Times New Roman"/>
                <w:color w:val="auto"/>
                <w:sz w:val="24"/>
                <w:szCs w:val="24"/>
                <w:highlight w:val="none"/>
                <w:lang w:val="en-US" w:eastAsia="zh-CN"/>
              </w:rPr>
              <w:t>各功能分区明确，各生产区相对独立，</w:t>
            </w:r>
            <w:r>
              <w:rPr>
                <w:rFonts w:hint="eastAsia" w:ascii="Times New Roman" w:hAnsi="Times New Roman" w:eastAsia="宋体" w:cs="Times New Roman"/>
                <w:color w:val="auto"/>
                <w:sz w:val="24"/>
                <w:szCs w:val="24"/>
                <w:highlight w:val="none"/>
                <w:lang w:val="en-US" w:eastAsia="zh-CN"/>
              </w:rPr>
              <w:t>互不干扰</w:t>
            </w:r>
            <w:r>
              <w:rPr>
                <w:rFonts w:hint="default" w:ascii="Times New Roman" w:hAnsi="Times New Roman" w:eastAsia="宋体" w:cs="Times New Roman"/>
                <w:color w:val="auto"/>
                <w:sz w:val="24"/>
                <w:szCs w:val="24"/>
                <w:highlight w:val="none"/>
                <w:lang w:val="en-US" w:eastAsia="zh-CN"/>
              </w:rPr>
              <w:t>，工艺流程顺畅</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出租方厂区总</w:t>
            </w:r>
            <w:r>
              <w:rPr>
                <w:rFonts w:hint="eastAsia" w:ascii="Times New Roman" w:hAnsi="Times New Roman" w:eastAsia="宋体" w:cs="Times New Roman"/>
                <w:color w:val="auto"/>
                <w:sz w:val="24"/>
                <w:szCs w:val="24"/>
                <w:highlight w:val="none"/>
                <w:lang w:val="en-US" w:eastAsia="zh-CN"/>
              </w:rPr>
              <w:t>平面图见附图</w:t>
            </w:r>
            <w:r>
              <w:rPr>
                <w:rFonts w:hint="eastAsia" w:cs="Times New Roman"/>
                <w:color w:val="auto"/>
                <w:sz w:val="24"/>
                <w:szCs w:val="24"/>
                <w:highlight w:val="none"/>
                <w:lang w:val="en-US" w:eastAsia="zh-CN"/>
              </w:rPr>
              <w:t>5、项目厂房平面布置图见附图6-1~附图6-4</w:t>
            </w:r>
            <w:r>
              <w:rPr>
                <w:rFonts w:hint="eastAsia" w:ascii="Times New Roman" w:hAnsi="Times New Roman" w:eastAsia="宋体" w:cs="Times New Roman"/>
                <w:color w:val="auto"/>
                <w:sz w:val="24"/>
                <w:szCs w:val="24"/>
                <w:highlight w:val="none"/>
                <w:lang w:val="en-US" w:eastAsia="zh-CN"/>
              </w:rPr>
              <w:t>。</w:t>
            </w:r>
          </w:p>
          <w:p w14:paraId="6D8F21D5">
            <w:pPr>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本项目注塑、挤出、涂胶工艺产生的有机废气经二级活性炭吸附装置处理后，最终通过25m高排气筒DA002排放；塑料颗粒破碎工艺产生的粉尘采用车间内无组织排放；焊接烟尘于车间内无组织排放。</w:t>
            </w:r>
          </w:p>
          <w:p w14:paraId="6CB1248E">
            <w:pPr>
              <w:spacing w:line="360" w:lineRule="auto"/>
              <w:ind w:firstLine="480" w:firstLineChars="200"/>
              <w:rPr>
                <w:color w:val="auto"/>
              </w:rPr>
            </w:pP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生产设备位于生产车间内，高噪声设备尽量集中布置，设备</w:t>
            </w:r>
            <w:r>
              <w:rPr>
                <w:rFonts w:hint="eastAsia" w:ascii="Times New Roman" w:hAnsi="Times New Roman" w:eastAsia="宋体" w:cs="Times New Roman"/>
                <w:color w:val="auto"/>
                <w:sz w:val="24"/>
                <w:szCs w:val="24"/>
                <w:highlight w:val="none"/>
                <w:lang w:eastAsia="zh-CN"/>
              </w:rPr>
              <w:t>噪声经</w:t>
            </w:r>
            <w:r>
              <w:rPr>
                <w:rFonts w:hint="default" w:ascii="Times New Roman" w:hAnsi="Times New Roman" w:eastAsia="宋体" w:cs="Times New Roman"/>
                <w:color w:val="auto"/>
                <w:sz w:val="24"/>
                <w:szCs w:val="24"/>
                <w:highlight w:val="none"/>
                <w:lang w:eastAsia="zh-CN"/>
              </w:rPr>
              <w:t>基础减振、</w:t>
            </w:r>
            <w:r>
              <w:rPr>
                <w:rFonts w:hint="eastAsia" w:ascii="Times New Roman" w:hAnsi="Times New Roman" w:eastAsia="宋体" w:cs="Times New Roman"/>
                <w:color w:val="auto"/>
                <w:sz w:val="24"/>
                <w:szCs w:val="24"/>
                <w:highlight w:val="none"/>
                <w:lang w:val="en-US" w:eastAsia="zh-CN"/>
              </w:rPr>
              <w:t>车间</w:t>
            </w:r>
            <w:r>
              <w:rPr>
                <w:rFonts w:hint="default" w:ascii="Times New Roman" w:hAnsi="Times New Roman" w:eastAsia="宋体" w:cs="Times New Roman"/>
                <w:color w:val="auto"/>
                <w:sz w:val="24"/>
                <w:szCs w:val="24"/>
                <w:highlight w:val="none"/>
                <w:lang w:eastAsia="zh-CN"/>
              </w:rPr>
              <w:t>隔声等综合降噪措施后，可实现噪声达标排放。</w:t>
            </w:r>
            <w:r>
              <w:rPr>
                <w:rFonts w:hint="default" w:ascii="Times New Roman" w:hAnsi="Times New Roman" w:eastAsia="宋体" w:cs="Times New Roman"/>
                <w:color w:val="auto"/>
                <w:sz w:val="24"/>
                <w:szCs w:val="24"/>
                <w:highlight w:val="none"/>
              </w:rPr>
              <w:t>从环境影响的角度看，</w:t>
            </w:r>
            <w:r>
              <w:rPr>
                <w:rFonts w:hint="default" w:ascii="Times New Roman" w:hAnsi="Times New Roman" w:eastAsia="宋体" w:cs="Times New Roman"/>
                <w:color w:val="auto"/>
                <w:sz w:val="24"/>
                <w:szCs w:val="24"/>
                <w:highlight w:val="none"/>
                <w:lang w:eastAsia="zh-CN"/>
              </w:rPr>
              <w:t>项目环保设施平面布置基本合理。</w:t>
            </w:r>
            <w:r>
              <w:rPr>
                <w:color w:val="auto"/>
                <w:sz w:val="24"/>
              </w:rPr>
              <w:t>综上所述，本项目的总平布置基本合理。</w:t>
            </w:r>
          </w:p>
        </w:tc>
      </w:tr>
      <w:tr w14:paraId="28359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0" w:type="dxa"/>
            <w:noWrap w:val="0"/>
            <w:vAlign w:val="center"/>
          </w:tcPr>
          <w:p w14:paraId="7B5B8296">
            <w:pPr>
              <w:pStyle w:val="30"/>
              <w:adjustRightInd w:val="0"/>
              <w:snapToGrid w:val="0"/>
              <w:spacing w:before="0" w:beforeAutospacing="0" w:after="0" w:afterAutospacing="0"/>
              <w:jc w:val="center"/>
              <w:rPr>
                <w:rFonts w:ascii="Times New Roman" w:hAnsi="Times New Roman"/>
                <w:color w:val="auto"/>
                <w:sz w:val="24"/>
                <w:szCs w:val="24"/>
                <w:lang w:val="en-US" w:eastAsia="zh-CN"/>
              </w:rPr>
            </w:pPr>
            <w:r>
              <w:rPr>
                <w:rFonts w:ascii="Times New Roman" w:hAnsi="Times New Roman"/>
                <w:color w:val="auto"/>
                <w:sz w:val="24"/>
                <w:szCs w:val="24"/>
                <w:lang w:val="en-US" w:eastAsia="zh-CN"/>
              </w:rPr>
              <w:t>工艺流程和产排污环节</w:t>
            </w:r>
          </w:p>
        </w:tc>
        <w:tc>
          <w:tcPr>
            <w:tcW w:w="8868" w:type="dxa"/>
            <w:noWrap w:val="0"/>
            <w:vAlign w:val="top"/>
          </w:tcPr>
          <w:p w14:paraId="1497E526">
            <w:pPr>
              <w:pStyle w:val="3"/>
              <w:numPr>
                <w:ilvl w:val="0"/>
                <w:numId w:val="0"/>
              </w:numPr>
              <w:spacing w:before="240" w:beforeLines="100" w:after="120" w:afterLines="50"/>
              <w:rPr>
                <w:color w:val="auto"/>
                <w:sz w:val="28"/>
                <w:szCs w:val="28"/>
              </w:rPr>
            </w:pPr>
            <w:r>
              <w:rPr>
                <w:color w:val="auto"/>
                <w:sz w:val="28"/>
                <w:szCs w:val="28"/>
              </w:rPr>
              <w:t>2.</w:t>
            </w:r>
            <w:r>
              <w:rPr>
                <w:rFonts w:hint="eastAsia"/>
                <w:color w:val="auto"/>
                <w:sz w:val="28"/>
                <w:szCs w:val="28"/>
                <w:lang w:val="en-US" w:eastAsia="zh-CN"/>
              </w:rPr>
              <w:t>4</w:t>
            </w:r>
            <w:r>
              <w:rPr>
                <w:color w:val="auto"/>
                <w:sz w:val="28"/>
                <w:szCs w:val="28"/>
              </w:rPr>
              <w:t>生产工艺流程及产污环节</w:t>
            </w:r>
          </w:p>
          <w:p w14:paraId="45E4030C">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2.4.1施工期工艺流程及工艺介绍</w:t>
            </w:r>
          </w:p>
          <w:p w14:paraId="66C5A957">
            <w:pPr>
              <w:adjustRightInd w:val="0"/>
              <w:snapToGrid w:val="0"/>
              <w:spacing w:line="360" w:lineRule="auto"/>
              <w:ind w:firstLine="480" w:firstLineChars="200"/>
              <w:rPr>
                <w:color w:val="auto"/>
                <w:sz w:val="24"/>
                <w:szCs w:val="24"/>
              </w:rPr>
            </w:pPr>
            <w:r>
              <w:rPr>
                <w:rFonts w:hint="eastAsia"/>
                <w:color w:val="auto"/>
                <w:sz w:val="24"/>
                <w:szCs w:val="24"/>
              </w:rPr>
              <w:t>本项目</w:t>
            </w:r>
            <w:r>
              <w:rPr>
                <w:rFonts w:hint="eastAsia"/>
                <w:color w:val="auto"/>
                <w:sz w:val="24"/>
                <w:szCs w:val="24"/>
                <w:lang w:val="en-US" w:eastAsia="zh-CN"/>
              </w:rPr>
              <w:t>利用出租方</w:t>
            </w:r>
            <w:r>
              <w:rPr>
                <w:rFonts w:hint="eastAsia"/>
                <w:color w:val="auto"/>
                <w:sz w:val="24"/>
                <w:szCs w:val="24"/>
              </w:rPr>
              <w:t>现有厂房</w:t>
            </w:r>
            <w:r>
              <w:rPr>
                <w:rFonts w:hint="eastAsia"/>
                <w:color w:val="auto"/>
                <w:sz w:val="24"/>
                <w:szCs w:val="24"/>
                <w:lang w:val="en-US" w:eastAsia="zh-CN"/>
              </w:rPr>
              <w:t>进行改造</w:t>
            </w:r>
            <w:r>
              <w:rPr>
                <w:rFonts w:hint="eastAsia"/>
                <w:color w:val="auto"/>
                <w:sz w:val="24"/>
                <w:szCs w:val="24"/>
              </w:rPr>
              <w:t>，</w:t>
            </w:r>
            <w:r>
              <w:rPr>
                <w:rFonts w:hint="eastAsia"/>
                <w:color w:val="auto"/>
                <w:sz w:val="24"/>
                <w:szCs w:val="24"/>
                <w:lang w:val="en-US" w:eastAsia="zh-CN"/>
              </w:rPr>
              <w:t>施工期仅涉及</w:t>
            </w:r>
            <w:r>
              <w:rPr>
                <w:rFonts w:hint="eastAsia"/>
                <w:color w:val="auto"/>
                <w:sz w:val="24"/>
                <w:szCs w:val="24"/>
              </w:rPr>
              <w:t>设备安装，无</w:t>
            </w:r>
            <w:r>
              <w:rPr>
                <w:color w:val="auto"/>
                <w:sz w:val="24"/>
                <w:szCs w:val="24"/>
              </w:rPr>
              <w:t>土建工程</w:t>
            </w:r>
            <w:r>
              <w:rPr>
                <w:rFonts w:hint="eastAsia"/>
                <w:color w:val="auto"/>
                <w:sz w:val="24"/>
                <w:szCs w:val="24"/>
              </w:rPr>
              <w:t>，施工周期短，产生</w:t>
            </w:r>
            <w:r>
              <w:rPr>
                <w:color w:val="auto"/>
                <w:sz w:val="24"/>
                <w:szCs w:val="24"/>
              </w:rPr>
              <w:t>的污染物主要为施工噪声</w:t>
            </w:r>
            <w:r>
              <w:rPr>
                <w:rFonts w:hint="eastAsia"/>
                <w:color w:val="auto"/>
                <w:sz w:val="24"/>
                <w:szCs w:val="24"/>
              </w:rPr>
              <w:t>、</w:t>
            </w:r>
            <w:r>
              <w:rPr>
                <w:color w:val="auto"/>
                <w:sz w:val="24"/>
                <w:szCs w:val="24"/>
              </w:rPr>
              <w:t>废弃材料</w:t>
            </w:r>
            <w:r>
              <w:rPr>
                <w:rFonts w:hint="eastAsia"/>
                <w:color w:val="auto"/>
                <w:sz w:val="24"/>
                <w:szCs w:val="24"/>
                <w:lang w:eastAsia="zh-CN"/>
              </w:rPr>
              <w:t>（</w:t>
            </w:r>
            <w:r>
              <w:rPr>
                <w:rFonts w:hint="eastAsia"/>
                <w:color w:val="auto"/>
                <w:sz w:val="24"/>
                <w:szCs w:val="24"/>
                <w:lang w:val="en-US" w:eastAsia="zh-CN"/>
              </w:rPr>
              <w:t>设备包材</w:t>
            </w:r>
            <w:r>
              <w:rPr>
                <w:rFonts w:hint="eastAsia"/>
                <w:color w:val="auto"/>
                <w:sz w:val="24"/>
                <w:szCs w:val="24"/>
                <w:lang w:eastAsia="zh-CN"/>
              </w:rPr>
              <w:t>）</w:t>
            </w:r>
            <w:r>
              <w:rPr>
                <w:color w:val="auto"/>
                <w:sz w:val="24"/>
                <w:szCs w:val="24"/>
              </w:rPr>
              <w:t>和生活垃圾</w:t>
            </w:r>
            <w:r>
              <w:rPr>
                <w:rFonts w:hint="eastAsia"/>
                <w:color w:val="auto"/>
                <w:sz w:val="24"/>
                <w:szCs w:val="24"/>
                <w:lang w:val="en-US" w:eastAsia="zh-CN"/>
              </w:rPr>
              <w:t>等</w:t>
            </w:r>
            <w:r>
              <w:rPr>
                <w:color w:val="auto"/>
                <w:sz w:val="24"/>
                <w:szCs w:val="24"/>
              </w:rPr>
              <w:t>。</w:t>
            </w:r>
          </w:p>
          <w:p w14:paraId="4F88240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2.4.2运营期工艺流程及工艺介绍</w:t>
            </w:r>
          </w:p>
          <w:p w14:paraId="5E332B80">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工艺流程</w:t>
            </w:r>
          </w:p>
          <w:p w14:paraId="5059CD1A">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项目注塑件生产</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w:t>
            </w:r>
          </w:p>
          <w:p w14:paraId="55580A0B">
            <w:pPr>
              <w:keepNext w:val="0"/>
              <w:keepLines w:val="0"/>
              <w:pageBreakBefore w:val="0"/>
              <w:widowControl w:val="0"/>
              <w:kinsoku/>
              <w:wordWrap/>
              <w:overflowPunct/>
              <w:topLinePunct w:val="0"/>
              <w:bidi w:val="0"/>
              <w:snapToGrid/>
              <w:spacing w:line="360" w:lineRule="auto"/>
              <w:jc w:val="center"/>
              <w:textAlignment w:val="auto"/>
              <w:rPr>
                <w:rFonts w:hint="default"/>
                <w:color w:val="auto"/>
                <w:lang w:val="en-US" w:eastAsia="zh-CN"/>
              </w:rPr>
            </w:pPr>
            <w:r>
              <w:rPr>
                <w:rFonts w:hint="default"/>
                <w:color w:val="auto"/>
                <w:lang w:val="en-US" w:eastAsia="zh-CN"/>
              </w:rPr>
              <w:object>
                <v:shape id="_x0000_i1030" o:spt="75" type="#_x0000_t75" style="height:195.4pt;width:342.3pt;" o:ole="t" filled="f" o:preferrelative="t" stroked="f" coordsize="21600,21600">
                  <v:path/>
                  <v:fill on="f" focussize="0,0"/>
                  <v:stroke on="f"/>
                  <v:imagedata r:id="rId25" o:title=""/>
                  <o:lock v:ext="edit" aspectratio="f"/>
                  <w10:wrap type="none"/>
                  <w10:anchorlock/>
                </v:shape>
                <o:OLEObject Type="Embed" ProgID="Visio.Drawing.15" ShapeID="_x0000_i1030" DrawAspect="Content" ObjectID="_1468075730" r:id="rId24">
                  <o:LockedField>false</o:LockedField>
                </o:OLEObject>
              </w:object>
            </w:r>
          </w:p>
          <w:p w14:paraId="2B927B3A">
            <w:pPr>
              <w:spacing w:line="360" w:lineRule="auto"/>
              <w:jc w:val="center"/>
              <w:outlineLvl w:val="1"/>
              <w:rPr>
                <w:rFonts w:hint="default" w:eastAsia="宋体"/>
                <w:b/>
                <w:bCs/>
                <w:color w:val="auto"/>
                <w:sz w:val="24"/>
                <w:lang w:val="en-US" w:eastAsia="zh-CN"/>
              </w:rPr>
            </w:pPr>
            <w:r>
              <w:rPr>
                <w:rFonts w:hint="default" w:eastAsia="宋体"/>
                <w:b/>
                <w:bCs/>
                <w:color w:val="auto"/>
                <w:sz w:val="24"/>
                <w:lang w:val="en-US" w:eastAsia="zh-CN"/>
              </w:rPr>
              <w:t>图2-6 项目注塑件生产工艺流程图及产污环节示意图</w:t>
            </w:r>
          </w:p>
          <w:p w14:paraId="6D72DA9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3F54B2D0">
            <w:pPr>
              <w:numPr>
                <w:ilvl w:val="0"/>
                <w:numId w:val="0"/>
              </w:numPr>
              <w:spacing w:line="360" w:lineRule="auto"/>
              <w:ind w:firstLine="482"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lang w:val="en-US" w:eastAsia="zh-CN"/>
              </w:rPr>
              <w:t>搅拌</w:t>
            </w:r>
            <w:r>
              <w:rPr>
                <w:rFonts w:hint="default" w:ascii="Times New Roman" w:hAnsi="Times New Roman" w:cs="Times New Roman"/>
                <w:color w:val="auto"/>
                <w:sz w:val="24"/>
                <w:lang w:eastAsia="zh-CN"/>
              </w:rPr>
              <w:t>：</w:t>
            </w:r>
            <w:r>
              <w:rPr>
                <w:rFonts w:hint="eastAsia" w:ascii="Times New Roman" w:hAnsi="Times New Roman" w:eastAsia="宋体" w:cs="Times New Roman"/>
                <w:color w:val="auto"/>
                <w:sz w:val="24"/>
                <w:szCs w:val="24"/>
                <w:highlight w:val="none"/>
                <w:lang w:val="en-US" w:eastAsia="zh-CN"/>
              </w:rPr>
              <w:t>将外购的塑料颗粒PBT</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PA6/PA66、PC/ABS、PP</w:t>
            </w:r>
            <w:r>
              <w:rPr>
                <w:rFonts w:hint="eastAsia" w:cs="Times New Roman"/>
                <w:color w:val="auto"/>
                <w:sz w:val="24"/>
                <w:szCs w:val="24"/>
                <w:highlight w:val="none"/>
                <w:lang w:val="en-US" w:eastAsia="zh-CN"/>
              </w:rPr>
              <w:t>根据客户订单需要</w:t>
            </w:r>
            <w:r>
              <w:rPr>
                <w:rFonts w:hint="eastAsia" w:ascii="Times New Roman" w:hAnsi="Times New Roman" w:eastAsia="宋体" w:cs="Times New Roman"/>
                <w:color w:val="auto"/>
                <w:sz w:val="24"/>
                <w:szCs w:val="24"/>
                <w:highlight w:val="none"/>
                <w:lang w:val="en-US" w:eastAsia="zh-CN"/>
              </w:rPr>
              <w:t>，与色母一起投入拌料机内进行搅拌，项目外购的塑料颗粒原材料均为颗粒状，无粉尘废气产生。</w:t>
            </w:r>
            <w:r>
              <w:rPr>
                <w:rFonts w:hint="default" w:ascii="Times New Roman" w:hAnsi="Times New Roman" w:eastAsia="宋体" w:cs="Times New Roman"/>
                <w:bCs/>
                <w:color w:val="auto"/>
                <w:sz w:val="24"/>
                <w:szCs w:val="24"/>
                <w:lang w:val="en-US" w:eastAsia="zh-CN"/>
              </w:rPr>
              <w:t>此工段将产生噪声</w:t>
            </w:r>
            <w:r>
              <w:rPr>
                <w:rFonts w:hint="eastAsia" w:ascii="Times New Roman" w:hAnsi="Times New Roman" w:eastAsia="宋体" w:cs="Times New Roman"/>
                <w:color w:val="auto"/>
                <w:sz w:val="24"/>
                <w:szCs w:val="24"/>
                <w:highlight w:val="none"/>
                <w:lang w:eastAsia="zh-CN"/>
              </w:rPr>
              <w:t>。</w:t>
            </w:r>
          </w:p>
          <w:p w14:paraId="14A4A185">
            <w:pPr>
              <w:numPr>
                <w:ilvl w:val="0"/>
                <w:numId w:val="0"/>
              </w:numPr>
              <w:spacing w:line="360" w:lineRule="auto"/>
              <w:ind w:firstLine="482" w:firstLineChars="20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lang w:val="en-US" w:eastAsia="zh-CN"/>
              </w:rPr>
              <w:t>注塑成型</w:t>
            </w:r>
            <w:r>
              <w:rPr>
                <w:rFonts w:hint="default" w:ascii="Times New Roman" w:hAnsi="Times New Roman" w:cs="Times New Roman"/>
                <w:color w:val="auto"/>
                <w:sz w:val="24"/>
              </w:rPr>
              <w:t>：在注塑成型项目中，温度设定需根据产品要求及塑料材料特性进行精准调控。不同塑料粒子对注塑温度的要求</w:t>
            </w:r>
            <w:r>
              <w:rPr>
                <w:rFonts w:hint="eastAsia" w:cs="Times New Roman"/>
                <w:color w:val="auto"/>
                <w:sz w:val="24"/>
                <w:lang w:eastAsia="zh-CN"/>
              </w:rPr>
              <w:t>，注塑工序温度</w:t>
            </w:r>
            <w:r>
              <w:rPr>
                <w:rFonts w:hint="default" w:ascii="Times New Roman" w:hAnsi="Times New Roman" w:cs="Times New Roman"/>
                <w:color w:val="auto"/>
                <w:sz w:val="24"/>
              </w:rPr>
              <w:t>通过电加热系统将料筒温度</w:t>
            </w:r>
            <w:r>
              <w:rPr>
                <w:rFonts w:hint="eastAsia" w:cs="Times New Roman"/>
                <w:color w:val="auto"/>
                <w:sz w:val="24"/>
                <w:lang w:eastAsia="zh-CN"/>
              </w:rPr>
              <w:t>严格</w:t>
            </w:r>
            <w:r>
              <w:rPr>
                <w:rFonts w:hint="default" w:ascii="Times New Roman" w:hAnsi="Times New Roman" w:cs="Times New Roman"/>
                <w:color w:val="auto"/>
                <w:sz w:val="24"/>
              </w:rPr>
              <w:t>控制在180-220℃区间，使塑料粒子充分熔融形成均匀塑化状态，</w:t>
            </w:r>
            <w:r>
              <w:rPr>
                <w:rFonts w:hint="default" w:ascii="Times New Roman" w:hAnsi="Times New Roman" w:cs="Times New Roman"/>
                <w:b w:val="0"/>
                <w:bCs w:val="0"/>
                <w:color w:val="auto"/>
                <w:sz w:val="24"/>
                <w:szCs w:val="24"/>
                <w:highlight w:val="none"/>
                <w:lang w:eastAsia="zh-CN"/>
              </w:rPr>
              <w:t>然后将其注入模具</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外购</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eastAsia="zh-CN"/>
              </w:rPr>
              <w:t>中定型。产品在模具</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外购</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eastAsia="zh-CN"/>
              </w:rPr>
              <w:t>内基本成型后使用间接冷却水进行冷却，该冷却水循环使用。该过程会产生</w:t>
            </w:r>
            <w:r>
              <w:rPr>
                <w:rFonts w:hint="default" w:ascii="Times New Roman" w:hAnsi="Times New Roman" w:cs="Times New Roman"/>
                <w:b w:val="0"/>
                <w:bCs w:val="0"/>
                <w:color w:val="auto"/>
                <w:sz w:val="24"/>
                <w:szCs w:val="24"/>
                <w:highlight w:val="none"/>
                <w:lang w:val="en-US" w:eastAsia="zh-CN"/>
              </w:rPr>
              <w:t>注塑废气</w:t>
            </w:r>
            <w:r>
              <w:rPr>
                <w:rFonts w:hint="default" w:ascii="Times New Roman" w:hAnsi="Times New Roman" w:cs="Times New Roman"/>
                <w:b w:val="0"/>
                <w:bCs w:val="0"/>
                <w:color w:val="auto"/>
                <w:sz w:val="24"/>
                <w:szCs w:val="24"/>
                <w:highlight w:val="none"/>
                <w:lang w:eastAsia="zh-CN"/>
              </w:rPr>
              <w:t>、噪声和</w:t>
            </w:r>
            <w:r>
              <w:rPr>
                <w:rFonts w:hint="default" w:ascii="Times New Roman" w:hAnsi="Times New Roman" w:cs="Times New Roman"/>
                <w:b w:val="0"/>
                <w:bCs w:val="0"/>
                <w:color w:val="auto"/>
                <w:sz w:val="24"/>
                <w:szCs w:val="24"/>
                <w:highlight w:val="none"/>
                <w:lang w:val="en-US" w:eastAsia="zh-CN"/>
              </w:rPr>
              <w:t>边角料。</w:t>
            </w:r>
          </w:p>
          <w:p w14:paraId="430590A7">
            <w:pPr>
              <w:pStyle w:val="156"/>
              <w:numPr>
                <w:ilvl w:val="0"/>
                <w:numId w:val="0"/>
              </w:numPr>
              <w:ind w:left="0" w:leftChars="0" w:firstLine="482" w:firstLineChars="200"/>
              <w:rPr>
                <w:rFonts w:hint="default" w:ascii="Times New Roman" w:hAnsi="Times New Roman" w:cs="Times New Roman"/>
                <w:color w:val="auto"/>
                <w:sz w:val="24"/>
              </w:rPr>
            </w:pPr>
            <w:r>
              <w:rPr>
                <w:rFonts w:hint="eastAsia" w:ascii="Times New Roman" w:hAnsi="Times New Roman" w:cs="Times New Roman" w:eastAsiaTheme="minorEastAsia"/>
                <w:b/>
                <w:bCs/>
                <w:color w:val="auto"/>
                <w:kern w:val="2"/>
                <w:sz w:val="24"/>
                <w:szCs w:val="24"/>
                <w:lang w:val="en-US" w:eastAsia="zh-CN" w:bidi="ar-SA"/>
              </w:rPr>
              <w:t>修边：</w:t>
            </w:r>
            <w:r>
              <w:rPr>
                <w:rFonts w:hint="eastAsia" w:ascii="Times New Roman" w:hAnsi="Times New Roman" w:cs="Times New Roman"/>
                <w:b w:val="0"/>
                <w:bCs w:val="0"/>
                <w:color w:val="auto"/>
                <w:kern w:val="2"/>
                <w:sz w:val="24"/>
                <w:szCs w:val="24"/>
                <w:lang w:val="en-US" w:eastAsia="zh-CN" w:bidi="ar-SA"/>
              </w:rPr>
              <w:t>采用人工修边的方法对</w:t>
            </w:r>
            <w:r>
              <w:rPr>
                <w:rFonts w:hint="eastAsia" w:ascii="Times New Roman" w:hAnsi="Times New Roman" w:cs="Times New Roman"/>
                <w:b w:val="0"/>
                <w:bCs w:val="0"/>
                <w:color w:val="auto"/>
                <w:sz w:val="24"/>
                <w:szCs w:val="24"/>
                <w:highlight w:val="none"/>
                <w:lang w:val="en-US" w:eastAsia="zh-CN"/>
              </w:rPr>
              <w:t>注塑件表面</w:t>
            </w:r>
            <w:r>
              <w:rPr>
                <w:rFonts w:hint="eastAsia" w:ascii="Times New Roman" w:hAnsi="Times New Roman" w:cs="Times New Roman"/>
                <w:b w:val="0"/>
                <w:bCs w:val="0"/>
                <w:color w:val="auto"/>
                <w:sz w:val="24"/>
                <w:szCs w:val="24"/>
                <w:highlight w:val="none"/>
                <w:lang w:eastAsia="zh-CN"/>
              </w:rPr>
              <w:t>毛刺</w:t>
            </w:r>
            <w:r>
              <w:rPr>
                <w:rFonts w:hint="eastAsia" w:ascii="Times New Roman" w:hAnsi="Times New Roman" w:cs="Times New Roman"/>
                <w:b w:val="0"/>
                <w:bCs w:val="0"/>
                <w:color w:val="auto"/>
                <w:sz w:val="24"/>
                <w:szCs w:val="24"/>
                <w:highlight w:val="none"/>
                <w:lang w:val="en-US" w:eastAsia="zh-CN"/>
              </w:rPr>
              <w:t>进行去除</w:t>
            </w:r>
            <w:r>
              <w:rPr>
                <w:rFonts w:hint="eastAsia" w:ascii="Times New Roman" w:hAnsi="Times New Roman" w:cs="Times New Roman"/>
                <w:b w:val="0"/>
                <w:bCs w:val="0"/>
                <w:color w:val="auto"/>
                <w:sz w:val="24"/>
                <w:szCs w:val="24"/>
                <w:highlight w:val="none"/>
                <w:lang w:eastAsia="zh-CN"/>
              </w:rPr>
              <w:t>，该过程会产生</w:t>
            </w:r>
            <w:r>
              <w:rPr>
                <w:rFonts w:hint="eastAsia" w:ascii="Times New Roman" w:hAnsi="Times New Roman" w:cs="Times New Roman"/>
                <w:b w:val="0"/>
                <w:bCs w:val="0"/>
                <w:color w:val="auto"/>
                <w:sz w:val="24"/>
                <w:szCs w:val="24"/>
                <w:highlight w:val="none"/>
                <w:lang w:val="en-US" w:eastAsia="zh-CN"/>
              </w:rPr>
              <w:t>边角料</w:t>
            </w:r>
            <w:r>
              <w:rPr>
                <w:rFonts w:hint="eastAsia" w:ascii="Times New Roman" w:hAnsi="Times New Roman" w:cs="Times New Roman"/>
                <w:b w:val="0"/>
                <w:bCs w:val="0"/>
                <w:color w:val="auto"/>
                <w:sz w:val="24"/>
                <w:szCs w:val="24"/>
                <w:highlight w:val="none"/>
                <w:lang w:eastAsia="zh-CN"/>
              </w:rPr>
              <w:t>和噪声</w:t>
            </w:r>
            <w:r>
              <w:rPr>
                <w:rFonts w:hint="eastAsia" w:ascii="Times New Roman" w:hAnsi="Times New Roman" w:cs="Times New Roman"/>
                <w:b w:val="0"/>
                <w:bCs w:val="0"/>
                <w:color w:val="auto"/>
                <w:sz w:val="24"/>
                <w:lang w:eastAsia="zh-CN"/>
              </w:rPr>
              <w:t>。</w:t>
            </w:r>
          </w:p>
          <w:p w14:paraId="07B57C79">
            <w:pPr>
              <w:pStyle w:val="156"/>
              <w:numPr>
                <w:ilvl w:val="0"/>
                <w:numId w:val="0"/>
              </w:numPr>
              <w:ind w:left="0" w:leftChars="0" w:firstLine="482" w:firstLineChars="200"/>
              <w:rPr>
                <w:rFonts w:hint="default" w:ascii="Times New Roman" w:hAnsi="Times New Roman" w:cs="Times New Roman"/>
                <w:color w:val="auto"/>
                <w:sz w:val="24"/>
              </w:rPr>
            </w:pPr>
            <w:r>
              <w:rPr>
                <w:rFonts w:hint="eastAsia" w:ascii="Times New Roman" w:hAnsi="Times New Roman" w:cs="Times New Roman"/>
                <w:b/>
                <w:bCs/>
                <w:color w:val="auto"/>
                <w:sz w:val="24"/>
                <w:lang w:val="en-US" w:eastAsia="zh-CN"/>
              </w:rPr>
              <w:t>破碎</w:t>
            </w:r>
            <w:r>
              <w:rPr>
                <w:rFonts w:hint="default" w:ascii="Times New Roman" w:hAnsi="Times New Roman" w:cs="Times New Roman"/>
                <w:b/>
                <w:bCs/>
                <w:color w:val="auto"/>
                <w:sz w:val="24"/>
                <w:lang w:eastAsia="zh-CN"/>
              </w:rPr>
              <w:t>：</w:t>
            </w:r>
            <w:r>
              <w:rPr>
                <w:rFonts w:hint="default" w:ascii="Times New Roman" w:hAnsi="Times New Roman" w:cs="Times New Roman"/>
                <w:b w:val="0"/>
                <w:bCs w:val="0"/>
                <w:color w:val="auto"/>
                <w:sz w:val="24"/>
                <w:lang w:eastAsia="zh-CN"/>
              </w:rPr>
              <w:t>将注塑工段产生的边角料送入破碎机进行破碎，破碎后的颗粒回用于混料工段。该工段会产生破碎粉尘。</w:t>
            </w:r>
          </w:p>
          <w:p w14:paraId="0CEC4155">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项目下卡条生产</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w:t>
            </w:r>
          </w:p>
          <w:p w14:paraId="2E0D277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Times New Roman" w:hAnsi="Times New Roman" w:eastAsia="宋体" w:cs="Times New Roman"/>
                <w:b/>
                <w:bCs/>
                <w:color w:val="auto"/>
                <w:sz w:val="24"/>
                <w:highlight w:val="none"/>
                <w:lang w:val="en-US" w:eastAsia="zh-CN"/>
              </w:rPr>
            </w:pPr>
            <w:r>
              <w:rPr>
                <w:rFonts w:hint="default" w:ascii="黑体" w:hAnsi="黑体" w:eastAsia="黑体" w:cs="黑体"/>
                <w:b w:val="0"/>
                <w:bCs/>
                <w:color w:val="auto"/>
                <w:kern w:val="0"/>
                <w:sz w:val="24"/>
                <w:szCs w:val="24"/>
                <w:highlight w:val="none"/>
                <w:lang w:val="en-US" w:eastAsia="zh-CN" w:bidi="ar-SA"/>
              </w:rPr>
              <w:object>
                <v:shape id="_x0000_i1031" o:spt="75" type="#_x0000_t75" style="height:270pt;width:430.05pt;" o:ole="t" filled="f" o:preferrelative="t" stroked="f" coordsize="21600,21600">
                  <v:path/>
                  <v:fill on="f" focussize="0,0"/>
                  <v:stroke on="f"/>
                  <v:imagedata r:id="rId27" o:title=""/>
                  <o:lock v:ext="edit" aspectratio="f"/>
                  <w10:wrap type="none"/>
                  <w10:anchorlock/>
                </v:shape>
                <o:OLEObject Type="Embed" ProgID="Visio.Drawing.15" ShapeID="_x0000_i1031" DrawAspect="Content" ObjectID="_1468075731" r:id="rId26">
                  <o:LockedField>false</o:LockedField>
                </o:OLEObject>
              </w:object>
            </w:r>
            <w:r>
              <w:rPr>
                <w:rFonts w:hint="default" w:ascii="Times New Roman" w:hAnsi="Times New Roman" w:eastAsia="宋体" w:cs="Times New Roman"/>
                <w:b/>
                <w:bCs/>
                <w:color w:val="auto"/>
                <w:sz w:val="24"/>
                <w:highlight w:val="none"/>
                <w:lang w:val="en-US" w:eastAsia="zh-CN"/>
              </w:rPr>
              <w:t>图2-7 项目下卡条生产工艺流程图及产污环节示意图</w:t>
            </w:r>
          </w:p>
          <w:p w14:paraId="2E1C942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6434F093">
            <w:pPr>
              <w:numPr>
                <w:ilvl w:val="0"/>
                <w:numId w:val="0"/>
              </w:numPr>
              <w:spacing w:line="360" w:lineRule="auto"/>
              <w:ind w:firstLine="482"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lang w:val="en-US" w:eastAsia="zh-CN"/>
              </w:rPr>
              <w:t>开卷</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将外购的铝带通过</w:t>
            </w:r>
            <w:r>
              <w:rPr>
                <w:rFonts w:hint="eastAsia" w:ascii="Times New Roman" w:hAnsi="Times New Roman" w:eastAsia="宋体" w:cs="Times New Roman"/>
                <w:color w:val="auto"/>
                <w:sz w:val="24"/>
                <w:szCs w:val="24"/>
                <w:highlight w:val="none"/>
                <w:lang w:val="en-US" w:eastAsia="zh-CN"/>
              </w:rPr>
              <w:t>开卷机对铝带进行开卷，</w:t>
            </w:r>
            <w:r>
              <w:rPr>
                <w:rFonts w:hint="default" w:ascii="Times New Roman" w:hAnsi="Times New Roman" w:eastAsia="宋体" w:cs="Times New Roman"/>
                <w:bCs/>
                <w:color w:val="auto"/>
                <w:sz w:val="24"/>
                <w:szCs w:val="24"/>
                <w:lang w:val="en-US" w:eastAsia="zh-CN"/>
              </w:rPr>
              <w:t>此工段将产生噪声</w:t>
            </w:r>
            <w:r>
              <w:rPr>
                <w:rFonts w:hint="eastAsia" w:ascii="Times New Roman" w:hAnsi="Times New Roman" w:eastAsia="宋体" w:cs="Times New Roman"/>
                <w:color w:val="auto"/>
                <w:sz w:val="24"/>
                <w:szCs w:val="24"/>
                <w:highlight w:val="none"/>
                <w:lang w:eastAsia="zh-CN"/>
              </w:rPr>
              <w:t>。</w:t>
            </w:r>
          </w:p>
          <w:p w14:paraId="247FF3D6">
            <w:pPr>
              <w:numPr>
                <w:ilvl w:val="0"/>
                <w:numId w:val="0"/>
              </w:numPr>
              <w:spacing w:line="360" w:lineRule="auto"/>
              <w:ind w:firstLine="482" w:firstLineChars="20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lang w:val="en-US" w:eastAsia="zh-CN"/>
              </w:rPr>
              <w:t>辊压成型</w:t>
            </w:r>
            <w:r>
              <w:rPr>
                <w:rFonts w:hint="default" w:ascii="Times New Roman" w:hAnsi="Times New Roman" w:cs="Times New Roman"/>
                <w:color w:val="auto"/>
                <w:sz w:val="24"/>
              </w:rPr>
              <w:t>：</w:t>
            </w:r>
            <w:r>
              <w:rPr>
                <w:rFonts w:hint="default" w:ascii="Times New Roman" w:hAnsi="Times New Roman" w:cs="Times New Roman"/>
                <w:b w:val="0"/>
                <w:bCs w:val="0"/>
                <w:color w:val="auto"/>
                <w:sz w:val="24"/>
                <w:szCs w:val="24"/>
                <w:highlight w:val="none"/>
                <w:lang w:eastAsia="zh-CN"/>
              </w:rPr>
              <w:t>将</w:t>
            </w:r>
            <w:r>
              <w:rPr>
                <w:rFonts w:hint="eastAsia" w:ascii="Times New Roman" w:hAnsi="Times New Roman" w:cs="Times New Roman"/>
                <w:b w:val="0"/>
                <w:bCs w:val="0"/>
                <w:color w:val="auto"/>
                <w:sz w:val="24"/>
                <w:szCs w:val="24"/>
                <w:highlight w:val="none"/>
                <w:lang w:val="en-US" w:eastAsia="zh-CN"/>
              </w:rPr>
              <w:t>开卷后</w:t>
            </w:r>
            <w:r>
              <w:rPr>
                <w:rFonts w:hint="default" w:ascii="Times New Roman" w:hAnsi="Times New Roman" w:cs="Times New Roman"/>
                <w:b w:val="0"/>
                <w:bCs w:val="0"/>
                <w:color w:val="auto"/>
                <w:sz w:val="24"/>
                <w:szCs w:val="24"/>
                <w:highlight w:val="none"/>
                <w:lang w:eastAsia="zh-CN"/>
              </w:rPr>
              <w:t>的铝带通过辊压线使金属带通过多道不同形状轧辊进行横向弯曲，最终定长切断形成特定截面形状。</w:t>
            </w:r>
            <w:r>
              <w:rPr>
                <w:rFonts w:hint="eastAsia" w:ascii="Times New Roman" w:hAnsi="Times New Roman" w:cs="Times New Roman"/>
                <w:b w:val="0"/>
                <w:bCs w:val="0"/>
                <w:color w:val="auto"/>
                <w:sz w:val="24"/>
                <w:szCs w:val="24"/>
                <w:highlight w:val="none"/>
                <w:lang w:val="en-US" w:eastAsia="zh-CN"/>
              </w:rPr>
              <w:t>该</w:t>
            </w:r>
            <w:r>
              <w:rPr>
                <w:rFonts w:hint="default" w:ascii="Times New Roman" w:hAnsi="Times New Roman" w:cs="Times New Roman"/>
                <w:b w:val="0"/>
                <w:bCs w:val="0"/>
                <w:color w:val="auto"/>
                <w:sz w:val="24"/>
                <w:szCs w:val="24"/>
                <w:highlight w:val="none"/>
                <w:lang w:eastAsia="zh-CN"/>
              </w:rPr>
              <w:t>过程会产生 S</w:t>
            </w:r>
            <w:r>
              <w:rPr>
                <w:rFonts w:hint="eastAsia"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eastAsia="zh-CN"/>
              </w:rPr>
              <w:t>边角料</w:t>
            </w:r>
            <w:r>
              <w:rPr>
                <w:rFonts w:hint="eastAsia" w:ascii="Times New Roman" w:hAnsi="Times New Roman" w:cs="Times New Roman"/>
                <w:b w:val="0"/>
                <w:bCs w:val="0"/>
                <w:color w:val="auto"/>
                <w:sz w:val="24"/>
                <w:szCs w:val="24"/>
                <w:highlight w:val="none"/>
                <w:lang w:val="en-US" w:eastAsia="zh-CN"/>
              </w:rPr>
              <w:t>和</w:t>
            </w:r>
            <w:r>
              <w:rPr>
                <w:rFonts w:hint="default" w:ascii="Times New Roman" w:hAnsi="Times New Roman" w:cs="Times New Roman"/>
                <w:b w:val="0"/>
                <w:bCs w:val="0"/>
                <w:color w:val="auto"/>
                <w:sz w:val="24"/>
                <w:szCs w:val="24"/>
                <w:highlight w:val="none"/>
                <w:lang w:eastAsia="zh-CN"/>
              </w:rPr>
              <w:t>噪声</w:t>
            </w:r>
            <w:r>
              <w:rPr>
                <w:rFonts w:hint="default" w:ascii="Times New Roman" w:hAnsi="Times New Roman" w:cs="Times New Roman"/>
                <w:b w:val="0"/>
                <w:bCs w:val="0"/>
                <w:color w:val="auto"/>
                <w:sz w:val="24"/>
                <w:szCs w:val="24"/>
                <w:highlight w:val="none"/>
                <w:lang w:val="en-US" w:eastAsia="zh-CN"/>
              </w:rPr>
              <w:t>。</w:t>
            </w:r>
          </w:p>
          <w:p w14:paraId="08482207">
            <w:pPr>
              <w:pStyle w:val="156"/>
              <w:numPr>
                <w:ilvl w:val="0"/>
                <w:numId w:val="0"/>
              </w:numPr>
              <w:ind w:left="0" w:leftChars="0" w:firstLine="482" w:firstLineChars="200"/>
              <w:rPr>
                <w:rFonts w:hint="default" w:ascii="Times New Roman" w:hAnsi="Times New Roman" w:cs="Times New Roman"/>
                <w:color w:val="auto"/>
                <w:sz w:val="24"/>
              </w:rPr>
            </w:pPr>
            <w:r>
              <w:rPr>
                <w:rFonts w:hint="eastAsia" w:ascii="Times New Roman" w:hAnsi="Times New Roman" w:cs="Times New Roman"/>
                <w:b/>
                <w:bCs/>
                <w:color w:val="auto"/>
                <w:kern w:val="2"/>
                <w:sz w:val="24"/>
                <w:szCs w:val="24"/>
                <w:lang w:val="en-US" w:eastAsia="zh-CN" w:bidi="ar-SA"/>
              </w:rPr>
              <w:t>涂胶</w:t>
            </w:r>
            <w:r>
              <w:rPr>
                <w:rFonts w:hint="eastAsia" w:ascii="Times New Roman" w:hAnsi="Times New Roman" w:cs="Times New Roman" w:eastAsiaTheme="minorEastAsia"/>
                <w:b/>
                <w:bCs/>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为了铝带在复合挤出工序能使TPV、PP更好地贴合，通过</w:t>
            </w:r>
            <w:r>
              <w:rPr>
                <w:rFonts w:hint="eastAsia" w:ascii="Calibri" w:hAnsi="Calibri" w:eastAsia="宋体" w:cs="Times New Roman"/>
                <w:color w:val="auto"/>
                <w:sz w:val="24"/>
                <w:szCs w:val="24"/>
                <w:lang w:val="en-US" w:eastAsia="zh-CN"/>
              </w:rPr>
              <w:t>涂胶加热一体机</w:t>
            </w:r>
            <w:r>
              <w:rPr>
                <w:rFonts w:hint="eastAsia" w:ascii="Times New Roman" w:hAnsi="Times New Roman" w:cs="Times New Roman"/>
                <w:b w:val="0"/>
                <w:bCs w:val="0"/>
                <w:color w:val="auto"/>
                <w:kern w:val="2"/>
                <w:sz w:val="24"/>
                <w:szCs w:val="24"/>
                <w:lang w:val="en-US" w:eastAsia="zh-CN" w:bidi="ar-SA"/>
              </w:rPr>
              <w:t>在铝带表面涂上铝带底涂剂，该过程会产生G3涂胶废气和噪声。</w:t>
            </w:r>
          </w:p>
          <w:p w14:paraId="42260272">
            <w:pPr>
              <w:pStyle w:val="156"/>
              <w:numPr>
                <w:ilvl w:val="0"/>
                <w:numId w:val="0"/>
              </w:numPr>
              <w:ind w:left="0" w:leftChars="0" w:firstLine="482" w:firstLineChars="200"/>
              <w:rPr>
                <w:rFonts w:hint="default" w:ascii="Times New Roman" w:hAnsi="Times New Roman" w:cs="Times New Roman"/>
                <w:b w:val="0"/>
                <w:bCs w:val="0"/>
                <w:color w:val="auto"/>
                <w:sz w:val="24"/>
                <w:lang w:eastAsia="zh-CN"/>
              </w:rPr>
            </w:pPr>
            <w:r>
              <w:rPr>
                <w:rFonts w:hint="eastAsia" w:ascii="Times New Roman" w:hAnsi="Times New Roman" w:cs="Times New Roman"/>
                <w:b/>
                <w:bCs/>
                <w:color w:val="auto"/>
                <w:sz w:val="24"/>
                <w:lang w:val="en-US" w:eastAsia="zh-CN"/>
              </w:rPr>
              <w:t>挤出</w:t>
            </w:r>
            <w:r>
              <w:rPr>
                <w:rFonts w:hint="default" w:ascii="Times New Roman" w:hAnsi="Times New Roman" w:cs="Times New Roman"/>
                <w:b/>
                <w:bCs/>
                <w:color w:val="auto"/>
                <w:sz w:val="24"/>
                <w:lang w:eastAsia="zh-CN"/>
              </w:rPr>
              <w:t>：</w:t>
            </w:r>
            <w:r>
              <w:rPr>
                <w:rFonts w:hint="eastAsia" w:ascii="Times New Roman" w:hAnsi="Times New Roman" w:cs="Times New Roman"/>
                <w:b w:val="0"/>
                <w:bCs w:val="0"/>
                <w:color w:val="auto"/>
                <w:sz w:val="24"/>
                <w:lang w:val="en-US" w:eastAsia="zh-CN"/>
              </w:rPr>
              <w:t>将外购</w:t>
            </w:r>
            <w:r>
              <w:rPr>
                <w:rFonts w:hint="default" w:ascii="Times New Roman" w:hAnsi="Times New Roman" w:cs="Times New Roman"/>
                <w:b w:val="0"/>
                <w:bCs w:val="0"/>
                <w:color w:val="auto"/>
                <w:sz w:val="24"/>
                <w:lang w:eastAsia="zh-CN"/>
              </w:rPr>
              <w:t>TPV、</w:t>
            </w:r>
            <w:r>
              <w:rPr>
                <w:rFonts w:hint="eastAsia" w:ascii="Times New Roman" w:hAnsi="Times New Roman" w:cs="Times New Roman"/>
                <w:b w:val="0"/>
                <w:bCs w:val="0"/>
                <w:color w:val="auto"/>
                <w:sz w:val="24"/>
                <w:lang w:val="en-US" w:eastAsia="zh-CN"/>
              </w:rPr>
              <w:t>PP的颗粒投入复合挤出机内</w:t>
            </w:r>
            <w:r>
              <w:rPr>
                <w:rFonts w:hint="default" w:ascii="Times New Roman" w:hAnsi="Times New Roman" w:cs="Times New Roman"/>
                <w:b w:val="0"/>
                <w:bCs w:val="0"/>
                <w:color w:val="auto"/>
                <w:sz w:val="24"/>
                <w:lang w:eastAsia="zh-CN"/>
              </w:rPr>
              <w:t>，</w:t>
            </w:r>
            <w:r>
              <w:rPr>
                <w:rFonts w:hint="eastAsia" w:ascii="Times New Roman" w:hAnsi="Times New Roman" w:cs="Times New Roman"/>
                <w:b w:val="0"/>
                <w:bCs w:val="0"/>
                <w:color w:val="auto"/>
                <w:sz w:val="24"/>
                <w:lang w:val="en-US" w:eastAsia="zh-CN"/>
              </w:rPr>
              <w:t>通过电加热约190</w:t>
            </w:r>
            <w:r>
              <w:rPr>
                <w:rFonts w:hint="default"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挤出。</w:t>
            </w:r>
            <w:r>
              <w:rPr>
                <w:rFonts w:hint="default" w:ascii="Times New Roman" w:hAnsi="Times New Roman" w:cs="Times New Roman"/>
                <w:b w:val="0"/>
                <w:bCs w:val="0"/>
                <w:color w:val="auto"/>
                <w:sz w:val="24"/>
                <w:lang w:eastAsia="zh-CN"/>
              </w:rPr>
              <w:t>该工序会产生</w:t>
            </w:r>
            <w:r>
              <w:rPr>
                <w:rFonts w:hint="eastAsia" w:ascii="Times New Roman" w:hAnsi="Times New Roman" w:cs="Times New Roman"/>
                <w:b w:val="0"/>
                <w:bCs w:val="0"/>
                <w:color w:val="auto"/>
                <w:sz w:val="24"/>
                <w:lang w:val="en-US" w:eastAsia="zh-CN"/>
              </w:rPr>
              <w:t>G4挤出废气和噪声</w:t>
            </w:r>
            <w:r>
              <w:rPr>
                <w:rFonts w:hint="default" w:ascii="Times New Roman" w:hAnsi="Times New Roman" w:cs="Times New Roman"/>
                <w:b w:val="0"/>
                <w:bCs w:val="0"/>
                <w:color w:val="auto"/>
                <w:sz w:val="24"/>
                <w:lang w:eastAsia="zh-CN"/>
              </w:rPr>
              <w:t>。</w:t>
            </w:r>
          </w:p>
          <w:p w14:paraId="2FA444EC">
            <w:pPr>
              <w:pStyle w:val="156"/>
              <w:numPr>
                <w:ilvl w:val="0"/>
                <w:numId w:val="0"/>
              </w:numPr>
              <w:ind w:left="0" w:leftChars="0" w:firstLine="482" w:firstLineChars="200"/>
              <w:rPr>
                <w:rFonts w:hint="default" w:ascii="Times New Roman" w:hAnsi="Times New Roman" w:cs="Times New Roman"/>
                <w:b w:val="0"/>
                <w:bCs w:val="0"/>
                <w:color w:val="auto"/>
                <w:sz w:val="24"/>
                <w:lang w:val="en-US" w:eastAsia="zh-CN"/>
              </w:rPr>
            </w:pPr>
            <w:r>
              <w:rPr>
                <w:rFonts w:hint="eastAsia" w:ascii="Times New Roman" w:hAnsi="Times New Roman" w:cs="Times New Roman"/>
                <w:b/>
                <w:bCs/>
                <w:color w:val="auto"/>
                <w:sz w:val="24"/>
                <w:lang w:val="en-US" w:eastAsia="zh-CN"/>
              </w:rPr>
              <w:t>复合：</w:t>
            </w:r>
            <w:r>
              <w:rPr>
                <w:rFonts w:hint="eastAsia" w:ascii="Times New Roman" w:hAnsi="Times New Roman" w:cs="Times New Roman"/>
                <w:b w:val="0"/>
                <w:bCs w:val="0"/>
                <w:color w:val="auto"/>
                <w:sz w:val="24"/>
                <w:lang w:val="en-US" w:eastAsia="zh-CN"/>
              </w:rPr>
              <w:t>将涂胶铝带导入复合挤出机进料口，与同步挤出的TPV及PP熔体进行复合，此工段将产生G8复合废气和噪声</w:t>
            </w:r>
            <w:r>
              <w:rPr>
                <w:rFonts w:hint="default" w:ascii="Times New Roman" w:hAnsi="Times New Roman" w:cs="Times New Roman"/>
                <w:b w:val="0"/>
                <w:bCs w:val="0"/>
                <w:color w:val="auto"/>
                <w:sz w:val="24"/>
                <w:lang w:eastAsia="zh-CN"/>
              </w:rPr>
              <w:t>。</w:t>
            </w:r>
          </w:p>
          <w:p w14:paraId="2D70456C">
            <w:pPr>
              <w:pStyle w:val="156"/>
              <w:numPr>
                <w:ilvl w:val="0"/>
                <w:numId w:val="0"/>
              </w:numPr>
              <w:ind w:left="0" w:leftChars="0" w:firstLine="482" w:firstLineChars="200"/>
              <w:rPr>
                <w:rFonts w:hint="default" w:ascii="Times New Roman" w:hAnsi="Times New Roman" w:cs="Times New Roman"/>
                <w:b w:val="0"/>
                <w:bCs w:val="0"/>
                <w:color w:val="auto"/>
                <w:sz w:val="24"/>
              </w:rPr>
            </w:pPr>
            <w:r>
              <w:rPr>
                <w:rFonts w:hint="eastAsia" w:ascii="Times New Roman" w:hAnsi="Times New Roman" w:cs="Times New Roman"/>
                <w:b/>
                <w:bCs/>
                <w:color w:val="auto"/>
                <w:sz w:val="24"/>
                <w:lang w:val="en-US" w:eastAsia="zh-CN"/>
              </w:rPr>
              <w:t>涂背胶：</w:t>
            </w:r>
            <w:r>
              <w:rPr>
                <w:rFonts w:hint="eastAsia" w:ascii="Times New Roman" w:hAnsi="Times New Roman" w:cs="Times New Roman" w:eastAsiaTheme="minorEastAsia"/>
                <w:b w:val="0"/>
                <w:bCs w:val="0"/>
                <w:color w:val="auto"/>
                <w:kern w:val="2"/>
                <w:sz w:val="24"/>
                <w:szCs w:val="24"/>
                <w:lang w:val="en-US" w:eastAsia="zh-CN" w:bidi="ar-SA"/>
              </w:rPr>
              <w:t>利用</w:t>
            </w:r>
            <w:r>
              <w:rPr>
                <w:rFonts w:hint="eastAsia" w:ascii="Calibri" w:hAnsi="Calibri" w:eastAsia="宋体" w:cs="Times New Roman"/>
                <w:color w:val="auto"/>
                <w:sz w:val="24"/>
                <w:szCs w:val="24"/>
                <w:lang w:val="en-US" w:eastAsia="zh-CN"/>
              </w:rPr>
              <w:t>涂胶加热一体机</w:t>
            </w:r>
            <w:r>
              <w:rPr>
                <w:rFonts w:hint="eastAsia" w:ascii="Times New Roman" w:hAnsi="Times New Roman" w:cs="Times New Roman"/>
                <w:b w:val="0"/>
                <w:bCs w:val="0"/>
                <w:color w:val="auto"/>
                <w:sz w:val="24"/>
                <w:lang w:val="en-US" w:eastAsia="zh-CN"/>
              </w:rPr>
              <w:t>将复合挤出后的半成品下卡条表面涂上PP底涂剂后，通过贴胶机在其表面贴上双面胶带，</w:t>
            </w:r>
            <w:r>
              <w:rPr>
                <w:rFonts w:hint="default" w:ascii="Times New Roman" w:hAnsi="Times New Roman" w:cs="Times New Roman"/>
                <w:b w:val="0"/>
                <w:bCs w:val="0"/>
                <w:color w:val="auto"/>
                <w:sz w:val="24"/>
                <w:lang w:eastAsia="zh-CN"/>
              </w:rPr>
              <w:t>该工序会产生</w:t>
            </w:r>
            <w:r>
              <w:rPr>
                <w:rFonts w:hint="eastAsia" w:ascii="Times New Roman" w:hAnsi="Times New Roman" w:cs="Times New Roman"/>
                <w:b w:val="0"/>
                <w:bCs w:val="0"/>
                <w:color w:val="auto"/>
                <w:sz w:val="24"/>
                <w:lang w:val="en-US" w:eastAsia="zh-CN"/>
              </w:rPr>
              <w:t>G6涂胶废气和噪声。</w:t>
            </w:r>
          </w:p>
          <w:p w14:paraId="5C8BDAA5">
            <w:pPr>
              <w:pStyle w:val="156"/>
              <w:numPr>
                <w:ilvl w:val="0"/>
                <w:numId w:val="0"/>
              </w:numPr>
              <w:ind w:left="0" w:leftChars="0" w:firstLine="482" w:firstLineChars="200"/>
              <w:rPr>
                <w:rFonts w:hint="default" w:ascii="Times New Roman" w:hAnsi="Times New Roman" w:cs="Times New Roman"/>
                <w:b w:val="0"/>
                <w:bCs w:val="0"/>
                <w:color w:val="auto"/>
                <w:sz w:val="24"/>
              </w:rPr>
            </w:pPr>
            <w:r>
              <w:rPr>
                <w:rFonts w:hint="eastAsia" w:ascii="Times New Roman" w:hAnsi="Times New Roman" w:cs="Times New Roman"/>
                <w:b/>
                <w:bCs/>
                <w:color w:val="auto"/>
                <w:sz w:val="24"/>
                <w:lang w:val="en-US" w:eastAsia="zh-CN"/>
              </w:rPr>
              <w:t>挤出：</w:t>
            </w:r>
            <w:r>
              <w:rPr>
                <w:rFonts w:hint="eastAsia" w:ascii="Times New Roman" w:hAnsi="Times New Roman" w:cs="Times New Roman"/>
                <w:b w:val="0"/>
                <w:bCs w:val="0"/>
                <w:color w:val="auto"/>
                <w:sz w:val="24"/>
                <w:lang w:val="en-US" w:eastAsia="zh-CN"/>
              </w:rPr>
              <w:t>将外购的PVC塑料颗粒通过电加热约170℃将原料加热，随后依靠螺杆旋转产生的压力及剪切力，能使得物料可以充分进行塑化以及均匀混合，通过口模成型。并利用冷水机提供的冷却水使半成品间接冷却后成型，该过程会产生G5挤出废气、噪声和边角料。</w:t>
            </w:r>
          </w:p>
          <w:p w14:paraId="29FA2864">
            <w:pPr>
              <w:pStyle w:val="156"/>
              <w:numPr>
                <w:ilvl w:val="0"/>
                <w:numId w:val="0"/>
              </w:numPr>
              <w:ind w:left="0" w:leftChars="0" w:firstLine="482" w:firstLineChars="200"/>
              <w:rPr>
                <w:rFonts w:hint="default" w:ascii="Times New Roman" w:hAnsi="Times New Roman" w:cs="Times New Roman"/>
                <w:b w:val="0"/>
                <w:bCs w:val="0"/>
                <w:color w:val="auto"/>
                <w:sz w:val="24"/>
              </w:rPr>
            </w:pPr>
            <w:r>
              <w:rPr>
                <w:rFonts w:hint="eastAsia" w:ascii="Times New Roman" w:hAnsi="Times New Roman" w:cs="Times New Roman"/>
                <w:b/>
                <w:bCs/>
                <w:color w:val="auto"/>
                <w:sz w:val="24"/>
                <w:lang w:val="en-US" w:eastAsia="zh-CN"/>
              </w:rPr>
              <w:t>收卷：</w:t>
            </w:r>
            <w:r>
              <w:rPr>
                <w:rFonts w:hint="eastAsia" w:ascii="Times New Roman" w:hAnsi="Times New Roman" w:cs="Times New Roman"/>
                <w:b w:val="0"/>
                <w:bCs w:val="0"/>
                <w:color w:val="auto"/>
                <w:sz w:val="24"/>
                <w:lang w:val="en-US" w:eastAsia="zh-CN"/>
              </w:rPr>
              <w:t>利用收卷机对挤出后的半成品嵌条进行牵引收卷，该过程会产生噪声。</w:t>
            </w:r>
          </w:p>
          <w:p w14:paraId="1ED450D8">
            <w:pPr>
              <w:pStyle w:val="156"/>
              <w:numPr>
                <w:ilvl w:val="0"/>
                <w:numId w:val="0"/>
              </w:numPr>
              <w:ind w:left="0" w:leftChars="0" w:firstLine="482" w:firstLineChars="200"/>
              <w:rPr>
                <w:rFonts w:hint="default" w:ascii="Times New Roman" w:hAnsi="Times New Roman" w:cs="Times New Roman"/>
                <w:b w:val="0"/>
                <w:bCs w:val="0"/>
                <w:color w:val="auto"/>
                <w:sz w:val="24"/>
              </w:rPr>
            </w:pPr>
            <w:r>
              <w:rPr>
                <w:rFonts w:hint="eastAsia" w:ascii="Times New Roman" w:hAnsi="Times New Roman" w:cs="Times New Roman"/>
                <w:b/>
                <w:bCs/>
                <w:color w:val="auto"/>
                <w:sz w:val="24"/>
                <w:lang w:val="en-US" w:eastAsia="zh-CN"/>
              </w:rPr>
              <w:t>组合：</w:t>
            </w:r>
            <w:r>
              <w:rPr>
                <w:rFonts w:hint="eastAsia" w:ascii="Times New Roman" w:hAnsi="Times New Roman" w:cs="Times New Roman"/>
                <w:b w:val="0"/>
                <w:bCs w:val="0"/>
                <w:color w:val="auto"/>
                <w:sz w:val="24"/>
                <w:lang w:val="en-US" w:eastAsia="zh-CN"/>
              </w:rPr>
              <w:t>将收卷后的PVC嵌条和涂背胶下卡条进行组合，该工序会产生噪声。</w:t>
            </w:r>
          </w:p>
          <w:p w14:paraId="23CC888F">
            <w:pPr>
              <w:pStyle w:val="156"/>
              <w:numPr>
                <w:ilvl w:val="0"/>
                <w:numId w:val="0"/>
              </w:numPr>
              <w:ind w:left="0" w:leftChars="0" w:firstLine="482" w:firstLineChars="200"/>
              <w:rPr>
                <w:rFonts w:hint="default" w:ascii="Times New Roman" w:hAnsi="Times New Roman" w:cs="Times New Roman"/>
                <w:b w:val="0"/>
                <w:bCs w:val="0"/>
                <w:color w:val="auto"/>
                <w:sz w:val="24"/>
              </w:rPr>
            </w:pPr>
            <w:r>
              <w:rPr>
                <w:rFonts w:hint="eastAsia" w:ascii="Times New Roman" w:hAnsi="Times New Roman" w:cs="Times New Roman"/>
                <w:b/>
                <w:bCs/>
                <w:color w:val="auto"/>
                <w:sz w:val="24"/>
                <w:lang w:val="en-US" w:eastAsia="zh-CN"/>
              </w:rPr>
              <w:t>拉弯成型：</w:t>
            </w:r>
            <w:r>
              <w:rPr>
                <w:rFonts w:hint="eastAsia" w:ascii="Times New Roman" w:hAnsi="Times New Roman" w:cs="Times New Roman"/>
                <w:b w:val="0"/>
                <w:bCs w:val="0"/>
                <w:color w:val="auto"/>
                <w:sz w:val="24"/>
                <w:lang w:val="en-US" w:eastAsia="zh-CN"/>
              </w:rPr>
              <w:t>根据产品设计要求，通过拉弯机对半成品下卡条进行拉弯，使其保持一定弧度。该工序会产生噪声</w:t>
            </w:r>
          </w:p>
          <w:p w14:paraId="4EA5E6CB">
            <w:pPr>
              <w:numPr>
                <w:ilvl w:val="0"/>
                <w:numId w:val="0"/>
              </w:numPr>
              <w:spacing w:line="360" w:lineRule="auto"/>
              <w:ind w:firstLine="482" w:firstLineChars="20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lang w:val="en-US" w:eastAsia="zh-CN"/>
              </w:rPr>
              <w:t>裁切：</w:t>
            </w:r>
            <w:r>
              <w:rPr>
                <w:rFonts w:hint="eastAsia" w:ascii="Times New Roman" w:hAnsi="Times New Roman" w:cs="Times New Roman"/>
                <w:b w:val="0"/>
                <w:bCs w:val="0"/>
                <w:color w:val="auto"/>
                <w:sz w:val="24"/>
                <w:lang w:val="en-US" w:eastAsia="zh-CN"/>
              </w:rPr>
              <w:t>对拉弯后的下卡条通过裁切机进行裁切，</w:t>
            </w:r>
            <w:r>
              <w:rPr>
                <w:rFonts w:hint="eastAsia" w:ascii="Times New Roman" w:hAnsi="Times New Roman" w:cs="Times New Roman"/>
                <w:b w:val="0"/>
                <w:bCs w:val="0"/>
                <w:color w:val="auto"/>
                <w:sz w:val="24"/>
                <w:szCs w:val="24"/>
                <w:highlight w:val="none"/>
                <w:lang w:val="en-US" w:eastAsia="zh-CN"/>
              </w:rPr>
              <w:t>该</w:t>
            </w:r>
            <w:r>
              <w:rPr>
                <w:rFonts w:hint="default" w:ascii="Times New Roman" w:hAnsi="Times New Roman" w:cs="Times New Roman"/>
                <w:b w:val="0"/>
                <w:bCs w:val="0"/>
                <w:color w:val="auto"/>
                <w:sz w:val="24"/>
                <w:szCs w:val="24"/>
                <w:highlight w:val="none"/>
                <w:lang w:eastAsia="zh-CN"/>
              </w:rPr>
              <w:t>过程会产生 S</w:t>
            </w:r>
            <w:r>
              <w:rPr>
                <w:rFonts w:hint="eastAsia"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eastAsia="zh-CN"/>
              </w:rPr>
              <w:t xml:space="preserve"> 废边角料</w:t>
            </w:r>
            <w:r>
              <w:rPr>
                <w:rFonts w:hint="eastAsia" w:ascii="Times New Roman" w:hAnsi="Times New Roman" w:cs="Times New Roman"/>
                <w:b w:val="0"/>
                <w:bCs w:val="0"/>
                <w:color w:val="auto"/>
                <w:sz w:val="24"/>
                <w:szCs w:val="24"/>
                <w:highlight w:val="none"/>
                <w:lang w:val="en-US" w:eastAsia="zh-CN"/>
              </w:rPr>
              <w:t>和</w:t>
            </w:r>
            <w:r>
              <w:rPr>
                <w:rFonts w:hint="default" w:ascii="Times New Roman" w:hAnsi="Times New Roman" w:cs="Times New Roman"/>
                <w:b w:val="0"/>
                <w:bCs w:val="0"/>
                <w:color w:val="auto"/>
                <w:sz w:val="24"/>
                <w:szCs w:val="24"/>
                <w:highlight w:val="none"/>
                <w:lang w:eastAsia="zh-CN"/>
              </w:rPr>
              <w:t>噪声</w:t>
            </w:r>
            <w:r>
              <w:rPr>
                <w:rFonts w:hint="default" w:ascii="Times New Roman" w:hAnsi="Times New Roman" w:cs="Times New Roman"/>
                <w:b w:val="0"/>
                <w:bCs w:val="0"/>
                <w:color w:val="auto"/>
                <w:sz w:val="24"/>
                <w:szCs w:val="24"/>
                <w:highlight w:val="none"/>
                <w:lang w:val="en-US" w:eastAsia="zh-CN"/>
              </w:rPr>
              <w:t>。</w:t>
            </w:r>
          </w:p>
          <w:p w14:paraId="5B786232">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w:t>
            </w:r>
            <w:r>
              <w:rPr>
                <w:rFonts w:hint="eastAsia" w:ascii="Times New Roman" w:hAnsi="Times New Roman" w:eastAsia="宋体" w:cs="Times New Roman"/>
                <w:b/>
                <w:bCs/>
                <w:color w:val="auto"/>
                <w:sz w:val="24"/>
                <w:szCs w:val="24"/>
                <w:highlight w:val="none"/>
                <w:lang w:val="en-US" w:eastAsia="zh-CN"/>
              </w:rPr>
              <w:t>项目钣金件生产</w:t>
            </w:r>
            <w:r>
              <w:rPr>
                <w:rFonts w:hint="default" w:ascii="Times New Roman" w:hAnsi="Times New Roman" w:eastAsia="宋体" w:cs="Times New Roman"/>
                <w:b/>
                <w:bCs/>
                <w:color w:val="auto"/>
                <w:sz w:val="24"/>
                <w:szCs w:val="24"/>
                <w:highlight w:val="none"/>
                <w:lang w:val="en-US" w:eastAsia="zh-CN"/>
              </w:rPr>
              <w:t>工艺流程详见下图2-</w:t>
            </w:r>
            <w:r>
              <w:rPr>
                <w:rFonts w:hint="eastAsia"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w:t>
            </w:r>
          </w:p>
          <w:p w14:paraId="50A9399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default"/>
                <w:color w:val="auto"/>
                <w:lang w:val="en-US" w:eastAsia="zh-CN"/>
              </w:rPr>
            </w:pPr>
            <w:r>
              <w:rPr>
                <w:rFonts w:hint="default"/>
                <w:color w:val="auto"/>
                <w:lang w:val="en-US" w:eastAsia="zh-CN"/>
              </w:rPr>
              <w:object>
                <v:shape id="_x0000_i1032" o:spt="75" type="#_x0000_t75" style="height:132.25pt;width:318.95pt;" o:ole="t" filled="f" o:preferrelative="t" stroked="f" coordsize="21600,21600">
                  <v:path/>
                  <v:fill on="f" focussize="0,0"/>
                  <v:stroke on="f"/>
                  <v:imagedata r:id="rId29" o:title=""/>
                  <o:lock v:ext="edit" aspectratio="f"/>
                  <w10:wrap type="none"/>
                  <w10:anchorlock/>
                </v:shape>
                <o:OLEObject Type="Embed" ProgID="Visio.Drawing.15" ShapeID="_x0000_i1032" DrawAspect="Content" ObjectID="_1468075732" r:id="rId28">
                  <o:LockedField>false</o:LockedField>
                </o:OLEObject>
              </w:object>
            </w:r>
          </w:p>
          <w:p w14:paraId="28E9F5FC">
            <w:pPr>
              <w:pStyle w:val="15"/>
              <w:jc w:val="center"/>
              <w:rPr>
                <w:rFonts w:hint="eastAsia"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图2-</w:t>
            </w:r>
            <w:r>
              <w:rPr>
                <w:rFonts w:hint="eastAsia" w:ascii="Times New Roman" w:hAnsi="Times New Roman" w:eastAsia="宋体" w:cs="Times New Roman"/>
                <w:b/>
                <w:bCs/>
                <w:color w:val="auto"/>
                <w:kern w:val="2"/>
                <w:sz w:val="24"/>
                <w:szCs w:val="24"/>
                <w:lang w:val="en-US" w:eastAsia="zh-CN" w:bidi="ar-SA"/>
              </w:rPr>
              <w:t>8</w:t>
            </w:r>
            <w:r>
              <w:rPr>
                <w:rFonts w:hint="default"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kern w:val="2"/>
                <w:sz w:val="24"/>
                <w:szCs w:val="24"/>
                <w:lang w:val="en-US" w:eastAsia="zh-CN" w:bidi="ar-SA"/>
              </w:rPr>
              <w:t>项目钣金件生产工艺流程图及产污环节示意图</w:t>
            </w:r>
          </w:p>
          <w:p w14:paraId="563F089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工艺流程介绍</w:t>
            </w:r>
          </w:p>
          <w:p w14:paraId="32BF4E94">
            <w:pPr>
              <w:numPr>
                <w:ilvl w:val="0"/>
                <w:numId w:val="0"/>
              </w:numPr>
              <w:spacing w:line="360" w:lineRule="auto"/>
              <w:ind w:firstLine="482"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lang w:val="en-US" w:eastAsia="zh-CN"/>
              </w:rPr>
              <w:t>冲压</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通过</w:t>
            </w:r>
            <w:r>
              <w:rPr>
                <w:rFonts w:hint="eastAsia" w:ascii="Times New Roman" w:hAnsi="Times New Roman" w:eastAsia="宋体" w:cs="Times New Roman"/>
                <w:color w:val="auto"/>
                <w:sz w:val="24"/>
                <w:szCs w:val="24"/>
                <w:highlight w:val="none"/>
                <w:lang w:val="en-US" w:eastAsia="zh-CN"/>
              </w:rPr>
              <w:t>冲床</w:t>
            </w:r>
            <w:r>
              <w:rPr>
                <w:rFonts w:hint="eastAsia" w:ascii="Times New Roman" w:hAnsi="Times New Roman" w:cs="Times New Roman"/>
                <w:color w:val="auto"/>
                <w:sz w:val="24"/>
                <w:lang w:val="en-US" w:eastAsia="zh-CN"/>
              </w:rPr>
              <w:t>将外购的</w:t>
            </w:r>
            <w:r>
              <w:rPr>
                <w:rFonts w:hint="eastAsia" w:cs="Times New Roman"/>
                <w:color w:val="auto"/>
                <w:sz w:val="24"/>
                <w:lang w:val="en-US" w:eastAsia="zh-CN"/>
              </w:rPr>
              <w:t>钣金件</w:t>
            </w:r>
            <w:r>
              <w:rPr>
                <w:rFonts w:hint="eastAsia" w:ascii="Times New Roman" w:hAnsi="Times New Roman" w:eastAsia="宋体" w:cs="Times New Roman"/>
                <w:color w:val="auto"/>
                <w:sz w:val="24"/>
                <w:szCs w:val="24"/>
                <w:highlight w:val="none"/>
                <w:lang w:val="en-US" w:eastAsia="zh-CN"/>
              </w:rPr>
              <w:t>冲压</w:t>
            </w:r>
            <w:r>
              <w:rPr>
                <w:rFonts w:hint="eastAsia" w:cs="Times New Roman"/>
                <w:color w:val="auto"/>
                <w:sz w:val="24"/>
                <w:szCs w:val="24"/>
                <w:highlight w:val="none"/>
                <w:lang w:val="en-US" w:eastAsia="zh-CN"/>
              </w:rPr>
              <w:t>成型</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color w:val="auto"/>
                <w:sz w:val="24"/>
                <w:szCs w:val="24"/>
                <w:lang w:val="en-US" w:eastAsia="zh-CN"/>
              </w:rPr>
              <w:t>此工段将产生</w:t>
            </w:r>
            <w:r>
              <w:rPr>
                <w:rFonts w:hint="eastAsia" w:ascii="Times New Roman" w:hAnsi="Times New Roman" w:eastAsia="宋体" w:cs="Times New Roman"/>
                <w:bCs/>
                <w:color w:val="auto"/>
                <w:sz w:val="24"/>
                <w:szCs w:val="24"/>
                <w:lang w:val="en-US" w:eastAsia="zh-CN"/>
              </w:rPr>
              <w:t>S3边角料和</w:t>
            </w:r>
            <w:r>
              <w:rPr>
                <w:rFonts w:hint="default" w:ascii="Times New Roman" w:hAnsi="Times New Roman" w:eastAsia="宋体" w:cs="Times New Roman"/>
                <w:bCs/>
                <w:color w:val="auto"/>
                <w:sz w:val="24"/>
                <w:szCs w:val="24"/>
                <w:lang w:val="en-US" w:eastAsia="zh-CN"/>
              </w:rPr>
              <w:t>噪声</w:t>
            </w:r>
            <w:r>
              <w:rPr>
                <w:rFonts w:hint="eastAsia" w:ascii="Times New Roman" w:hAnsi="Times New Roman" w:eastAsia="宋体" w:cs="Times New Roman"/>
                <w:color w:val="auto"/>
                <w:sz w:val="24"/>
                <w:szCs w:val="24"/>
                <w:highlight w:val="none"/>
                <w:lang w:eastAsia="zh-CN"/>
              </w:rPr>
              <w:t>。</w:t>
            </w:r>
          </w:p>
          <w:p w14:paraId="01922EEB">
            <w:pPr>
              <w:numPr>
                <w:ilvl w:val="0"/>
                <w:numId w:val="0"/>
              </w:numPr>
              <w:spacing w:line="360" w:lineRule="auto"/>
              <w:ind w:firstLine="482" w:firstLineChars="200"/>
              <w:rPr>
                <w:rFonts w:hint="eastAsia" w:cs="Times New Roman"/>
                <w:color w:val="auto"/>
                <w:sz w:val="24"/>
                <w:szCs w:val="24"/>
                <w:highlight w:val="none"/>
                <w:lang w:val="en-US" w:eastAsia="zh-CN"/>
              </w:rPr>
            </w:pPr>
            <w:r>
              <w:rPr>
                <w:rFonts w:hint="eastAsia" w:ascii="Times New Roman" w:hAnsi="Times New Roman" w:cs="Times New Roman"/>
                <w:b/>
                <w:bCs/>
                <w:color w:val="auto"/>
                <w:sz w:val="24"/>
                <w:lang w:val="en-US" w:eastAsia="zh-CN"/>
              </w:rPr>
              <w:t>焊接</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利用</w:t>
            </w:r>
            <w:r>
              <w:rPr>
                <w:rFonts w:hint="eastAsia" w:ascii="Times New Roman" w:hAnsi="Times New Roman" w:eastAsia="宋体" w:cs="Times New Roman"/>
                <w:color w:val="auto"/>
                <w:sz w:val="24"/>
                <w:szCs w:val="24"/>
                <w:highlight w:val="none"/>
                <w:lang w:eastAsia="zh-CN"/>
              </w:rPr>
              <w:t>氩弧焊、</w:t>
            </w:r>
            <w:r>
              <w:rPr>
                <w:rFonts w:hint="eastAsia" w:ascii="Times New Roman" w:hAnsi="Times New Roman" w:eastAsia="宋体" w:cs="Times New Roman"/>
                <w:color w:val="auto"/>
                <w:sz w:val="24"/>
                <w:szCs w:val="24"/>
                <w:highlight w:val="none"/>
                <w:lang w:val="en-US" w:eastAsia="zh-CN"/>
              </w:rPr>
              <w:t>点</w:t>
            </w:r>
            <w:r>
              <w:rPr>
                <w:rFonts w:hint="eastAsia" w:ascii="Times New Roman" w:hAnsi="Times New Roman" w:eastAsia="宋体" w:cs="Times New Roman"/>
                <w:color w:val="auto"/>
                <w:sz w:val="24"/>
                <w:szCs w:val="24"/>
                <w:highlight w:val="none"/>
                <w:lang w:eastAsia="zh-CN"/>
              </w:rPr>
              <w:t>焊机</w:t>
            </w:r>
            <w:r>
              <w:rPr>
                <w:rFonts w:hint="eastAsia" w:ascii="Times New Roman" w:hAnsi="Times New Roman" w:eastAsia="宋体" w:cs="Times New Roman"/>
                <w:color w:val="auto"/>
                <w:sz w:val="24"/>
                <w:szCs w:val="24"/>
                <w:highlight w:val="none"/>
                <w:lang w:val="en-US" w:eastAsia="zh-CN"/>
              </w:rPr>
              <w:t>对冲压后的钣金件</w:t>
            </w:r>
            <w:r>
              <w:rPr>
                <w:rFonts w:hint="eastAsia" w:ascii="Times New Roman" w:hAnsi="Times New Roman" w:eastAsia="宋体" w:cs="Times New Roman"/>
                <w:color w:val="auto"/>
                <w:sz w:val="24"/>
                <w:szCs w:val="24"/>
                <w:highlight w:val="none"/>
                <w:lang w:eastAsia="zh-CN"/>
              </w:rPr>
              <w:t>进行焊接拼装，形成成品的大致造型。该工序会产生焊接烟尘、</w:t>
            </w:r>
            <w:r>
              <w:rPr>
                <w:rFonts w:hint="eastAsia" w:cs="Times New Roman"/>
                <w:color w:val="auto"/>
                <w:sz w:val="24"/>
                <w:szCs w:val="24"/>
                <w:highlight w:val="none"/>
                <w:lang w:eastAsia="zh-CN"/>
              </w:rPr>
              <w:t>废焊丝、</w:t>
            </w:r>
            <w:r>
              <w:rPr>
                <w:rFonts w:hint="eastAsia" w:cs="Times New Roman"/>
                <w:color w:val="auto"/>
                <w:sz w:val="24"/>
                <w:szCs w:val="24"/>
                <w:highlight w:val="none"/>
                <w:lang w:val="en-US" w:eastAsia="zh-CN"/>
              </w:rPr>
              <w:t>焊渣</w:t>
            </w:r>
            <w:r>
              <w:rPr>
                <w:rFonts w:hint="eastAsia" w:ascii="Times New Roman" w:hAnsi="Times New Roman" w:eastAsia="宋体" w:cs="Times New Roman"/>
                <w:color w:val="auto"/>
                <w:sz w:val="24"/>
                <w:szCs w:val="24"/>
                <w:highlight w:val="none"/>
                <w:lang w:eastAsia="zh-CN"/>
              </w:rPr>
              <w:t>和噪声</w:t>
            </w:r>
            <w:r>
              <w:rPr>
                <w:rFonts w:hint="eastAsia" w:cs="Times New Roman"/>
                <w:color w:val="auto"/>
                <w:sz w:val="24"/>
                <w:szCs w:val="24"/>
                <w:highlight w:val="none"/>
                <w:lang w:val="en-US" w:eastAsia="zh-CN"/>
              </w:rPr>
              <w:t>。</w:t>
            </w:r>
          </w:p>
          <w:p w14:paraId="7F3790F2">
            <w:pPr>
              <w:numPr>
                <w:ilvl w:val="0"/>
                <w:numId w:val="0"/>
              </w:numPr>
              <w:autoSpaceDE w:val="0"/>
              <w:autoSpaceDN w:val="0"/>
              <w:spacing w:line="360" w:lineRule="auto"/>
              <w:ind w:firstLine="480"/>
              <w:jc w:val="left"/>
              <w:textAlignment w:val="bottom"/>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b/>
                <w:bCs/>
                <w:color w:val="auto"/>
                <w:kern w:val="2"/>
                <w:sz w:val="24"/>
                <w:szCs w:val="24"/>
                <w:lang w:val="en-US" w:eastAsia="zh-CN" w:bidi="ar-SA"/>
              </w:rPr>
              <w:t>攻牙</w:t>
            </w:r>
            <w:r>
              <w:rPr>
                <w:rFonts w:hint="eastAsia" w:ascii="Times New Roman" w:hAnsi="Times New Roman" w:cs="Times New Roman" w:eastAsiaTheme="minorEastAsia"/>
                <w:b/>
                <w:bCs/>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使用不同规格的丝锥配合攻牙机对焊接后的半成品，进行螺纹的攻牙操作。该工段会产生废边角料和噪声。</w:t>
            </w:r>
          </w:p>
          <w:p w14:paraId="0364DD77">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2.3.</w:t>
            </w:r>
            <w:r>
              <w:rPr>
                <w:rFonts w:hint="eastAsia"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产污环节分析</w:t>
            </w:r>
          </w:p>
          <w:p w14:paraId="2D8DBAD5">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项目产污环节、污染物项目、排放形式及污染防治设施详见下表</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p>
          <w:p w14:paraId="54D3A75D">
            <w:pPr>
              <w:pStyle w:val="165"/>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10</w:t>
            </w:r>
            <w:r>
              <w:rPr>
                <w:rFonts w:hint="default" w:ascii="Times New Roman" w:hAnsi="Times New Roman" w:cs="Times New Roman"/>
                <w:color w:val="auto"/>
                <w:lang w:val="en-US" w:eastAsia="zh-CN"/>
              </w:rPr>
              <w:t xml:space="preserve"> 项目产污</w:t>
            </w:r>
            <w:r>
              <w:rPr>
                <w:rFonts w:hint="eastAsia" w:ascii="Times New Roman" w:hAnsi="Times New Roman" w:cs="Times New Roman"/>
                <w:color w:val="auto"/>
                <w:lang w:val="en-US" w:eastAsia="zh-CN"/>
              </w:rPr>
              <w:t>环节说明</w:t>
            </w:r>
            <w:r>
              <w:rPr>
                <w:rFonts w:hint="default" w:ascii="Times New Roman" w:hAnsi="Times New Roman" w:cs="Times New Roman"/>
                <w:color w:val="auto"/>
                <w:lang w:val="en-US" w:eastAsia="zh-CN"/>
              </w:rPr>
              <w:t>一览表</w:t>
            </w:r>
          </w:p>
          <w:tbl>
            <w:tblPr>
              <w:tblStyle w:val="35"/>
              <w:tblW w:w="86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766"/>
              <w:gridCol w:w="1127"/>
              <w:gridCol w:w="1558"/>
              <w:gridCol w:w="1553"/>
              <w:gridCol w:w="3209"/>
            </w:tblGrid>
            <w:tr w14:paraId="5680E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noWrap w:val="0"/>
                  <w:vAlign w:val="center"/>
                </w:tcPr>
                <w:p w14:paraId="62D67B99">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序号</w:t>
                  </w:r>
                </w:p>
              </w:tc>
              <w:tc>
                <w:tcPr>
                  <w:tcW w:w="766" w:type="dxa"/>
                  <w:noWrap w:val="0"/>
                  <w:vAlign w:val="center"/>
                </w:tcPr>
                <w:p w14:paraId="5C8BFDA1">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类别</w:t>
                  </w:r>
                </w:p>
              </w:tc>
              <w:tc>
                <w:tcPr>
                  <w:tcW w:w="2685" w:type="dxa"/>
                  <w:gridSpan w:val="2"/>
                  <w:tcBorders>
                    <w:left w:val="single" w:color="000000" w:sz="4" w:space="0"/>
                    <w:right w:val="single" w:color="000000" w:sz="4" w:space="0"/>
                  </w:tcBorders>
                  <w:noWrap w:val="0"/>
                  <w:vAlign w:val="center"/>
                </w:tcPr>
                <w:p w14:paraId="60A506DC">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污染源或污染工序</w:t>
                  </w:r>
                </w:p>
              </w:tc>
              <w:tc>
                <w:tcPr>
                  <w:tcW w:w="1553" w:type="dxa"/>
                  <w:tcBorders>
                    <w:left w:val="single" w:color="000000" w:sz="4" w:space="0"/>
                    <w:right w:val="single" w:color="000000" w:sz="4" w:space="0"/>
                  </w:tcBorders>
                  <w:noWrap w:val="0"/>
                  <w:vAlign w:val="center"/>
                </w:tcPr>
                <w:p w14:paraId="547FD77E">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主要污染物</w:t>
                  </w:r>
                </w:p>
              </w:tc>
              <w:tc>
                <w:tcPr>
                  <w:tcW w:w="3209" w:type="dxa"/>
                  <w:tcBorders>
                    <w:left w:val="single" w:color="000000" w:sz="4" w:space="0"/>
                  </w:tcBorders>
                  <w:noWrap w:val="0"/>
                  <w:vAlign w:val="center"/>
                </w:tcPr>
                <w:p w14:paraId="2E7E295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环保措施</w:t>
                  </w:r>
                </w:p>
              </w:tc>
            </w:tr>
            <w:tr w14:paraId="24D1C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14:paraId="529A584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1</w:t>
                  </w:r>
                </w:p>
              </w:tc>
              <w:tc>
                <w:tcPr>
                  <w:tcW w:w="766" w:type="dxa"/>
                  <w:vMerge w:val="restart"/>
                  <w:noWrap w:val="0"/>
                  <w:vAlign w:val="center"/>
                </w:tcPr>
                <w:p w14:paraId="09EF458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废水</w:t>
                  </w:r>
                </w:p>
              </w:tc>
              <w:tc>
                <w:tcPr>
                  <w:tcW w:w="1127" w:type="dxa"/>
                  <w:tcBorders>
                    <w:left w:val="single" w:color="000000" w:sz="4" w:space="0"/>
                    <w:right w:val="single" w:color="000000" w:sz="4" w:space="0"/>
                  </w:tcBorders>
                  <w:noWrap w:val="0"/>
                  <w:vAlign w:val="center"/>
                </w:tcPr>
                <w:p w14:paraId="53F878D4">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职工</w:t>
                  </w:r>
                  <w:r>
                    <w:rPr>
                      <w:rFonts w:hint="eastAsia" w:ascii="Times New Roman" w:hAnsi="Times New Roman" w:eastAsia="宋体" w:cs="Times New Roman"/>
                      <w:color w:val="auto"/>
                      <w:kern w:val="0"/>
                      <w:sz w:val="21"/>
                      <w:szCs w:val="21"/>
                      <w:highlight w:val="none"/>
                      <w:lang w:eastAsia="zh-CN"/>
                    </w:rPr>
                    <w:t>生活</w:t>
                  </w:r>
                </w:p>
              </w:tc>
              <w:tc>
                <w:tcPr>
                  <w:tcW w:w="1558" w:type="dxa"/>
                  <w:tcBorders>
                    <w:left w:val="single" w:color="000000" w:sz="4" w:space="0"/>
                    <w:right w:val="single" w:color="000000" w:sz="4" w:space="0"/>
                  </w:tcBorders>
                  <w:noWrap w:val="0"/>
                  <w:vAlign w:val="center"/>
                </w:tcPr>
                <w:p w14:paraId="46EFC50F">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生活污水</w:t>
                  </w:r>
                </w:p>
              </w:tc>
              <w:tc>
                <w:tcPr>
                  <w:tcW w:w="1553" w:type="dxa"/>
                  <w:tcBorders>
                    <w:left w:val="single" w:color="000000" w:sz="4" w:space="0"/>
                    <w:bottom w:val="single" w:color="000000" w:sz="4" w:space="0"/>
                    <w:right w:val="single" w:color="000000" w:sz="4" w:space="0"/>
                  </w:tcBorders>
                  <w:noWrap w:val="0"/>
                  <w:vAlign w:val="center"/>
                </w:tcPr>
                <w:p w14:paraId="65FB57A9">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COD、SS</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aps w:val="0"/>
                      <w:smallCaps w:val="0"/>
                      <w:color w:val="auto"/>
                      <w:kern w:val="2"/>
                      <w:sz w:val="21"/>
                      <w:szCs w:val="21"/>
                      <w:highlight w:val="none"/>
                      <w:lang w:val="en-US" w:eastAsia="zh-CN" w:bidi="zh-CN"/>
                    </w:rPr>
                    <w:t>NH</w:t>
                  </w:r>
                  <w:r>
                    <w:rPr>
                      <w:rFonts w:hint="eastAsia" w:ascii="Times New Roman" w:hAnsi="Times New Roman" w:eastAsia="宋体" w:cs="Times New Roman"/>
                      <w:caps w:val="0"/>
                      <w:smallCaps w:val="0"/>
                      <w:color w:val="auto"/>
                      <w:kern w:val="2"/>
                      <w:sz w:val="21"/>
                      <w:szCs w:val="21"/>
                      <w:highlight w:val="none"/>
                      <w:vertAlign w:val="subscript"/>
                      <w:lang w:val="en-US" w:eastAsia="zh-CN" w:bidi="zh-CN"/>
                    </w:rPr>
                    <w:t>3</w:t>
                  </w:r>
                  <w:r>
                    <w:rPr>
                      <w:rFonts w:hint="eastAsia" w:ascii="Times New Roman" w:hAnsi="Times New Roman" w:eastAsia="宋体" w:cs="Times New Roman"/>
                      <w:caps w:val="0"/>
                      <w:smallCaps w:val="0"/>
                      <w:color w:val="auto"/>
                      <w:kern w:val="2"/>
                      <w:sz w:val="21"/>
                      <w:szCs w:val="21"/>
                      <w:highlight w:val="none"/>
                      <w:lang w:val="en-US" w:eastAsia="zh-CN" w:bidi="zh-CN"/>
                    </w:rPr>
                    <w:t>-N</w:t>
                  </w:r>
                </w:p>
              </w:tc>
              <w:tc>
                <w:tcPr>
                  <w:tcW w:w="3209" w:type="dxa"/>
                  <w:tcBorders>
                    <w:left w:val="single" w:color="000000" w:sz="4" w:space="0"/>
                  </w:tcBorders>
                  <w:noWrap w:val="0"/>
                  <w:vAlign w:val="center"/>
                </w:tcPr>
                <w:p w14:paraId="7ED05898">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经化粪池处理，出水排入市政污水管网，纳入福清市融元污水处理厂集中处理</w:t>
                  </w:r>
                </w:p>
              </w:tc>
            </w:tr>
            <w:tr w14:paraId="58F42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3710F81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noWrap w:val="0"/>
                  <w:vAlign w:val="center"/>
                </w:tcPr>
                <w:p w14:paraId="24BE28ED">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1127" w:type="dxa"/>
                  <w:tcBorders>
                    <w:left w:val="single" w:color="000000" w:sz="4" w:space="0"/>
                    <w:right w:val="single" w:color="000000" w:sz="4" w:space="0"/>
                  </w:tcBorders>
                  <w:noWrap w:val="0"/>
                  <w:vAlign w:val="center"/>
                </w:tcPr>
                <w:p w14:paraId="46982FBB">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间接冷却</w:t>
                  </w:r>
                </w:p>
              </w:tc>
              <w:tc>
                <w:tcPr>
                  <w:tcW w:w="1558" w:type="dxa"/>
                  <w:tcBorders>
                    <w:left w:val="single" w:color="000000" w:sz="4" w:space="0"/>
                    <w:right w:val="single" w:color="000000" w:sz="4" w:space="0"/>
                  </w:tcBorders>
                  <w:noWrap w:val="0"/>
                  <w:vAlign w:val="center"/>
                </w:tcPr>
                <w:p w14:paraId="7945350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冷却水</w:t>
                  </w:r>
                </w:p>
              </w:tc>
              <w:tc>
                <w:tcPr>
                  <w:tcW w:w="1553" w:type="dxa"/>
                  <w:tcBorders>
                    <w:left w:val="single" w:color="000000" w:sz="4" w:space="0"/>
                    <w:bottom w:val="single" w:color="000000" w:sz="4" w:space="0"/>
                    <w:right w:val="single" w:color="000000" w:sz="4" w:space="0"/>
                  </w:tcBorders>
                  <w:noWrap w:val="0"/>
                  <w:vAlign w:val="center"/>
                </w:tcPr>
                <w:p w14:paraId="3C60E13B">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COD、SS</w:t>
                  </w:r>
                </w:p>
              </w:tc>
              <w:tc>
                <w:tcPr>
                  <w:tcW w:w="3209" w:type="dxa"/>
                  <w:tcBorders>
                    <w:left w:val="single" w:color="000000" w:sz="4" w:space="0"/>
                  </w:tcBorders>
                  <w:noWrap w:val="0"/>
                  <w:vAlign w:val="center"/>
                </w:tcPr>
                <w:p w14:paraId="3D958800">
                  <w:pPr>
                    <w:keepNext w:val="0"/>
                    <w:keepLines w:val="0"/>
                    <w:pageBreakBefore w:val="0"/>
                    <w:widowControl/>
                    <w:kinsoku/>
                    <w:wordWrap/>
                    <w:overflowPunct/>
                    <w:topLinePunct w:val="0"/>
                    <w:bidi w:val="0"/>
                    <w:adjustRightInd/>
                    <w:snapToGrid/>
                    <w:spacing w:line="240" w:lineRule="auto"/>
                    <w:jc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冷却水循环使用定期补水，不外排</w:t>
                  </w:r>
                </w:p>
              </w:tc>
            </w:tr>
            <w:tr w14:paraId="54C9D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14:paraId="624B000A">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766" w:type="dxa"/>
                  <w:vMerge w:val="restart"/>
                  <w:noWrap w:val="0"/>
                  <w:vAlign w:val="center"/>
                </w:tcPr>
                <w:p w14:paraId="5B555202">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废气</w:t>
                  </w:r>
                </w:p>
              </w:tc>
              <w:tc>
                <w:tcPr>
                  <w:tcW w:w="1127" w:type="dxa"/>
                  <w:tcBorders>
                    <w:left w:val="single" w:color="000000" w:sz="4" w:space="0"/>
                    <w:right w:val="single" w:color="000000" w:sz="4" w:space="0"/>
                  </w:tcBorders>
                  <w:noWrap w:val="0"/>
                  <w:vAlign w:val="center"/>
                </w:tcPr>
                <w:p w14:paraId="033B0A3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注塑</w:t>
                  </w:r>
                </w:p>
              </w:tc>
              <w:tc>
                <w:tcPr>
                  <w:tcW w:w="1558" w:type="dxa"/>
                  <w:tcBorders>
                    <w:left w:val="single" w:color="000000" w:sz="4" w:space="0"/>
                    <w:right w:val="single" w:color="000000" w:sz="4" w:space="0"/>
                  </w:tcBorders>
                  <w:noWrap w:val="0"/>
                  <w:vAlign w:val="center"/>
                </w:tcPr>
                <w:p w14:paraId="09EB7F3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bidi="ar"/>
                    </w:rPr>
                    <w:t>G1注塑废气</w:t>
                  </w:r>
                </w:p>
              </w:tc>
              <w:tc>
                <w:tcPr>
                  <w:tcW w:w="1553" w:type="dxa"/>
                  <w:tcBorders>
                    <w:top w:val="single" w:color="000000" w:sz="4" w:space="0"/>
                    <w:left w:val="single" w:color="000000" w:sz="4" w:space="0"/>
                    <w:right w:val="single" w:color="000000" w:sz="4" w:space="0"/>
                  </w:tcBorders>
                  <w:noWrap w:val="0"/>
                  <w:vAlign w:val="center"/>
                </w:tcPr>
                <w:p w14:paraId="50CF087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非甲烷总烃、臭气浓度</w:t>
                  </w:r>
                </w:p>
              </w:tc>
              <w:tc>
                <w:tcPr>
                  <w:tcW w:w="3209" w:type="dxa"/>
                  <w:vMerge w:val="restart"/>
                  <w:tcBorders>
                    <w:left w:val="single" w:color="000000" w:sz="4" w:space="0"/>
                  </w:tcBorders>
                  <w:noWrap w:val="0"/>
                  <w:vAlign w:val="center"/>
                </w:tcPr>
                <w:p w14:paraId="5DB20A14">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yellow"/>
                      <w:lang w:val="en-US" w:eastAsia="zh-CN" w:bidi="ar"/>
                    </w:rPr>
                  </w:pPr>
                  <w:r>
                    <w:rPr>
                      <w:color w:val="auto"/>
                      <w:sz w:val="21"/>
                      <w:szCs w:val="21"/>
                      <w:highlight w:val="none"/>
                    </w:rPr>
                    <w:t>经</w:t>
                  </w:r>
                  <w:r>
                    <w:rPr>
                      <w:rFonts w:hint="eastAsia"/>
                      <w:color w:val="auto"/>
                      <w:sz w:val="21"/>
                      <w:szCs w:val="21"/>
                      <w:highlight w:val="none"/>
                      <w:lang w:eastAsia="zh-CN"/>
                    </w:rPr>
                    <w:t>二级活性炭吸附装置</w:t>
                  </w:r>
                  <w:r>
                    <w:rPr>
                      <w:rFonts w:hint="eastAsia"/>
                      <w:color w:val="auto"/>
                      <w:sz w:val="21"/>
                      <w:szCs w:val="21"/>
                      <w:highlight w:val="none"/>
                    </w:rPr>
                    <w:t>处理后通过</w:t>
                  </w:r>
                  <w:r>
                    <w:rPr>
                      <w:rFonts w:hint="eastAsia"/>
                      <w:color w:val="auto"/>
                      <w:sz w:val="21"/>
                      <w:szCs w:val="21"/>
                      <w:highlight w:val="none"/>
                      <w:lang w:val="en-US" w:eastAsia="zh-CN"/>
                    </w:rPr>
                    <w:t>2</w:t>
                  </w:r>
                  <w:r>
                    <w:rPr>
                      <w:rFonts w:hint="eastAsia"/>
                      <w:color w:val="auto"/>
                      <w:sz w:val="21"/>
                      <w:szCs w:val="21"/>
                      <w:highlight w:val="none"/>
                    </w:rPr>
                    <w:t>5</w:t>
                  </w:r>
                  <w:r>
                    <w:rPr>
                      <w:color w:val="auto"/>
                      <w:sz w:val="21"/>
                      <w:szCs w:val="21"/>
                      <w:highlight w:val="none"/>
                    </w:rPr>
                    <w:t>m高DA00</w:t>
                  </w:r>
                  <w:r>
                    <w:rPr>
                      <w:rFonts w:hint="eastAsia"/>
                      <w:color w:val="auto"/>
                      <w:sz w:val="21"/>
                      <w:szCs w:val="21"/>
                      <w:highlight w:val="none"/>
                      <w:lang w:eastAsia="zh-CN"/>
                    </w:rPr>
                    <w:t>2</w:t>
                  </w:r>
                  <w:r>
                    <w:rPr>
                      <w:color w:val="auto"/>
                      <w:sz w:val="21"/>
                      <w:szCs w:val="21"/>
                      <w:highlight w:val="none"/>
                    </w:rPr>
                    <w:t>排气筒排放</w:t>
                  </w:r>
                </w:p>
              </w:tc>
            </w:tr>
            <w:tr w14:paraId="2DBC6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0FC1A66E">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noWrap w:val="0"/>
                  <w:vAlign w:val="center"/>
                </w:tcPr>
                <w:p w14:paraId="362D6973">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noWrap w:val="0"/>
                  <w:vAlign w:val="center"/>
                </w:tcPr>
                <w:p w14:paraId="0686AD0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涂胶</w:t>
                  </w:r>
                </w:p>
              </w:tc>
              <w:tc>
                <w:tcPr>
                  <w:tcW w:w="1558" w:type="dxa"/>
                  <w:tcBorders>
                    <w:left w:val="single" w:color="000000" w:sz="4" w:space="0"/>
                    <w:right w:val="single" w:color="000000" w:sz="4" w:space="0"/>
                  </w:tcBorders>
                  <w:noWrap w:val="0"/>
                  <w:vAlign w:val="center"/>
                </w:tcPr>
                <w:p w14:paraId="2A459E1C">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G3、G6涂胶废气</w:t>
                  </w:r>
                </w:p>
              </w:tc>
              <w:tc>
                <w:tcPr>
                  <w:tcW w:w="1553" w:type="dxa"/>
                  <w:tcBorders>
                    <w:top w:val="single" w:color="000000" w:sz="4" w:space="0"/>
                    <w:left w:val="single" w:color="000000" w:sz="4" w:space="0"/>
                    <w:right w:val="single" w:color="000000" w:sz="4" w:space="0"/>
                  </w:tcBorders>
                  <w:noWrap w:val="0"/>
                  <w:vAlign w:val="center"/>
                </w:tcPr>
                <w:p w14:paraId="4C35BCCE">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非甲烷总烃、甲苯、苯系物</w:t>
                  </w:r>
                </w:p>
              </w:tc>
              <w:tc>
                <w:tcPr>
                  <w:tcW w:w="3209" w:type="dxa"/>
                  <w:vMerge w:val="continue"/>
                  <w:tcBorders>
                    <w:left w:val="single" w:color="000000" w:sz="4" w:space="0"/>
                  </w:tcBorders>
                  <w:noWrap w:val="0"/>
                  <w:vAlign w:val="center"/>
                </w:tcPr>
                <w:p w14:paraId="372EAD4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color w:val="auto"/>
                      <w:sz w:val="21"/>
                      <w:szCs w:val="21"/>
                      <w:highlight w:val="yellow"/>
                    </w:rPr>
                  </w:pPr>
                </w:p>
              </w:tc>
            </w:tr>
            <w:tr w14:paraId="66D25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60710834">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noWrap w:val="0"/>
                  <w:vAlign w:val="center"/>
                </w:tcPr>
                <w:p w14:paraId="5220E88C">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noWrap w:val="0"/>
                  <w:vAlign w:val="center"/>
                </w:tcPr>
                <w:p w14:paraId="4F5A752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挤出、复合</w:t>
                  </w:r>
                </w:p>
              </w:tc>
              <w:tc>
                <w:tcPr>
                  <w:tcW w:w="1558" w:type="dxa"/>
                  <w:tcBorders>
                    <w:left w:val="single" w:color="000000" w:sz="4" w:space="0"/>
                    <w:right w:val="single" w:color="000000" w:sz="4" w:space="0"/>
                  </w:tcBorders>
                  <w:noWrap w:val="0"/>
                  <w:vAlign w:val="center"/>
                </w:tcPr>
                <w:p w14:paraId="294B8CE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G4、G5挤出废气、G8复合废气</w:t>
                  </w:r>
                </w:p>
              </w:tc>
              <w:tc>
                <w:tcPr>
                  <w:tcW w:w="1553" w:type="dxa"/>
                  <w:tcBorders>
                    <w:top w:val="single" w:color="000000" w:sz="4" w:space="0"/>
                    <w:left w:val="single" w:color="000000" w:sz="4" w:space="0"/>
                    <w:right w:val="single" w:color="000000" w:sz="4" w:space="0"/>
                  </w:tcBorders>
                  <w:noWrap w:val="0"/>
                  <w:vAlign w:val="center"/>
                </w:tcPr>
                <w:p w14:paraId="47735CB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非甲烷总烃、氯化氢、臭气浓度</w:t>
                  </w:r>
                </w:p>
              </w:tc>
              <w:tc>
                <w:tcPr>
                  <w:tcW w:w="3209" w:type="dxa"/>
                  <w:vMerge w:val="continue"/>
                  <w:tcBorders>
                    <w:left w:val="single" w:color="000000" w:sz="4" w:space="0"/>
                  </w:tcBorders>
                  <w:noWrap w:val="0"/>
                  <w:vAlign w:val="center"/>
                </w:tcPr>
                <w:p w14:paraId="7DD6F186">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color w:val="auto"/>
                      <w:sz w:val="21"/>
                      <w:szCs w:val="21"/>
                      <w:highlight w:val="yellow"/>
                    </w:rPr>
                  </w:pPr>
                </w:p>
              </w:tc>
            </w:tr>
            <w:tr w14:paraId="36727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5C0CD60E">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noWrap w:val="0"/>
                  <w:vAlign w:val="center"/>
                </w:tcPr>
                <w:p w14:paraId="0893B70B">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noWrap w:val="0"/>
                  <w:vAlign w:val="center"/>
                </w:tcPr>
                <w:p w14:paraId="2933A5F6">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破碎</w:t>
                  </w:r>
                </w:p>
              </w:tc>
              <w:tc>
                <w:tcPr>
                  <w:tcW w:w="1558" w:type="dxa"/>
                  <w:tcBorders>
                    <w:left w:val="single" w:color="000000" w:sz="4" w:space="0"/>
                    <w:right w:val="single" w:color="000000" w:sz="4" w:space="0"/>
                  </w:tcBorders>
                  <w:noWrap w:val="0"/>
                  <w:vAlign w:val="center"/>
                </w:tcPr>
                <w:p w14:paraId="4C154D30">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G2破碎废气</w:t>
                  </w:r>
                </w:p>
              </w:tc>
              <w:tc>
                <w:tcPr>
                  <w:tcW w:w="1553" w:type="dxa"/>
                  <w:tcBorders>
                    <w:top w:val="single" w:color="000000" w:sz="4" w:space="0"/>
                    <w:left w:val="single" w:color="000000" w:sz="4" w:space="0"/>
                    <w:right w:val="single" w:color="000000" w:sz="4" w:space="0"/>
                  </w:tcBorders>
                  <w:noWrap w:val="0"/>
                  <w:vAlign w:val="center"/>
                </w:tcPr>
                <w:p w14:paraId="60B58216">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颗粒物</w:t>
                  </w:r>
                </w:p>
              </w:tc>
              <w:tc>
                <w:tcPr>
                  <w:tcW w:w="3209" w:type="dxa"/>
                  <w:tcBorders>
                    <w:left w:val="single" w:color="000000" w:sz="4" w:space="0"/>
                  </w:tcBorders>
                  <w:noWrap w:val="0"/>
                  <w:vAlign w:val="center"/>
                </w:tcPr>
                <w:p w14:paraId="3455FD1E">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color w:val="auto"/>
                      <w:sz w:val="21"/>
                      <w:szCs w:val="21"/>
                      <w:highlight w:val="none"/>
                    </w:rPr>
                    <w:t>经袋式除尘器处理达标后于车间内无组织排放</w:t>
                  </w:r>
                </w:p>
              </w:tc>
            </w:tr>
            <w:tr w14:paraId="40A6F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30A3EAA7">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766" w:type="dxa"/>
                  <w:vMerge w:val="continue"/>
                  <w:noWrap w:val="0"/>
                  <w:vAlign w:val="center"/>
                </w:tcPr>
                <w:p w14:paraId="73EFDBF9">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yellow"/>
                      <w:lang w:val="en-US" w:eastAsia="zh-CN"/>
                    </w:rPr>
                  </w:pPr>
                </w:p>
              </w:tc>
              <w:tc>
                <w:tcPr>
                  <w:tcW w:w="1127" w:type="dxa"/>
                  <w:tcBorders>
                    <w:left w:val="single" w:color="000000" w:sz="4" w:space="0"/>
                    <w:right w:val="single" w:color="000000" w:sz="4" w:space="0"/>
                  </w:tcBorders>
                  <w:noWrap w:val="0"/>
                  <w:vAlign w:val="center"/>
                </w:tcPr>
                <w:p w14:paraId="1784DE2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焊接</w:t>
                  </w:r>
                </w:p>
              </w:tc>
              <w:tc>
                <w:tcPr>
                  <w:tcW w:w="1558" w:type="dxa"/>
                  <w:tcBorders>
                    <w:left w:val="single" w:color="000000" w:sz="4" w:space="0"/>
                    <w:right w:val="single" w:color="000000" w:sz="4" w:space="0"/>
                  </w:tcBorders>
                  <w:noWrap w:val="0"/>
                  <w:vAlign w:val="center"/>
                </w:tcPr>
                <w:p w14:paraId="5A3E585A">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G7焊接烟尘</w:t>
                  </w:r>
                </w:p>
              </w:tc>
              <w:tc>
                <w:tcPr>
                  <w:tcW w:w="1553" w:type="dxa"/>
                  <w:tcBorders>
                    <w:top w:val="single" w:color="000000" w:sz="4" w:space="0"/>
                    <w:left w:val="single" w:color="000000" w:sz="4" w:space="0"/>
                    <w:right w:val="single" w:color="000000" w:sz="4" w:space="0"/>
                  </w:tcBorders>
                  <w:noWrap w:val="0"/>
                  <w:vAlign w:val="center"/>
                </w:tcPr>
                <w:p w14:paraId="24FB562E">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颗粒物</w:t>
                  </w:r>
                </w:p>
              </w:tc>
              <w:tc>
                <w:tcPr>
                  <w:tcW w:w="3209" w:type="dxa"/>
                  <w:tcBorders>
                    <w:left w:val="single" w:color="000000" w:sz="4" w:space="0"/>
                  </w:tcBorders>
                  <w:noWrap w:val="0"/>
                  <w:vAlign w:val="center"/>
                </w:tcPr>
                <w:p w14:paraId="28322A5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color w:val="auto"/>
                      <w:sz w:val="21"/>
                      <w:szCs w:val="21"/>
                      <w:highlight w:val="none"/>
                    </w:rPr>
                  </w:pPr>
                  <w:r>
                    <w:rPr>
                      <w:rFonts w:hint="eastAsia"/>
                      <w:color w:val="auto"/>
                      <w:sz w:val="21"/>
                      <w:szCs w:val="21"/>
                      <w:highlight w:val="none"/>
                    </w:rPr>
                    <w:t>经移动式烟尘净化器处理达标后于车间内无组织排放</w:t>
                  </w:r>
                </w:p>
              </w:tc>
            </w:tr>
            <w:tr w14:paraId="72768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restart"/>
                  <w:noWrap w:val="0"/>
                  <w:vAlign w:val="center"/>
                </w:tcPr>
                <w:p w14:paraId="0FA4CA2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3</w:t>
                  </w:r>
                </w:p>
              </w:tc>
              <w:tc>
                <w:tcPr>
                  <w:tcW w:w="766" w:type="dxa"/>
                  <w:vMerge w:val="restart"/>
                  <w:tcBorders>
                    <w:right w:val="single" w:color="000000" w:sz="4" w:space="0"/>
                  </w:tcBorders>
                  <w:noWrap w:val="0"/>
                  <w:vAlign w:val="center"/>
                </w:tcPr>
                <w:p w14:paraId="3A98B0B3">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一般工业固废</w:t>
                  </w:r>
                </w:p>
              </w:tc>
              <w:tc>
                <w:tcPr>
                  <w:tcW w:w="2685" w:type="dxa"/>
                  <w:gridSpan w:val="2"/>
                  <w:tcBorders>
                    <w:right w:val="single" w:color="000000" w:sz="4" w:space="0"/>
                  </w:tcBorders>
                  <w:noWrap w:val="0"/>
                  <w:vAlign w:val="center"/>
                </w:tcPr>
                <w:p w14:paraId="32608F7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注塑成型、修边</w:t>
                  </w:r>
                </w:p>
              </w:tc>
              <w:tc>
                <w:tcPr>
                  <w:tcW w:w="1553" w:type="dxa"/>
                  <w:tcBorders>
                    <w:left w:val="single" w:color="000000" w:sz="4" w:space="0"/>
                    <w:right w:val="single" w:color="000000" w:sz="4" w:space="0"/>
                  </w:tcBorders>
                  <w:noWrap w:val="0"/>
                  <w:vAlign w:val="center"/>
                </w:tcPr>
                <w:p w14:paraId="788A12C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S1边角料</w:t>
                  </w:r>
                </w:p>
              </w:tc>
              <w:tc>
                <w:tcPr>
                  <w:tcW w:w="3209" w:type="dxa"/>
                  <w:tcBorders>
                    <w:left w:val="single" w:color="000000" w:sz="4" w:space="0"/>
                  </w:tcBorders>
                  <w:noWrap w:val="0"/>
                  <w:vAlign w:val="center"/>
                </w:tcPr>
                <w:p w14:paraId="40A855A5">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回至生产线重新生产</w:t>
                  </w:r>
                </w:p>
              </w:tc>
            </w:tr>
            <w:tr w14:paraId="479C8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3EE1826A">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continue"/>
                  <w:tcBorders>
                    <w:right w:val="single" w:color="000000" w:sz="4" w:space="0"/>
                  </w:tcBorders>
                  <w:noWrap w:val="0"/>
                  <w:vAlign w:val="center"/>
                </w:tcPr>
                <w:p w14:paraId="2B3285C6">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5215E85A">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辊压成型、裁切</w:t>
                  </w:r>
                </w:p>
              </w:tc>
              <w:tc>
                <w:tcPr>
                  <w:tcW w:w="1553" w:type="dxa"/>
                  <w:tcBorders>
                    <w:left w:val="single" w:color="000000" w:sz="4" w:space="0"/>
                    <w:right w:val="single" w:color="000000" w:sz="4" w:space="0"/>
                  </w:tcBorders>
                  <w:noWrap w:val="0"/>
                  <w:vAlign w:val="center"/>
                </w:tcPr>
                <w:p w14:paraId="4076B063">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S2边角料</w:t>
                  </w:r>
                </w:p>
              </w:tc>
              <w:tc>
                <w:tcPr>
                  <w:tcW w:w="3209" w:type="dxa"/>
                  <w:vMerge w:val="restart"/>
                  <w:tcBorders>
                    <w:left w:val="single" w:color="000000" w:sz="4" w:space="0"/>
                  </w:tcBorders>
                  <w:noWrap w:val="0"/>
                  <w:vAlign w:val="center"/>
                </w:tcPr>
                <w:p w14:paraId="11D0D399">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属于一般工业固废，收集</w:t>
                  </w:r>
                  <w:r>
                    <w:rPr>
                      <w:rFonts w:hint="eastAsia" w:ascii="Times New Roman" w:hAnsi="Times New Roman" w:cs="Times New Roman"/>
                      <w:b w:val="0"/>
                      <w:bCs/>
                      <w:color w:val="auto"/>
                      <w:sz w:val="21"/>
                      <w:szCs w:val="21"/>
                      <w:highlight w:val="none"/>
                      <w:lang w:eastAsia="zh-CN"/>
                    </w:rPr>
                    <w:t>后外售综合利用</w:t>
                  </w:r>
                </w:p>
              </w:tc>
            </w:tr>
            <w:tr w14:paraId="4B247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1C282BE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noWrap w:val="0"/>
                  <w:vAlign w:val="center"/>
                </w:tcPr>
                <w:p w14:paraId="4C2E2A86">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2C6A1E5A">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冲压、攻牙</w:t>
                  </w:r>
                </w:p>
              </w:tc>
              <w:tc>
                <w:tcPr>
                  <w:tcW w:w="1553" w:type="dxa"/>
                  <w:tcBorders>
                    <w:left w:val="single" w:color="000000" w:sz="4" w:space="0"/>
                    <w:right w:val="single" w:color="000000" w:sz="4" w:space="0"/>
                  </w:tcBorders>
                  <w:noWrap w:val="0"/>
                  <w:vAlign w:val="center"/>
                </w:tcPr>
                <w:p w14:paraId="70E78F2F">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S3边角料</w:t>
                  </w:r>
                </w:p>
              </w:tc>
              <w:tc>
                <w:tcPr>
                  <w:tcW w:w="3209" w:type="dxa"/>
                  <w:vMerge w:val="continue"/>
                  <w:tcBorders>
                    <w:left w:val="single" w:color="000000" w:sz="4" w:space="0"/>
                  </w:tcBorders>
                  <w:noWrap w:val="0"/>
                  <w:vAlign w:val="center"/>
                </w:tcPr>
                <w:p w14:paraId="30B744B1">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44A09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5EC101C5">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noWrap w:val="0"/>
                  <w:vAlign w:val="center"/>
                </w:tcPr>
                <w:p w14:paraId="323130BA">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5F23B8BA">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焊接</w:t>
                  </w:r>
                </w:p>
              </w:tc>
              <w:tc>
                <w:tcPr>
                  <w:tcW w:w="1553" w:type="dxa"/>
                  <w:tcBorders>
                    <w:left w:val="single" w:color="000000" w:sz="4" w:space="0"/>
                    <w:right w:val="single" w:color="000000" w:sz="4" w:space="0"/>
                  </w:tcBorders>
                  <w:noWrap w:val="0"/>
                  <w:vAlign w:val="center"/>
                </w:tcPr>
                <w:p w14:paraId="2A356424">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S4废焊丝、焊渣</w:t>
                  </w:r>
                </w:p>
              </w:tc>
              <w:tc>
                <w:tcPr>
                  <w:tcW w:w="3209" w:type="dxa"/>
                  <w:vMerge w:val="continue"/>
                  <w:tcBorders>
                    <w:left w:val="single" w:color="000000" w:sz="4" w:space="0"/>
                  </w:tcBorders>
                  <w:noWrap w:val="0"/>
                  <w:vAlign w:val="center"/>
                </w:tcPr>
                <w:p w14:paraId="2660A0F8">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0525A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7301C280">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noWrap w:val="0"/>
                  <w:vAlign w:val="center"/>
                </w:tcPr>
                <w:p w14:paraId="0CBC4564">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36EC9031">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原料包装</w:t>
                  </w:r>
                </w:p>
              </w:tc>
              <w:tc>
                <w:tcPr>
                  <w:tcW w:w="1553" w:type="dxa"/>
                  <w:tcBorders>
                    <w:left w:val="single" w:color="000000" w:sz="4" w:space="0"/>
                    <w:right w:val="single" w:color="000000" w:sz="4" w:space="0"/>
                  </w:tcBorders>
                  <w:noWrap w:val="0"/>
                  <w:vAlign w:val="center"/>
                </w:tcPr>
                <w:p w14:paraId="5C6236BD">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S5废包装材料</w:t>
                  </w:r>
                </w:p>
              </w:tc>
              <w:tc>
                <w:tcPr>
                  <w:tcW w:w="3209" w:type="dxa"/>
                  <w:vMerge w:val="continue"/>
                  <w:tcBorders>
                    <w:left w:val="single" w:color="000000" w:sz="4" w:space="0"/>
                  </w:tcBorders>
                  <w:noWrap w:val="0"/>
                  <w:vAlign w:val="center"/>
                </w:tcPr>
                <w:p w14:paraId="7BBD4AF5">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2B170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3A0B34A8">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tcBorders>
                    <w:right w:val="single" w:color="000000" w:sz="4" w:space="0"/>
                  </w:tcBorders>
                  <w:noWrap w:val="0"/>
                  <w:vAlign w:val="center"/>
                </w:tcPr>
                <w:p w14:paraId="49C22F32">
                  <w:pPr>
                    <w:keepNext w:val="0"/>
                    <w:keepLines w:val="0"/>
                    <w:pageBreakBefore w:val="0"/>
                    <w:widowControl/>
                    <w:kinsoku/>
                    <w:wordWrap/>
                    <w:overflowPunct/>
                    <w:topLinePunct w:val="0"/>
                    <w:bidi w:val="0"/>
                    <w:adjustRightInd w:val="0"/>
                    <w:snapToGrid w:val="0"/>
                    <w:spacing w:line="240" w:lineRule="auto"/>
                    <w:ind w:left="0" w:leftChars="0"/>
                    <w:jc w:val="center"/>
                    <w:rPr>
                      <w:rFonts w:hint="eastAsia" w:ascii="Times New Roman" w:hAnsi="Times New Roman" w:eastAsia="宋体" w:cs="Times New Roman"/>
                      <w:color w:val="auto"/>
                      <w:kern w:val="0"/>
                      <w:sz w:val="21"/>
                      <w:szCs w:val="21"/>
                      <w:highlight w:val="none"/>
                      <w:lang w:eastAsia="zh-CN"/>
                    </w:rPr>
                  </w:pPr>
                </w:p>
              </w:tc>
              <w:tc>
                <w:tcPr>
                  <w:tcW w:w="2685" w:type="dxa"/>
                  <w:gridSpan w:val="2"/>
                  <w:tcBorders>
                    <w:right w:val="single" w:color="000000" w:sz="4" w:space="0"/>
                  </w:tcBorders>
                  <w:noWrap w:val="0"/>
                  <w:vAlign w:val="center"/>
                </w:tcPr>
                <w:p w14:paraId="18CD06DD">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废气处理</w:t>
                  </w:r>
                </w:p>
              </w:tc>
              <w:tc>
                <w:tcPr>
                  <w:tcW w:w="1553" w:type="dxa"/>
                  <w:tcBorders>
                    <w:left w:val="single" w:color="000000" w:sz="4" w:space="0"/>
                    <w:right w:val="single" w:color="000000" w:sz="4" w:space="0"/>
                  </w:tcBorders>
                  <w:noWrap w:val="0"/>
                  <w:vAlign w:val="center"/>
                </w:tcPr>
                <w:p w14:paraId="7A2EF3C2">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S6布袋收集尘</w:t>
                  </w:r>
                </w:p>
              </w:tc>
              <w:tc>
                <w:tcPr>
                  <w:tcW w:w="3209" w:type="dxa"/>
                  <w:vMerge w:val="continue"/>
                  <w:tcBorders>
                    <w:left w:val="single" w:color="000000" w:sz="4" w:space="0"/>
                  </w:tcBorders>
                  <w:noWrap w:val="0"/>
                  <w:vAlign w:val="center"/>
                </w:tcPr>
                <w:p w14:paraId="75409EB2">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p>
              </w:tc>
            </w:tr>
            <w:tr w14:paraId="7BD1C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24AA1B2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3451" w:type="dxa"/>
                  <w:gridSpan w:val="3"/>
                  <w:tcBorders>
                    <w:right w:val="single" w:color="000000" w:sz="4" w:space="0"/>
                  </w:tcBorders>
                  <w:noWrap w:val="0"/>
                  <w:vAlign w:val="center"/>
                </w:tcPr>
                <w:p w14:paraId="345ED3B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职工生活垃圾</w:t>
                  </w:r>
                </w:p>
              </w:tc>
              <w:tc>
                <w:tcPr>
                  <w:tcW w:w="1553" w:type="dxa"/>
                  <w:tcBorders>
                    <w:left w:val="single" w:color="000000" w:sz="4" w:space="0"/>
                    <w:right w:val="single" w:color="000000" w:sz="4" w:space="0"/>
                  </w:tcBorders>
                  <w:noWrap w:val="0"/>
                  <w:vAlign w:val="center"/>
                </w:tcPr>
                <w:p w14:paraId="6E59D40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rPr>
                    <w:t>纸屑、塑料等</w:t>
                  </w:r>
                </w:p>
              </w:tc>
              <w:tc>
                <w:tcPr>
                  <w:tcW w:w="3209" w:type="dxa"/>
                  <w:tcBorders>
                    <w:left w:val="single" w:color="000000" w:sz="4" w:space="0"/>
                  </w:tcBorders>
                  <w:noWrap w:val="0"/>
                  <w:vAlign w:val="center"/>
                </w:tcPr>
                <w:p w14:paraId="273E277B">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分类收集后由环卫部门每日清运</w:t>
                  </w:r>
                </w:p>
              </w:tc>
            </w:tr>
            <w:tr w14:paraId="1575B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4E950128">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p>
              </w:tc>
              <w:tc>
                <w:tcPr>
                  <w:tcW w:w="766" w:type="dxa"/>
                  <w:vMerge w:val="restart"/>
                  <w:noWrap w:val="0"/>
                  <w:vAlign w:val="center"/>
                </w:tcPr>
                <w:p w14:paraId="5E0ED5DF">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危险废物</w:t>
                  </w:r>
                </w:p>
              </w:tc>
              <w:tc>
                <w:tcPr>
                  <w:tcW w:w="2685" w:type="dxa"/>
                  <w:gridSpan w:val="2"/>
                  <w:tcBorders>
                    <w:left w:val="single" w:color="000000" w:sz="4" w:space="0"/>
                    <w:right w:val="single" w:color="000000" w:sz="4" w:space="0"/>
                  </w:tcBorders>
                  <w:noWrap w:val="0"/>
                  <w:vAlign w:val="center"/>
                </w:tcPr>
                <w:p w14:paraId="517678B9">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b w:val="0"/>
                      <w:bCs/>
                      <w:color w:val="auto"/>
                      <w:kern w:val="0"/>
                      <w:sz w:val="21"/>
                      <w:szCs w:val="21"/>
                      <w:highlight w:val="none"/>
                      <w:lang w:val="en-US" w:eastAsia="zh-CN" w:bidi="ar"/>
                    </w:rPr>
                    <w:t>废气处理</w:t>
                  </w:r>
                </w:p>
              </w:tc>
              <w:tc>
                <w:tcPr>
                  <w:tcW w:w="1553" w:type="dxa"/>
                  <w:tcBorders>
                    <w:left w:val="single" w:color="000000" w:sz="4" w:space="0"/>
                    <w:right w:val="single" w:color="000000" w:sz="4" w:space="0"/>
                  </w:tcBorders>
                  <w:noWrap w:val="0"/>
                  <w:vAlign w:val="center"/>
                </w:tcPr>
                <w:p w14:paraId="33601186">
                  <w:pPr>
                    <w:pStyle w:val="89"/>
                    <w:keepNext w:val="0"/>
                    <w:keepLines w:val="0"/>
                    <w:pageBreakBefore w:val="0"/>
                    <w:widowControl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S</w:t>
                  </w:r>
                  <w:r>
                    <w:rPr>
                      <w:rFonts w:hint="eastAsia" w:ascii="Times New Roman" w:hAnsi="Times New Roman" w:cs="Times New Roman"/>
                      <w:b w:val="0"/>
                      <w:bCs/>
                      <w:color w:val="auto"/>
                      <w:kern w:val="0"/>
                      <w:sz w:val="21"/>
                      <w:szCs w:val="21"/>
                      <w:highlight w:val="none"/>
                      <w:lang w:val="en-US" w:eastAsia="zh-CN" w:bidi="ar"/>
                    </w:rPr>
                    <w:t>7</w:t>
                  </w:r>
                  <w:r>
                    <w:rPr>
                      <w:rFonts w:hint="eastAsia" w:ascii="Times New Roman" w:hAnsi="Times New Roman" w:eastAsia="宋体" w:cs="Times New Roman"/>
                      <w:b w:val="0"/>
                      <w:bCs/>
                      <w:color w:val="auto"/>
                      <w:kern w:val="0"/>
                      <w:sz w:val="21"/>
                      <w:szCs w:val="21"/>
                      <w:highlight w:val="none"/>
                      <w:lang w:val="en-US" w:eastAsia="zh-CN" w:bidi="ar"/>
                    </w:rPr>
                    <w:t>废活性炭</w:t>
                  </w:r>
                </w:p>
              </w:tc>
              <w:tc>
                <w:tcPr>
                  <w:tcW w:w="3209" w:type="dxa"/>
                  <w:vMerge w:val="restart"/>
                  <w:tcBorders>
                    <w:left w:val="single" w:color="000000" w:sz="4" w:space="0"/>
                  </w:tcBorders>
                  <w:noWrap w:val="0"/>
                  <w:vAlign w:val="center"/>
                </w:tcPr>
                <w:p w14:paraId="331CF4D5">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属于危险废物，</w:t>
                  </w:r>
                  <w:r>
                    <w:rPr>
                      <w:rFonts w:hint="eastAsia" w:ascii="Times New Roman" w:hAnsi="Times New Roman" w:eastAsia="宋体" w:cs="Times New Roman"/>
                      <w:b w:val="0"/>
                      <w:bCs/>
                      <w:color w:val="auto"/>
                      <w:sz w:val="21"/>
                      <w:szCs w:val="21"/>
                      <w:highlight w:val="none"/>
                      <w:lang w:eastAsia="zh-CN"/>
                    </w:rPr>
                    <w:t>密封容器收集后，</w:t>
                  </w:r>
                  <w:r>
                    <w:rPr>
                      <w:rFonts w:hint="eastAsia" w:ascii="Times New Roman" w:hAnsi="Times New Roman" w:eastAsia="宋体" w:cs="Times New Roman"/>
                      <w:b w:val="0"/>
                      <w:bCs/>
                      <w:color w:val="auto"/>
                      <w:sz w:val="21"/>
                      <w:szCs w:val="21"/>
                      <w:highlight w:val="none"/>
                      <w:lang w:val="en-US" w:eastAsia="zh-CN"/>
                    </w:rPr>
                    <w:t>分类</w:t>
                  </w:r>
                  <w:r>
                    <w:rPr>
                      <w:rFonts w:hint="eastAsia" w:ascii="Times New Roman" w:hAnsi="Times New Roman" w:eastAsia="宋体" w:cs="Times New Roman"/>
                      <w:b w:val="0"/>
                      <w:bCs/>
                      <w:color w:val="auto"/>
                      <w:sz w:val="21"/>
                      <w:szCs w:val="21"/>
                      <w:highlight w:val="none"/>
                      <w:lang w:eastAsia="zh-CN"/>
                    </w:rPr>
                    <w:t>在危废间分区</w:t>
                  </w:r>
                  <w:r>
                    <w:rPr>
                      <w:rFonts w:hint="default" w:ascii="Times New Roman" w:hAnsi="Times New Roman" w:eastAsia="宋体" w:cs="Times New Roman"/>
                      <w:b w:val="0"/>
                      <w:bCs/>
                      <w:color w:val="auto"/>
                      <w:sz w:val="21"/>
                      <w:szCs w:val="21"/>
                      <w:highlight w:val="none"/>
                      <w:lang w:eastAsia="zh-CN"/>
                    </w:rPr>
                    <w:t>暂存</w:t>
                  </w:r>
                  <w:r>
                    <w:rPr>
                      <w:rFonts w:hint="eastAsia" w:ascii="Times New Roman" w:hAnsi="Times New Roman" w:eastAsia="宋体" w:cs="Times New Roman"/>
                      <w:b w:val="0"/>
                      <w:bCs/>
                      <w:color w:val="auto"/>
                      <w:sz w:val="21"/>
                      <w:szCs w:val="21"/>
                      <w:highlight w:val="none"/>
                      <w:lang w:eastAsia="zh-CN"/>
                    </w:rPr>
                    <w:t>，定期委托</w:t>
                  </w:r>
                  <w:r>
                    <w:rPr>
                      <w:rFonts w:hint="default" w:ascii="Times New Roman" w:hAnsi="Times New Roman" w:eastAsia="宋体" w:cs="Times New Roman"/>
                      <w:b w:val="0"/>
                      <w:bCs/>
                      <w:color w:val="auto"/>
                      <w:sz w:val="21"/>
                      <w:szCs w:val="21"/>
                      <w:highlight w:val="none"/>
                      <w:lang w:eastAsia="zh-CN"/>
                    </w:rPr>
                    <w:t>有资质单位统一处理</w:t>
                  </w:r>
                </w:p>
              </w:tc>
            </w:tr>
            <w:tr w14:paraId="2DBB3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34475CB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noWrap w:val="0"/>
                  <w:vAlign w:val="center"/>
                </w:tcPr>
                <w:p w14:paraId="527C107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vMerge w:val="restart"/>
                  <w:tcBorders>
                    <w:left w:val="single" w:color="000000" w:sz="4" w:space="0"/>
                    <w:right w:val="single" w:color="000000" w:sz="4" w:space="0"/>
                  </w:tcBorders>
                  <w:noWrap w:val="0"/>
                  <w:vAlign w:val="center"/>
                </w:tcPr>
                <w:p w14:paraId="5B5314C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设备维护</w:t>
                  </w:r>
                </w:p>
              </w:tc>
              <w:tc>
                <w:tcPr>
                  <w:tcW w:w="1553" w:type="dxa"/>
                  <w:tcBorders>
                    <w:left w:val="single" w:color="000000" w:sz="4" w:space="0"/>
                    <w:right w:val="single" w:color="000000" w:sz="4" w:space="0"/>
                  </w:tcBorders>
                  <w:noWrap w:val="0"/>
                  <w:vAlign w:val="center"/>
                </w:tcPr>
                <w:p w14:paraId="1BE2CAB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S8废润滑油</w:t>
                  </w:r>
                </w:p>
              </w:tc>
              <w:tc>
                <w:tcPr>
                  <w:tcW w:w="3209" w:type="dxa"/>
                  <w:vMerge w:val="continue"/>
                  <w:tcBorders>
                    <w:left w:val="single" w:color="000000" w:sz="4" w:space="0"/>
                  </w:tcBorders>
                  <w:noWrap w:val="0"/>
                  <w:vAlign w:val="center"/>
                </w:tcPr>
                <w:p w14:paraId="2EBBAEE9">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71B16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6175AEA6">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noWrap w:val="0"/>
                  <w:vAlign w:val="center"/>
                </w:tcPr>
                <w:p w14:paraId="75A2F4F3">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vMerge w:val="continue"/>
                  <w:tcBorders>
                    <w:left w:val="single" w:color="000000" w:sz="4" w:space="0"/>
                    <w:right w:val="single" w:color="000000" w:sz="4" w:space="0"/>
                  </w:tcBorders>
                  <w:noWrap w:val="0"/>
                  <w:vAlign w:val="center"/>
                </w:tcPr>
                <w:p w14:paraId="1DDB6DB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p>
              </w:tc>
              <w:tc>
                <w:tcPr>
                  <w:tcW w:w="1553" w:type="dxa"/>
                  <w:tcBorders>
                    <w:left w:val="single" w:color="000000" w:sz="4" w:space="0"/>
                    <w:right w:val="single" w:color="000000" w:sz="4" w:space="0"/>
                  </w:tcBorders>
                  <w:noWrap w:val="0"/>
                  <w:vAlign w:val="center"/>
                </w:tcPr>
                <w:p w14:paraId="2FCADB3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S9废液压油</w:t>
                  </w:r>
                </w:p>
              </w:tc>
              <w:tc>
                <w:tcPr>
                  <w:tcW w:w="3209" w:type="dxa"/>
                  <w:vMerge w:val="continue"/>
                  <w:tcBorders>
                    <w:left w:val="single" w:color="000000" w:sz="4" w:space="0"/>
                  </w:tcBorders>
                  <w:noWrap w:val="0"/>
                  <w:vAlign w:val="center"/>
                </w:tcPr>
                <w:p w14:paraId="18392FC6">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3B640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vMerge w:val="continue"/>
                  <w:noWrap w:val="0"/>
                  <w:vAlign w:val="center"/>
                </w:tcPr>
                <w:p w14:paraId="3442B474">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766" w:type="dxa"/>
                  <w:vMerge w:val="continue"/>
                  <w:noWrap w:val="0"/>
                  <w:vAlign w:val="center"/>
                </w:tcPr>
                <w:p w14:paraId="69105A2A">
                  <w:pPr>
                    <w:keepNext w:val="0"/>
                    <w:keepLines w:val="0"/>
                    <w:pageBreakBefore w:val="0"/>
                    <w:widowControl/>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p>
              </w:tc>
              <w:tc>
                <w:tcPr>
                  <w:tcW w:w="2685" w:type="dxa"/>
                  <w:gridSpan w:val="2"/>
                  <w:tcBorders>
                    <w:left w:val="single" w:color="000000" w:sz="4" w:space="0"/>
                    <w:right w:val="single" w:color="000000" w:sz="4" w:space="0"/>
                  </w:tcBorders>
                  <w:noWrap w:val="0"/>
                  <w:vAlign w:val="center"/>
                </w:tcPr>
                <w:p w14:paraId="6BF63F9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原料包装</w:t>
                  </w:r>
                </w:p>
              </w:tc>
              <w:tc>
                <w:tcPr>
                  <w:tcW w:w="1553" w:type="dxa"/>
                  <w:tcBorders>
                    <w:left w:val="single" w:color="000000" w:sz="4" w:space="0"/>
                    <w:right w:val="single" w:color="000000" w:sz="4" w:space="0"/>
                  </w:tcBorders>
                  <w:noWrap w:val="0"/>
                  <w:vAlign w:val="center"/>
                </w:tcPr>
                <w:p w14:paraId="0E26C95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ottom"/>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S10废胶桶</w:t>
                  </w:r>
                </w:p>
              </w:tc>
              <w:tc>
                <w:tcPr>
                  <w:tcW w:w="3209" w:type="dxa"/>
                  <w:vMerge w:val="continue"/>
                  <w:tcBorders>
                    <w:left w:val="single" w:color="000000" w:sz="4" w:space="0"/>
                  </w:tcBorders>
                  <w:noWrap w:val="0"/>
                  <w:vAlign w:val="center"/>
                </w:tcPr>
                <w:p w14:paraId="7E5F53E8">
                  <w:pPr>
                    <w:pStyle w:val="89"/>
                    <w:keepNext w:val="0"/>
                    <w:keepLines w:val="0"/>
                    <w:pageBreakBefore w:val="0"/>
                    <w:widowControl w:val="0"/>
                    <w:kinsoku/>
                    <w:wordWrap/>
                    <w:overflowPunct/>
                    <w:topLinePunct w:val="0"/>
                    <w:autoSpaceDE/>
                    <w:autoSpaceDN/>
                    <w:bidi w:val="0"/>
                    <w:adjustRightInd w:val="0"/>
                    <w:snapToGrid w:val="0"/>
                    <w:spacing w:before="0" w:line="240" w:lineRule="auto"/>
                    <w:ind w:left="0" w:leftChars="0" w:right="0" w:firstLine="0"/>
                    <w:jc w:val="center"/>
                    <w:textAlignment w:val="auto"/>
                    <w:rPr>
                      <w:rFonts w:hint="default" w:ascii="Times New Roman" w:hAnsi="Times New Roman" w:eastAsia="宋体" w:cs="Times New Roman"/>
                      <w:b w:val="0"/>
                      <w:bCs/>
                      <w:color w:val="auto"/>
                      <w:sz w:val="21"/>
                      <w:szCs w:val="21"/>
                      <w:highlight w:val="none"/>
                      <w:lang w:eastAsia="zh-CN"/>
                    </w:rPr>
                  </w:pPr>
                </w:p>
              </w:tc>
            </w:tr>
            <w:tr w14:paraId="32316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dxa"/>
                  <w:noWrap w:val="0"/>
                  <w:vAlign w:val="center"/>
                </w:tcPr>
                <w:p w14:paraId="56753E9D">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w:t>
                  </w:r>
                </w:p>
              </w:tc>
              <w:tc>
                <w:tcPr>
                  <w:tcW w:w="766" w:type="dxa"/>
                  <w:noWrap w:val="0"/>
                  <w:vAlign w:val="center"/>
                </w:tcPr>
                <w:p w14:paraId="2CBEE02E">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噪声</w:t>
                  </w:r>
                </w:p>
              </w:tc>
              <w:tc>
                <w:tcPr>
                  <w:tcW w:w="2685" w:type="dxa"/>
                  <w:gridSpan w:val="2"/>
                  <w:tcBorders>
                    <w:left w:val="single" w:color="000000" w:sz="4" w:space="0"/>
                    <w:right w:val="single" w:color="000000" w:sz="4" w:space="0"/>
                  </w:tcBorders>
                  <w:noWrap w:val="0"/>
                  <w:vAlign w:val="center"/>
                </w:tcPr>
                <w:p w14:paraId="4A5A33B7">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rPr>
                    <w:t>生产设备</w:t>
                  </w:r>
                </w:p>
              </w:tc>
              <w:tc>
                <w:tcPr>
                  <w:tcW w:w="1553" w:type="dxa"/>
                  <w:tcBorders>
                    <w:left w:val="single" w:color="000000" w:sz="4" w:space="0"/>
                    <w:right w:val="single" w:color="000000" w:sz="4" w:space="0"/>
                  </w:tcBorders>
                  <w:noWrap w:val="0"/>
                  <w:vAlign w:val="center"/>
                </w:tcPr>
                <w:p w14:paraId="51B81D22">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Leq</w:t>
                  </w:r>
                </w:p>
              </w:tc>
              <w:tc>
                <w:tcPr>
                  <w:tcW w:w="3209" w:type="dxa"/>
                  <w:tcBorders>
                    <w:left w:val="single" w:color="000000" w:sz="4" w:space="0"/>
                  </w:tcBorders>
                  <w:noWrap w:val="0"/>
                  <w:vAlign w:val="center"/>
                </w:tcPr>
                <w:p w14:paraId="01ED11FA">
                  <w:pPr>
                    <w:keepNext w:val="0"/>
                    <w:keepLines w:val="0"/>
                    <w:pageBreakBefore w:val="0"/>
                    <w:widowControl w:val="0"/>
                    <w:kinsoku/>
                    <w:wordWrap/>
                    <w:overflowPunct/>
                    <w:topLinePunct w:val="0"/>
                    <w:bidi w:val="0"/>
                    <w:adjustRightInd w:val="0"/>
                    <w:snapToGrid w:val="0"/>
                    <w:spacing w:line="240" w:lineRule="auto"/>
                    <w:ind w:left="0" w:lef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厂房隔声、设备基础减振等综合降噪措施</w:t>
                  </w:r>
                </w:p>
              </w:tc>
            </w:tr>
          </w:tbl>
          <w:p w14:paraId="02601123">
            <w:pPr>
              <w:rPr>
                <w:color w:val="auto"/>
              </w:rPr>
            </w:pPr>
          </w:p>
        </w:tc>
      </w:tr>
      <w:tr w14:paraId="75CC0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84" w:hRule="atLeast"/>
          <w:jc w:val="center"/>
        </w:trPr>
        <w:tc>
          <w:tcPr>
            <w:tcW w:w="420" w:type="dxa"/>
            <w:noWrap w:val="0"/>
            <w:vAlign w:val="center"/>
          </w:tcPr>
          <w:p w14:paraId="28CF801D">
            <w:pPr>
              <w:pStyle w:val="30"/>
              <w:adjustRightInd w:val="0"/>
              <w:snapToGrid w:val="0"/>
              <w:spacing w:before="0" w:beforeAutospacing="0" w:after="0" w:afterAutospacing="0"/>
              <w:jc w:val="center"/>
              <w:rPr>
                <w:rFonts w:ascii="Times New Roman" w:hAnsi="Times New Roman"/>
                <w:bCs/>
                <w:color w:val="auto"/>
                <w:kern w:val="2"/>
                <w:sz w:val="21"/>
                <w:szCs w:val="21"/>
                <w:lang w:val="en-US" w:eastAsia="zh-CN"/>
              </w:rPr>
            </w:pPr>
            <w:r>
              <w:rPr>
                <w:rFonts w:ascii="Times New Roman" w:hAnsi="Times New Roman"/>
                <w:bCs/>
                <w:color w:val="auto"/>
                <w:kern w:val="2"/>
                <w:sz w:val="21"/>
                <w:szCs w:val="21"/>
                <w:lang w:val="en-US" w:eastAsia="zh-CN"/>
              </w:rPr>
              <w:t>与项目有关的原有环境污染问题</w:t>
            </w:r>
          </w:p>
        </w:tc>
        <w:tc>
          <w:tcPr>
            <w:tcW w:w="8868" w:type="dxa"/>
            <w:noWrap w:val="0"/>
            <w:vAlign w:val="center"/>
          </w:tcPr>
          <w:p w14:paraId="5FE56B03">
            <w:pPr>
              <w:pStyle w:val="3"/>
              <w:numPr>
                <w:ilvl w:val="0"/>
                <w:numId w:val="0"/>
              </w:numPr>
              <w:spacing w:before="240" w:beforeLines="100" w:after="120" w:afterLines="50"/>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2.5现有</w:t>
            </w:r>
            <w:r>
              <w:rPr>
                <w:rFonts w:hint="eastAsia" w:ascii="Times New Roman" w:hAnsi="Times New Roman" w:eastAsia="宋体" w:cs="Times New Roman"/>
                <w:color w:val="auto"/>
                <w:sz w:val="28"/>
                <w:szCs w:val="28"/>
              </w:rPr>
              <w:t>项目基本情况</w:t>
            </w:r>
          </w:p>
          <w:p w14:paraId="4B99EBB0">
            <w:pPr>
              <w:spacing w:line="360" w:lineRule="auto"/>
              <w:ind w:firstLine="480" w:firstLineChars="200"/>
              <w:rPr>
                <w:rFonts w:hint="eastAsia"/>
                <w:bCs/>
                <w:color w:val="auto"/>
                <w:sz w:val="24"/>
              </w:rPr>
            </w:pPr>
            <w:r>
              <w:rPr>
                <w:rFonts w:hint="eastAsia"/>
                <w:bCs/>
                <w:color w:val="auto"/>
                <w:sz w:val="24"/>
              </w:rPr>
              <w:t>通过现场踏勘以及建设单位提供资料分析</w:t>
            </w:r>
            <w:r>
              <w:rPr>
                <w:rFonts w:hint="eastAsia"/>
                <w:bCs/>
                <w:color w:val="auto"/>
                <w:sz w:val="24"/>
                <w:lang w:eastAsia="zh-CN"/>
              </w:rPr>
              <w:t>，项目基本情况如下</w:t>
            </w:r>
            <w:r>
              <w:rPr>
                <w:rFonts w:hint="eastAsia"/>
                <w:bCs/>
                <w:color w:val="auto"/>
                <w:sz w:val="24"/>
              </w:rPr>
              <w:t>。</w:t>
            </w:r>
          </w:p>
          <w:p w14:paraId="25CAE2A6">
            <w:pPr>
              <w:spacing w:line="360" w:lineRule="auto"/>
              <w:ind w:firstLine="480" w:firstLineChars="200"/>
              <w:rPr>
                <w:bCs/>
                <w:color w:val="auto"/>
                <w:sz w:val="24"/>
              </w:rPr>
            </w:pPr>
            <w:r>
              <w:rPr>
                <w:rFonts w:hint="eastAsia"/>
                <w:bCs/>
                <w:color w:val="auto"/>
                <w:sz w:val="24"/>
              </w:rPr>
              <w:t>（</w:t>
            </w:r>
            <w:r>
              <w:rPr>
                <w:bCs/>
                <w:color w:val="auto"/>
                <w:sz w:val="24"/>
              </w:rPr>
              <w:t>1</w:t>
            </w:r>
            <w:r>
              <w:rPr>
                <w:rFonts w:hint="eastAsia"/>
                <w:bCs/>
                <w:color w:val="auto"/>
                <w:sz w:val="24"/>
              </w:rPr>
              <w:t>）现有工程环保手续情况</w:t>
            </w:r>
          </w:p>
          <w:p w14:paraId="6A4F27AB">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表2-11 现有工程环保手续执行情况</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2098"/>
              <w:gridCol w:w="1681"/>
              <w:gridCol w:w="2980"/>
            </w:tblGrid>
            <w:tr w14:paraId="65918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trPr>
              <w:tc>
                <w:tcPr>
                  <w:tcW w:w="1890" w:type="dxa"/>
                  <w:vMerge w:val="restart"/>
                  <w:noWrap w:val="0"/>
                  <w:vAlign w:val="center"/>
                </w:tcPr>
                <w:p w14:paraId="7986FE6C">
                  <w:pPr>
                    <w:widowControl/>
                    <w:jc w:val="center"/>
                    <w:rPr>
                      <w:b/>
                      <w:bCs/>
                      <w:color w:val="auto"/>
                      <w:sz w:val="18"/>
                      <w:szCs w:val="18"/>
                    </w:rPr>
                  </w:pPr>
                  <w:r>
                    <w:rPr>
                      <w:b/>
                      <w:bCs/>
                      <w:color w:val="auto"/>
                      <w:sz w:val="18"/>
                      <w:szCs w:val="18"/>
                    </w:rPr>
                    <w:t>项目名称</w:t>
                  </w:r>
                </w:p>
              </w:tc>
              <w:tc>
                <w:tcPr>
                  <w:tcW w:w="3779" w:type="dxa"/>
                  <w:gridSpan w:val="2"/>
                  <w:noWrap w:val="0"/>
                  <w:vAlign w:val="center"/>
                </w:tcPr>
                <w:p w14:paraId="1D8D7D8A">
                  <w:pPr>
                    <w:widowControl/>
                    <w:jc w:val="center"/>
                    <w:rPr>
                      <w:b/>
                      <w:bCs/>
                      <w:color w:val="auto"/>
                      <w:sz w:val="18"/>
                      <w:szCs w:val="18"/>
                    </w:rPr>
                  </w:pPr>
                  <w:r>
                    <w:rPr>
                      <w:b/>
                      <w:bCs/>
                      <w:color w:val="auto"/>
                      <w:sz w:val="18"/>
                      <w:szCs w:val="18"/>
                    </w:rPr>
                    <w:t>环评审批情况</w:t>
                  </w:r>
                </w:p>
              </w:tc>
              <w:tc>
                <w:tcPr>
                  <w:tcW w:w="2980" w:type="dxa"/>
                  <w:vMerge w:val="restart"/>
                  <w:noWrap w:val="0"/>
                  <w:vAlign w:val="center"/>
                </w:tcPr>
                <w:p w14:paraId="615374C2">
                  <w:pPr>
                    <w:widowControl/>
                    <w:jc w:val="center"/>
                    <w:rPr>
                      <w:b/>
                      <w:bCs/>
                      <w:color w:val="auto"/>
                      <w:sz w:val="18"/>
                      <w:szCs w:val="18"/>
                    </w:rPr>
                  </w:pPr>
                  <w:r>
                    <w:rPr>
                      <w:b/>
                      <w:bCs/>
                      <w:color w:val="auto"/>
                      <w:sz w:val="18"/>
                      <w:szCs w:val="18"/>
                    </w:rPr>
                    <w:t>竣工环境保护验收情况</w:t>
                  </w:r>
                </w:p>
              </w:tc>
            </w:tr>
            <w:tr w14:paraId="6F423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90" w:type="dxa"/>
                  <w:vMerge w:val="continue"/>
                  <w:noWrap w:val="0"/>
                  <w:vAlign w:val="center"/>
                </w:tcPr>
                <w:p w14:paraId="4FB70177">
                  <w:pPr>
                    <w:widowControl/>
                    <w:jc w:val="center"/>
                    <w:rPr>
                      <w:b/>
                      <w:bCs/>
                      <w:color w:val="auto"/>
                      <w:sz w:val="18"/>
                      <w:szCs w:val="18"/>
                    </w:rPr>
                  </w:pPr>
                </w:p>
              </w:tc>
              <w:tc>
                <w:tcPr>
                  <w:tcW w:w="2098" w:type="dxa"/>
                  <w:noWrap w:val="0"/>
                  <w:vAlign w:val="center"/>
                </w:tcPr>
                <w:p w14:paraId="26E5BD2D">
                  <w:pPr>
                    <w:widowControl/>
                    <w:jc w:val="center"/>
                    <w:rPr>
                      <w:b/>
                      <w:bCs/>
                      <w:color w:val="auto"/>
                      <w:sz w:val="18"/>
                      <w:szCs w:val="18"/>
                    </w:rPr>
                  </w:pPr>
                  <w:r>
                    <w:rPr>
                      <w:b/>
                      <w:bCs/>
                      <w:color w:val="auto"/>
                      <w:sz w:val="18"/>
                      <w:szCs w:val="18"/>
                    </w:rPr>
                    <w:t>审批单位</w:t>
                  </w:r>
                </w:p>
              </w:tc>
              <w:tc>
                <w:tcPr>
                  <w:tcW w:w="1681" w:type="dxa"/>
                  <w:noWrap w:val="0"/>
                  <w:vAlign w:val="center"/>
                </w:tcPr>
                <w:p w14:paraId="3BE3ABBF">
                  <w:pPr>
                    <w:widowControl/>
                    <w:jc w:val="center"/>
                    <w:rPr>
                      <w:b/>
                      <w:bCs/>
                      <w:color w:val="auto"/>
                      <w:sz w:val="18"/>
                      <w:szCs w:val="18"/>
                    </w:rPr>
                  </w:pPr>
                  <w:r>
                    <w:rPr>
                      <w:b/>
                      <w:bCs/>
                      <w:color w:val="auto"/>
                      <w:sz w:val="18"/>
                      <w:szCs w:val="18"/>
                    </w:rPr>
                    <w:t>建设规模</w:t>
                  </w:r>
                </w:p>
              </w:tc>
              <w:tc>
                <w:tcPr>
                  <w:tcW w:w="2980" w:type="dxa"/>
                  <w:vMerge w:val="continue"/>
                  <w:noWrap w:val="0"/>
                  <w:vAlign w:val="center"/>
                </w:tcPr>
                <w:p w14:paraId="4F2FD8DA">
                  <w:pPr>
                    <w:widowControl/>
                    <w:jc w:val="center"/>
                    <w:rPr>
                      <w:b/>
                      <w:bCs/>
                      <w:color w:val="auto"/>
                      <w:sz w:val="18"/>
                      <w:szCs w:val="18"/>
                    </w:rPr>
                  </w:pPr>
                </w:p>
              </w:tc>
            </w:tr>
            <w:tr w14:paraId="7208D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trPr>
              <w:tc>
                <w:tcPr>
                  <w:tcW w:w="1890" w:type="dxa"/>
                  <w:noWrap w:val="0"/>
                  <w:vAlign w:val="center"/>
                </w:tcPr>
                <w:p w14:paraId="1BCBECB4">
                  <w:pPr>
                    <w:widowControl/>
                    <w:jc w:val="center"/>
                    <w:rPr>
                      <w:bCs/>
                      <w:color w:val="auto"/>
                      <w:sz w:val="18"/>
                      <w:szCs w:val="18"/>
                    </w:rPr>
                  </w:pPr>
                  <w:r>
                    <w:rPr>
                      <w:rFonts w:hint="eastAsia"/>
                      <w:color w:val="auto"/>
                      <w:sz w:val="18"/>
                      <w:szCs w:val="18"/>
                    </w:rPr>
                    <w:t>福建铠盾材料科技有限公司年加工特种玻璃6万片、加工塑料密封件600万件</w:t>
                  </w:r>
                </w:p>
              </w:tc>
              <w:tc>
                <w:tcPr>
                  <w:tcW w:w="2098" w:type="dxa"/>
                  <w:noWrap w:val="0"/>
                  <w:vAlign w:val="center"/>
                </w:tcPr>
                <w:p w14:paraId="51385662">
                  <w:pPr>
                    <w:widowControl/>
                    <w:jc w:val="center"/>
                    <w:rPr>
                      <w:bCs/>
                      <w:color w:val="auto"/>
                      <w:sz w:val="18"/>
                      <w:szCs w:val="18"/>
                    </w:rPr>
                  </w:pPr>
                  <w:r>
                    <w:rPr>
                      <w:rFonts w:hint="eastAsia"/>
                      <w:bCs/>
                      <w:color w:val="auto"/>
                      <w:sz w:val="18"/>
                      <w:szCs w:val="18"/>
                    </w:rPr>
                    <w:t>2024年8月12日取得了福州市</w:t>
                  </w:r>
                  <w:r>
                    <w:rPr>
                      <w:rFonts w:hint="eastAsia"/>
                      <w:bCs/>
                      <w:color w:val="auto"/>
                      <w:sz w:val="18"/>
                      <w:szCs w:val="18"/>
                      <w:lang w:eastAsia="zh-CN"/>
                    </w:rPr>
                    <w:t>福清生态环境局</w:t>
                  </w:r>
                  <w:r>
                    <w:rPr>
                      <w:rFonts w:hint="eastAsia"/>
                      <w:bCs/>
                      <w:color w:val="auto"/>
                      <w:sz w:val="18"/>
                      <w:szCs w:val="18"/>
                    </w:rPr>
                    <w:t>批复，审批文号：榕融环评[2024]76号</w:t>
                  </w:r>
                </w:p>
              </w:tc>
              <w:tc>
                <w:tcPr>
                  <w:tcW w:w="1681" w:type="dxa"/>
                  <w:noWrap w:val="0"/>
                  <w:vAlign w:val="center"/>
                </w:tcPr>
                <w:p w14:paraId="642DADCC">
                  <w:pPr>
                    <w:widowControl/>
                    <w:jc w:val="center"/>
                    <w:rPr>
                      <w:bCs/>
                      <w:color w:val="auto"/>
                      <w:sz w:val="18"/>
                      <w:szCs w:val="18"/>
                    </w:rPr>
                  </w:pPr>
                  <w:r>
                    <w:rPr>
                      <w:rFonts w:hint="eastAsia"/>
                      <w:bCs/>
                      <w:color w:val="auto"/>
                      <w:sz w:val="18"/>
                      <w:szCs w:val="18"/>
                    </w:rPr>
                    <w:t>年加工特种玻璃6万片、加工塑料密封件600万件</w:t>
                  </w:r>
                </w:p>
              </w:tc>
              <w:tc>
                <w:tcPr>
                  <w:tcW w:w="2980" w:type="dxa"/>
                  <w:noWrap w:val="0"/>
                  <w:vAlign w:val="center"/>
                </w:tcPr>
                <w:p w14:paraId="47542E9A">
                  <w:pPr>
                    <w:widowControl/>
                    <w:jc w:val="center"/>
                    <w:rPr>
                      <w:rFonts w:hint="eastAsia" w:eastAsia="宋体"/>
                      <w:bCs/>
                      <w:color w:val="auto"/>
                      <w:sz w:val="18"/>
                      <w:szCs w:val="18"/>
                      <w:lang w:eastAsia="zh-CN"/>
                    </w:rPr>
                  </w:pPr>
                  <w:r>
                    <w:rPr>
                      <w:rFonts w:hint="eastAsia"/>
                      <w:bCs/>
                      <w:color w:val="auto"/>
                      <w:sz w:val="18"/>
                      <w:szCs w:val="18"/>
                    </w:rPr>
                    <w:t>2025年1月该项目进行了自主验收，验收规模为：年加工特种玻璃6万片、加工塑料密封件600万件</w:t>
                  </w:r>
                  <w:r>
                    <w:rPr>
                      <w:rFonts w:hint="eastAsia"/>
                      <w:bCs/>
                      <w:color w:val="auto"/>
                      <w:sz w:val="18"/>
                      <w:szCs w:val="18"/>
                      <w:lang w:eastAsia="zh-CN"/>
                    </w:rPr>
                    <w:t>。</w:t>
                  </w:r>
                </w:p>
              </w:tc>
            </w:tr>
          </w:tbl>
          <w:p w14:paraId="681D802C">
            <w:pPr>
              <w:spacing w:before="157" w:beforeLines="50" w:line="360" w:lineRule="auto"/>
              <w:ind w:firstLine="480" w:firstLineChars="200"/>
              <w:rPr>
                <w:rFonts w:ascii="Times New Roman" w:hAnsi="Times New Roman" w:eastAsia="宋体" w:cs="Times New Roman"/>
                <w:color w:val="auto"/>
                <w:sz w:val="24"/>
              </w:rPr>
            </w:pPr>
            <w:r>
              <w:rPr>
                <w:color w:val="auto"/>
                <w:sz w:val="24"/>
              </w:rPr>
              <w:t>现有工程已</w:t>
            </w:r>
            <w:r>
              <w:rPr>
                <w:rFonts w:hint="eastAsia"/>
                <w:color w:val="auto"/>
                <w:sz w:val="24"/>
                <w:lang w:eastAsia="zh-CN"/>
              </w:rPr>
              <w:t>于</w:t>
            </w:r>
            <w:r>
              <w:rPr>
                <w:rFonts w:eastAsia="宋体"/>
                <w:color w:val="auto"/>
                <w:sz w:val="24"/>
              </w:rPr>
              <w:t>202</w:t>
            </w:r>
            <w:r>
              <w:rPr>
                <w:rFonts w:hint="eastAsia"/>
                <w:color w:val="auto"/>
                <w:sz w:val="24"/>
                <w:lang w:val="en-US" w:eastAsia="zh-CN"/>
              </w:rPr>
              <w:t>4</w:t>
            </w:r>
            <w:r>
              <w:rPr>
                <w:rFonts w:hAnsi="宋体" w:eastAsia="宋体"/>
                <w:color w:val="auto"/>
                <w:sz w:val="24"/>
              </w:rPr>
              <w:t>年</w:t>
            </w:r>
            <w:r>
              <w:rPr>
                <w:rFonts w:eastAsia="宋体"/>
                <w:color w:val="auto"/>
                <w:sz w:val="24"/>
              </w:rPr>
              <w:t>0</w:t>
            </w:r>
            <w:r>
              <w:rPr>
                <w:rFonts w:hint="eastAsia"/>
                <w:color w:val="auto"/>
                <w:sz w:val="24"/>
                <w:lang w:val="en-US" w:eastAsia="zh-CN"/>
              </w:rPr>
              <w:t>8</w:t>
            </w:r>
            <w:r>
              <w:rPr>
                <w:rFonts w:hAnsi="宋体" w:eastAsia="宋体"/>
                <w:color w:val="auto"/>
                <w:sz w:val="24"/>
              </w:rPr>
              <w:t>月</w:t>
            </w:r>
            <w:r>
              <w:rPr>
                <w:rFonts w:hint="eastAsia"/>
                <w:color w:val="auto"/>
                <w:sz w:val="24"/>
                <w:lang w:val="en-US" w:eastAsia="zh-CN"/>
              </w:rPr>
              <w:t>14</w:t>
            </w:r>
            <w:r>
              <w:rPr>
                <w:rFonts w:hAnsi="宋体" w:eastAsia="宋体"/>
                <w:color w:val="auto"/>
                <w:sz w:val="24"/>
              </w:rPr>
              <w:t>日</w:t>
            </w:r>
            <w:r>
              <w:rPr>
                <w:rFonts w:hint="eastAsia" w:hAnsi="宋体" w:eastAsia="宋体"/>
                <w:color w:val="auto"/>
                <w:sz w:val="24"/>
              </w:rPr>
              <w:t>进行了排污登记，登记编号：91350181MA8TLPKJ3C001Y</w:t>
            </w:r>
            <w:r>
              <w:rPr>
                <w:color w:val="auto"/>
                <w:sz w:val="24"/>
              </w:rPr>
              <w:t>。</w:t>
            </w:r>
            <w:r>
              <w:rPr>
                <w:rFonts w:hint="eastAsia"/>
                <w:color w:val="auto"/>
                <w:sz w:val="24"/>
                <w:lang w:eastAsia="zh-CN"/>
              </w:rPr>
              <w:t>有效期</w:t>
            </w:r>
            <w:r>
              <w:rPr>
                <w:color w:val="auto"/>
                <w:sz w:val="24"/>
              </w:rPr>
              <w:t>：202</w:t>
            </w:r>
            <w:r>
              <w:rPr>
                <w:rFonts w:hint="eastAsia"/>
                <w:color w:val="auto"/>
                <w:sz w:val="24"/>
                <w:lang w:val="en-US" w:eastAsia="zh-CN"/>
              </w:rPr>
              <w:t>4</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14</w:t>
            </w:r>
            <w:r>
              <w:rPr>
                <w:color w:val="auto"/>
                <w:sz w:val="24"/>
              </w:rPr>
              <w:t>日至</w:t>
            </w:r>
            <w:r>
              <w:rPr>
                <w:rFonts w:hint="eastAsia"/>
                <w:color w:val="auto"/>
                <w:sz w:val="24"/>
                <w:lang w:eastAsia="zh-CN"/>
              </w:rPr>
              <w:t>2029年8月13日</w:t>
            </w:r>
            <w:r>
              <w:rPr>
                <w:rFonts w:hint="eastAsia" w:ascii="Times New Roman" w:hAnsi="Times New Roman" w:eastAsia="宋体" w:cs="Times New Roman"/>
                <w:color w:val="auto"/>
                <w:sz w:val="24"/>
                <w:lang w:eastAsia="zh-CN"/>
              </w:rPr>
              <w:t>。</w:t>
            </w:r>
          </w:p>
          <w:p w14:paraId="1DB46BC4">
            <w:pPr>
              <w:spacing w:line="360" w:lineRule="auto"/>
              <w:ind w:firstLine="480" w:firstLineChars="200"/>
              <w:rPr>
                <w:bCs/>
                <w:color w:val="auto"/>
                <w:sz w:val="24"/>
              </w:rPr>
            </w:pPr>
            <w:r>
              <w:rPr>
                <w:rFonts w:hint="eastAsia"/>
                <w:bCs/>
                <w:color w:val="auto"/>
                <w:sz w:val="24"/>
              </w:rPr>
              <w:t>（</w:t>
            </w:r>
            <w:r>
              <w:rPr>
                <w:bCs/>
                <w:color w:val="auto"/>
                <w:sz w:val="24"/>
              </w:rPr>
              <w:t>2</w:t>
            </w:r>
            <w:r>
              <w:rPr>
                <w:rFonts w:hint="eastAsia"/>
                <w:bCs/>
                <w:color w:val="auto"/>
                <w:sz w:val="24"/>
              </w:rPr>
              <w:t>）现有工程基本情况</w:t>
            </w:r>
          </w:p>
          <w:p w14:paraId="72E8CF7E">
            <w:pPr>
              <w:pStyle w:val="69"/>
              <w:spacing w:after="0"/>
              <w:ind w:left="0" w:leftChars="0" w:firstLine="480"/>
              <w:rPr>
                <w:color w:val="auto"/>
                <w:szCs w:val="24"/>
                <w:lang w:val="en-US" w:eastAsia="zh-CN"/>
              </w:rPr>
            </w:pPr>
            <w:r>
              <w:rPr>
                <w:rFonts w:hint="eastAsia"/>
                <w:color w:val="auto"/>
                <w:szCs w:val="24"/>
                <w:lang w:val="en-US" w:eastAsia="zh-CN"/>
              </w:rPr>
              <w:t>①工程组成</w:t>
            </w:r>
          </w:p>
          <w:p w14:paraId="5A76A4F9">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表2-12  现有工程组成一览表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322"/>
              <w:gridCol w:w="592"/>
              <w:gridCol w:w="2677"/>
              <w:gridCol w:w="2882"/>
              <w:gridCol w:w="1513"/>
            </w:tblGrid>
            <w:tr w14:paraId="00728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83" w:type="pct"/>
                  <w:vMerge w:val="restart"/>
                  <w:noWrap w:val="0"/>
                  <w:vAlign w:val="center"/>
                </w:tcPr>
                <w:p w14:paraId="28DD14AB">
                  <w:pPr>
                    <w:adjustRightInd w:val="0"/>
                    <w:snapToGrid w:val="0"/>
                    <w:jc w:val="center"/>
                    <w:rPr>
                      <w:b/>
                      <w:bCs/>
                      <w:color w:val="auto"/>
                      <w:sz w:val="18"/>
                      <w:szCs w:val="18"/>
                    </w:rPr>
                  </w:pPr>
                  <w:r>
                    <w:rPr>
                      <w:b/>
                      <w:bCs/>
                      <w:color w:val="auto"/>
                      <w:sz w:val="18"/>
                      <w:szCs w:val="18"/>
                    </w:rPr>
                    <w:t>工程类别</w:t>
                  </w:r>
                </w:p>
              </w:tc>
              <w:tc>
                <w:tcPr>
                  <w:tcW w:w="528" w:type="pct"/>
                  <w:gridSpan w:val="2"/>
                  <w:vMerge w:val="restart"/>
                  <w:noWrap w:val="0"/>
                  <w:vAlign w:val="center"/>
                </w:tcPr>
                <w:p w14:paraId="2D4F0EB2">
                  <w:pPr>
                    <w:adjustRightInd w:val="0"/>
                    <w:snapToGrid w:val="0"/>
                    <w:jc w:val="center"/>
                    <w:rPr>
                      <w:b/>
                      <w:bCs/>
                      <w:color w:val="auto"/>
                      <w:sz w:val="18"/>
                      <w:szCs w:val="18"/>
                    </w:rPr>
                  </w:pPr>
                  <w:r>
                    <w:rPr>
                      <w:b/>
                      <w:bCs/>
                      <w:color w:val="auto"/>
                      <w:sz w:val="18"/>
                      <w:szCs w:val="18"/>
                    </w:rPr>
                    <w:t>项目组成</w:t>
                  </w:r>
                </w:p>
              </w:tc>
              <w:tc>
                <w:tcPr>
                  <w:tcW w:w="3213" w:type="pct"/>
                  <w:gridSpan w:val="2"/>
                  <w:noWrap w:val="0"/>
                  <w:vAlign w:val="center"/>
                </w:tcPr>
                <w:p w14:paraId="63D6C874">
                  <w:pPr>
                    <w:adjustRightInd w:val="0"/>
                    <w:snapToGrid w:val="0"/>
                    <w:jc w:val="center"/>
                    <w:rPr>
                      <w:b/>
                      <w:color w:val="auto"/>
                      <w:sz w:val="18"/>
                      <w:szCs w:val="18"/>
                    </w:rPr>
                  </w:pPr>
                  <w:r>
                    <w:rPr>
                      <w:b/>
                      <w:color w:val="auto"/>
                      <w:sz w:val="18"/>
                      <w:szCs w:val="18"/>
                    </w:rPr>
                    <w:t>建设内容</w:t>
                  </w:r>
                </w:p>
              </w:tc>
              <w:tc>
                <w:tcPr>
                  <w:tcW w:w="874" w:type="pct"/>
                  <w:vMerge w:val="restart"/>
                  <w:noWrap w:val="0"/>
                  <w:vAlign w:val="center"/>
                </w:tcPr>
                <w:p w14:paraId="78F88B34">
                  <w:pPr>
                    <w:adjustRightInd w:val="0"/>
                    <w:snapToGrid w:val="0"/>
                    <w:jc w:val="center"/>
                    <w:rPr>
                      <w:rFonts w:hint="default" w:eastAsia="宋体"/>
                      <w:b/>
                      <w:color w:val="auto"/>
                      <w:sz w:val="18"/>
                      <w:szCs w:val="18"/>
                      <w:lang w:val="en-US" w:eastAsia="zh-CN"/>
                    </w:rPr>
                  </w:pPr>
                  <w:r>
                    <w:rPr>
                      <w:rFonts w:hint="eastAsia"/>
                      <w:b/>
                      <w:color w:val="auto"/>
                      <w:sz w:val="18"/>
                      <w:szCs w:val="18"/>
                      <w:lang w:val="en-US" w:eastAsia="zh-CN"/>
                    </w:rPr>
                    <w:t>变动情况</w:t>
                  </w:r>
                </w:p>
              </w:tc>
            </w:tr>
            <w:tr w14:paraId="2598A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83" w:type="pct"/>
                  <w:vMerge w:val="continue"/>
                  <w:noWrap w:val="0"/>
                  <w:vAlign w:val="center"/>
                </w:tcPr>
                <w:p w14:paraId="797C27E2">
                  <w:pPr>
                    <w:adjustRightInd w:val="0"/>
                    <w:snapToGrid w:val="0"/>
                    <w:jc w:val="center"/>
                    <w:rPr>
                      <w:b/>
                      <w:bCs/>
                      <w:color w:val="auto"/>
                      <w:sz w:val="18"/>
                      <w:szCs w:val="18"/>
                    </w:rPr>
                  </w:pPr>
                </w:p>
              </w:tc>
              <w:tc>
                <w:tcPr>
                  <w:tcW w:w="528" w:type="pct"/>
                  <w:gridSpan w:val="2"/>
                  <w:vMerge w:val="continue"/>
                  <w:noWrap w:val="0"/>
                  <w:vAlign w:val="center"/>
                </w:tcPr>
                <w:p w14:paraId="39B94038">
                  <w:pPr>
                    <w:adjustRightInd w:val="0"/>
                    <w:snapToGrid w:val="0"/>
                    <w:jc w:val="center"/>
                    <w:rPr>
                      <w:b/>
                      <w:bCs/>
                      <w:color w:val="auto"/>
                      <w:sz w:val="18"/>
                      <w:szCs w:val="18"/>
                    </w:rPr>
                  </w:pPr>
                </w:p>
              </w:tc>
              <w:tc>
                <w:tcPr>
                  <w:tcW w:w="1547" w:type="pct"/>
                  <w:noWrap w:val="0"/>
                  <w:vAlign w:val="center"/>
                </w:tcPr>
                <w:p w14:paraId="634534B2">
                  <w:pPr>
                    <w:adjustRightInd w:val="0"/>
                    <w:snapToGrid w:val="0"/>
                    <w:jc w:val="center"/>
                    <w:rPr>
                      <w:rFonts w:hint="eastAsia" w:eastAsia="宋体"/>
                      <w:b/>
                      <w:bCs/>
                      <w:color w:val="auto"/>
                      <w:sz w:val="18"/>
                      <w:szCs w:val="18"/>
                      <w:lang w:eastAsia="zh-CN"/>
                    </w:rPr>
                  </w:pPr>
                  <w:r>
                    <w:rPr>
                      <w:rFonts w:hint="eastAsia"/>
                      <w:b/>
                      <w:bCs/>
                      <w:color w:val="auto"/>
                      <w:sz w:val="18"/>
                      <w:szCs w:val="18"/>
                      <w:lang w:eastAsia="zh-CN"/>
                    </w:rPr>
                    <w:t>环评批复内容</w:t>
                  </w:r>
                </w:p>
              </w:tc>
              <w:tc>
                <w:tcPr>
                  <w:tcW w:w="1666" w:type="pct"/>
                  <w:noWrap w:val="0"/>
                  <w:vAlign w:val="center"/>
                </w:tcPr>
                <w:p w14:paraId="5829979B">
                  <w:pPr>
                    <w:adjustRightInd w:val="0"/>
                    <w:snapToGrid w:val="0"/>
                    <w:jc w:val="center"/>
                    <w:rPr>
                      <w:rFonts w:hint="eastAsia" w:eastAsia="宋体"/>
                      <w:b/>
                      <w:bCs/>
                      <w:color w:val="auto"/>
                      <w:sz w:val="18"/>
                      <w:szCs w:val="18"/>
                      <w:lang w:eastAsia="zh-CN"/>
                    </w:rPr>
                  </w:pPr>
                  <w:r>
                    <w:rPr>
                      <w:rFonts w:hint="eastAsia"/>
                      <w:b/>
                      <w:bCs/>
                      <w:color w:val="auto"/>
                      <w:sz w:val="18"/>
                      <w:szCs w:val="18"/>
                      <w:lang w:eastAsia="zh-CN"/>
                    </w:rPr>
                    <w:t>实际建设内容</w:t>
                  </w:r>
                </w:p>
              </w:tc>
              <w:tc>
                <w:tcPr>
                  <w:tcW w:w="874" w:type="pct"/>
                  <w:vMerge w:val="continue"/>
                  <w:noWrap w:val="0"/>
                  <w:vAlign w:val="center"/>
                </w:tcPr>
                <w:p w14:paraId="48849DAA">
                  <w:pPr>
                    <w:adjustRightInd w:val="0"/>
                    <w:snapToGrid w:val="0"/>
                    <w:jc w:val="center"/>
                    <w:rPr>
                      <w:rFonts w:hint="eastAsia"/>
                      <w:b/>
                      <w:bCs/>
                      <w:color w:val="auto"/>
                      <w:sz w:val="18"/>
                      <w:szCs w:val="18"/>
                      <w:lang w:eastAsia="zh-CN"/>
                    </w:rPr>
                  </w:pPr>
                </w:p>
              </w:tc>
            </w:tr>
            <w:tr w14:paraId="7AD40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restart"/>
                  <w:noWrap w:val="0"/>
                  <w:vAlign w:val="center"/>
                </w:tcPr>
                <w:p w14:paraId="6272CB9E">
                  <w:pPr>
                    <w:adjustRightInd w:val="0"/>
                    <w:snapToGrid w:val="0"/>
                    <w:jc w:val="center"/>
                    <w:rPr>
                      <w:color w:val="auto"/>
                      <w:sz w:val="18"/>
                      <w:szCs w:val="18"/>
                    </w:rPr>
                  </w:pPr>
                  <w:r>
                    <w:rPr>
                      <w:color w:val="auto"/>
                      <w:sz w:val="18"/>
                      <w:szCs w:val="18"/>
                    </w:rPr>
                    <w:t>主体工程</w:t>
                  </w:r>
                </w:p>
              </w:tc>
              <w:tc>
                <w:tcPr>
                  <w:tcW w:w="528" w:type="pct"/>
                  <w:gridSpan w:val="2"/>
                  <w:noWrap w:val="0"/>
                  <w:vAlign w:val="center"/>
                </w:tcPr>
                <w:p w14:paraId="3D3F9310">
                  <w:pPr>
                    <w:tabs>
                      <w:tab w:val="left" w:pos="5088"/>
                    </w:tabs>
                    <w:spacing w:line="240" w:lineRule="auto"/>
                    <w:jc w:val="center"/>
                    <w:rPr>
                      <w:rFonts w:cs="Times New Roman"/>
                      <w:color w:val="auto"/>
                      <w:kern w:val="0"/>
                      <w:sz w:val="18"/>
                      <w:szCs w:val="18"/>
                    </w:rPr>
                  </w:pPr>
                  <w:r>
                    <w:rPr>
                      <w:rFonts w:hint="eastAsia" w:eastAsia="宋体"/>
                      <w:color w:val="auto"/>
                      <w:sz w:val="18"/>
                      <w:szCs w:val="18"/>
                      <w:lang w:val="en-US" w:eastAsia="zh-CN"/>
                    </w:rPr>
                    <w:t>特种玻璃</w:t>
                  </w:r>
                  <w:r>
                    <w:rPr>
                      <w:rFonts w:hint="eastAsia"/>
                      <w:color w:val="auto"/>
                      <w:sz w:val="18"/>
                      <w:szCs w:val="18"/>
                      <w:lang w:val="en-US" w:eastAsia="zh-CN"/>
                    </w:rPr>
                    <w:t>生产区</w:t>
                  </w:r>
                </w:p>
              </w:tc>
              <w:tc>
                <w:tcPr>
                  <w:tcW w:w="1547" w:type="pct"/>
                  <w:noWrap w:val="0"/>
                  <w:vAlign w:val="center"/>
                </w:tcPr>
                <w:p w14:paraId="0A56AB4F">
                  <w:pPr>
                    <w:tabs>
                      <w:tab w:val="left" w:pos="5088"/>
                    </w:tabs>
                    <w:spacing w:line="240" w:lineRule="auto"/>
                    <w:jc w:val="center"/>
                    <w:rPr>
                      <w:rFonts w:hint="eastAsia" w:eastAsia="宋体"/>
                      <w:color w:val="auto"/>
                      <w:kern w:val="0"/>
                      <w:sz w:val="18"/>
                      <w:szCs w:val="18"/>
                      <w:lang w:eastAsia="zh-CN"/>
                    </w:rPr>
                  </w:pPr>
                  <w:r>
                    <w:rPr>
                      <w:rFonts w:hint="eastAsia"/>
                      <w:color w:val="auto"/>
                      <w:sz w:val="18"/>
                      <w:szCs w:val="18"/>
                      <w:highlight w:val="none"/>
                      <w:lang w:val="en-US" w:eastAsia="zh-CN"/>
                    </w:rPr>
                    <w:t>位于厂房一层，设有单室炉、高压釜、清洗车间、原料区、成品区</w:t>
                  </w:r>
                </w:p>
              </w:tc>
              <w:tc>
                <w:tcPr>
                  <w:tcW w:w="1666" w:type="pct"/>
                  <w:noWrap w:val="0"/>
                  <w:vAlign w:val="center"/>
                </w:tcPr>
                <w:p w14:paraId="2681D829">
                  <w:pPr>
                    <w:tabs>
                      <w:tab w:val="left" w:pos="5088"/>
                    </w:tabs>
                    <w:spacing w:line="240" w:lineRule="auto"/>
                    <w:jc w:val="center"/>
                    <w:rPr>
                      <w:rFonts w:hint="eastAsia"/>
                      <w:color w:val="auto"/>
                      <w:kern w:val="0"/>
                      <w:sz w:val="18"/>
                      <w:szCs w:val="18"/>
                      <w:lang w:eastAsia="zh-CN"/>
                    </w:rPr>
                  </w:pPr>
                  <w:r>
                    <w:rPr>
                      <w:rFonts w:hint="eastAsia"/>
                      <w:color w:val="auto"/>
                      <w:sz w:val="18"/>
                      <w:szCs w:val="18"/>
                      <w:highlight w:val="none"/>
                      <w:lang w:val="en-US" w:eastAsia="zh-CN"/>
                    </w:rPr>
                    <w:t>位于厂房一层，设有单室炉、高压釜、清洗车间、原料区、成品区</w:t>
                  </w:r>
                </w:p>
              </w:tc>
              <w:tc>
                <w:tcPr>
                  <w:tcW w:w="874" w:type="pct"/>
                  <w:noWrap w:val="0"/>
                  <w:vAlign w:val="center"/>
                </w:tcPr>
                <w:p w14:paraId="3CE5DA5E">
                  <w:pPr>
                    <w:tabs>
                      <w:tab w:val="left" w:pos="5088"/>
                    </w:tabs>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不变</w:t>
                  </w:r>
                </w:p>
              </w:tc>
            </w:tr>
            <w:tr w14:paraId="08ACF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continue"/>
                  <w:noWrap w:val="0"/>
                  <w:vAlign w:val="center"/>
                </w:tcPr>
                <w:p w14:paraId="53ADA258">
                  <w:pPr>
                    <w:adjustRightInd w:val="0"/>
                    <w:snapToGrid w:val="0"/>
                    <w:jc w:val="center"/>
                    <w:rPr>
                      <w:color w:val="auto"/>
                      <w:sz w:val="18"/>
                      <w:szCs w:val="18"/>
                    </w:rPr>
                  </w:pPr>
                </w:p>
              </w:tc>
              <w:tc>
                <w:tcPr>
                  <w:tcW w:w="528" w:type="pct"/>
                  <w:gridSpan w:val="2"/>
                  <w:noWrap w:val="0"/>
                  <w:vAlign w:val="center"/>
                </w:tcPr>
                <w:p w14:paraId="0420D91D">
                  <w:pPr>
                    <w:tabs>
                      <w:tab w:val="left" w:pos="5088"/>
                    </w:tabs>
                    <w:spacing w:line="240" w:lineRule="auto"/>
                    <w:jc w:val="center"/>
                    <w:rPr>
                      <w:rFonts w:cs="Times New Roman"/>
                      <w:color w:val="auto"/>
                      <w:sz w:val="18"/>
                      <w:szCs w:val="18"/>
                    </w:rPr>
                  </w:pPr>
                  <w:r>
                    <w:rPr>
                      <w:rFonts w:hint="eastAsia" w:eastAsia="宋体"/>
                      <w:color w:val="auto"/>
                      <w:sz w:val="18"/>
                      <w:szCs w:val="18"/>
                      <w:lang w:val="en-US" w:eastAsia="zh-CN"/>
                    </w:rPr>
                    <w:t>塑料密封件</w:t>
                  </w:r>
                  <w:r>
                    <w:rPr>
                      <w:rFonts w:hint="eastAsia"/>
                      <w:color w:val="auto"/>
                      <w:sz w:val="18"/>
                      <w:szCs w:val="18"/>
                      <w:lang w:val="en-US" w:eastAsia="zh-CN"/>
                    </w:rPr>
                    <w:t>生产区</w:t>
                  </w:r>
                </w:p>
              </w:tc>
              <w:tc>
                <w:tcPr>
                  <w:tcW w:w="1547" w:type="pct"/>
                  <w:noWrap w:val="0"/>
                  <w:vAlign w:val="center"/>
                </w:tcPr>
                <w:p w14:paraId="240E6180">
                  <w:pPr>
                    <w:tabs>
                      <w:tab w:val="left" w:pos="5088"/>
                    </w:tabs>
                    <w:spacing w:line="240" w:lineRule="auto"/>
                    <w:jc w:val="center"/>
                    <w:rPr>
                      <w:rFonts w:hint="eastAsia"/>
                      <w:color w:val="auto"/>
                      <w:kern w:val="0"/>
                      <w:sz w:val="18"/>
                      <w:szCs w:val="18"/>
                      <w:lang w:eastAsia="zh-CN"/>
                    </w:rPr>
                  </w:pPr>
                  <w:r>
                    <w:rPr>
                      <w:rFonts w:hint="eastAsia"/>
                      <w:color w:val="auto"/>
                      <w:sz w:val="18"/>
                      <w:szCs w:val="18"/>
                      <w:highlight w:val="none"/>
                      <w:lang w:val="en-US" w:eastAsia="zh-CN"/>
                    </w:rPr>
                    <w:t>位于厂房三层，设有进料检验区、原料放置区、挤出区、半成品放置区、后端加工区、成品放置区</w:t>
                  </w:r>
                </w:p>
              </w:tc>
              <w:tc>
                <w:tcPr>
                  <w:tcW w:w="1666" w:type="pct"/>
                  <w:noWrap w:val="0"/>
                  <w:vAlign w:val="center"/>
                </w:tcPr>
                <w:p w14:paraId="0CF545CA">
                  <w:pPr>
                    <w:tabs>
                      <w:tab w:val="left" w:pos="5088"/>
                    </w:tabs>
                    <w:spacing w:line="240" w:lineRule="auto"/>
                    <w:jc w:val="center"/>
                    <w:rPr>
                      <w:rFonts w:hint="eastAsia"/>
                      <w:color w:val="auto"/>
                      <w:kern w:val="0"/>
                      <w:sz w:val="18"/>
                      <w:szCs w:val="18"/>
                      <w:lang w:eastAsia="zh-CN"/>
                    </w:rPr>
                  </w:pPr>
                  <w:r>
                    <w:rPr>
                      <w:rFonts w:hint="eastAsia"/>
                      <w:color w:val="auto"/>
                      <w:sz w:val="18"/>
                      <w:szCs w:val="18"/>
                      <w:highlight w:val="none"/>
                      <w:lang w:val="en-US" w:eastAsia="zh-CN"/>
                    </w:rPr>
                    <w:t>位于厂房三层，设有进料检验区、原料放置区、挤出区、半成品放置区、后端加工区、成品放置区</w:t>
                  </w:r>
                </w:p>
              </w:tc>
              <w:tc>
                <w:tcPr>
                  <w:tcW w:w="874" w:type="pct"/>
                  <w:noWrap w:val="0"/>
                  <w:vAlign w:val="center"/>
                </w:tcPr>
                <w:p w14:paraId="1F838096">
                  <w:pPr>
                    <w:tabs>
                      <w:tab w:val="left" w:pos="5088"/>
                    </w:tabs>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不变</w:t>
                  </w:r>
                </w:p>
              </w:tc>
            </w:tr>
            <w:tr w14:paraId="7760B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noWrap w:val="0"/>
                  <w:vAlign w:val="center"/>
                </w:tcPr>
                <w:p w14:paraId="2A3711D0">
                  <w:pPr>
                    <w:adjustRightInd w:val="0"/>
                    <w:snapToGrid w:val="0"/>
                    <w:jc w:val="center"/>
                    <w:rPr>
                      <w:color w:val="auto"/>
                      <w:sz w:val="18"/>
                      <w:szCs w:val="18"/>
                    </w:rPr>
                  </w:pPr>
                  <w:r>
                    <w:rPr>
                      <w:color w:val="auto"/>
                      <w:sz w:val="18"/>
                      <w:szCs w:val="18"/>
                    </w:rPr>
                    <w:t>辅助工程</w:t>
                  </w:r>
                </w:p>
              </w:tc>
              <w:tc>
                <w:tcPr>
                  <w:tcW w:w="528" w:type="pct"/>
                  <w:gridSpan w:val="2"/>
                  <w:noWrap w:val="0"/>
                  <w:vAlign w:val="center"/>
                </w:tcPr>
                <w:p w14:paraId="63200F9D">
                  <w:pPr>
                    <w:tabs>
                      <w:tab w:val="left" w:pos="5088"/>
                    </w:tabs>
                    <w:jc w:val="center"/>
                    <w:rPr>
                      <w:rFonts w:hint="eastAsia" w:eastAsia="宋体"/>
                      <w:color w:val="auto"/>
                      <w:sz w:val="18"/>
                      <w:szCs w:val="18"/>
                      <w:lang w:eastAsia="zh-CN"/>
                    </w:rPr>
                  </w:pPr>
                  <w:r>
                    <w:rPr>
                      <w:rFonts w:hint="eastAsia"/>
                      <w:color w:val="auto"/>
                      <w:sz w:val="18"/>
                      <w:szCs w:val="18"/>
                      <w:lang w:val="en-US" w:eastAsia="zh-CN"/>
                    </w:rPr>
                    <w:t>成品仓库</w:t>
                  </w:r>
                </w:p>
              </w:tc>
              <w:tc>
                <w:tcPr>
                  <w:tcW w:w="1547" w:type="pct"/>
                  <w:noWrap w:val="0"/>
                  <w:vAlign w:val="center"/>
                </w:tcPr>
                <w:p w14:paraId="53F5554F">
                  <w:pPr>
                    <w:tabs>
                      <w:tab w:val="left" w:pos="5088"/>
                    </w:tabs>
                    <w:jc w:val="center"/>
                    <w:rPr>
                      <w:rFonts w:hint="default" w:eastAsia="宋体"/>
                      <w:color w:val="auto"/>
                      <w:sz w:val="18"/>
                      <w:szCs w:val="18"/>
                      <w:lang w:val="en-US" w:eastAsia="zh-CN"/>
                    </w:rPr>
                  </w:pPr>
                  <w:r>
                    <w:rPr>
                      <w:rFonts w:hint="eastAsia" w:eastAsia="宋体"/>
                      <w:color w:val="auto"/>
                      <w:sz w:val="18"/>
                      <w:szCs w:val="18"/>
                      <w:lang w:val="en-US" w:eastAsia="zh-CN"/>
                    </w:rPr>
                    <w:t>位于厂房二层，用于存放特种玻璃、塑料密封件等成品</w:t>
                  </w:r>
                </w:p>
              </w:tc>
              <w:tc>
                <w:tcPr>
                  <w:tcW w:w="1666" w:type="pct"/>
                  <w:shd w:val="clear" w:color="auto" w:fill="auto"/>
                  <w:noWrap w:val="0"/>
                  <w:vAlign w:val="center"/>
                </w:tcPr>
                <w:p w14:paraId="6F34EEDB">
                  <w:pPr>
                    <w:tabs>
                      <w:tab w:val="left" w:pos="5088"/>
                    </w:tabs>
                    <w:jc w:val="center"/>
                    <w:rPr>
                      <w:rFonts w:hint="eastAsia" w:ascii="Times New Roman" w:hAnsi="Times New Roman" w:eastAsia="宋体" w:cs="Times New Roman"/>
                      <w:color w:val="auto"/>
                      <w:kern w:val="2"/>
                      <w:sz w:val="18"/>
                      <w:szCs w:val="18"/>
                      <w:lang w:val="en-US" w:eastAsia="zh-CN" w:bidi="ar-SA"/>
                    </w:rPr>
                  </w:pPr>
                  <w:r>
                    <w:rPr>
                      <w:rFonts w:hint="eastAsia" w:eastAsia="宋体"/>
                      <w:color w:val="auto"/>
                      <w:sz w:val="18"/>
                      <w:szCs w:val="18"/>
                      <w:lang w:val="en-US" w:eastAsia="zh-CN"/>
                    </w:rPr>
                    <w:t>位于厂房二层，用于存放特种玻璃、塑料密封件等成品</w:t>
                  </w:r>
                </w:p>
              </w:tc>
              <w:tc>
                <w:tcPr>
                  <w:tcW w:w="874" w:type="pct"/>
                  <w:shd w:val="clear" w:color="auto" w:fill="auto"/>
                  <w:noWrap w:val="0"/>
                  <w:vAlign w:val="center"/>
                </w:tcPr>
                <w:p w14:paraId="735F3D09">
                  <w:pPr>
                    <w:jc w:val="center"/>
                    <w:rPr>
                      <w:rFonts w:hint="eastAsia" w:eastAsia="宋体"/>
                      <w:color w:val="auto"/>
                      <w:sz w:val="18"/>
                      <w:szCs w:val="18"/>
                      <w:lang w:val="en-US" w:eastAsia="zh-CN"/>
                    </w:rPr>
                  </w:pPr>
                  <w:r>
                    <w:rPr>
                      <w:rFonts w:hint="eastAsia"/>
                      <w:color w:val="auto"/>
                      <w:sz w:val="18"/>
                      <w:szCs w:val="18"/>
                      <w:highlight w:val="none"/>
                      <w:lang w:val="en-US" w:eastAsia="zh-CN"/>
                    </w:rPr>
                    <w:t>不变</w:t>
                  </w:r>
                </w:p>
              </w:tc>
            </w:tr>
            <w:tr w14:paraId="169E1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restart"/>
                  <w:noWrap w:val="0"/>
                  <w:vAlign w:val="center"/>
                </w:tcPr>
                <w:p w14:paraId="2C42879B">
                  <w:pPr>
                    <w:adjustRightInd w:val="0"/>
                    <w:snapToGrid w:val="0"/>
                    <w:jc w:val="center"/>
                    <w:rPr>
                      <w:color w:val="auto"/>
                      <w:sz w:val="18"/>
                      <w:szCs w:val="18"/>
                    </w:rPr>
                  </w:pPr>
                  <w:r>
                    <w:rPr>
                      <w:color w:val="auto"/>
                      <w:sz w:val="18"/>
                      <w:szCs w:val="18"/>
                    </w:rPr>
                    <w:t>公用工程</w:t>
                  </w:r>
                </w:p>
              </w:tc>
              <w:tc>
                <w:tcPr>
                  <w:tcW w:w="528" w:type="pct"/>
                  <w:gridSpan w:val="2"/>
                  <w:noWrap w:val="0"/>
                  <w:vAlign w:val="center"/>
                </w:tcPr>
                <w:p w14:paraId="3D0C78F4">
                  <w:pPr>
                    <w:adjustRightInd w:val="0"/>
                    <w:snapToGrid w:val="0"/>
                    <w:jc w:val="center"/>
                    <w:rPr>
                      <w:rFonts w:hint="eastAsia"/>
                      <w:color w:val="auto"/>
                      <w:sz w:val="18"/>
                      <w:szCs w:val="18"/>
                    </w:rPr>
                  </w:pPr>
                  <w:r>
                    <w:rPr>
                      <w:color w:val="auto"/>
                      <w:sz w:val="18"/>
                      <w:szCs w:val="18"/>
                    </w:rPr>
                    <w:t>供水</w:t>
                  </w:r>
                </w:p>
              </w:tc>
              <w:tc>
                <w:tcPr>
                  <w:tcW w:w="1547" w:type="pct"/>
                  <w:noWrap w:val="0"/>
                  <w:vAlign w:val="center"/>
                </w:tcPr>
                <w:p w14:paraId="434BD64A">
                  <w:pPr>
                    <w:adjustRightInd w:val="0"/>
                    <w:snapToGrid w:val="0"/>
                    <w:jc w:val="center"/>
                    <w:rPr>
                      <w:color w:val="auto"/>
                      <w:sz w:val="18"/>
                      <w:szCs w:val="18"/>
                    </w:rPr>
                  </w:pPr>
                  <w:r>
                    <w:rPr>
                      <w:rFonts w:hAnsi="宋体" w:eastAsia="宋体"/>
                      <w:color w:val="auto"/>
                      <w:sz w:val="18"/>
                      <w:szCs w:val="18"/>
                    </w:rPr>
                    <w:t>由市政管网供给</w:t>
                  </w:r>
                </w:p>
              </w:tc>
              <w:tc>
                <w:tcPr>
                  <w:tcW w:w="1666" w:type="pct"/>
                  <w:noWrap w:val="0"/>
                  <w:vAlign w:val="center"/>
                </w:tcPr>
                <w:p w14:paraId="373A1E6E">
                  <w:pPr>
                    <w:adjustRightInd w:val="0"/>
                    <w:snapToGrid w:val="0"/>
                    <w:jc w:val="center"/>
                    <w:rPr>
                      <w:rFonts w:hAnsi="宋体" w:eastAsia="宋体"/>
                      <w:color w:val="auto"/>
                      <w:sz w:val="18"/>
                      <w:szCs w:val="18"/>
                    </w:rPr>
                  </w:pPr>
                  <w:r>
                    <w:rPr>
                      <w:rFonts w:hAnsi="宋体" w:eastAsia="宋体"/>
                      <w:color w:val="auto"/>
                      <w:sz w:val="18"/>
                      <w:szCs w:val="18"/>
                    </w:rPr>
                    <w:t>由市政管网供给</w:t>
                  </w:r>
                </w:p>
              </w:tc>
              <w:tc>
                <w:tcPr>
                  <w:tcW w:w="874" w:type="pct"/>
                  <w:noWrap w:val="0"/>
                  <w:vAlign w:val="center"/>
                </w:tcPr>
                <w:p w14:paraId="3E4E0566">
                  <w:pPr>
                    <w:adjustRightInd w:val="0"/>
                    <w:snapToGrid w:val="0"/>
                    <w:jc w:val="center"/>
                    <w:rPr>
                      <w:rFonts w:hAnsi="宋体" w:eastAsia="宋体"/>
                      <w:color w:val="auto"/>
                      <w:sz w:val="18"/>
                      <w:szCs w:val="18"/>
                    </w:rPr>
                  </w:pPr>
                  <w:r>
                    <w:rPr>
                      <w:rFonts w:hint="eastAsia"/>
                      <w:color w:val="auto"/>
                      <w:sz w:val="18"/>
                      <w:szCs w:val="18"/>
                      <w:highlight w:val="none"/>
                      <w:lang w:val="en-US" w:eastAsia="zh-CN"/>
                    </w:rPr>
                    <w:t>不变</w:t>
                  </w:r>
                </w:p>
              </w:tc>
            </w:tr>
            <w:tr w14:paraId="69AA6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continue"/>
                  <w:noWrap w:val="0"/>
                  <w:vAlign w:val="center"/>
                </w:tcPr>
                <w:p w14:paraId="0DF882A2">
                  <w:pPr>
                    <w:adjustRightInd w:val="0"/>
                    <w:snapToGrid w:val="0"/>
                    <w:jc w:val="center"/>
                    <w:rPr>
                      <w:color w:val="auto"/>
                      <w:sz w:val="18"/>
                      <w:szCs w:val="18"/>
                    </w:rPr>
                  </w:pPr>
                </w:p>
              </w:tc>
              <w:tc>
                <w:tcPr>
                  <w:tcW w:w="528" w:type="pct"/>
                  <w:gridSpan w:val="2"/>
                  <w:noWrap w:val="0"/>
                  <w:vAlign w:val="center"/>
                </w:tcPr>
                <w:p w14:paraId="4ECDA5EE">
                  <w:pPr>
                    <w:adjustRightInd w:val="0"/>
                    <w:snapToGrid w:val="0"/>
                    <w:jc w:val="center"/>
                    <w:rPr>
                      <w:color w:val="auto"/>
                      <w:sz w:val="18"/>
                      <w:szCs w:val="18"/>
                    </w:rPr>
                  </w:pPr>
                  <w:r>
                    <w:rPr>
                      <w:color w:val="auto"/>
                      <w:sz w:val="18"/>
                      <w:szCs w:val="18"/>
                    </w:rPr>
                    <w:t>排水</w:t>
                  </w:r>
                </w:p>
              </w:tc>
              <w:tc>
                <w:tcPr>
                  <w:tcW w:w="1547" w:type="pct"/>
                  <w:noWrap w:val="0"/>
                  <w:vAlign w:val="center"/>
                </w:tcPr>
                <w:p w14:paraId="06C2AEDE">
                  <w:pPr>
                    <w:adjustRightInd w:val="0"/>
                    <w:snapToGrid w:val="0"/>
                    <w:spacing w:line="240" w:lineRule="atLeast"/>
                    <w:jc w:val="center"/>
                    <w:rPr>
                      <w:color w:val="auto"/>
                      <w:sz w:val="18"/>
                      <w:szCs w:val="18"/>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清洗废水经沉淀后排入福清市融元污水处理厂</w:t>
                  </w:r>
                </w:p>
              </w:tc>
              <w:tc>
                <w:tcPr>
                  <w:tcW w:w="1666" w:type="pct"/>
                  <w:noWrap w:val="0"/>
                  <w:vAlign w:val="center"/>
                </w:tcPr>
                <w:p w14:paraId="0F7F0F9E">
                  <w:pPr>
                    <w:adjustRightInd w:val="0"/>
                    <w:snapToGrid w:val="0"/>
                    <w:spacing w:line="240" w:lineRule="atLeast"/>
                    <w:jc w:val="center"/>
                    <w:rPr>
                      <w:color w:val="auto"/>
                      <w:sz w:val="18"/>
                      <w:szCs w:val="18"/>
                    </w:rPr>
                  </w:pPr>
                  <w:r>
                    <w:rPr>
                      <w:rFonts w:hAnsi="宋体" w:eastAsia="宋体"/>
                      <w:color w:val="auto"/>
                      <w:sz w:val="18"/>
                      <w:szCs w:val="18"/>
                    </w:rPr>
                    <w:t>雨污分流，分设雨水管道及污水管道</w:t>
                  </w:r>
                  <w:r>
                    <w:rPr>
                      <w:rFonts w:hint="eastAsia" w:hAnsi="宋体" w:eastAsia="宋体"/>
                      <w:color w:val="auto"/>
                      <w:sz w:val="18"/>
                      <w:szCs w:val="18"/>
                      <w:lang w:eastAsia="zh-CN"/>
                    </w:rPr>
                    <w:t>，</w:t>
                  </w:r>
                  <w:r>
                    <w:rPr>
                      <w:rFonts w:hint="eastAsia" w:hAnsi="宋体" w:eastAsia="宋体"/>
                      <w:color w:val="auto"/>
                      <w:sz w:val="18"/>
                      <w:szCs w:val="18"/>
                    </w:rPr>
                    <w:t>职工日常生活污水</w:t>
                  </w:r>
                  <w:r>
                    <w:rPr>
                      <w:rFonts w:hint="eastAsia" w:hAnsi="宋体" w:eastAsia="宋体"/>
                      <w:color w:val="auto"/>
                      <w:sz w:val="18"/>
                      <w:szCs w:val="18"/>
                      <w:lang w:eastAsia="zh-CN"/>
                    </w:rPr>
                    <w:t>经</w:t>
                  </w:r>
                  <w:r>
                    <w:rPr>
                      <w:rFonts w:hint="eastAsia" w:hAnsi="宋体" w:eastAsia="宋体"/>
                      <w:color w:val="auto"/>
                      <w:sz w:val="18"/>
                      <w:szCs w:val="18"/>
                    </w:rPr>
                    <w:t>化粪池</w:t>
                  </w:r>
                  <w:r>
                    <w:rPr>
                      <w:rFonts w:hint="eastAsia" w:hAnsi="宋体" w:eastAsia="宋体"/>
                      <w:color w:val="auto"/>
                      <w:sz w:val="18"/>
                      <w:szCs w:val="18"/>
                      <w:lang w:eastAsia="zh-CN"/>
                    </w:rPr>
                    <w:t>预</w:t>
                  </w:r>
                  <w:r>
                    <w:rPr>
                      <w:rFonts w:hint="eastAsia" w:hAnsi="宋体" w:eastAsia="宋体"/>
                      <w:color w:val="auto"/>
                      <w:sz w:val="18"/>
                      <w:szCs w:val="18"/>
                    </w:rPr>
                    <w:t>处理后排入市政污水管网，纳入</w:t>
                  </w:r>
                  <w:r>
                    <w:rPr>
                      <w:rFonts w:hint="eastAsia" w:hAnsi="宋体"/>
                      <w:color w:val="auto"/>
                      <w:sz w:val="18"/>
                      <w:szCs w:val="18"/>
                      <w:lang w:eastAsia="zh-CN"/>
                    </w:rPr>
                    <w:t>福清市融元污水处理厂</w:t>
                  </w:r>
                  <w:r>
                    <w:rPr>
                      <w:rFonts w:hint="eastAsia" w:hAnsi="宋体" w:eastAsia="宋体"/>
                      <w:color w:val="auto"/>
                      <w:sz w:val="18"/>
                      <w:szCs w:val="18"/>
                    </w:rPr>
                    <w:t>集中处理</w:t>
                  </w:r>
                  <w:r>
                    <w:rPr>
                      <w:rFonts w:hint="eastAsia" w:hAnsi="宋体"/>
                      <w:color w:val="auto"/>
                      <w:sz w:val="18"/>
                      <w:szCs w:val="18"/>
                      <w:lang w:eastAsia="zh-CN"/>
                    </w:rPr>
                    <w:t>，</w:t>
                  </w:r>
                  <w:r>
                    <w:rPr>
                      <w:rFonts w:hint="eastAsia" w:hAnsi="宋体" w:eastAsia="宋体"/>
                      <w:color w:val="auto"/>
                      <w:sz w:val="18"/>
                      <w:szCs w:val="18"/>
                    </w:rPr>
                    <w:t>清洗废水经滤棉过滤和沉淀后排入福清市融元污水处理厂</w:t>
                  </w:r>
                </w:p>
              </w:tc>
              <w:tc>
                <w:tcPr>
                  <w:tcW w:w="874" w:type="pct"/>
                  <w:noWrap w:val="0"/>
                  <w:vAlign w:val="center"/>
                </w:tcPr>
                <w:p w14:paraId="5B78D469">
                  <w:pPr>
                    <w:adjustRightInd w:val="0"/>
                    <w:snapToGrid w:val="0"/>
                    <w:spacing w:line="240" w:lineRule="atLeast"/>
                    <w:jc w:val="center"/>
                    <w:rPr>
                      <w:rFonts w:hAnsi="宋体" w:eastAsia="宋体"/>
                      <w:color w:val="auto"/>
                      <w:sz w:val="18"/>
                      <w:szCs w:val="18"/>
                    </w:rPr>
                  </w:pPr>
                  <w:r>
                    <w:rPr>
                      <w:rFonts w:hint="eastAsia"/>
                      <w:color w:val="auto"/>
                      <w:sz w:val="18"/>
                      <w:szCs w:val="18"/>
                      <w:highlight w:val="none"/>
                      <w:lang w:val="en-US" w:eastAsia="zh-CN"/>
                    </w:rPr>
                    <w:t>不变</w:t>
                  </w:r>
                </w:p>
              </w:tc>
            </w:tr>
            <w:tr w14:paraId="6E6FE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continue"/>
                  <w:noWrap w:val="0"/>
                  <w:vAlign w:val="center"/>
                </w:tcPr>
                <w:p w14:paraId="279F2A34">
                  <w:pPr>
                    <w:adjustRightInd w:val="0"/>
                    <w:snapToGrid w:val="0"/>
                    <w:jc w:val="center"/>
                    <w:rPr>
                      <w:color w:val="auto"/>
                      <w:sz w:val="18"/>
                      <w:szCs w:val="18"/>
                    </w:rPr>
                  </w:pPr>
                </w:p>
              </w:tc>
              <w:tc>
                <w:tcPr>
                  <w:tcW w:w="528" w:type="pct"/>
                  <w:gridSpan w:val="2"/>
                  <w:noWrap w:val="0"/>
                  <w:vAlign w:val="center"/>
                </w:tcPr>
                <w:p w14:paraId="7B5F0DBB">
                  <w:pPr>
                    <w:adjustRightInd w:val="0"/>
                    <w:snapToGrid w:val="0"/>
                    <w:jc w:val="center"/>
                    <w:rPr>
                      <w:rFonts w:hint="eastAsia"/>
                      <w:color w:val="auto"/>
                      <w:sz w:val="18"/>
                      <w:szCs w:val="18"/>
                    </w:rPr>
                  </w:pPr>
                  <w:r>
                    <w:rPr>
                      <w:color w:val="auto"/>
                      <w:sz w:val="18"/>
                      <w:szCs w:val="18"/>
                    </w:rPr>
                    <w:t>供电</w:t>
                  </w:r>
                </w:p>
              </w:tc>
              <w:tc>
                <w:tcPr>
                  <w:tcW w:w="1547" w:type="pct"/>
                  <w:noWrap w:val="0"/>
                  <w:vAlign w:val="center"/>
                </w:tcPr>
                <w:p w14:paraId="57A32A27">
                  <w:pPr>
                    <w:adjustRightInd w:val="0"/>
                    <w:snapToGrid w:val="0"/>
                    <w:jc w:val="center"/>
                    <w:rPr>
                      <w:color w:val="auto"/>
                      <w:sz w:val="18"/>
                      <w:szCs w:val="18"/>
                    </w:rPr>
                  </w:pPr>
                  <w:r>
                    <w:rPr>
                      <w:rFonts w:hAnsi="宋体" w:eastAsia="宋体"/>
                      <w:color w:val="auto"/>
                      <w:sz w:val="18"/>
                      <w:szCs w:val="18"/>
                    </w:rPr>
                    <w:t>由市政电力网供应</w:t>
                  </w:r>
                </w:p>
              </w:tc>
              <w:tc>
                <w:tcPr>
                  <w:tcW w:w="1666" w:type="pct"/>
                  <w:noWrap w:val="0"/>
                  <w:vAlign w:val="center"/>
                </w:tcPr>
                <w:p w14:paraId="4212E071">
                  <w:pPr>
                    <w:adjustRightInd w:val="0"/>
                    <w:snapToGrid w:val="0"/>
                    <w:jc w:val="center"/>
                    <w:rPr>
                      <w:rFonts w:hAnsi="宋体" w:eastAsia="宋体"/>
                      <w:color w:val="auto"/>
                      <w:sz w:val="18"/>
                      <w:szCs w:val="18"/>
                    </w:rPr>
                  </w:pPr>
                  <w:r>
                    <w:rPr>
                      <w:rFonts w:hAnsi="宋体" w:eastAsia="宋体"/>
                      <w:color w:val="auto"/>
                      <w:sz w:val="18"/>
                      <w:szCs w:val="18"/>
                    </w:rPr>
                    <w:t>由市政电力网供应</w:t>
                  </w:r>
                </w:p>
              </w:tc>
              <w:tc>
                <w:tcPr>
                  <w:tcW w:w="874" w:type="pct"/>
                  <w:noWrap w:val="0"/>
                  <w:vAlign w:val="center"/>
                </w:tcPr>
                <w:p w14:paraId="07B58086">
                  <w:pPr>
                    <w:adjustRightInd w:val="0"/>
                    <w:snapToGrid w:val="0"/>
                    <w:jc w:val="center"/>
                    <w:rPr>
                      <w:rFonts w:hAnsi="宋体" w:eastAsia="宋体"/>
                      <w:color w:val="auto"/>
                      <w:sz w:val="18"/>
                      <w:szCs w:val="18"/>
                    </w:rPr>
                  </w:pPr>
                  <w:r>
                    <w:rPr>
                      <w:rFonts w:hint="eastAsia"/>
                      <w:color w:val="auto"/>
                      <w:sz w:val="18"/>
                      <w:szCs w:val="18"/>
                      <w:highlight w:val="none"/>
                      <w:lang w:val="en-US" w:eastAsia="zh-CN"/>
                    </w:rPr>
                    <w:t>不变</w:t>
                  </w:r>
                </w:p>
              </w:tc>
            </w:tr>
            <w:tr w14:paraId="64FA7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83" w:type="pct"/>
                  <w:vMerge w:val="restart"/>
                  <w:noWrap w:val="0"/>
                  <w:vAlign w:val="center"/>
                </w:tcPr>
                <w:p w14:paraId="2E2DB963">
                  <w:pPr>
                    <w:adjustRightInd w:val="0"/>
                    <w:snapToGrid w:val="0"/>
                    <w:jc w:val="center"/>
                    <w:rPr>
                      <w:color w:val="auto"/>
                      <w:sz w:val="18"/>
                      <w:szCs w:val="18"/>
                    </w:rPr>
                  </w:pPr>
                  <w:r>
                    <w:rPr>
                      <w:color w:val="auto"/>
                      <w:sz w:val="18"/>
                      <w:szCs w:val="18"/>
                    </w:rPr>
                    <w:t>环保工程</w:t>
                  </w:r>
                </w:p>
              </w:tc>
              <w:tc>
                <w:tcPr>
                  <w:tcW w:w="186" w:type="pct"/>
                  <w:vMerge w:val="restart"/>
                  <w:noWrap w:val="0"/>
                  <w:vAlign w:val="center"/>
                </w:tcPr>
                <w:p w14:paraId="72903F09">
                  <w:pPr>
                    <w:adjustRightInd w:val="0"/>
                    <w:snapToGrid w:val="0"/>
                    <w:jc w:val="center"/>
                    <w:rPr>
                      <w:color w:val="auto"/>
                      <w:sz w:val="18"/>
                      <w:szCs w:val="18"/>
                    </w:rPr>
                  </w:pPr>
                  <w:r>
                    <w:rPr>
                      <w:color w:val="auto"/>
                      <w:sz w:val="18"/>
                      <w:szCs w:val="18"/>
                    </w:rPr>
                    <w:t>废水治理</w:t>
                  </w:r>
                </w:p>
              </w:tc>
              <w:tc>
                <w:tcPr>
                  <w:tcW w:w="342" w:type="pct"/>
                  <w:noWrap w:val="0"/>
                  <w:vAlign w:val="center"/>
                </w:tcPr>
                <w:p w14:paraId="0654CB5C">
                  <w:pPr>
                    <w:adjustRightInd w:val="0"/>
                    <w:snapToGrid w:val="0"/>
                    <w:jc w:val="center"/>
                    <w:rPr>
                      <w:rFonts w:hint="eastAsia" w:eastAsia="宋体"/>
                      <w:color w:val="auto"/>
                      <w:sz w:val="18"/>
                      <w:szCs w:val="18"/>
                      <w:lang w:eastAsia="zh-CN"/>
                    </w:rPr>
                  </w:pPr>
                  <w:r>
                    <w:rPr>
                      <w:rFonts w:hint="eastAsia"/>
                      <w:color w:val="auto"/>
                      <w:sz w:val="18"/>
                      <w:szCs w:val="18"/>
                      <w:lang w:eastAsia="zh-CN"/>
                    </w:rPr>
                    <w:t>生产废水</w:t>
                  </w:r>
                </w:p>
              </w:tc>
              <w:tc>
                <w:tcPr>
                  <w:tcW w:w="1547" w:type="pct"/>
                  <w:noWrap w:val="0"/>
                  <w:vAlign w:val="center"/>
                </w:tcPr>
                <w:p w14:paraId="04454FE8">
                  <w:pPr>
                    <w:adjustRightInd w:val="0"/>
                    <w:snapToGrid w:val="0"/>
                    <w:spacing w:line="240" w:lineRule="atLeast"/>
                    <w:jc w:val="center"/>
                    <w:rPr>
                      <w:rFonts w:hint="default" w:eastAsia="宋体"/>
                      <w:color w:val="auto"/>
                      <w:sz w:val="18"/>
                      <w:szCs w:val="18"/>
                      <w:lang w:val="en-US"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清洗废水经沉淀后排入福清市融元污水处理厂</w:t>
                  </w:r>
                </w:p>
              </w:tc>
              <w:tc>
                <w:tcPr>
                  <w:tcW w:w="1666" w:type="pct"/>
                  <w:noWrap w:val="0"/>
                  <w:vAlign w:val="center"/>
                </w:tcPr>
                <w:p w14:paraId="705E4EEB">
                  <w:pPr>
                    <w:jc w:val="center"/>
                    <w:rPr>
                      <w:rFonts w:hint="eastAsia"/>
                      <w:color w:val="auto"/>
                      <w:sz w:val="18"/>
                      <w:szCs w:val="18"/>
                      <w:lang w:eastAsia="zh-CN"/>
                    </w:rPr>
                  </w:pPr>
                  <w:r>
                    <w:rPr>
                      <w:rFonts w:hint="eastAsia" w:eastAsia="宋体"/>
                      <w:color w:val="auto"/>
                      <w:sz w:val="18"/>
                      <w:szCs w:val="18"/>
                      <w:lang w:val="en-US" w:eastAsia="zh-CN"/>
                    </w:rPr>
                    <w:t>冷却水循环使用定期补充，不外排</w:t>
                  </w:r>
                  <w:r>
                    <w:rPr>
                      <w:rFonts w:hint="eastAsia"/>
                      <w:color w:val="auto"/>
                      <w:sz w:val="18"/>
                      <w:szCs w:val="18"/>
                      <w:lang w:val="en-US" w:eastAsia="zh-CN"/>
                    </w:rPr>
                    <w:t>；</w:t>
                  </w:r>
                  <w:r>
                    <w:rPr>
                      <w:rFonts w:hint="eastAsia" w:hAnsi="宋体" w:eastAsia="宋体"/>
                      <w:color w:val="auto"/>
                      <w:sz w:val="18"/>
                      <w:szCs w:val="18"/>
                    </w:rPr>
                    <w:t>清洗废水经滤棉过滤和沉淀后排入福清市融元污水处理厂</w:t>
                  </w:r>
                </w:p>
              </w:tc>
              <w:tc>
                <w:tcPr>
                  <w:tcW w:w="874" w:type="pct"/>
                  <w:noWrap w:val="0"/>
                  <w:vAlign w:val="center"/>
                </w:tcPr>
                <w:p w14:paraId="02C96EB1">
                  <w:pPr>
                    <w:jc w:val="center"/>
                    <w:rPr>
                      <w:rFonts w:hint="default" w:eastAsia="宋体"/>
                      <w:color w:val="auto"/>
                      <w:sz w:val="18"/>
                      <w:szCs w:val="18"/>
                      <w:lang w:val="en-US" w:eastAsia="zh-CN"/>
                    </w:rPr>
                  </w:pPr>
                  <w:r>
                    <w:rPr>
                      <w:rFonts w:hint="eastAsia"/>
                      <w:color w:val="auto"/>
                      <w:sz w:val="18"/>
                      <w:szCs w:val="18"/>
                      <w:lang w:val="en-US" w:eastAsia="zh-CN"/>
                    </w:rPr>
                    <w:t>清洗废水处理工序增加过滤棉过滤工序</w:t>
                  </w:r>
                </w:p>
              </w:tc>
            </w:tr>
            <w:tr w14:paraId="12589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83" w:type="pct"/>
                  <w:vMerge w:val="continue"/>
                  <w:noWrap w:val="0"/>
                  <w:vAlign w:val="center"/>
                </w:tcPr>
                <w:p w14:paraId="587F64F6">
                  <w:pPr>
                    <w:adjustRightInd w:val="0"/>
                    <w:snapToGrid w:val="0"/>
                    <w:jc w:val="center"/>
                    <w:rPr>
                      <w:color w:val="auto"/>
                      <w:sz w:val="18"/>
                      <w:szCs w:val="18"/>
                    </w:rPr>
                  </w:pPr>
                </w:p>
              </w:tc>
              <w:tc>
                <w:tcPr>
                  <w:tcW w:w="186" w:type="pct"/>
                  <w:vMerge w:val="continue"/>
                  <w:noWrap w:val="0"/>
                  <w:vAlign w:val="center"/>
                </w:tcPr>
                <w:p w14:paraId="539D75FD">
                  <w:pPr>
                    <w:adjustRightInd w:val="0"/>
                    <w:snapToGrid w:val="0"/>
                    <w:jc w:val="center"/>
                    <w:rPr>
                      <w:color w:val="auto"/>
                      <w:sz w:val="18"/>
                      <w:szCs w:val="18"/>
                    </w:rPr>
                  </w:pPr>
                </w:p>
              </w:tc>
              <w:tc>
                <w:tcPr>
                  <w:tcW w:w="342" w:type="pct"/>
                  <w:noWrap w:val="0"/>
                  <w:vAlign w:val="center"/>
                </w:tcPr>
                <w:p w14:paraId="710CCF4D">
                  <w:pPr>
                    <w:adjustRightInd w:val="0"/>
                    <w:snapToGrid w:val="0"/>
                    <w:jc w:val="center"/>
                    <w:rPr>
                      <w:rFonts w:hint="eastAsia"/>
                      <w:color w:val="auto"/>
                      <w:sz w:val="18"/>
                      <w:szCs w:val="18"/>
                      <w:lang w:eastAsia="zh-CN"/>
                    </w:rPr>
                  </w:pPr>
                  <w:r>
                    <w:rPr>
                      <w:rFonts w:hint="eastAsia"/>
                      <w:color w:val="auto"/>
                      <w:sz w:val="18"/>
                      <w:szCs w:val="18"/>
                      <w:lang w:eastAsia="zh-CN"/>
                    </w:rPr>
                    <w:t>生活污水</w:t>
                  </w:r>
                </w:p>
              </w:tc>
              <w:tc>
                <w:tcPr>
                  <w:tcW w:w="1547" w:type="pct"/>
                  <w:noWrap w:val="0"/>
                  <w:vAlign w:val="center"/>
                </w:tcPr>
                <w:p w14:paraId="74654322">
                  <w:pPr>
                    <w:adjustRightInd w:val="0"/>
                    <w:snapToGrid w:val="0"/>
                    <w:spacing w:line="240" w:lineRule="atLeast"/>
                    <w:jc w:val="center"/>
                    <w:rPr>
                      <w:rFonts w:hint="eastAsia"/>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1666" w:type="pct"/>
                  <w:noWrap w:val="0"/>
                  <w:vAlign w:val="center"/>
                </w:tcPr>
                <w:p w14:paraId="4424780D">
                  <w:pPr>
                    <w:tabs>
                      <w:tab w:val="left" w:pos="5088"/>
                    </w:tabs>
                    <w:jc w:val="center"/>
                    <w:rPr>
                      <w:rFonts w:hint="eastAsia"/>
                      <w:color w:val="auto"/>
                      <w:sz w:val="18"/>
                      <w:szCs w:val="18"/>
                      <w:lang w:eastAsia="zh-CN"/>
                    </w:rPr>
                  </w:pPr>
                  <w:r>
                    <w:rPr>
                      <w:rFonts w:hint="eastAsia" w:hAnsi="宋体" w:eastAsia="宋体"/>
                      <w:color w:val="auto"/>
                      <w:sz w:val="18"/>
                      <w:szCs w:val="18"/>
                    </w:rPr>
                    <w:t>生活污水经化粪池处理后排入</w:t>
                  </w:r>
                  <w:r>
                    <w:rPr>
                      <w:rFonts w:hint="eastAsia" w:hAnsi="宋体"/>
                      <w:color w:val="auto"/>
                      <w:sz w:val="18"/>
                      <w:szCs w:val="18"/>
                      <w:lang w:eastAsia="zh-CN"/>
                    </w:rPr>
                    <w:t>福清市融元污水处理厂</w:t>
                  </w:r>
                </w:p>
              </w:tc>
              <w:tc>
                <w:tcPr>
                  <w:tcW w:w="874" w:type="pct"/>
                  <w:noWrap w:val="0"/>
                  <w:vAlign w:val="center"/>
                </w:tcPr>
                <w:p w14:paraId="629A60E6">
                  <w:pPr>
                    <w:tabs>
                      <w:tab w:val="left" w:pos="5088"/>
                    </w:tabs>
                    <w:jc w:val="center"/>
                    <w:rPr>
                      <w:rFonts w:hint="eastAsia" w:hAnsi="宋体" w:eastAsia="宋体"/>
                      <w:color w:val="auto"/>
                      <w:sz w:val="18"/>
                      <w:szCs w:val="18"/>
                    </w:rPr>
                  </w:pPr>
                  <w:r>
                    <w:rPr>
                      <w:rFonts w:hint="eastAsia"/>
                      <w:color w:val="auto"/>
                      <w:sz w:val="18"/>
                      <w:szCs w:val="18"/>
                      <w:highlight w:val="none"/>
                      <w:lang w:val="en-US" w:eastAsia="zh-CN"/>
                    </w:rPr>
                    <w:t>不变</w:t>
                  </w:r>
                </w:p>
              </w:tc>
            </w:tr>
            <w:tr w14:paraId="0D34F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83" w:type="pct"/>
                  <w:vMerge w:val="continue"/>
                  <w:noWrap w:val="0"/>
                  <w:vAlign w:val="center"/>
                </w:tcPr>
                <w:p w14:paraId="57DCD175">
                  <w:pPr>
                    <w:adjustRightInd w:val="0"/>
                    <w:snapToGrid w:val="0"/>
                    <w:jc w:val="center"/>
                    <w:rPr>
                      <w:color w:val="auto"/>
                      <w:sz w:val="18"/>
                      <w:szCs w:val="18"/>
                    </w:rPr>
                  </w:pPr>
                </w:p>
              </w:tc>
              <w:tc>
                <w:tcPr>
                  <w:tcW w:w="528" w:type="pct"/>
                  <w:gridSpan w:val="2"/>
                  <w:noWrap w:val="0"/>
                  <w:vAlign w:val="center"/>
                </w:tcPr>
                <w:p w14:paraId="3645D7FA">
                  <w:pPr>
                    <w:adjustRightInd w:val="0"/>
                    <w:snapToGrid w:val="0"/>
                    <w:jc w:val="center"/>
                    <w:rPr>
                      <w:color w:val="auto"/>
                      <w:sz w:val="18"/>
                      <w:szCs w:val="18"/>
                    </w:rPr>
                  </w:pPr>
                  <w:r>
                    <w:rPr>
                      <w:color w:val="auto"/>
                      <w:sz w:val="18"/>
                      <w:szCs w:val="18"/>
                    </w:rPr>
                    <w:t>废气治理</w:t>
                  </w:r>
                </w:p>
              </w:tc>
              <w:tc>
                <w:tcPr>
                  <w:tcW w:w="1547" w:type="pct"/>
                  <w:noWrap w:val="0"/>
                  <w:vAlign w:val="center"/>
                </w:tcPr>
                <w:p w14:paraId="1D147770">
                  <w:pPr>
                    <w:adjustRightInd w:val="0"/>
                    <w:snapToGrid w:val="0"/>
                    <w:jc w:val="center"/>
                    <w:rPr>
                      <w:rFonts w:hint="default" w:eastAsia="宋体"/>
                      <w:color w:val="auto"/>
                      <w:sz w:val="18"/>
                      <w:szCs w:val="18"/>
                      <w:lang w:val="en-US" w:eastAsia="zh-CN"/>
                    </w:rPr>
                  </w:pPr>
                  <w:r>
                    <w:rPr>
                      <w:rFonts w:hint="eastAsia"/>
                      <w:color w:val="auto"/>
                      <w:kern w:val="0"/>
                      <w:sz w:val="18"/>
                      <w:szCs w:val="18"/>
                      <w:lang w:eastAsia="zh-CN"/>
                    </w:rPr>
                    <w:t>塑料密封件注塑废气经二级活性炭吸附装置处理后通过25m高DA001排气筒排放</w:t>
                  </w:r>
                </w:p>
              </w:tc>
              <w:tc>
                <w:tcPr>
                  <w:tcW w:w="1666" w:type="pct"/>
                  <w:noWrap w:val="0"/>
                  <w:vAlign w:val="center"/>
                </w:tcPr>
                <w:p w14:paraId="28197BBB">
                  <w:pPr>
                    <w:adjustRightInd w:val="0"/>
                    <w:snapToGrid w:val="0"/>
                    <w:jc w:val="center"/>
                    <w:rPr>
                      <w:rFonts w:hint="eastAsia"/>
                      <w:color w:val="auto"/>
                      <w:kern w:val="0"/>
                      <w:sz w:val="18"/>
                      <w:szCs w:val="18"/>
                      <w:lang w:eastAsia="zh-CN"/>
                    </w:rPr>
                  </w:pPr>
                  <w:r>
                    <w:rPr>
                      <w:rFonts w:hint="eastAsia"/>
                      <w:color w:val="auto"/>
                      <w:kern w:val="0"/>
                      <w:sz w:val="18"/>
                      <w:szCs w:val="18"/>
                      <w:lang w:eastAsia="zh-CN"/>
                    </w:rPr>
                    <w:t>塑料密封件注塑废气经</w:t>
                  </w:r>
                  <w:r>
                    <w:rPr>
                      <w:rFonts w:hint="eastAsia"/>
                      <w:color w:val="auto"/>
                      <w:kern w:val="0"/>
                      <w:sz w:val="18"/>
                      <w:szCs w:val="18"/>
                      <w:lang w:val="en-US" w:eastAsia="zh-CN"/>
                    </w:rPr>
                    <w:t>UV光氧+</w:t>
                  </w:r>
                  <w:r>
                    <w:rPr>
                      <w:rFonts w:hint="eastAsia"/>
                      <w:color w:val="auto"/>
                      <w:kern w:val="0"/>
                      <w:sz w:val="18"/>
                      <w:szCs w:val="18"/>
                      <w:lang w:eastAsia="zh-CN"/>
                    </w:rPr>
                    <w:t>活性炭吸附处理后通过25m高DA001排气筒排放</w:t>
                  </w:r>
                </w:p>
              </w:tc>
              <w:tc>
                <w:tcPr>
                  <w:tcW w:w="874" w:type="pct"/>
                  <w:noWrap w:val="0"/>
                  <w:vAlign w:val="center"/>
                </w:tcPr>
                <w:p w14:paraId="274D9E92">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废气处理设施变化</w:t>
                  </w:r>
                </w:p>
              </w:tc>
            </w:tr>
            <w:tr w14:paraId="161B5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83" w:type="pct"/>
                  <w:vMerge w:val="continue"/>
                  <w:noWrap w:val="0"/>
                  <w:vAlign w:val="center"/>
                </w:tcPr>
                <w:p w14:paraId="41C66640">
                  <w:pPr>
                    <w:adjustRightInd w:val="0"/>
                    <w:snapToGrid w:val="0"/>
                    <w:jc w:val="center"/>
                    <w:rPr>
                      <w:color w:val="auto"/>
                      <w:sz w:val="18"/>
                      <w:szCs w:val="18"/>
                    </w:rPr>
                  </w:pPr>
                </w:p>
              </w:tc>
              <w:tc>
                <w:tcPr>
                  <w:tcW w:w="528" w:type="pct"/>
                  <w:gridSpan w:val="2"/>
                  <w:noWrap w:val="0"/>
                  <w:vAlign w:val="center"/>
                </w:tcPr>
                <w:p w14:paraId="74C159A3">
                  <w:pPr>
                    <w:adjustRightInd w:val="0"/>
                    <w:snapToGrid w:val="0"/>
                    <w:jc w:val="center"/>
                    <w:rPr>
                      <w:color w:val="auto"/>
                      <w:sz w:val="18"/>
                      <w:szCs w:val="18"/>
                    </w:rPr>
                  </w:pPr>
                  <w:r>
                    <w:rPr>
                      <w:color w:val="auto"/>
                      <w:sz w:val="18"/>
                      <w:szCs w:val="18"/>
                    </w:rPr>
                    <w:t>噪声控制</w:t>
                  </w:r>
                </w:p>
              </w:tc>
              <w:tc>
                <w:tcPr>
                  <w:tcW w:w="1547" w:type="pct"/>
                  <w:noWrap w:val="0"/>
                  <w:vAlign w:val="center"/>
                </w:tcPr>
                <w:p w14:paraId="1976B85A">
                  <w:pPr>
                    <w:adjustRightInd w:val="0"/>
                    <w:snapToGrid w:val="0"/>
                    <w:jc w:val="center"/>
                    <w:rPr>
                      <w:rFonts w:hint="eastAsia"/>
                      <w:color w:val="auto"/>
                      <w:sz w:val="18"/>
                      <w:szCs w:val="18"/>
                      <w:lang w:eastAsia="zh-CN"/>
                    </w:rPr>
                  </w:pPr>
                  <w:r>
                    <w:rPr>
                      <w:rFonts w:hint="eastAsia"/>
                      <w:color w:val="auto"/>
                      <w:sz w:val="18"/>
                      <w:szCs w:val="18"/>
                    </w:rPr>
                    <w:t>选用低噪音设备，加强设备的维护管理，对高噪声设备采取减震、消声、隔声等降噪措施</w:t>
                  </w:r>
                </w:p>
              </w:tc>
              <w:tc>
                <w:tcPr>
                  <w:tcW w:w="1666" w:type="pct"/>
                  <w:noWrap w:val="0"/>
                  <w:vAlign w:val="center"/>
                </w:tcPr>
                <w:p w14:paraId="52019726">
                  <w:pPr>
                    <w:adjustRightInd w:val="0"/>
                    <w:snapToGrid w:val="0"/>
                    <w:jc w:val="center"/>
                    <w:rPr>
                      <w:rFonts w:hint="eastAsia"/>
                      <w:color w:val="auto"/>
                      <w:sz w:val="18"/>
                      <w:szCs w:val="18"/>
                      <w:lang w:eastAsia="zh-CN"/>
                    </w:rPr>
                  </w:pPr>
                  <w:r>
                    <w:rPr>
                      <w:rFonts w:hint="eastAsia"/>
                      <w:color w:val="auto"/>
                      <w:sz w:val="18"/>
                      <w:szCs w:val="18"/>
                    </w:rPr>
                    <w:t>选用低噪音设备，加强设备的维护管理，对高噪声设备采取减震、消声、隔声等降噪措施</w:t>
                  </w:r>
                </w:p>
              </w:tc>
              <w:tc>
                <w:tcPr>
                  <w:tcW w:w="874" w:type="pct"/>
                  <w:noWrap w:val="0"/>
                  <w:vAlign w:val="center"/>
                </w:tcPr>
                <w:p w14:paraId="191F96D4">
                  <w:pPr>
                    <w:adjustRightInd w:val="0"/>
                    <w:snapToGrid w:val="0"/>
                    <w:jc w:val="center"/>
                    <w:rPr>
                      <w:rFonts w:hint="eastAsia"/>
                      <w:color w:val="auto"/>
                      <w:sz w:val="18"/>
                      <w:szCs w:val="18"/>
                    </w:rPr>
                  </w:pPr>
                  <w:r>
                    <w:rPr>
                      <w:rFonts w:hint="eastAsia"/>
                      <w:color w:val="auto"/>
                      <w:sz w:val="18"/>
                      <w:szCs w:val="18"/>
                      <w:highlight w:val="none"/>
                      <w:lang w:val="en-US" w:eastAsia="zh-CN"/>
                    </w:rPr>
                    <w:t>不变</w:t>
                  </w:r>
                </w:p>
              </w:tc>
            </w:tr>
            <w:tr w14:paraId="5C0C3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83" w:type="pct"/>
                  <w:vMerge w:val="continue"/>
                  <w:noWrap w:val="0"/>
                  <w:vAlign w:val="center"/>
                </w:tcPr>
                <w:p w14:paraId="61E0C06D">
                  <w:pPr>
                    <w:adjustRightInd w:val="0"/>
                    <w:snapToGrid w:val="0"/>
                    <w:jc w:val="center"/>
                    <w:rPr>
                      <w:color w:val="auto"/>
                      <w:sz w:val="18"/>
                      <w:szCs w:val="18"/>
                    </w:rPr>
                  </w:pPr>
                </w:p>
              </w:tc>
              <w:tc>
                <w:tcPr>
                  <w:tcW w:w="528" w:type="pct"/>
                  <w:gridSpan w:val="2"/>
                  <w:noWrap w:val="0"/>
                  <w:vAlign w:val="center"/>
                </w:tcPr>
                <w:p w14:paraId="059810BA">
                  <w:pPr>
                    <w:pStyle w:val="87"/>
                    <w:spacing w:line="240" w:lineRule="auto"/>
                    <w:rPr>
                      <w:rFonts w:hint="eastAsia" w:eastAsia="宋体" w:cs="Times New Roman"/>
                      <w:color w:val="auto"/>
                      <w:sz w:val="18"/>
                      <w:szCs w:val="18"/>
                      <w:lang w:eastAsia="zh-CN"/>
                    </w:rPr>
                  </w:pPr>
                  <w:r>
                    <w:rPr>
                      <w:color w:val="auto"/>
                      <w:sz w:val="18"/>
                      <w:szCs w:val="18"/>
                    </w:rPr>
                    <w:t>固废处理处置</w:t>
                  </w:r>
                </w:p>
              </w:tc>
              <w:tc>
                <w:tcPr>
                  <w:tcW w:w="1547" w:type="pct"/>
                  <w:noWrap w:val="0"/>
                  <w:vAlign w:val="center"/>
                </w:tcPr>
                <w:p w14:paraId="350E786C">
                  <w:pPr>
                    <w:autoSpaceDE w:val="0"/>
                    <w:autoSpaceDN w:val="0"/>
                    <w:adjustRightInd w:val="0"/>
                    <w:snapToGrid w:val="0"/>
                    <w:jc w:val="center"/>
                    <w:rPr>
                      <w:color w:val="auto"/>
                      <w:kern w:val="0"/>
                      <w:sz w:val="18"/>
                      <w:szCs w:val="18"/>
                      <w:lang w:val="en-GB"/>
                    </w:rPr>
                  </w:pPr>
                  <w:r>
                    <w:rPr>
                      <w:rFonts w:hint="eastAsia"/>
                      <w:color w:val="auto"/>
                      <w:sz w:val="18"/>
                      <w:szCs w:val="18"/>
                      <w:lang w:eastAsia="zh-CN"/>
                    </w:rPr>
                    <w:t>一般工业固废分类收集、暂存后外售综合利用；危废委托有资质单位进行统一处理，生活垃圾由环卫部门清运</w:t>
                  </w:r>
                </w:p>
              </w:tc>
              <w:tc>
                <w:tcPr>
                  <w:tcW w:w="1666" w:type="pct"/>
                  <w:noWrap w:val="0"/>
                  <w:vAlign w:val="center"/>
                </w:tcPr>
                <w:p w14:paraId="1722848F">
                  <w:pPr>
                    <w:adjustRightInd w:val="0"/>
                    <w:snapToGrid w:val="0"/>
                    <w:jc w:val="center"/>
                    <w:rPr>
                      <w:rFonts w:hint="eastAsia"/>
                      <w:color w:val="auto"/>
                      <w:sz w:val="18"/>
                      <w:szCs w:val="18"/>
                      <w:lang w:eastAsia="zh-CN"/>
                    </w:rPr>
                  </w:pPr>
                  <w:r>
                    <w:rPr>
                      <w:rFonts w:hint="eastAsia"/>
                      <w:color w:val="auto"/>
                      <w:sz w:val="18"/>
                      <w:szCs w:val="18"/>
                      <w:lang w:eastAsia="zh-CN"/>
                    </w:rPr>
                    <w:t>一般工业固废分类收集、暂存后</w:t>
                  </w:r>
                  <w:r>
                    <w:rPr>
                      <w:rFonts w:hint="eastAsia"/>
                      <w:color w:val="auto"/>
                      <w:sz w:val="18"/>
                      <w:szCs w:val="18"/>
                      <w:lang w:val="en-US" w:eastAsia="zh-CN"/>
                    </w:rPr>
                    <w:t>由</w:t>
                  </w:r>
                  <w:r>
                    <w:rPr>
                      <w:rFonts w:hint="eastAsia"/>
                      <w:color w:val="auto"/>
                      <w:sz w:val="18"/>
                      <w:szCs w:val="18"/>
                      <w:lang w:eastAsia="zh-CN"/>
                    </w:rPr>
                    <w:t>福建钜鸿百纳科技有限公司委托的固废处置单位代为处置；危废委托福建深投海峡环保科技有限公司处置，生活垃圾经收集后暂存三锋汽配生活垃圾站，由三锋汽配委托的生活垃圾处置单位代为处置</w:t>
                  </w:r>
                </w:p>
              </w:tc>
              <w:tc>
                <w:tcPr>
                  <w:tcW w:w="874" w:type="pct"/>
                  <w:noWrap w:val="0"/>
                  <w:vAlign w:val="center"/>
                </w:tcPr>
                <w:p w14:paraId="654CDDFE">
                  <w:pPr>
                    <w:adjustRightInd w:val="0"/>
                    <w:snapToGrid w:val="0"/>
                    <w:jc w:val="center"/>
                    <w:rPr>
                      <w:rFonts w:hint="default"/>
                      <w:color w:val="auto"/>
                      <w:sz w:val="18"/>
                      <w:szCs w:val="18"/>
                      <w:lang w:val="en-US" w:eastAsia="zh-CN"/>
                    </w:rPr>
                  </w:pPr>
                  <w:r>
                    <w:rPr>
                      <w:rFonts w:hint="eastAsia"/>
                      <w:color w:val="auto"/>
                      <w:sz w:val="18"/>
                      <w:szCs w:val="18"/>
                      <w:highlight w:val="none"/>
                      <w:lang w:val="en-US" w:eastAsia="zh-CN"/>
                    </w:rPr>
                    <w:t>增加委托单位</w:t>
                  </w:r>
                </w:p>
              </w:tc>
            </w:tr>
          </w:tbl>
          <w:p w14:paraId="1C32805A">
            <w:pPr>
              <w:pStyle w:val="69"/>
              <w:spacing w:before="120" w:beforeLines="50" w:after="0"/>
              <w:ind w:left="0" w:leftChars="0" w:firstLine="480"/>
              <w:rPr>
                <w:color w:val="auto"/>
                <w:szCs w:val="24"/>
                <w:lang w:val="en-US" w:eastAsia="zh-CN"/>
              </w:rPr>
            </w:pPr>
            <w:r>
              <w:rPr>
                <w:rFonts w:hint="eastAsia" w:ascii="宋体" w:hAnsi="宋体" w:cs="宋体"/>
                <w:color w:val="auto"/>
                <w:szCs w:val="24"/>
                <w:lang w:val="en-US" w:eastAsia="zh-CN"/>
              </w:rPr>
              <w:t>②</w:t>
            </w:r>
            <w:r>
              <w:rPr>
                <w:rFonts w:hint="eastAsia"/>
                <w:color w:val="auto"/>
                <w:szCs w:val="24"/>
                <w:lang w:val="en-US" w:eastAsia="zh-CN"/>
              </w:rPr>
              <w:t>现有工程产品方案及原辅料使用情况</w:t>
            </w:r>
          </w:p>
          <w:p w14:paraId="161AA0B5">
            <w:pPr>
              <w:spacing w:line="360" w:lineRule="auto"/>
              <w:ind w:firstLine="480" w:firstLineChars="200"/>
              <w:rPr>
                <w:color w:val="auto"/>
                <w:sz w:val="24"/>
              </w:rPr>
            </w:pPr>
            <w:r>
              <w:rPr>
                <w:rFonts w:hint="eastAsia"/>
                <w:color w:val="auto"/>
                <w:sz w:val="24"/>
              </w:rPr>
              <w:t>A.现有工程产品方案</w:t>
            </w:r>
          </w:p>
          <w:p w14:paraId="202ACCFE">
            <w:pPr>
              <w:spacing w:line="360" w:lineRule="auto"/>
              <w:ind w:firstLine="480" w:firstLineChars="200"/>
              <w:rPr>
                <w:rFonts w:hint="eastAsia"/>
                <w:color w:val="auto"/>
                <w:sz w:val="24"/>
              </w:rPr>
            </w:pPr>
            <w:r>
              <w:rPr>
                <w:rFonts w:hint="eastAsia"/>
                <w:color w:val="auto"/>
                <w:sz w:val="24"/>
              </w:rPr>
              <w:t>根据建设单位提供资料，现有工程产品方案见表2-</w:t>
            </w:r>
            <w:r>
              <w:rPr>
                <w:rFonts w:hint="eastAsia"/>
                <w:color w:val="auto"/>
                <w:sz w:val="24"/>
                <w:lang w:val="en-US" w:eastAsia="zh-CN"/>
              </w:rPr>
              <w:t>13</w:t>
            </w:r>
            <w:r>
              <w:rPr>
                <w:rFonts w:hint="eastAsia"/>
                <w:color w:val="auto"/>
                <w:sz w:val="24"/>
              </w:rPr>
              <w:t>。</w:t>
            </w:r>
          </w:p>
          <w:p w14:paraId="047EDF2F">
            <w:pPr>
              <w:pStyle w:val="165"/>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13 项目产品方案</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333"/>
              <w:gridCol w:w="1968"/>
              <w:gridCol w:w="1398"/>
              <w:gridCol w:w="1989"/>
              <w:gridCol w:w="1308"/>
            </w:tblGrid>
            <w:tr w14:paraId="70CAB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noWrap w:val="0"/>
                  <w:vAlign w:val="center"/>
                </w:tcPr>
                <w:p w14:paraId="0DE842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snapToGrid w:val="0"/>
                      <w:color w:val="auto"/>
                      <w:kern w:val="18"/>
                      <w:sz w:val="21"/>
                      <w:szCs w:val="21"/>
                      <w:lang w:eastAsia="zh-CN"/>
                    </w:rPr>
                  </w:pPr>
                  <w:r>
                    <w:rPr>
                      <w:rFonts w:hint="eastAsia" w:cs="Times New Roman"/>
                      <w:b/>
                      <w:bCs/>
                      <w:snapToGrid w:val="0"/>
                      <w:color w:val="auto"/>
                      <w:kern w:val="18"/>
                      <w:sz w:val="21"/>
                      <w:szCs w:val="21"/>
                      <w:lang w:eastAsia="zh-CN"/>
                    </w:rPr>
                    <w:t>序号</w:t>
                  </w:r>
                </w:p>
              </w:tc>
              <w:tc>
                <w:tcPr>
                  <w:tcW w:w="770" w:type="pct"/>
                  <w:noWrap w:val="0"/>
                  <w:vAlign w:val="center"/>
                </w:tcPr>
                <w:p w14:paraId="1DA191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hint="eastAsia" w:ascii="Times New Roman" w:hAnsi="Times New Roman" w:eastAsia="宋体" w:cs="Times New Roman"/>
                      <w:b/>
                      <w:bCs/>
                      <w:snapToGrid w:val="0"/>
                      <w:color w:val="auto"/>
                      <w:kern w:val="18"/>
                      <w:sz w:val="21"/>
                      <w:szCs w:val="21"/>
                      <w:lang w:eastAsia="zh-CN"/>
                    </w:rPr>
                    <w:t>产品名称</w:t>
                  </w:r>
                </w:p>
              </w:tc>
              <w:tc>
                <w:tcPr>
                  <w:tcW w:w="1137" w:type="pct"/>
                  <w:noWrap w:val="0"/>
                  <w:vAlign w:val="center"/>
                </w:tcPr>
                <w:p w14:paraId="13718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hint="eastAsia" w:ascii="Times New Roman" w:hAnsi="Times New Roman" w:eastAsia="宋体" w:cs="Times New Roman"/>
                      <w:b/>
                      <w:bCs/>
                      <w:snapToGrid w:val="0"/>
                      <w:color w:val="auto"/>
                      <w:kern w:val="18"/>
                      <w:sz w:val="21"/>
                      <w:szCs w:val="21"/>
                      <w:lang w:eastAsia="zh-CN"/>
                    </w:rPr>
                    <w:t>环评批复</w:t>
                  </w:r>
                  <w:r>
                    <w:rPr>
                      <w:rFonts w:hint="default" w:ascii="Times New Roman" w:hAnsi="Times New Roman" w:eastAsia="宋体" w:cs="Times New Roman"/>
                      <w:b/>
                      <w:bCs/>
                      <w:snapToGrid w:val="0"/>
                      <w:color w:val="auto"/>
                      <w:kern w:val="18"/>
                      <w:sz w:val="21"/>
                      <w:szCs w:val="21"/>
                    </w:rPr>
                    <w:t>生产规模</w:t>
                  </w:r>
                </w:p>
              </w:tc>
              <w:tc>
                <w:tcPr>
                  <w:tcW w:w="808" w:type="pct"/>
                  <w:noWrap w:val="0"/>
                  <w:vAlign w:val="center"/>
                </w:tcPr>
                <w:p w14:paraId="3FB290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eastAsia="宋体"/>
                      <w:b/>
                      <w:bCs w:val="0"/>
                      <w:color w:val="auto"/>
                      <w:kern w:val="0"/>
                      <w:sz w:val="21"/>
                      <w:szCs w:val="21"/>
                    </w:rPr>
                    <w:t>验收</w:t>
                  </w:r>
                  <w:r>
                    <w:rPr>
                      <w:rFonts w:hint="eastAsia" w:eastAsia="宋体"/>
                      <w:b/>
                      <w:bCs w:val="0"/>
                      <w:color w:val="auto"/>
                      <w:kern w:val="0"/>
                      <w:sz w:val="21"/>
                      <w:szCs w:val="21"/>
                      <w:lang w:eastAsia="zh-CN"/>
                    </w:rPr>
                    <w:t>规模</w:t>
                  </w:r>
                </w:p>
              </w:tc>
              <w:tc>
                <w:tcPr>
                  <w:tcW w:w="1150" w:type="pct"/>
                  <w:noWrap w:val="0"/>
                  <w:vAlign w:val="center"/>
                </w:tcPr>
                <w:p w14:paraId="1C4257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napToGrid w:val="0"/>
                      <w:color w:val="auto"/>
                      <w:kern w:val="18"/>
                      <w:sz w:val="21"/>
                      <w:szCs w:val="21"/>
                      <w:lang w:eastAsia="zh-CN"/>
                    </w:rPr>
                  </w:pPr>
                  <w:r>
                    <w:rPr>
                      <w:rFonts w:hint="eastAsia" w:ascii="Times New Roman" w:hAnsi="Times New Roman" w:eastAsia="宋体" w:cs="Times New Roman"/>
                      <w:b/>
                      <w:bCs/>
                      <w:snapToGrid w:val="0"/>
                      <w:color w:val="auto"/>
                      <w:kern w:val="18"/>
                      <w:sz w:val="21"/>
                      <w:szCs w:val="21"/>
                      <w:lang w:eastAsia="zh-CN"/>
                    </w:rPr>
                    <w:t>现阶段</w:t>
                  </w:r>
                  <w:r>
                    <w:rPr>
                      <w:rFonts w:hint="default" w:ascii="Times New Roman" w:hAnsi="Times New Roman" w:eastAsia="宋体" w:cs="Times New Roman"/>
                      <w:b/>
                      <w:bCs/>
                      <w:snapToGrid w:val="0"/>
                      <w:color w:val="auto"/>
                      <w:kern w:val="18"/>
                      <w:sz w:val="21"/>
                      <w:szCs w:val="21"/>
                    </w:rPr>
                    <w:t>生产规模</w:t>
                  </w:r>
                </w:p>
              </w:tc>
              <w:tc>
                <w:tcPr>
                  <w:tcW w:w="756" w:type="pct"/>
                  <w:noWrap w:val="0"/>
                  <w:vAlign w:val="center"/>
                </w:tcPr>
                <w:p w14:paraId="2F0DCB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napToGrid w:val="0"/>
                      <w:color w:val="auto"/>
                      <w:kern w:val="18"/>
                      <w:sz w:val="21"/>
                      <w:szCs w:val="21"/>
                      <w:lang w:val="en-US" w:eastAsia="zh-CN"/>
                    </w:rPr>
                  </w:pPr>
                  <w:r>
                    <w:rPr>
                      <w:rFonts w:hint="eastAsia" w:cs="Times New Roman"/>
                      <w:b/>
                      <w:bCs/>
                      <w:snapToGrid w:val="0"/>
                      <w:color w:val="auto"/>
                      <w:kern w:val="18"/>
                      <w:sz w:val="21"/>
                      <w:szCs w:val="21"/>
                      <w:lang w:val="en-US" w:eastAsia="zh-CN"/>
                    </w:rPr>
                    <w:t>变化情况</w:t>
                  </w:r>
                </w:p>
              </w:tc>
            </w:tr>
            <w:tr w14:paraId="1E505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noWrap w:val="0"/>
                  <w:vAlign w:val="center"/>
                </w:tcPr>
                <w:p w14:paraId="35BDA1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70" w:type="pct"/>
                  <w:noWrap w:val="0"/>
                  <w:vAlign w:val="center"/>
                </w:tcPr>
                <w:p w14:paraId="0CE84EDC">
                  <w:pPr>
                    <w:pStyle w:val="94"/>
                    <w:numPr>
                      <w:ilvl w:val="0"/>
                      <w:numId w:val="0"/>
                    </w:numPr>
                    <w:spacing w:before="0" w:after="0" w:line="240" w:lineRule="auto"/>
                    <w:ind w:left="0" w:leftChars="0" w:firstLine="0" w:firstLineChars="0"/>
                    <w:rPr>
                      <w:rFonts w:hint="default" w:ascii="Times New Roman" w:hAnsi="Times New Roman" w:eastAsia="宋体" w:cs="Times New Roman"/>
                      <w:color w:val="auto"/>
                      <w:sz w:val="21"/>
                      <w:szCs w:val="21"/>
                      <w:lang w:val="en-US" w:eastAsia="zh-CN"/>
                    </w:rPr>
                  </w:pPr>
                  <w:r>
                    <w:rPr>
                      <w:rFonts w:hint="eastAsia"/>
                      <w:b w:val="0"/>
                      <w:bCs/>
                      <w:color w:val="auto"/>
                      <w:sz w:val="21"/>
                      <w:szCs w:val="21"/>
                      <w:highlight w:val="none"/>
                      <w:lang w:val="en-US" w:eastAsia="zh-CN"/>
                    </w:rPr>
                    <w:t>特种玻璃</w:t>
                  </w:r>
                </w:p>
              </w:tc>
              <w:tc>
                <w:tcPr>
                  <w:tcW w:w="1137" w:type="pct"/>
                  <w:noWrap w:val="0"/>
                  <w:vAlign w:val="center"/>
                </w:tcPr>
                <w:p w14:paraId="00F0CE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万片/年</w:t>
                  </w:r>
                </w:p>
              </w:tc>
              <w:tc>
                <w:tcPr>
                  <w:tcW w:w="808" w:type="pct"/>
                  <w:noWrap w:val="0"/>
                  <w:vAlign w:val="center"/>
                </w:tcPr>
                <w:p w14:paraId="184622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万片/年</w:t>
                  </w:r>
                </w:p>
              </w:tc>
              <w:tc>
                <w:tcPr>
                  <w:tcW w:w="1150" w:type="pct"/>
                  <w:noWrap w:val="0"/>
                  <w:vAlign w:val="center"/>
                </w:tcPr>
                <w:p w14:paraId="0002BA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万片/年</w:t>
                  </w:r>
                </w:p>
              </w:tc>
              <w:tc>
                <w:tcPr>
                  <w:tcW w:w="756" w:type="pct"/>
                  <w:noWrap w:val="0"/>
                  <w:vAlign w:val="center"/>
                </w:tcPr>
                <w:p w14:paraId="66EAA2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olor w:val="auto"/>
                      <w:sz w:val="21"/>
                      <w:szCs w:val="21"/>
                      <w:highlight w:val="none"/>
                      <w:lang w:val="en-US" w:eastAsia="zh-CN"/>
                    </w:rPr>
                    <w:t>不变</w:t>
                  </w:r>
                </w:p>
              </w:tc>
            </w:tr>
            <w:tr w14:paraId="59665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noWrap w:val="0"/>
                  <w:vAlign w:val="center"/>
                </w:tcPr>
                <w:p w14:paraId="1CC8F4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770" w:type="pct"/>
                  <w:noWrap w:val="0"/>
                  <w:vAlign w:val="center"/>
                </w:tcPr>
                <w:p w14:paraId="231A83D8">
                  <w:pPr>
                    <w:pStyle w:val="94"/>
                    <w:numPr>
                      <w:ilvl w:val="0"/>
                      <w:numId w:val="0"/>
                    </w:numPr>
                    <w:spacing w:before="0" w:after="0" w:line="240" w:lineRule="auto"/>
                    <w:ind w:left="0" w:leftChars="0" w:firstLine="0" w:firstLineChars="0"/>
                    <w:rPr>
                      <w:rFonts w:hint="eastAsia" w:ascii="Times New Roman" w:hAnsi="Times New Roman" w:eastAsia="宋体" w:cs="Times New Roman"/>
                      <w:color w:val="auto"/>
                      <w:sz w:val="21"/>
                      <w:szCs w:val="21"/>
                      <w:lang w:val="en-US" w:eastAsia="zh-CN"/>
                    </w:rPr>
                  </w:pPr>
                  <w:r>
                    <w:rPr>
                      <w:rFonts w:hint="eastAsia"/>
                      <w:b w:val="0"/>
                      <w:bCs/>
                      <w:color w:val="auto"/>
                      <w:sz w:val="21"/>
                      <w:szCs w:val="21"/>
                      <w:highlight w:val="none"/>
                      <w:lang w:val="en-US" w:eastAsia="zh-CN"/>
                    </w:rPr>
                    <w:t>塑料密封件</w:t>
                  </w:r>
                </w:p>
              </w:tc>
              <w:tc>
                <w:tcPr>
                  <w:tcW w:w="1137" w:type="pct"/>
                  <w:noWrap w:val="0"/>
                  <w:vAlign w:val="center"/>
                </w:tcPr>
                <w:p w14:paraId="55E1EA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600万件/年</w:t>
                  </w:r>
                </w:p>
              </w:tc>
              <w:tc>
                <w:tcPr>
                  <w:tcW w:w="808" w:type="pct"/>
                  <w:noWrap w:val="0"/>
                  <w:vAlign w:val="center"/>
                </w:tcPr>
                <w:p w14:paraId="23F8C9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600万件/年</w:t>
                  </w:r>
                </w:p>
              </w:tc>
              <w:tc>
                <w:tcPr>
                  <w:tcW w:w="1150" w:type="pct"/>
                  <w:noWrap w:val="0"/>
                  <w:vAlign w:val="center"/>
                </w:tcPr>
                <w:p w14:paraId="3C2248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600万件/年</w:t>
                  </w:r>
                </w:p>
              </w:tc>
              <w:tc>
                <w:tcPr>
                  <w:tcW w:w="756" w:type="pct"/>
                  <w:noWrap w:val="0"/>
                  <w:vAlign w:val="center"/>
                </w:tcPr>
                <w:p w14:paraId="73B624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highlight w:val="none"/>
                      <w:lang w:val="en-US" w:eastAsia="zh-CN"/>
                    </w:rPr>
                    <w:t>不变</w:t>
                  </w:r>
                </w:p>
              </w:tc>
            </w:tr>
          </w:tbl>
          <w:p w14:paraId="3462B3A3">
            <w:pPr>
              <w:spacing w:line="360" w:lineRule="auto"/>
              <w:ind w:firstLine="480" w:firstLineChars="200"/>
              <w:rPr>
                <w:color w:val="auto"/>
                <w:sz w:val="24"/>
              </w:rPr>
            </w:pPr>
            <w:r>
              <w:rPr>
                <w:rFonts w:hint="eastAsia"/>
                <w:color w:val="auto"/>
                <w:sz w:val="24"/>
              </w:rPr>
              <w:t>B.现有工程主要原辅材料</w:t>
            </w:r>
          </w:p>
          <w:p w14:paraId="55FD1A1D">
            <w:pPr>
              <w:spacing w:line="360" w:lineRule="auto"/>
              <w:ind w:firstLine="480" w:firstLineChars="200"/>
              <w:rPr>
                <w:color w:val="auto"/>
                <w:sz w:val="24"/>
              </w:rPr>
            </w:pPr>
            <w:r>
              <w:rPr>
                <w:rFonts w:hint="eastAsia"/>
                <w:color w:val="auto"/>
                <w:sz w:val="24"/>
              </w:rPr>
              <w:t>根据建设单位提供资料，现有工程主要原辅材</w:t>
            </w:r>
            <w:r>
              <w:rPr>
                <w:rFonts w:hint="eastAsia"/>
                <w:color w:val="auto"/>
                <w:sz w:val="24"/>
                <w:lang w:eastAsia="zh-CN"/>
              </w:rPr>
              <w:t>料</w:t>
            </w:r>
            <w:r>
              <w:rPr>
                <w:rFonts w:hint="eastAsia"/>
                <w:color w:val="auto"/>
                <w:sz w:val="24"/>
              </w:rPr>
              <w:t>见表2-</w:t>
            </w:r>
            <w:r>
              <w:rPr>
                <w:rFonts w:hint="eastAsia"/>
                <w:color w:val="auto"/>
                <w:sz w:val="24"/>
                <w:lang w:val="en-US" w:eastAsia="zh-CN"/>
              </w:rPr>
              <w:t>14</w:t>
            </w:r>
            <w:r>
              <w:rPr>
                <w:rFonts w:hint="eastAsia"/>
                <w:color w:val="auto"/>
                <w:sz w:val="24"/>
              </w:rPr>
              <w:t>。</w:t>
            </w:r>
          </w:p>
          <w:p w14:paraId="1313E5B2">
            <w:pPr>
              <w:pStyle w:val="165"/>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14</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项目主要原辅</w:t>
            </w:r>
            <w:r>
              <w:rPr>
                <w:rFonts w:hint="default" w:ascii="Times New Roman" w:hAnsi="Times New Roman" w:cs="Times New Roman"/>
                <w:color w:val="auto"/>
                <w:lang w:val="en-US" w:eastAsia="zh-CN"/>
              </w:rPr>
              <w:t>料</w:t>
            </w:r>
            <w:r>
              <w:rPr>
                <w:rFonts w:hint="eastAsia" w:ascii="Times New Roman" w:hAnsi="Times New Roman" w:cs="Times New Roman"/>
                <w:color w:val="auto"/>
                <w:lang w:val="en-US" w:eastAsia="zh-CN"/>
              </w:rPr>
              <w:t>用量情况表</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623"/>
              <w:gridCol w:w="1656"/>
              <w:gridCol w:w="1441"/>
              <w:gridCol w:w="1624"/>
              <w:gridCol w:w="1198"/>
            </w:tblGrid>
            <w:tr w14:paraId="115FC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tcBorders>
                    <w:tl2br w:val="nil"/>
                    <w:tr2bl w:val="nil"/>
                  </w:tcBorders>
                  <w:noWrap/>
                  <w:vAlign w:val="center"/>
                </w:tcPr>
                <w:p w14:paraId="05E479D8">
                  <w:pPr>
                    <w:spacing w:line="0" w:lineRule="atLeast"/>
                    <w:jc w:val="center"/>
                    <w:rPr>
                      <w:rFonts w:hint="eastAsia" w:ascii="Times New Roman" w:hAnsi="Times New Roman" w:eastAsia="宋体" w:cs="Times New Roman"/>
                      <w:b/>
                      <w:color w:val="auto"/>
                      <w:szCs w:val="21"/>
                      <w:lang w:eastAsia="zh-CN"/>
                    </w:rPr>
                  </w:pPr>
                  <w:r>
                    <w:rPr>
                      <w:rFonts w:hint="eastAsia" w:cs="Times New Roman"/>
                      <w:b/>
                      <w:color w:val="auto"/>
                      <w:szCs w:val="21"/>
                      <w:lang w:val="en-US" w:eastAsia="zh-CN"/>
                    </w:rPr>
                    <w:t>类别</w:t>
                  </w:r>
                </w:p>
              </w:tc>
              <w:tc>
                <w:tcPr>
                  <w:tcW w:w="938" w:type="pct"/>
                  <w:tcBorders>
                    <w:tl2br w:val="nil"/>
                    <w:tr2bl w:val="nil"/>
                  </w:tcBorders>
                  <w:noWrap/>
                  <w:vAlign w:val="center"/>
                </w:tcPr>
                <w:p w14:paraId="32261EB3">
                  <w:pPr>
                    <w:spacing w:line="0" w:lineRule="atLeast"/>
                    <w:jc w:val="center"/>
                    <w:rPr>
                      <w:rFonts w:hint="eastAsia" w:ascii="Times New Roman" w:hAnsi="Times New Roman" w:eastAsia="宋体" w:cs="Times New Roman"/>
                      <w:b/>
                      <w:color w:val="auto"/>
                      <w:szCs w:val="21"/>
                      <w:lang w:eastAsia="zh-CN"/>
                    </w:rPr>
                  </w:pPr>
                  <w:r>
                    <w:rPr>
                      <w:rFonts w:ascii="Times New Roman" w:hAnsi="Times New Roman" w:eastAsia="宋体" w:cs="Times New Roman"/>
                      <w:b/>
                      <w:bCs w:val="0"/>
                      <w:color w:val="auto"/>
                      <w:szCs w:val="21"/>
                    </w:rPr>
                    <w:t>原辅材料</w:t>
                  </w:r>
                  <w:r>
                    <w:rPr>
                      <w:rFonts w:hint="eastAsia" w:ascii="Times New Roman" w:hAnsi="Times New Roman" w:eastAsia="宋体" w:cs="Times New Roman"/>
                      <w:b/>
                      <w:bCs w:val="0"/>
                      <w:color w:val="auto"/>
                      <w:szCs w:val="21"/>
                      <w:lang w:eastAsia="zh-CN"/>
                    </w:rPr>
                    <w:t>名称</w:t>
                  </w:r>
                </w:p>
              </w:tc>
              <w:tc>
                <w:tcPr>
                  <w:tcW w:w="957" w:type="pct"/>
                  <w:tcBorders>
                    <w:tl2br w:val="nil"/>
                    <w:tr2bl w:val="nil"/>
                  </w:tcBorders>
                  <w:noWrap/>
                  <w:vAlign w:val="center"/>
                </w:tcPr>
                <w:p w14:paraId="2E71A979">
                  <w:pPr>
                    <w:spacing w:line="0" w:lineRule="atLeast"/>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lang w:eastAsia="zh-CN"/>
                    </w:rPr>
                    <w:t>环评</w:t>
                  </w:r>
                  <w:r>
                    <w:rPr>
                      <w:rFonts w:ascii="Times New Roman" w:hAnsi="Times New Roman" w:eastAsia="宋体" w:cs="Times New Roman"/>
                      <w:b/>
                      <w:color w:val="auto"/>
                      <w:szCs w:val="21"/>
                    </w:rPr>
                    <w:t>年用量</w:t>
                  </w:r>
                </w:p>
              </w:tc>
              <w:tc>
                <w:tcPr>
                  <w:tcW w:w="833" w:type="pct"/>
                  <w:tcBorders>
                    <w:tl2br w:val="nil"/>
                    <w:tr2bl w:val="nil"/>
                  </w:tcBorders>
                  <w:noWrap/>
                  <w:vAlign w:val="center"/>
                </w:tcPr>
                <w:p w14:paraId="6A33D741">
                  <w:pPr>
                    <w:spacing w:line="0" w:lineRule="atLeast"/>
                    <w:jc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rPr>
                    <w:t>验收</w:t>
                  </w:r>
                  <w:r>
                    <w:rPr>
                      <w:rFonts w:hint="eastAsia" w:ascii="Times New Roman" w:hAnsi="Times New Roman" w:eastAsia="宋体" w:cs="Times New Roman"/>
                      <w:b/>
                      <w:color w:val="auto"/>
                      <w:szCs w:val="21"/>
                      <w:lang w:eastAsia="zh-CN"/>
                    </w:rPr>
                    <w:t>年用量</w:t>
                  </w:r>
                </w:p>
              </w:tc>
              <w:tc>
                <w:tcPr>
                  <w:tcW w:w="939" w:type="pct"/>
                  <w:tcBorders>
                    <w:tl2br w:val="nil"/>
                    <w:tr2bl w:val="nil"/>
                  </w:tcBorders>
                  <w:noWrap/>
                  <w:vAlign w:val="center"/>
                </w:tcPr>
                <w:p w14:paraId="2D66CFAF">
                  <w:pPr>
                    <w:spacing w:line="0" w:lineRule="atLeast"/>
                    <w:jc w:val="center"/>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eastAsia="zh-CN"/>
                    </w:rPr>
                    <w:t>现阶段年用量</w:t>
                  </w:r>
                </w:p>
              </w:tc>
              <w:tc>
                <w:tcPr>
                  <w:tcW w:w="692" w:type="pct"/>
                  <w:tcBorders>
                    <w:tl2br w:val="nil"/>
                    <w:tr2bl w:val="nil"/>
                  </w:tcBorders>
                  <w:noWrap/>
                  <w:vAlign w:val="center"/>
                </w:tcPr>
                <w:p w14:paraId="650530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color w:val="auto"/>
                      <w:sz w:val="21"/>
                      <w:szCs w:val="21"/>
                      <w:lang w:eastAsia="zh-CN"/>
                    </w:rPr>
                  </w:pPr>
                  <w:r>
                    <w:rPr>
                      <w:rFonts w:hint="eastAsia" w:cs="Times New Roman"/>
                      <w:b/>
                      <w:bCs/>
                      <w:snapToGrid w:val="0"/>
                      <w:color w:val="auto"/>
                      <w:kern w:val="18"/>
                      <w:sz w:val="21"/>
                      <w:szCs w:val="21"/>
                      <w:lang w:val="en-US" w:eastAsia="zh-CN"/>
                    </w:rPr>
                    <w:t>变化情况</w:t>
                  </w:r>
                </w:p>
              </w:tc>
            </w:tr>
            <w:tr w14:paraId="1D87A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restart"/>
                  <w:tcBorders>
                    <w:tl2br w:val="nil"/>
                    <w:tr2bl w:val="nil"/>
                  </w:tcBorders>
                  <w:noWrap/>
                  <w:vAlign w:val="center"/>
                </w:tcPr>
                <w:p w14:paraId="186394DC">
                  <w:pPr>
                    <w:spacing w:line="0" w:lineRule="atLeas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特种玻璃</w:t>
                  </w:r>
                </w:p>
              </w:tc>
              <w:tc>
                <w:tcPr>
                  <w:tcW w:w="938" w:type="pct"/>
                  <w:tcBorders>
                    <w:tl2br w:val="nil"/>
                    <w:tr2bl w:val="nil"/>
                  </w:tcBorders>
                  <w:noWrap/>
                  <w:vAlign w:val="center"/>
                </w:tcPr>
                <w:p w14:paraId="0C201F5F">
                  <w:pPr>
                    <w:keepNext w:val="0"/>
                    <w:keepLines w:val="0"/>
                    <w:widowControl/>
                    <w:suppressLineNumbers w:val="0"/>
                    <w:jc w:val="center"/>
                    <w:rPr>
                      <w:rFonts w:hint="eastAsia" w:ascii="Times New Roman" w:hAnsi="Times New Roman" w:eastAsia="宋体" w:cs="Times New Roman"/>
                      <w:bCs/>
                      <w:color w:val="auto"/>
                      <w:szCs w:val="21"/>
                      <w:lang w:eastAsia="zh-CN"/>
                    </w:rPr>
                  </w:pPr>
                  <w:r>
                    <w:rPr>
                      <w:rFonts w:hint="eastAsia" w:ascii="宋体" w:hAnsi="宋体" w:eastAsia="宋体" w:cs="宋体"/>
                      <w:color w:val="auto"/>
                      <w:kern w:val="0"/>
                      <w:sz w:val="20"/>
                      <w:szCs w:val="20"/>
                      <w:lang w:val="en-US" w:eastAsia="zh-CN" w:bidi="ar"/>
                    </w:rPr>
                    <w:t>硼硅原片</w:t>
                  </w:r>
                </w:p>
              </w:tc>
              <w:tc>
                <w:tcPr>
                  <w:tcW w:w="957" w:type="pct"/>
                  <w:tcBorders>
                    <w:tl2br w:val="nil"/>
                    <w:tr2bl w:val="nil"/>
                  </w:tcBorders>
                  <w:noWrap/>
                  <w:vAlign w:val="center"/>
                </w:tcPr>
                <w:p w14:paraId="40BA6FCB">
                  <w:pPr>
                    <w:jc w:val="center"/>
                    <w:rPr>
                      <w:rFonts w:ascii="Times New Roman" w:hAnsi="Times New Roman" w:eastAsia="宋体" w:cs="Times New Roman"/>
                      <w:bCs/>
                      <w:color w:val="auto"/>
                      <w:szCs w:val="21"/>
                    </w:rPr>
                  </w:pPr>
                  <w:r>
                    <w:rPr>
                      <w:rFonts w:hint="eastAsia"/>
                      <w:color w:val="auto"/>
                      <w:sz w:val="21"/>
                      <w:szCs w:val="21"/>
                    </w:rPr>
                    <w:t>400000</w:t>
                  </w:r>
                  <w:r>
                    <w:rPr>
                      <w:rFonts w:hint="eastAsia"/>
                      <w:color w:val="auto"/>
                      <w:sz w:val="21"/>
                      <w:szCs w:val="21"/>
                      <w:lang w:val="en-US" w:eastAsia="zh-CN"/>
                    </w:rPr>
                    <w:t>m</w:t>
                  </w:r>
                  <w:r>
                    <w:rPr>
                      <w:rFonts w:hint="eastAsia"/>
                      <w:color w:val="auto"/>
                      <w:sz w:val="21"/>
                      <w:szCs w:val="21"/>
                      <w:vertAlign w:val="superscript"/>
                      <w:lang w:val="en-US" w:eastAsia="zh-CN"/>
                    </w:rPr>
                    <w:t>2</w:t>
                  </w:r>
                  <w:r>
                    <w:rPr>
                      <w:color w:val="auto"/>
                      <w:sz w:val="21"/>
                      <w:szCs w:val="21"/>
                    </w:rPr>
                    <w:t>/a</w:t>
                  </w:r>
                </w:p>
              </w:tc>
              <w:tc>
                <w:tcPr>
                  <w:tcW w:w="833" w:type="pct"/>
                  <w:tcBorders>
                    <w:tl2br w:val="nil"/>
                    <w:tr2bl w:val="nil"/>
                  </w:tcBorders>
                  <w:noWrap/>
                  <w:vAlign w:val="center"/>
                </w:tcPr>
                <w:p w14:paraId="6C26238F">
                  <w:pPr>
                    <w:jc w:val="center"/>
                    <w:rPr>
                      <w:color w:val="auto"/>
                      <w:sz w:val="21"/>
                      <w:szCs w:val="21"/>
                    </w:rPr>
                  </w:pPr>
                  <w:r>
                    <w:rPr>
                      <w:rFonts w:hint="eastAsia"/>
                      <w:color w:val="auto"/>
                      <w:sz w:val="21"/>
                      <w:szCs w:val="21"/>
                    </w:rPr>
                    <w:t>400000</w:t>
                  </w:r>
                  <w:r>
                    <w:rPr>
                      <w:rFonts w:hint="eastAsia"/>
                      <w:color w:val="auto"/>
                      <w:sz w:val="21"/>
                      <w:szCs w:val="21"/>
                      <w:lang w:val="en-US" w:eastAsia="zh-CN"/>
                    </w:rPr>
                    <w:t>m</w:t>
                  </w:r>
                  <w:r>
                    <w:rPr>
                      <w:rFonts w:hint="eastAsia"/>
                      <w:color w:val="auto"/>
                      <w:sz w:val="21"/>
                      <w:szCs w:val="21"/>
                      <w:vertAlign w:val="superscript"/>
                      <w:lang w:val="en-US" w:eastAsia="zh-CN"/>
                    </w:rPr>
                    <w:t>2</w:t>
                  </w:r>
                  <w:r>
                    <w:rPr>
                      <w:color w:val="auto"/>
                      <w:sz w:val="21"/>
                      <w:szCs w:val="21"/>
                    </w:rPr>
                    <w:t>/a</w:t>
                  </w:r>
                </w:p>
              </w:tc>
              <w:tc>
                <w:tcPr>
                  <w:tcW w:w="939" w:type="pct"/>
                  <w:tcBorders>
                    <w:tl2br w:val="nil"/>
                    <w:tr2bl w:val="nil"/>
                  </w:tcBorders>
                  <w:noWrap/>
                  <w:vAlign w:val="center"/>
                </w:tcPr>
                <w:p w14:paraId="14597A4A">
                  <w:pPr>
                    <w:jc w:val="center"/>
                    <w:rPr>
                      <w:color w:val="auto"/>
                      <w:sz w:val="21"/>
                      <w:szCs w:val="21"/>
                    </w:rPr>
                  </w:pPr>
                  <w:r>
                    <w:rPr>
                      <w:rFonts w:hint="eastAsia"/>
                      <w:color w:val="auto"/>
                      <w:sz w:val="21"/>
                      <w:szCs w:val="21"/>
                    </w:rPr>
                    <w:t>400000</w:t>
                  </w:r>
                  <w:r>
                    <w:rPr>
                      <w:rFonts w:hint="eastAsia"/>
                      <w:color w:val="auto"/>
                      <w:sz w:val="21"/>
                      <w:szCs w:val="21"/>
                      <w:lang w:val="en-US" w:eastAsia="zh-CN"/>
                    </w:rPr>
                    <w:t>m</w:t>
                  </w:r>
                  <w:r>
                    <w:rPr>
                      <w:rFonts w:hint="eastAsia"/>
                      <w:color w:val="auto"/>
                      <w:sz w:val="21"/>
                      <w:szCs w:val="21"/>
                      <w:vertAlign w:val="superscript"/>
                      <w:lang w:val="en-US" w:eastAsia="zh-CN"/>
                    </w:rPr>
                    <w:t>2</w:t>
                  </w:r>
                  <w:r>
                    <w:rPr>
                      <w:color w:val="auto"/>
                      <w:sz w:val="21"/>
                      <w:szCs w:val="21"/>
                    </w:rPr>
                    <w:t>/a</w:t>
                  </w:r>
                </w:p>
              </w:tc>
              <w:tc>
                <w:tcPr>
                  <w:tcW w:w="692" w:type="pct"/>
                  <w:tcBorders>
                    <w:tl2br w:val="nil"/>
                    <w:tr2bl w:val="nil"/>
                  </w:tcBorders>
                  <w:noWrap/>
                  <w:vAlign w:val="center"/>
                </w:tcPr>
                <w:p w14:paraId="26C972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r>
                    <w:rPr>
                      <w:rFonts w:hint="eastAsia"/>
                      <w:color w:val="auto"/>
                      <w:sz w:val="21"/>
                      <w:szCs w:val="21"/>
                      <w:highlight w:val="none"/>
                      <w:lang w:val="en-US" w:eastAsia="zh-CN"/>
                    </w:rPr>
                    <w:t>不变</w:t>
                  </w:r>
                </w:p>
              </w:tc>
            </w:tr>
            <w:tr w14:paraId="42243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continue"/>
                  <w:tcBorders>
                    <w:tl2br w:val="nil"/>
                    <w:tr2bl w:val="nil"/>
                  </w:tcBorders>
                  <w:noWrap/>
                  <w:vAlign w:val="center"/>
                </w:tcPr>
                <w:p w14:paraId="69E9C865">
                  <w:pPr>
                    <w:spacing w:line="0" w:lineRule="atLeast"/>
                    <w:jc w:val="center"/>
                    <w:rPr>
                      <w:rFonts w:hint="eastAsia" w:ascii="Times New Roman" w:hAnsi="Times New Roman" w:eastAsia="宋体" w:cs="Times New Roman"/>
                      <w:bCs/>
                      <w:color w:val="auto"/>
                      <w:szCs w:val="21"/>
                      <w:lang w:val="en-US" w:eastAsia="zh-CN"/>
                    </w:rPr>
                  </w:pPr>
                </w:p>
              </w:tc>
              <w:tc>
                <w:tcPr>
                  <w:tcW w:w="938" w:type="pct"/>
                  <w:tcBorders>
                    <w:tl2br w:val="nil"/>
                    <w:tr2bl w:val="nil"/>
                  </w:tcBorders>
                  <w:noWrap/>
                  <w:vAlign w:val="center"/>
                </w:tcPr>
                <w:p w14:paraId="05795E1D">
                  <w:pPr>
                    <w:jc w:val="center"/>
                    <w:rPr>
                      <w:rFonts w:hint="eastAsia" w:ascii="Times New Roman" w:hAnsi="Times New Roman" w:eastAsia="宋体" w:cs="Times New Roman"/>
                      <w:bCs/>
                      <w:color w:val="auto"/>
                      <w:szCs w:val="21"/>
                      <w:lang w:eastAsia="zh-CN"/>
                    </w:rPr>
                  </w:pPr>
                  <w:r>
                    <w:rPr>
                      <w:rFonts w:hint="eastAsia"/>
                      <w:color w:val="auto"/>
                      <w:sz w:val="21"/>
                      <w:szCs w:val="21"/>
                    </w:rPr>
                    <w:t>高铝原片</w:t>
                  </w:r>
                </w:p>
              </w:tc>
              <w:tc>
                <w:tcPr>
                  <w:tcW w:w="957" w:type="pct"/>
                  <w:tcBorders>
                    <w:tl2br w:val="nil"/>
                    <w:tr2bl w:val="nil"/>
                  </w:tcBorders>
                  <w:noWrap/>
                  <w:vAlign w:val="center"/>
                </w:tcPr>
                <w:p w14:paraId="6245ED87">
                  <w:pPr>
                    <w:jc w:val="center"/>
                    <w:rPr>
                      <w:rFonts w:ascii="Times New Roman" w:hAnsi="Times New Roman" w:eastAsia="宋体" w:cs="Times New Roman"/>
                      <w:bCs/>
                      <w:color w:val="auto"/>
                      <w:szCs w:val="21"/>
                    </w:rPr>
                  </w:pPr>
                  <w:r>
                    <w:rPr>
                      <w:rFonts w:hint="eastAsia"/>
                      <w:color w:val="auto"/>
                      <w:sz w:val="21"/>
                      <w:szCs w:val="21"/>
                    </w:rPr>
                    <w:t>10000m</w:t>
                  </w:r>
                  <w:r>
                    <w:rPr>
                      <w:rFonts w:hint="eastAsia"/>
                      <w:color w:val="auto"/>
                      <w:sz w:val="21"/>
                      <w:szCs w:val="21"/>
                      <w:vertAlign w:val="superscript"/>
                    </w:rPr>
                    <w:t>2</w:t>
                  </w:r>
                  <w:r>
                    <w:rPr>
                      <w:color w:val="auto"/>
                      <w:sz w:val="21"/>
                      <w:szCs w:val="21"/>
                    </w:rPr>
                    <w:t>/a</w:t>
                  </w:r>
                </w:p>
              </w:tc>
              <w:tc>
                <w:tcPr>
                  <w:tcW w:w="833" w:type="pct"/>
                  <w:tcBorders>
                    <w:tl2br w:val="nil"/>
                    <w:tr2bl w:val="nil"/>
                  </w:tcBorders>
                  <w:noWrap/>
                  <w:vAlign w:val="center"/>
                </w:tcPr>
                <w:p w14:paraId="5A06CC3E">
                  <w:pPr>
                    <w:jc w:val="center"/>
                    <w:rPr>
                      <w:color w:val="auto"/>
                      <w:sz w:val="21"/>
                      <w:szCs w:val="21"/>
                    </w:rPr>
                  </w:pPr>
                  <w:r>
                    <w:rPr>
                      <w:rFonts w:hint="eastAsia"/>
                      <w:color w:val="auto"/>
                      <w:sz w:val="21"/>
                      <w:szCs w:val="21"/>
                    </w:rPr>
                    <w:t>10000m</w:t>
                  </w:r>
                  <w:r>
                    <w:rPr>
                      <w:rFonts w:hint="eastAsia"/>
                      <w:color w:val="auto"/>
                      <w:sz w:val="21"/>
                      <w:szCs w:val="21"/>
                      <w:vertAlign w:val="superscript"/>
                    </w:rPr>
                    <w:t>2</w:t>
                  </w:r>
                  <w:r>
                    <w:rPr>
                      <w:color w:val="auto"/>
                      <w:sz w:val="21"/>
                      <w:szCs w:val="21"/>
                    </w:rPr>
                    <w:t>/a</w:t>
                  </w:r>
                </w:p>
              </w:tc>
              <w:tc>
                <w:tcPr>
                  <w:tcW w:w="939" w:type="pct"/>
                  <w:tcBorders>
                    <w:tl2br w:val="nil"/>
                    <w:tr2bl w:val="nil"/>
                  </w:tcBorders>
                  <w:noWrap/>
                  <w:vAlign w:val="center"/>
                </w:tcPr>
                <w:p w14:paraId="56E5F872">
                  <w:pPr>
                    <w:jc w:val="center"/>
                    <w:rPr>
                      <w:color w:val="auto"/>
                      <w:sz w:val="21"/>
                      <w:szCs w:val="21"/>
                    </w:rPr>
                  </w:pPr>
                  <w:r>
                    <w:rPr>
                      <w:rFonts w:hint="eastAsia"/>
                      <w:color w:val="auto"/>
                      <w:sz w:val="21"/>
                      <w:szCs w:val="21"/>
                    </w:rPr>
                    <w:t>10000m</w:t>
                  </w:r>
                  <w:r>
                    <w:rPr>
                      <w:rFonts w:hint="eastAsia"/>
                      <w:color w:val="auto"/>
                      <w:sz w:val="21"/>
                      <w:szCs w:val="21"/>
                      <w:vertAlign w:val="superscript"/>
                    </w:rPr>
                    <w:t>2</w:t>
                  </w:r>
                  <w:r>
                    <w:rPr>
                      <w:color w:val="auto"/>
                      <w:sz w:val="21"/>
                      <w:szCs w:val="21"/>
                    </w:rPr>
                    <w:t>/a</w:t>
                  </w:r>
                </w:p>
              </w:tc>
              <w:tc>
                <w:tcPr>
                  <w:tcW w:w="692" w:type="pct"/>
                  <w:tcBorders>
                    <w:tl2br w:val="nil"/>
                    <w:tr2bl w:val="nil"/>
                  </w:tcBorders>
                  <w:noWrap/>
                  <w:vAlign w:val="center"/>
                </w:tcPr>
                <w:p w14:paraId="329B41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r>
                    <w:rPr>
                      <w:rFonts w:hint="eastAsia"/>
                      <w:color w:val="auto"/>
                      <w:sz w:val="21"/>
                      <w:szCs w:val="21"/>
                      <w:highlight w:val="none"/>
                      <w:lang w:val="en-US" w:eastAsia="zh-CN"/>
                    </w:rPr>
                    <w:t>不变</w:t>
                  </w:r>
                </w:p>
              </w:tc>
            </w:tr>
            <w:tr w14:paraId="4CCFB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continue"/>
                  <w:tcBorders>
                    <w:tl2br w:val="nil"/>
                    <w:tr2bl w:val="nil"/>
                  </w:tcBorders>
                  <w:noWrap/>
                  <w:vAlign w:val="center"/>
                </w:tcPr>
                <w:p w14:paraId="0588C97D">
                  <w:pPr>
                    <w:spacing w:line="0" w:lineRule="atLeast"/>
                    <w:jc w:val="center"/>
                    <w:rPr>
                      <w:rFonts w:hint="eastAsia" w:ascii="Times New Roman" w:hAnsi="Times New Roman" w:eastAsia="宋体" w:cs="Times New Roman"/>
                      <w:bCs/>
                      <w:color w:val="auto"/>
                      <w:szCs w:val="21"/>
                      <w:lang w:val="en-US" w:eastAsia="zh-CN"/>
                    </w:rPr>
                  </w:pPr>
                </w:p>
              </w:tc>
              <w:tc>
                <w:tcPr>
                  <w:tcW w:w="938" w:type="pct"/>
                  <w:tcBorders>
                    <w:tl2br w:val="nil"/>
                    <w:tr2bl w:val="nil"/>
                  </w:tcBorders>
                  <w:noWrap/>
                  <w:vAlign w:val="center"/>
                </w:tcPr>
                <w:p w14:paraId="116230C0">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PVB膜片</w:t>
                  </w:r>
                </w:p>
              </w:tc>
              <w:tc>
                <w:tcPr>
                  <w:tcW w:w="957" w:type="pct"/>
                  <w:tcBorders>
                    <w:tl2br w:val="nil"/>
                    <w:tr2bl w:val="nil"/>
                  </w:tcBorders>
                  <w:noWrap/>
                  <w:vAlign w:val="center"/>
                </w:tcPr>
                <w:p w14:paraId="44822950">
                  <w:pPr>
                    <w:jc w:val="center"/>
                    <w:rPr>
                      <w:rFonts w:ascii="Times New Roman" w:hAnsi="Times New Roman" w:eastAsia="宋体" w:cs="Times New Roman"/>
                      <w:bCs/>
                      <w:color w:val="auto"/>
                      <w:szCs w:val="21"/>
                    </w:rPr>
                  </w:pPr>
                  <w:r>
                    <w:rPr>
                      <w:rFonts w:hint="eastAsia"/>
                      <w:color w:val="auto"/>
                      <w:sz w:val="21"/>
                      <w:szCs w:val="21"/>
                    </w:rPr>
                    <w:t>300000m</w:t>
                  </w:r>
                  <w:r>
                    <w:rPr>
                      <w:rFonts w:hint="eastAsia"/>
                      <w:color w:val="auto"/>
                      <w:sz w:val="21"/>
                      <w:szCs w:val="21"/>
                      <w:vertAlign w:val="superscript"/>
                    </w:rPr>
                    <w:t>2</w:t>
                  </w:r>
                  <w:r>
                    <w:rPr>
                      <w:color w:val="auto"/>
                      <w:sz w:val="21"/>
                      <w:szCs w:val="21"/>
                    </w:rPr>
                    <w:t>/a</w:t>
                  </w:r>
                </w:p>
              </w:tc>
              <w:tc>
                <w:tcPr>
                  <w:tcW w:w="833" w:type="pct"/>
                  <w:tcBorders>
                    <w:tl2br w:val="nil"/>
                    <w:tr2bl w:val="nil"/>
                  </w:tcBorders>
                  <w:noWrap/>
                  <w:vAlign w:val="center"/>
                </w:tcPr>
                <w:p w14:paraId="5CB4238C">
                  <w:pPr>
                    <w:jc w:val="center"/>
                    <w:rPr>
                      <w:color w:val="auto"/>
                      <w:sz w:val="21"/>
                      <w:szCs w:val="21"/>
                    </w:rPr>
                  </w:pPr>
                  <w:r>
                    <w:rPr>
                      <w:rFonts w:hint="eastAsia"/>
                      <w:color w:val="auto"/>
                      <w:sz w:val="21"/>
                      <w:szCs w:val="21"/>
                    </w:rPr>
                    <w:t>300000m</w:t>
                  </w:r>
                  <w:r>
                    <w:rPr>
                      <w:rFonts w:hint="eastAsia"/>
                      <w:color w:val="auto"/>
                      <w:sz w:val="21"/>
                      <w:szCs w:val="21"/>
                      <w:vertAlign w:val="superscript"/>
                    </w:rPr>
                    <w:t>2</w:t>
                  </w:r>
                  <w:r>
                    <w:rPr>
                      <w:color w:val="auto"/>
                      <w:sz w:val="21"/>
                      <w:szCs w:val="21"/>
                    </w:rPr>
                    <w:t>/a</w:t>
                  </w:r>
                </w:p>
              </w:tc>
              <w:tc>
                <w:tcPr>
                  <w:tcW w:w="939" w:type="pct"/>
                  <w:tcBorders>
                    <w:tl2br w:val="nil"/>
                    <w:tr2bl w:val="nil"/>
                  </w:tcBorders>
                  <w:noWrap/>
                  <w:vAlign w:val="center"/>
                </w:tcPr>
                <w:p w14:paraId="762C3A9F">
                  <w:pPr>
                    <w:jc w:val="center"/>
                    <w:rPr>
                      <w:color w:val="auto"/>
                      <w:sz w:val="21"/>
                      <w:szCs w:val="21"/>
                    </w:rPr>
                  </w:pPr>
                  <w:r>
                    <w:rPr>
                      <w:rFonts w:hint="eastAsia"/>
                      <w:color w:val="auto"/>
                      <w:sz w:val="21"/>
                      <w:szCs w:val="21"/>
                    </w:rPr>
                    <w:t>300000m</w:t>
                  </w:r>
                  <w:r>
                    <w:rPr>
                      <w:rFonts w:hint="eastAsia"/>
                      <w:color w:val="auto"/>
                      <w:sz w:val="21"/>
                      <w:szCs w:val="21"/>
                      <w:vertAlign w:val="superscript"/>
                    </w:rPr>
                    <w:t>2</w:t>
                  </w:r>
                  <w:r>
                    <w:rPr>
                      <w:color w:val="auto"/>
                      <w:sz w:val="21"/>
                      <w:szCs w:val="21"/>
                    </w:rPr>
                    <w:t>/a</w:t>
                  </w:r>
                </w:p>
              </w:tc>
              <w:tc>
                <w:tcPr>
                  <w:tcW w:w="692" w:type="pct"/>
                  <w:tcBorders>
                    <w:tl2br w:val="nil"/>
                    <w:tr2bl w:val="nil"/>
                  </w:tcBorders>
                  <w:noWrap/>
                  <w:vAlign w:val="center"/>
                </w:tcPr>
                <w:p w14:paraId="4FBB0A92">
                  <w:pPr>
                    <w:jc w:val="center"/>
                    <w:rPr>
                      <w:rFonts w:hint="eastAsia"/>
                      <w:color w:val="auto"/>
                      <w:sz w:val="21"/>
                      <w:szCs w:val="21"/>
                    </w:rPr>
                  </w:pPr>
                  <w:r>
                    <w:rPr>
                      <w:rFonts w:hint="eastAsia"/>
                      <w:color w:val="auto"/>
                      <w:sz w:val="21"/>
                      <w:szCs w:val="21"/>
                      <w:highlight w:val="none"/>
                      <w:lang w:val="en-US" w:eastAsia="zh-CN"/>
                    </w:rPr>
                    <w:t>不变</w:t>
                  </w:r>
                </w:p>
              </w:tc>
            </w:tr>
            <w:tr w14:paraId="2F406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continue"/>
                  <w:tcBorders>
                    <w:tl2br w:val="nil"/>
                    <w:tr2bl w:val="nil"/>
                  </w:tcBorders>
                  <w:noWrap/>
                  <w:vAlign w:val="center"/>
                </w:tcPr>
                <w:p w14:paraId="59151347">
                  <w:pPr>
                    <w:spacing w:line="0" w:lineRule="atLeast"/>
                    <w:jc w:val="center"/>
                    <w:rPr>
                      <w:rFonts w:hint="default" w:ascii="Times New Roman" w:hAnsi="Times New Roman" w:eastAsia="宋体" w:cs="Times New Roman"/>
                      <w:bCs/>
                      <w:color w:val="auto"/>
                      <w:szCs w:val="21"/>
                      <w:lang w:val="en-US" w:eastAsia="zh-CN"/>
                    </w:rPr>
                  </w:pPr>
                </w:p>
              </w:tc>
              <w:tc>
                <w:tcPr>
                  <w:tcW w:w="938" w:type="pct"/>
                  <w:tcBorders>
                    <w:tl2br w:val="nil"/>
                    <w:tr2bl w:val="nil"/>
                  </w:tcBorders>
                  <w:noWrap/>
                  <w:vAlign w:val="center"/>
                </w:tcPr>
                <w:p w14:paraId="76A6FBE8">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ascii="Times New Roman" w:hAnsi="Times New Roman" w:eastAsia="宋体" w:cs="Times New Roman"/>
                      <w:color w:val="auto"/>
                      <w:spacing w:val="0"/>
                      <w:sz w:val="21"/>
                      <w:szCs w:val="21"/>
                      <w:vertAlign w:val="baseline"/>
                      <w:lang w:val="en-US" w:eastAsia="zh-CN"/>
                    </w:rPr>
                  </w:pPr>
                  <w:r>
                    <w:rPr>
                      <w:rFonts w:hint="eastAsia" w:ascii="Times New Roman" w:hAnsi="Times New Roman" w:eastAsia="宋体" w:cs="Times New Roman"/>
                      <w:color w:val="auto"/>
                      <w:spacing w:val="0"/>
                      <w:sz w:val="21"/>
                      <w:szCs w:val="21"/>
                      <w:vertAlign w:val="baseline"/>
                      <w:lang w:val="en-US" w:eastAsia="zh-CN"/>
                    </w:rPr>
                    <w:t>PC板</w:t>
                  </w:r>
                </w:p>
              </w:tc>
              <w:tc>
                <w:tcPr>
                  <w:tcW w:w="957" w:type="pct"/>
                  <w:tcBorders>
                    <w:tl2br w:val="nil"/>
                    <w:tr2bl w:val="nil"/>
                  </w:tcBorders>
                  <w:noWrap/>
                  <w:vAlign w:val="center"/>
                </w:tcPr>
                <w:p w14:paraId="3AAA8C82">
                  <w:pPr>
                    <w:jc w:val="center"/>
                    <w:rPr>
                      <w:rFonts w:hint="default" w:ascii="Times New Roman" w:hAnsi="Times New Roman" w:eastAsia="宋体" w:cs="Times New Roman"/>
                      <w:bCs/>
                      <w:color w:val="auto"/>
                      <w:szCs w:val="21"/>
                      <w:lang w:val="en-US" w:eastAsia="zh-CN"/>
                    </w:rPr>
                  </w:pPr>
                  <w:r>
                    <w:rPr>
                      <w:rFonts w:hint="eastAsia"/>
                      <w:color w:val="auto"/>
                      <w:sz w:val="21"/>
                      <w:szCs w:val="21"/>
                      <w:lang w:val="en-US" w:eastAsia="zh-CN"/>
                    </w:rPr>
                    <w:t>8000</w:t>
                  </w:r>
                  <w:r>
                    <w:rPr>
                      <w:rFonts w:hint="eastAsia"/>
                      <w:color w:val="auto"/>
                      <w:sz w:val="21"/>
                      <w:szCs w:val="21"/>
                    </w:rPr>
                    <w:t>m</w:t>
                  </w:r>
                  <w:r>
                    <w:rPr>
                      <w:rFonts w:hint="eastAsia"/>
                      <w:color w:val="auto"/>
                      <w:sz w:val="21"/>
                      <w:szCs w:val="21"/>
                      <w:vertAlign w:val="superscript"/>
                    </w:rPr>
                    <w:t>2</w:t>
                  </w:r>
                  <w:r>
                    <w:rPr>
                      <w:color w:val="auto"/>
                      <w:sz w:val="21"/>
                      <w:szCs w:val="21"/>
                    </w:rPr>
                    <w:t>/a</w:t>
                  </w:r>
                </w:p>
              </w:tc>
              <w:tc>
                <w:tcPr>
                  <w:tcW w:w="833" w:type="pct"/>
                  <w:tcBorders>
                    <w:tl2br w:val="nil"/>
                    <w:tr2bl w:val="nil"/>
                  </w:tcBorders>
                  <w:noWrap/>
                  <w:vAlign w:val="center"/>
                </w:tcPr>
                <w:p w14:paraId="4AC03B5A">
                  <w:pPr>
                    <w:jc w:val="center"/>
                    <w:rPr>
                      <w:color w:val="auto"/>
                      <w:sz w:val="21"/>
                      <w:szCs w:val="21"/>
                    </w:rPr>
                  </w:pPr>
                  <w:r>
                    <w:rPr>
                      <w:rFonts w:hint="eastAsia"/>
                      <w:color w:val="auto"/>
                      <w:sz w:val="21"/>
                      <w:szCs w:val="21"/>
                      <w:lang w:val="en-US" w:eastAsia="zh-CN"/>
                    </w:rPr>
                    <w:t>8000</w:t>
                  </w:r>
                  <w:r>
                    <w:rPr>
                      <w:rFonts w:hint="eastAsia"/>
                      <w:color w:val="auto"/>
                      <w:sz w:val="21"/>
                      <w:szCs w:val="21"/>
                    </w:rPr>
                    <w:t>m</w:t>
                  </w:r>
                  <w:r>
                    <w:rPr>
                      <w:rFonts w:hint="eastAsia"/>
                      <w:color w:val="auto"/>
                      <w:sz w:val="21"/>
                      <w:szCs w:val="21"/>
                      <w:vertAlign w:val="superscript"/>
                    </w:rPr>
                    <w:t>2</w:t>
                  </w:r>
                  <w:r>
                    <w:rPr>
                      <w:color w:val="auto"/>
                      <w:sz w:val="21"/>
                      <w:szCs w:val="21"/>
                    </w:rPr>
                    <w:t>/a</w:t>
                  </w:r>
                </w:p>
              </w:tc>
              <w:tc>
                <w:tcPr>
                  <w:tcW w:w="939" w:type="pct"/>
                  <w:tcBorders>
                    <w:tl2br w:val="nil"/>
                    <w:tr2bl w:val="nil"/>
                  </w:tcBorders>
                  <w:noWrap/>
                  <w:vAlign w:val="center"/>
                </w:tcPr>
                <w:p w14:paraId="1B7A60B5">
                  <w:pPr>
                    <w:jc w:val="center"/>
                    <w:rPr>
                      <w:color w:val="auto"/>
                      <w:sz w:val="21"/>
                      <w:szCs w:val="21"/>
                    </w:rPr>
                  </w:pPr>
                  <w:r>
                    <w:rPr>
                      <w:rFonts w:hint="eastAsia"/>
                      <w:color w:val="auto"/>
                      <w:sz w:val="21"/>
                      <w:szCs w:val="21"/>
                      <w:lang w:val="en-US" w:eastAsia="zh-CN"/>
                    </w:rPr>
                    <w:t>8000</w:t>
                  </w:r>
                  <w:r>
                    <w:rPr>
                      <w:rFonts w:hint="eastAsia"/>
                      <w:color w:val="auto"/>
                      <w:sz w:val="21"/>
                      <w:szCs w:val="21"/>
                    </w:rPr>
                    <w:t>m</w:t>
                  </w:r>
                  <w:r>
                    <w:rPr>
                      <w:rFonts w:hint="eastAsia"/>
                      <w:color w:val="auto"/>
                      <w:sz w:val="21"/>
                      <w:szCs w:val="21"/>
                      <w:vertAlign w:val="superscript"/>
                    </w:rPr>
                    <w:t>2</w:t>
                  </w:r>
                  <w:r>
                    <w:rPr>
                      <w:color w:val="auto"/>
                      <w:sz w:val="21"/>
                      <w:szCs w:val="21"/>
                    </w:rPr>
                    <w:t>/a</w:t>
                  </w:r>
                </w:p>
              </w:tc>
              <w:tc>
                <w:tcPr>
                  <w:tcW w:w="692" w:type="pct"/>
                  <w:tcBorders>
                    <w:tl2br w:val="nil"/>
                    <w:tr2bl w:val="nil"/>
                  </w:tcBorders>
                  <w:noWrap/>
                  <w:vAlign w:val="center"/>
                </w:tcPr>
                <w:p w14:paraId="5CB2683D">
                  <w:pPr>
                    <w:jc w:val="center"/>
                    <w:rPr>
                      <w:rFonts w:hint="eastAsia"/>
                      <w:color w:val="auto"/>
                      <w:sz w:val="21"/>
                      <w:szCs w:val="21"/>
                      <w:lang w:val="en-US" w:eastAsia="zh-CN"/>
                    </w:rPr>
                  </w:pPr>
                  <w:r>
                    <w:rPr>
                      <w:rFonts w:hint="eastAsia"/>
                      <w:color w:val="auto"/>
                      <w:sz w:val="21"/>
                      <w:szCs w:val="21"/>
                      <w:highlight w:val="none"/>
                      <w:lang w:val="en-US" w:eastAsia="zh-CN"/>
                    </w:rPr>
                    <w:t>不变</w:t>
                  </w:r>
                </w:p>
              </w:tc>
            </w:tr>
            <w:tr w14:paraId="03FEA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continue"/>
                  <w:tcBorders>
                    <w:tl2br w:val="nil"/>
                    <w:tr2bl w:val="nil"/>
                  </w:tcBorders>
                  <w:noWrap/>
                  <w:vAlign w:val="center"/>
                </w:tcPr>
                <w:p w14:paraId="69EBE4B3">
                  <w:pPr>
                    <w:spacing w:line="0" w:lineRule="atLeast"/>
                    <w:jc w:val="center"/>
                    <w:rPr>
                      <w:rFonts w:hint="eastAsia" w:ascii="Times New Roman" w:hAnsi="Times New Roman" w:eastAsia="宋体" w:cs="Times New Roman"/>
                      <w:bCs/>
                      <w:color w:val="auto"/>
                      <w:szCs w:val="21"/>
                      <w:lang w:val="en-US" w:eastAsia="zh-CN"/>
                    </w:rPr>
                  </w:pPr>
                </w:p>
              </w:tc>
              <w:tc>
                <w:tcPr>
                  <w:tcW w:w="938" w:type="pct"/>
                  <w:tcBorders>
                    <w:tl2br w:val="nil"/>
                    <w:tr2bl w:val="nil"/>
                  </w:tcBorders>
                  <w:noWrap/>
                  <w:vAlign w:val="center"/>
                </w:tcPr>
                <w:p w14:paraId="09ACF24B">
                  <w:pPr>
                    <w:jc w:val="center"/>
                    <w:rPr>
                      <w:rFonts w:hint="eastAsia" w:eastAsia="宋体"/>
                      <w:color w:val="auto"/>
                      <w:sz w:val="21"/>
                      <w:szCs w:val="21"/>
                      <w:lang w:eastAsia="zh-CN"/>
                    </w:rPr>
                  </w:pPr>
                  <w:r>
                    <w:rPr>
                      <w:rFonts w:hint="eastAsia" w:eastAsia="宋体"/>
                      <w:color w:val="auto"/>
                      <w:sz w:val="21"/>
                      <w:szCs w:val="21"/>
                      <w:lang w:eastAsia="zh-CN"/>
                    </w:rPr>
                    <w:t>胶合板箱子</w:t>
                  </w:r>
                </w:p>
              </w:tc>
              <w:tc>
                <w:tcPr>
                  <w:tcW w:w="957" w:type="pct"/>
                  <w:tcBorders>
                    <w:tl2br w:val="nil"/>
                    <w:tr2bl w:val="nil"/>
                  </w:tcBorders>
                  <w:noWrap/>
                  <w:vAlign w:val="center"/>
                </w:tcPr>
                <w:p w14:paraId="7E6CBAE4">
                  <w:pPr>
                    <w:jc w:val="center"/>
                    <w:rPr>
                      <w:rFonts w:hint="default" w:eastAsia="宋体"/>
                      <w:color w:val="auto"/>
                      <w:sz w:val="21"/>
                      <w:szCs w:val="21"/>
                      <w:lang w:val="en-US" w:eastAsia="zh-CN"/>
                    </w:rPr>
                  </w:pPr>
                  <w:r>
                    <w:rPr>
                      <w:rFonts w:hint="eastAsia"/>
                      <w:color w:val="auto"/>
                      <w:sz w:val="21"/>
                      <w:szCs w:val="21"/>
                      <w:lang w:val="en-US" w:eastAsia="zh-CN"/>
                    </w:rPr>
                    <w:t>3000个</w:t>
                  </w:r>
                  <w:r>
                    <w:rPr>
                      <w:color w:val="auto"/>
                      <w:sz w:val="21"/>
                      <w:szCs w:val="21"/>
                    </w:rPr>
                    <w:t>/a</w:t>
                  </w:r>
                </w:p>
              </w:tc>
              <w:tc>
                <w:tcPr>
                  <w:tcW w:w="833" w:type="pct"/>
                  <w:tcBorders>
                    <w:tl2br w:val="nil"/>
                    <w:tr2bl w:val="nil"/>
                  </w:tcBorders>
                  <w:noWrap/>
                  <w:vAlign w:val="center"/>
                </w:tcPr>
                <w:p w14:paraId="0FC9742A">
                  <w:pPr>
                    <w:jc w:val="center"/>
                    <w:rPr>
                      <w:color w:val="auto"/>
                      <w:sz w:val="21"/>
                      <w:szCs w:val="21"/>
                    </w:rPr>
                  </w:pPr>
                  <w:r>
                    <w:rPr>
                      <w:rFonts w:hint="eastAsia"/>
                      <w:color w:val="auto"/>
                      <w:sz w:val="21"/>
                      <w:szCs w:val="21"/>
                      <w:lang w:val="en-US" w:eastAsia="zh-CN"/>
                    </w:rPr>
                    <w:t>3000个</w:t>
                  </w:r>
                  <w:r>
                    <w:rPr>
                      <w:color w:val="auto"/>
                      <w:sz w:val="21"/>
                      <w:szCs w:val="21"/>
                    </w:rPr>
                    <w:t>/a</w:t>
                  </w:r>
                </w:p>
              </w:tc>
              <w:tc>
                <w:tcPr>
                  <w:tcW w:w="939" w:type="pct"/>
                  <w:tcBorders>
                    <w:tl2br w:val="nil"/>
                    <w:tr2bl w:val="nil"/>
                  </w:tcBorders>
                  <w:noWrap/>
                  <w:vAlign w:val="center"/>
                </w:tcPr>
                <w:p w14:paraId="347F3035">
                  <w:pPr>
                    <w:jc w:val="center"/>
                    <w:rPr>
                      <w:color w:val="auto"/>
                      <w:sz w:val="21"/>
                      <w:szCs w:val="21"/>
                    </w:rPr>
                  </w:pPr>
                  <w:r>
                    <w:rPr>
                      <w:rFonts w:hint="eastAsia"/>
                      <w:color w:val="auto"/>
                      <w:sz w:val="21"/>
                      <w:szCs w:val="21"/>
                      <w:lang w:val="en-US" w:eastAsia="zh-CN"/>
                    </w:rPr>
                    <w:t>3000个</w:t>
                  </w:r>
                  <w:r>
                    <w:rPr>
                      <w:color w:val="auto"/>
                      <w:sz w:val="21"/>
                      <w:szCs w:val="21"/>
                    </w:rPr>
                    <w:t>/a</w:t>
                  </w:r>
                </w:p>
              </w:tc>
              <w:tc>
                <w:tcPr>
                  <w:tcW w:w="692" w:type="pct"/>
                  <w:tcBorders>
                    <w:tl2br w:val="nil"/>
                    <w:tr2bl w:val="nil"/>
                  </w:tcBorders>
                  <w:noWrap/>
                  <w:vAlign w:val="center"/>
                </w:tcPr>
                <w:p w14:paraId="5356C725">
                  <w:pPr>
                    <w:jc w:val="center"/>
                    <w:rPr>
                      <w:rFonts w:hint="eastAsia"/>
                      <w:color w:val="auto"/>
                      <w:sz w:val="21"/>
                      <w:szCs w:val="21"/>
                      <w:lang w:val="en-US" w:eastAsia="zh-CN"/>
                    </w:rPr>
                  </w:pPr>
                  <w:r>
                    <w:rPr>
                      <w:rFonts w:hint="eastAsia"/>
                      <w:color w:val="auto"/>
                      <w:sz w:val="21"/>
                      <w:szCs w:val="21"/>
                      <w:highlight w:val="none"/>
                      <w:lang w:val="en-US" w:eastAsia="zh-CN"/>
                    </w:rPr>
                    <w:t>不变</w:t>
                  </w:r>
                </w:p>
              </w:tc>
            </w:tr>
            <w:tr w14:paraId="46761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restart"/>
                  <w:tcBorders>
                    <w:tl2br w:val="nil"/>
                    <w:tr2bl w:val="nil"/>
                  </w:tcBorders>
                  <w:noWrap/>
                  <w:vAlign w:val="center"/>
                </w:tcPr>
                <w:p w14:paraId="7DA9858A">
                  <w:pPr>
                    <w:spacing w:line="0" w:lineRule="atLeast"/>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塑料密封件</w:t>
                  </w:r>
                </w:p>
              </w:tc>
              <w:tc>
                <w:tcPr>
                  <w:tcW w:w="938" w:type="pct"/>
                  <w:tcBorders>
                    <w:tl2br w:val="nil"/>
                    <w:tr2bl w:val="nil"/>
                  </w:tcBorders>
                  <w:noWrap/>
                  <w:vAlign w:val="center"/>
                </w:tcPr>
                <w:p w14:paraId="6095921B">
                  <w:pPr>
                    <w:jc w:val="center"/>
                    <w:rPr>
                      <w:rFonts w:hint="eastAsia" w:eastAsia="宋体"/>
                      <w:color w:val="auto"/>
                      <w:sz w:val="21"/>
                      <w:szCs w:val="21"/>
                      <w:lang w:eastAsia="zh-CN"/>
                    </w:rPr>
                  </w:pPr>
                  <w:r>
                    <w:rPr>
                      <w:rFonts w:hint="eastAsia" w:eastAsia="宋体"/>
                      <w:color w:val="auto"/>
                      <w:sz w:val="21"/>
                      <w:szCs w:val="21"/>
                      <w:lang w:eastAsia="zh-CN"/>
                    </w:rPr>
                    <w:t>塑料粒子</w:t>
                  </w:r>
                </w:p>
              </w:tc>
              <w:tc>
                <w:tcPr>
                  <w:tcW w:w="957" w:type="pct"/>
                  <w:tcBorders>
                    <w:tl2br w:val="nil"/>
                    <w:tr2bl w:val="nil"/>
                  </w:tcBorders>
                  <w:noWrap/>
                  <w:vAlign w:val="center"/>
                </w:tcPr>
                <w:p w14:paraId="5A6B1ED3">
                  <w:pPr>
                    <w:jc w:val="center"/>
                    <w:rPr>
                      <w:color w:val="auto"/>
                      <w:sz w:val="21"/>
                      <w:szCs w:val="21"/>
                    </w:rPr>
                  </w:pPr>
                  <w:r>
                    <w:rPr>
                      <w:rFonts w:hint="eastAsia" w:ascii="Times New Roman" w:hAnsi="Times New Roman" w:cs="Times New Roman"/>
                      <w:color w:val="auto"/>
                      <w:lang w:val="en-US" w:eastAsia="zh-CN"/>
                    </w:rPr>
                    <w:t>72</w:t>
                  </w:r>
                  <w:r>
                    <w:rPr>
                      <w:rFonts w:hint="eastAsia" w:cs="Times New Roman"/>
                      <w:bCs/>
                      <w:color w:val="auto"/>
                      <w:sz w:val="21"/>
                      <w:szCs w:val="21"/>
                      <w:lang w:val="en-US" w:eastAsia="zh-CN"/>
                    </w:rPr>
                    <w:t>t/a</w:t>
                  </w:r>
                </w:p>
              </w:tc>
              <w:tc>
                <w:tcPr>
                  <w:tcW w:w="833" w:type="pct"/>
                  <w:tcBorders>
                    <w:tl2br w:val="nil"/>
                    <w:tr2bl w:val="nil"/>
                  </w:tcBorders>
                  <w:noWrap/>
                  <w:vAlign w:val="center"/>
                </w:tcPr>
                <w:p w14:paraId="72FCE315">
                  <w:pPr>
                    <w:jc w:val="center"/>
                    <w:rPr>
                      <w:color w:val="auto"/>
                      <w:sz w:val="21"/>
                      <w:szCs w:val="21"/>
                    </w:rPr>
                  </w:pPr>
                  <w:r>
                    <w:rPr>
                      <w:rFonts w:hint="eastAsia" w:ascii="Times New Roman" w:hAnsi="Times New Roman" w:cs="Times New Roman"/>
                      <w:color w:val="auto"/>
                      <w:lang w:val="en-US" w:eastAsia="zh-CN"/>
                    </w:rPr>
                    <w:t>72</w:t>
                  </w:r>
                  <w:r>
                    <w:rPr>
                      <w:rFonts w:hint="eastAsia" w:cs="Times New Roman"/>
                      <w:bCs/>
                      <w:color w:val="auto"/>
                      <w:sz w:val="21"/>
                      <w:szCs w:val="21"/>
                      <w:lang w:val="en-US" w:eastAsia="zh-CN"/>
                    </w:rPr>
                    <w:t>t/a</w:t>
                  </w:r>
                </w:p>
              </w:tc>
              <w:tc>
                <w:tcPr>
                  <w:tcW w:w="939" w:type="pct"/>
                  <w:tcBorders>
                    <w:tl2br w:val="nil"/>
                    <w:tr2bl w:val="nil"/>
                  </w:tcBorders>
                  <w:noWrap/>
                  <w:vAlign w:val="center"/>
                </w:tcPr>
                <w:p w14:paraId="786A2EE9">
                  <w:pPr>
                    <w:jc w:val="center"/>
                    <w:rPr>
                      <w:color w:val="auto"/>
                      <w:sz w:val="21"/>
                      <w:szCs w:val="21"/>
                    </w:rPr>
                  </w:pPr>
                  <w:r>
                    <w:rPr>
                      <w:rFonts w:hint="eastAsia" w:ascii="Times New Roman" w:hAnsi="Times New Roman" w:cs="Times New Roman"/>
                      <w:color w:val="auto"/>
                      <w:lang w:val="en-US" w:eastAsia="zh-CN"/>
                    </w:rPr>
                    <w:t>72</w:t>
                  </w:r>
                  <w:r>
                    <w:rPr>
                      <w:rFonts w:hint="eastAsia" w:cs="Times New Roman"/>
                      <w:bCs/>
                      <w:color w:val="auto"/>
                      <w:sz w:val="21"/>
                      <w:szCs w:val="21"/>
                      <w:lang w:val="en-US" w:eastAsia="zh-CN"/>
                    </w:rPr>
                    <w:t>t/a</w:t>
                  </w:r>
                </w:p>
              </w:tc>
              <w:tc>
                <w:tcPr>
                  <w:tcW w:w="692" w:type="pct"/>
                  <w:tcBorders>
                    <w:tl2br w:val="nil"/>
                    <w:tr2bl w:val="nil"/>
                  </w:tcBorders>
                  <w:noWrap/>
                  <w:vAlign w:val="center"/>
                </w:tcPr>
                <w:p w14:paraId="628CAFD4">
                  <w:pPr>
                    <w:jc w:val="center"/>
                    <w:rPr>
                      <w:rFonts w:hint="eastAsia" w:ascii="Times New Roman" w:hAnsi="Times New Roman" w:cs="Times New Roman"/>
                      <w:color w:val="auto"/>
                      <w:sz w:val="21"/>
                      <w:szCs w:val="21"/>
                      <w:lang w:val="en-US" w:eastAsia="zh-CN"/>
                    </w:rPr>
                  </w:pPr>
                  <w:r>
                    <w:rPr>
                      <w:rFonts w:hint="eastAsia"/>
                      <w:color w:val="auto"/>
                      <w:sz w:val="21"/>
                      <w:szCs w:val="21"/>
                      <w:highlight w:val="none"/>
                      <w:lang w:val="en-US" w:eastAsia="zh-CN"/>
                    </w:rPr>
                    <w:t>不变</w:t>
                  </w:r>
                </w:p>
              </w:tc>
            </w:tr>
            <w:tr w14:paraId="78C46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continue"/>
                  <w:tcBorders>
                    <w:tl2br w:val="nil"/>
                    <w:tr2bl w:val="nil"/>
                  </w:tcBorders>
                  <w:noWrap/>
                  <w:vAlign w:val="center"/>
                </w:tcPr>
                <w:p w14:paraId="37BFEAD5">
                  <w:pPr>
                    <w:spacing w:line="0" w:lineRule="atLeast"/>
                    <w:jc w:val="center"/>
                    <w:rPr>
                      <w:rFonts w:hint="eastAsia" w:ascii="Times New Roman" w:hAnsi="Times New Roman" w:eastAsia="宋体" w:cs="Times New Roman"/>
                      <w:bCs/>
                      <w:color w:val="auto"/>
                      <w:szCs w:val="21"/>
                      <w:lang w:val="en-US" w:eastAsia="zh-CN"/>
                    </w:rPr>
                  </w:pPr>
                </w:p>
              </w:tc>
              <w:tc>
                <w:tcPr>
                  <w:tcW w:w="938" w:type="pct"/>
                  <w:tcBorders>
                    <w:tl2br w:val="nil"/>
                    <w:tr2bl w:val="nil"/>
                  </w:tcBorders>
                  <w:noWrap/>
                  <w:vAlign w:val="center"/>
                </w:tcPr>
                <w:p w14:paraId="17034685">
                  <w:pPr>
                    <w:pStyle w:val="30"/>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Autospacing="0"/>
                    <w:jc w:val="center"/>
                    <w:rPr>
                      <w:rFonts w:hint="eastAsia" w:eastAsia="宋体"/>
                      <w:color w:val="auto"/>
                      <w:sz w:val="21"/>
                      <w:szCs w:val="21"/>
                      <w:lang w:eastAsia="zh-CN"/>
                    </w:rPr>
                  </w:pPr>
                  <w:r>
                    <w:rPr>
                      <w:rFonts w:hint="eastAsia" w:ascii="Times New Roman" w:hAnsi="Times New Roman" w:eastAsia="宋体" w:cs="Times New Roman"/>
                      <w:color w:val="auto"/>
                      <w:spacing w:val="0"/>
                      <w:sz w:val="21"/>
                      <w:szCs w:val="21"/>
                      <w:vertAlign w:val="baseline"/>
                      <w:lang w:val="en-US" w:eastAsia="zh-CN"/>
                    </w:rPr>
                    <w:t>3M胶带</w:t>
                  </w:r>
                </w:p>
              </w:tc>
              <w:tc>
                <w:tcPr>
                  <w:tcW w:w="957" w:type="pct"/>
                  <w:tcBorders>
                    <w:tl2br w:val="nil"/>
                    <w:tr2bl w:val="nil"/>
                  </w:tcBorders>
                  <w:noWrap/>
                  <w:vAlign w:val="center"/>
                </w:tcPr>
                <w:p w14:paraId="1095ABCF">
                  <w:pPr>
                    <w:jc w:val="center"/>
                    <w:rPr>
                      <w:rFonts w:hint="default" w:eastAsia="宋体"/>
                      <w:color w:val="auto"/>
                      <w:sz w:val="21"/>
                      <w:szCs w:val="21"/>
                      <w:lang w:val="en-US" w:eastAsia="zh-CN"/>
                    </w:rPr>
                  </w:pPr>
                  <w:r>
                    <w:rPr>
                      <w:rFonts w:hint="eastAsia"/>
                      <w:color w:val="auto"/>
                      <w:sz w:val="21"/>
                      <w:szCs w:val="21"/>
                      <w:lang w:val="en-US" w:eastAsia="zh-CN"/>
                    </w:rPr>
                    <w:t>11200片/a</w:t>
                  </w:r>
                </w:p>
              </w:tc>
              <w:tc>
                <w:tcPr>
                  <w:tcW w:w="833" w:type="pct"/>
                  <w:tcBorders>
                    <w:tl2br w:val="nil"/>
                    <w:tr2bl w:val="nil"/>
                  </w:tcBorders>
                  <w:noWrap/>
                  <w:vAlign w:val="center"/>
                </w:tcPr>
                <w:p w14:paraId="2B1AE012">
                  <w:pPr>
                    <w:jc w:val="center"/>
                    <w:rPr>
                      <w:color w:val="auto"/>
                      <w:sz w:val="21"/>
                      <w:szCs w:val="21"/>
                    </w:rPr>
                  </w:pPr>
                  <w:r>
                    <w:rPr>
                      <w:rFonts w:hint="eastAsia"/>
                      <w:color w:val="auto"/>
                      <w:sz w:val="21"/>
                      <w:szCs w:val="21"/>
                      <w:lang w:val="en-US" w:eastAsia="zh-CN"/>
                    </w:rPr>
                    <w:t>11200片/a</w:t>
                  </w:r>
                </w:p>
              </w:tc>
              <w:tc>
                <w:tcPr>
                  <w:tcW w:w="939" w:type="pct"/>
                  <w:tcBorders>
                    <w:tl2br w:val="nil"/>
                    <w:tr2bl w:val="nil"/>
                  </w:tcBorders>
                  <w:noWrap/>
                  <w:vAlign w:val="center"/>
                </w:tcPr>
                <w:p w14:paraId="20F02D81">
                  <w:pPr>
                    <w:jc w:val="center"/>
                    <w:rPr>
                      <w:color w:val="auto"/>
                      <w:sz w:val="21"/>
                      <w:szCs w:val="21"/>
                    </w:rPr>
                  </w:pPr>
                  <w:r>
                    <w:rPr>
                      <w:rFonts w:hint="eastAsia"/>
                      <w:color w:val="auto"/>
                      <w:sz w:val="21"/>
                      <w:szCs w:val="21"/>
                      <w:lang w:val="en-US" w:eastAsia="zh-CN"/>
                    </w:rPr>
                    <w:t>11200片/a</w:t>
                  </w:r>
                </w:p>
              </w:tc>
              <w:tc>
                <w:tcPr>
                  <w:tcW w:w="692" w:type="pct"/>
                  <w:tcBorders>
                    <w:tl2br w:val="nil"/>
                    <w:tr2bl w:val="nil"/>
                  </w:tcBorders>
                  <w:noWrap/>
                  <w:vAlign w:val="center"/>
                </w:tcPr>
                <w:p w14:paraId="41EBBC89">
                  <w:pPr>
                    <w:jc w:val="center"/>
                    <w:rPr>
                      <w:rFonts w:hint="eastAsia"/>
                      <w:color w:val="auto"/>
                      <w:sz w:val="21"/>
                      <w:szCs w:val="21"/>
                      <w:lang w:val="en-US" w:eastAsia="zh-CN"/>
                    </w:rPr>
                  </w:pPr>
                  <w:r>
                    <w:rPr>
                      <w:rFonts w:hint="eastAsia"/>
                      <w:color w:val="auto"/>
                      <w:sz w:val="21"/>
                      <w:szCs w:val="21"/>
                      <w:highlight w:val="none"/>
                      <w:lang w:val="en-US" w:eastAsia="zh-CN"/>
                    </w:rPr>
                    <w:t>不变</w:t>
                  </w:r>
                </w:p>
              </w:tc>
            </w:tr>
            <w:tr w14:paraId="4F687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38" w:type="pct"/>
                  <w:vMerge w:val="continue"/>
                  <w:tcBorders>
                    <w:tl2br w:val="nil"/>
                    <w:tr2bl w:val="nil"/>
                  </w:tcBorders>
                  <w:noWrap/>
                  <w:vAlign w:val="center"/>
                </w:tcPr>
                <w:p w14:paraId="40C3E556">
                  <w:pPr>
                    <w:spacing w:line="0" w:lineRule="atLeast"/>
                    <w:jc w:val="center"/>
                    <w:rPr>
                      <w:rFonts w:hint="eastAsia" w:ascii="Times New Roman" w:hAnsi="Times New Roman" w:eastAsia="宋体" w:cs="Times New Roman"/>
                      <w:bCs/>
                      <w:color w:val="auto"/>
                      <w:szCs w:val="21"/>
                      <w:lang w:val="en-US" w:eastAsia="zh-CN"/>
                    </w:rPr>
                  </w:pPr>
                </w:p>
              </w:tc>
              <w:tc>
                <w:tcPr>
                  <w:tcW w:w="938" w:type="pct"/>
                  <w:tcBorders>
                    <w:tl2br w:val="nil"/>
                    <w:tr2bl w:val="nil"/>
                  </w:tcBorders>
                  <w:noWrap/>
                  <w:vAlign w:val="center"/>
                </w:tcPr>
                <w:p w14:paraId="7A78CDAD">
                  <w:pPr>
                    <w:jc w:val="center"/>
                    <w:rPr>
                      <w:rFonts w:hint="eastAsia" w:eastAsia="宋体"/>
                      <w:color w:val="auto"/>
                      <w:sz w:val="21"/>
                      <w:szCs w:val="21"/>
                      <w:lang w:eastAsia="zh-CN"/>
                    </w:rPr>
                  </w:pPr>
                  <w:r>
                    <w:rPr>
                      <w:rFonts w:hint="eastAsia" w:eastAsia="宋体"/>
                      <w:color w:val="auto"/>
                      <w:sz w:val="21"/>
                      <w:szCs w:val="21"/>
                      <w:lang w:eastAsia="zh-CN"/>
                    </w:rPr>
                    <w:t>扣子</w:t>
                  </w:r>
                </w:p>
              </w:tc>
              <w:tc>
                <w:tcPr>
                  <w:tcW w:w="957" w:type="pct"/>
                  <w:tcBorders>
                    <w:tl2br w:val="nil"/>
                    <w:tr2bl w:val="nil"/>
                  </w:tcBorders>
                  <w:noWrap/>
                  <w:vAlign w:val="center"/>
                </w:tcPr>
                <w:p w14:paraId="5D4FEE09">
                  <w:pPr>
                    <w:jc w:val="center"/>
                    <w:rPr>
                      <w:rFonts w:hint="default" w:eastAsia="宋体"/>
                      <w:color w:val="auto"/>
                      <w:sz w:val="21"/>
                      <w:szCs w:val="21"/>
                      <w:lang w:val="en-US" w:eastAsia="zh-CN"/>
                    </w:rPr>
                  </w:pPr>
                  <w:r>
                    <w:rPr>
                      <w:rFonts w:hint="eastAsia"/>
                      <w:color w:val="auto"/>
                      <w:sz w:val="21"/>
                      <w:szCs w:val="21"/>
                      <w:lang w:val="en-US" w:eastAsia="zh-CN"/>
                    </w:rPr>
                    <w:t>200万粒/a</w:t>
                  </w:r>
                </w:p>
              </w:tc>
              <w:tc>
                <w:tcPr>
                  <w:tcW w:w="833" w:type="pct"/>
                  <w:tcBorders>
                    <w:tl2br w:val="nil"/>
                    <w:tr2bl w:val="nil"/>
                  </w:tcBorders>
                  <w:noWrap/>
                  <w:vAlign w:val="center"/>
                </w:tcPr>
                <w:p w14:paraId="0AE546CB">
                  <w:pPr>
                    <w:jc w:val="center"/>
                    <w:rPr>
                      <w:color w:val="auto"/>
                      <w:sz w:val="21"/>
                      <w:szCs w:val="21"/>
                    </w:rPr>
                  </w:pPr>
                  <w:r>
                    <w:rPr>
                      <w:rFonts w:hint="eastAsia"/>
                      <w:color w:val="auto"/>
                      <w:sz w:val="21"/>
                      <w:szCs w:val="21"/>
                      <w:lang w:val="en-US" w:eastAsia="zh-CN"/>
                    </w:rPr>
                    <w:t>200万粒/a</w:t>
                  </w:r>
                </w:p>
              </w:tc>
              <w:tc>
                <w:tcPr>
                  <w:tcW w:w="939" w:type="pct"/>
                  <w:tcBorders>
                    <w:tl2br w:val="nil"/>
                    <w:tr2bl w:val="nil"/>
                  </w:tcBorders>
                  <w:noWrap/>
                  <w:vAlign w:val="center"/>
                </w:tcPr>
                <w:p w14:paraId="0415D1A5">
                  <w:pPr>
                    <w:jc w:val="center"/>
                    <w:rPr>
                      <w:color w:val="auto"/>
                      <w:sz w:val="21"/>
                      <w:szCs w:val="21"/>
                    </w:rPr>
                  </w:pPr>
                  <w:r>
                    <w:rPr>
                      <w:rFonts w:hint="eastAsia"/>
                      <w:color w:val="auto"/>
                      <w:sz w:val="21"/>
                      <w:szCs w:val="21"/>
                      <w:lang w:val="en-US" w:eastAsia="zh-CN"/>
                    </w:rPr>
                    <w:t>200万粒/a</w:t>
                  </w:r>
                </w:p>
              </w:tc>
              <w:tc>
                <w:tcPr>
                  <w:tcW w:w="692" w:type="pct"/>
                  <w:tcBorders>
                    <w:tl2br w:val="nil"/>
                    <w:tr2bl w:val="nil"/>
                  </w:tcBorders>
                  <w:noWrap/>
                  <w:vAlign w:val="center"/>
                </w:tcPr>
                <w:p w14:paraId="2D1436AE">
                  <w:pPr>
                    <w:jc w:val="center"/>
                    <w:rPr>
                      <w:rFonts w:hint="eastAsia"/>
                      <w:color w:val="auto"/>
                      <w:sz w:val="21"/>
                      <w:szCs w:val="21"/>
                      <w:lang w:val="en-US" w:eastAsia="zh-CN"/>
                    </w:rPr>
                  </w:pPr>
                  <w:r>
                    <w:rPr>
                      <w:rFonts w:hint="eastAsia"/>
                      <w:color w:val="auto"/>
                      <w:sz w:val="21"/>
                      <w:szCs w:val="21"/>
                      <w:highlight w:val="none"/>
                      <w:lang w:val="en-US" w:eastAsia="zh-CN"/>
                    </w:rPr>
                    <w:t>不变</w:t>
                  </w:r>
                </w:p>
              </w:tc>
            </w:tr>
          </w:tbl>
          <w:p w14:paraId="72B2062A">
            <w:pPr>
              <w:pStyle w:val="69"/>
              <w:spacing w:after="0"/>
              <w:ind w:left="0" w:leftChars="0" w:firstLine="480"/>
              <w:rPr>
                <w:color w:val="auto"/>
                <w:szCs w:val="24"/>
                <w:lang w:val="en-US" w:eastAsia="zh-CN"/>
              </w:rPr>
            </w:pPr>
            <w:r>
              <w:rPr>
                <w:rFonts w:hint="eastAsia" w:ascii="宋体" w:hAnsi="宋体" w:cs="宋体"/>
                <w:color w:val="auto"/>
                <w:szCs w:val="24"/>
                <w:lang w:val="en-US" w:eastAsia="zh-CN"/>
              </w:rPr>
              <w:t>③</w:t>
            </w:r>
            <w:r>
              <w:rPr>
                <w:rFonts w:hint="eastAsia"/>
                <w:color w:val="auto"/>
                <w:szCs w:val="24"/>
                <w:lang w:val="en-US" w:eastAsia="zh-CN"/>
              </w:rPr>
              <w:t>生产设备</w:t>
            </w:r>
          </w:p>
          <w:p w14:paraId="1234A48F">
            <w:pPr>
              <w:spacing w:line="360" w:lineRule="auto"/>
              <w:ind w:firstLine="480" w:firstLineChars="200"/>
              <w:rPr>
                <w:rFonts w:eastAsia="宋体"/>
                <w:color w:val="auto"/>
                <w:sz w:val="24"/>
              </w:rPr>
            </w:pPr>
            <w:r>
              <w:rPr>
                <w:rFonts w:hAnsi="宋体" w:eastAsia="宋体"/>
                <w:color w:val="auto"/>
                <w:sz w:val="24"/>
              </w:rPr>
              <w:t>现有项目主要生产设备见表</w:t>
            </w:r>
            <w:r>
              <w:rPr>
                <w:rFonts w:eastAsia="宋体"/>
                <w:color w:val="auto"/>
                <w:sz w:val="24"/>
              </w:rPr>
              <w:t>2-</w:t>
            </w:r>
            <w:r>
              <w:rPr>
                <w:rFonts w:hint="eastAsia" w:eastAsia="宋体"/>
                <w:color w:val="auto"/>
                <w:sz w:val="24"/>
              </w:rPr>
              <w:t>1</w:t>
            </w:r>
            <w:r>
              <w:rPr>
                <w:rFonts w:hint="eastAsia"/>
                <w:color w:val="auto"/>
                <w:sz w:val="24"/>
                <w:lang w:val="en-US" w:eastAsia="zh-CN"/>
              </w:rPr>
              <w:t>5</w:t>
            </w:r>
            <w:r>
              <w:rPr>
                <w:rFonts w:hAnsi="宋体" w:eastAsia="宋体"/>
                <w:color w:val="auto"/>
                <w:sz w:val="24"/>
              </w:rPr>
              <w:t>。</w:t>
            </w:r>
          </w:p>
          <w:p w14:paraId="43635B3C">
            <w:pPr>
              <w:pStyle w:val="165"/>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 xml:space="preserve">15 </w:t>
            </w:r>
            <w:r>
              <w:rPr>
                <w:rFonts w:hint="default" w:ascii="Times New Roman" w:hAnsi="Times New Roman" w:cs="Times New Roman"/>
                <w:color w:val="auto"/>
                <w:lang w:val="en-US" w:eastAsia="zh-CN"/>
              </w:rPr>
              <w:t>现有项目主要设备数量一览表</w:t>
            </w:r>
          </w:p>
          <w:tbl>
            <w:tblPr>
              <w:tblStyle w:val="35"/>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65"/>
              <w:gridCol w:w="1844"/>
              <w:gridCol w:w="834"/>
              <w:gridCol w:w="1244"/>
              <w:gridCol w:w="1128"/>
              <w:gridCol w:w="1316"/>
              <w:gridCol w:w="1316"/>
            </w:tblGrid>
            <w:tr w14:paraId="5E1A06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tcBorders>
                    <w:tl2br w:val="nil"/>
                    <w:tr2bl w:val="nil"/>
                  </w:tcBorders>
                  <w:noWrap w:val="0"/>
                  <w:vAlign w:val="center"/>
                </w:tcPr>
                <w:p w14:paraId="23656690">
                  <w:pPr>
                    <w:widowControl/>
                    <w:jc w:val="center"/>
                    <w:textAlignment w:val="center"/>
                    <w:rPr>
                      <w:color w:val="auto"/>
                      <w:sz w:val="21"/>
                      <w:szCs w:val="21"/>
                    </w:rPr>
                  </w:pPr>
                  <w:r>
                    <w:rPr>
                      <w:rFonts w:hint="eastAsia"/>
                      <w:color w:val="auto"/>
                      <w:kern w:val="0"/>
                      <w:sz w:val="21"/>
                      <w:szCs w:val="21"/>
                      <w:lang w:bidi="ar"/>
                    </w:rPr>
                    <w:t>楼层</w:t>
                  </w:r>
                </w:p>
              </w:tc>
              <w:tc>
                <w:tcPr>
                  <w:tcW w:w="1066" w:type="pct"/>
                  <w:tcBorders>
                    <w:tl2br w:val="nil"/>
                    <w:tr2bl w:val="nil"/>
                  </w:tcBorders>
                  <w:noWrap w:val="0"/>
                  <w:vAlign w:val="center"/>
                </w:tcPr>
                <w:p w14:paraId="1A0E2B83">
                  <w:pPr>
                    <w:widowControl/>
                    <w:jc w:val="center"/>
                    <w:textAlignment w:val="center"/>
                    <w:rPr>
                      <w:color w:val="auto"/>
                      <w:sz w:val="21"/>
                      <w:szCs w:val="21"/>
                    </w:rPr>
                  </w:pPr>
                  <w:r>
                    <w:rPr>
                      <w:color w:val="auto"/>
                      <w:kern w:val="0"/>
                      <w:sz w:val="21"/>
                      <w:szCs w:val="21"/>
                      <w:lang w:bidi="ar"/>
                    </w:rPr>
                    <w:t>设备名称</w:t>
                  </w:r>
                </w:p>
              </w:tc>
              <w:tc>
                <w:tcPr>
                  <w:tcW w:w="482" w:type="pct"/>
                  <w:tcBorders>
                    <w:tl2br w:val="nil"/>
                    <w:tr2bl w:val="nil"/>
                  </w:tcBorders>
                  <w:noWrap w:val="0"/>
                  <w:vAlign w:val="center"/>
                </w:tcPr>
                <w:p w14:paraId="3B77C8CC">
                  <w:pPr>
                    <w:widowControl/>
                    <w:jc w:val="center"/>
                    <w:textAlignment w:val="center"/>
                    <w:rPr>
                      <w:color w:val="auto"/>
                      <w:sz w:val="21"/>
                      <w:szCs w:val="21"/>
                    </w:rPr>
                  </w:pPr>
                  <w:r>
                    <w:rPr>
                      <w:color w:val="auto"/>
                      <w:kern w:val="0"/>
                      <w:sz w:val="21"/>
                      <w:szCs w:val="21"/>
                      <w:lang w:bidi="ar"/>
                    </w:rPr>
                    <w:t>单位</w:t>
                  </w:r>
                </w:p>
              </w:tc>
              <w:tc>
                <w:tcPr>
                  <w:tcW w:w="719" w:type="pct"/>
                  <w:tcBorders>
                    <w:tl2br w:val="nil"/>
                    <w:tr2bl w:val="nil"/>
                  </w:tcBorders>
                  <w:noWrap w:val="0"/>
                  <w:vAlign w:val="center"/>
                </w:tcPr>
                <w:p w14:paraId="0BF7E7BE">
                  <w:pPr>
                    <w:jc w:val="center"/>
                    <w:rPr>
                      <w:color w:val="auto"/>
                      <w:sz w:val="21"/>
                      <w:szCs w:val="21"/>
                    </w:rPr>
                  </w:pPr>
                  <w:r>
                    <w:rPr>
                      <w:rFonts w:eastAsia="宋体"/>
                      <w:bCs/>
                      <w:color w:val="auto"/>
                      <w:kern w:val="0"/>
                      <w:sz w:val="21"/>
                      <w:szCs w:val="21"/>
                    </w:rPr>
                    <w:t>环评</w:t>
                  </w:r>
                  <w:r>
                    <w:rPr>
                      <w:rFonts w:eastAsia="宋体"/>
                      <w:color w:val="auto"/>
                      <w:kern w:val="0"/>
                      <w:sz w:val="21"/>
                      <w:szCs w:val="21"/>
                    </w:rPr>
                    <w:t>数量</w:t>
                  </w:r>
                </w:p>
              </w:tc>
              <w:tc>
                <w:tcPr>
                  <w:tcW w:w="652" w:type="pct"/>
                  <w:tcBorders>
                    <w:tl2br w:val="nil"/>
                    <w:tr2bl w:val="nil"/>
                  </w:tcBorders>
                  <w:noWrap w:val="0"/>
                  <w:vAlign w:val="center"/>
                </w:tcPr>
                <w:p w14:paraId="7DBB7B1B">
                  <w:pPr>
                    <w:jc w:val="center"/>
                    <w:rPr>
                      <w:color w:val="auto"/>
                      <w:sz w:val="21"/>
                      <w:szCs w:val="21"/>
                    </w:rPr>
                  </w:pPr>
                  <w:r>
                    <w:rPr>
                      <w:rFonts w:eastAsia="宋体"/>
                      <w:bCs/>
                      <w:color w:val="auto"/>
                      <w:kern w:val="0"/>
                      <w:sz w:val="21"/>
                      <w:szCs w:val="21"/>
                    </w:rPr>
                    <w:t>验收</w:t>
                  </w:r>
                  <w:r>
                    <w:rPr>
                      <w:rFonts w:eastAsia="宋体"/>
                      <w:color w:val="auto"/>
                      <w:kern w:val="0"/>
                      <w:sz w:val="21"/>
                      <w:szCs w:val="21"/>
                    </w:rPr>
                    <w:t>数</w:t>
                  </w:r>
                  <w:r>
                    <w:rPr>
                      <w:rFonts w:eastAsia="宋体"/>
                      <w:bCs/>
                      <w:color w:val="auto"/>
                      <w:kern w:val="0"/>
                      <w:sz w:val="21"/>
                      <w:szCs w:val="21"/>
                    </w:rPr>
                    <w:t>量</w:t>
                  </w:r>
                </w:p>
              </w:tc>
              <w:tc>
                <w:tcPr>
                  <w:tcW w:w="760" w:type="pct"/>
                  <w:tcBorders>
                    <w:tl2br w:val="nil"/>
                    <w:tr2bl w:val="nil"/>
                  </w:tcBorders>
                  <w:noWrap w:val="0"/>
                  <w:vAlign w:val="center"/>
                </w:tcPr>
                <w:p w14:paraId="14C3253F">
                  <w:pPr>
                    <w:jc w:val="center"/>
                    <w:rPr>
                      <w:color w:val="auto"/>
                      <w:kern w:val="0"/>
                      <w:sz w:val="21"/>
                      <w:szCs w:val="21"/>
                      <w:lang w:bidi="ar"/>
                    </w:rPr>
                  </w:pPr>
                  <w:r>
                    <w:rPr>
                      <w:rFonts w:eastAsia="宋体"/>
                      <w:bCs/>
                      <w:color w:val="auto"/>
                      <w:kern w:val="0"/>
                      <w:sz w:val="21"/>
                      <w:szCs w:val="21"/>
                    </w:rPr>
                    <w:t>现阶段</w:t>
                  </w:r>
                  <w:r>
                    <w:rPr>
                      <w:rFonts w:eastAsia="宋体"/>
                      <w:color w:val="auto"/>
                      <w:kern w:val="0"/>
                      <w:sz w:val="21"/>
                      <w:szCs w:val="21"/>
                    </w:rPr>
                    <w:t>数量</w:t>
                  </w:r>
                </w:p>
              </w:tc>
              <w:tc>
                <w:tcPr>
                  <w:tcW w:w="760" w:type="pct"/>
                  <w:tcBorders>
                    <w:tl2br w:val="nil"/>
                    <w:tr2bl w:val="nil"/>
                  </w:tcBorders>
                  <w:noWrap w:val="0"/>
                  <w:vAlign w:val="center"/>
                </w:tcPr>
                <w:p w14:paraId="3AB83984">
                  <w:pPr>
                    <w:jc w:val="center"/>
                    <w:rPr>
                      <w:rFonts w:hint="default" w:eastAsia="宋体"/>
                      <w:bCs/>
                      <w:color w:val="auto"/>
                      <w:kern w:val="0"/>
                      <w:sz w:val="21"/>
                      <w:szCs w:val="21"/>
                      <w:lang w:val="en-US" w:eastAsia="zh-CN"/>
                    </w:rPr>
                  </w:pPr>
                  <w:r>
                    <w:rPr>
                      <w:rFonts w:hint="eastAsia"/>
                      <w:bCs/>
                      <w:color w:val="auto"/>
                      <w:kern w:val="0"/>
                      <w:sz w:val="21"/>
                      <w:szCs w:val="21"/>
                      <w:lang w:val="en-US" w:eastAsia="zh-CN"/>
                    </w:rPr>
                    <w:t>变化情况</w:t>
                  </w:r>
                </w:p>
              </w:tc>
            </w:tr>
            <w:tr w14:paraId="620A60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restart"/>
                  <w:tcBorders>
                    <w:tl2br w:val="nil"/>
                    <w:tr2bl w:val="nil"/>
                  </w:tcBorders>
                  <w:noWrap w:val="0"/>
                  <w:vAlign w:val="center"/>
                </w:tcPr>
                <w:p w14:paraId="49F1A4E4">
                  <w:pPr>
                    <w:widowControl/>
                    <w:jc w:val="center"/>
                    <w:textAlignment w:val="center"/>
                    <w:rPr>
                      <w:rFonts w:hint="eastAsia" w:eastAsia="宋体"/>
                      <w:color w:val="auto"/>
                      <w:kern w:val="0"/>
                      <w:sz w:val="21"/>
                      <w:szCs w:val="21"/>
                      <w:lang w:val="en-US" w:eastAsia="zh-CN" w:bidi="ar"/>
                    </w:rPr>
                  </w:pPr>
                  <w:r>
                    <w:rPr>
                      <w:rFonts w:hint="eastAsia"/>
                      <w:color w:val="auto"/>
                      <w:kern w:val="0"/>
                      <w:sz w:val="21"/>
                      <w:szCs w:val="21"/>
                      <w:lang w:bidi="ar"/>
                    </w:rPr>
                    <w:t>厂房五一层（特种玻璃生产）</w:t>
                  </w:r>
                </w:p>
              </w:tc>
              <w:tc>
                <w:tcPr>
                  <w:tcW w:w="1066" w:type="pct"/>
                  <w:tcBorders>
                    <w:tl2br w:val="nil"/>
                    <w:tr2bl w:val="nil"/>
                  </w:tcBorders>
                  <w:noWrap w:val="0"/>
                  <w:vAlign w:val="center"/>
                </w:tcPr>
                <w:p w14:paraId="220404B6">
                  <w:pPr>
                    <w:jc w:val="center"/>
                    <w:rPr>
                      <w:color w:val="auto"/>
                      <w:sz w:val="21"/>
                      <w:szCs w:val="21"/>
                    </w:rPr>
                  </w:pPr>
                  <w:r>
                    <w:rPr>
                      <w:rFonts w:hint="eastAsia" w:ascii="Calibri" w:hAnsi="Calibri" w:eastAsia="宋体" w:cs="Times New Roman"/>
                      <w:color w:val="auto"/>
                      <w:szCs w:val="21"/>
                    </w:rPr>
                    <w:t>中号单室炉</w:t>
                  </w:r>
                </w:p>
              </w:tc>
              <w:tc>
                <w:tcPr>
                  <w:tcW w:w="482" w:type="pct"/>
                  <w:tcBorders>
                    <w:tl2br w:val="nil"/>
                    <w:tr2bl w:val="nil"/>
                  </w:tcBorders>
                  <w:noWrap w:val="0"/>
                  <w:vAlign w:val="center"/>
                </w:tcPr>
                <w:p w14:paraId="1307AD52">
                  <w:pPr>
                    <w:widowControl/>
                    <w:jc w:val="center"/>
                    <w:textAlignment w:val="center"/>
                    <w:rPr>
                      <w:rFonts w:hint="eastAsia" w:eastAsia="宋体"/>
                      <w:color w:val="auto"/>
                      <w:sz w:val="21"/>
                      <w:szCs w:val="21"/>
                      <w:lang w:eastAsia="zh-CN"/>
                    </w:rPr>
                  </w:pPr>
                  <w:r>
                    <w:rPr>
                      <w:rFonts w:hint="eastAsia"/>
                      <w:color w:val="auto"/>
                      <w:kern w:val="0"/>
                      <w:sz w:val="21"/>
                      <w:szCs w:val="21"/>
                      <w:lang w:eastAsia="zh-CN" w:bidi="ar"/>
                    </w:rPr>
                    <w:t>台</w:t>
                  </w:r>
                </w:p>
              </w:tc>
              <w:tc>
                <w:tcPr>
                  <w:tcW w:w="719" w:type="pct"/>
                  <w:tcBorders>
                    <w:tl2br w:val="nil"/>
                    <w:tr2bl w:val="nil"/>
                  </w:tcBorders>
                  <w:noWrap w:val="0"/>
                  <w:vAlign w:val="center"/>
                </w:tcPr>
                <w:p w14:paraId="45ED1966">
                  <w:pPr>
                    <w:spacing w:line="240" w:lineRule="auto"/>
                    <w:jc w:val="center"/>
                    <w:textAlignment w:val="center"/>
                    <w:rPr>
                      <w:rFonts w:hint="eastAsia" w:eastAsia="宋体"/>
                      <w:color w:val="auto"/>
                      <w:sz w:val="21"/>
                      <w:szCs w:val="21"/>
                      <w:lang w:eastAsia="zh-CN"/>
                    </w:rPr>
                  </w:pPr>
                  <w:r>
                    <w:rPr>
                      <w:rFonts w:hint="eastAsia"/>
                      <w:bCs/>
                      <w:color w:val="auto"/>
                      <w:sz w:val="21"/>
                      <w:szCs w:val="21"/>
                      <w:lang w:val="en-US" w:eastAsia="zh-CN"/>
                    </w:rPr>
                    <w:t>1</w:t>
                  </w:r>
                </w:p>
              </w:tc>
              <w:tc>
                <w:tcPr>
                  <w:tcW w:w="652" w:type="pct"/>
                  <w:tcBorders>
                    <w:tl2br w:val="nil"/>
                    <w:tr2bl w:val="nil"/>
                  </w:tcBorders>
                  <w:noWrap w:val="0"/>
                  <w:vAlign w:val="center"/>
                </w:tcPr>
                <w:p w14:paraId="6BFA262B">
                  <w:pPr>
                    <w:spacing w:line="240" w:lineRule="auto"/>
                    <w:jc w:val="center"/>
                    <w:textAlignment w:val="center"/>
                    <w:rPr>
                      <w:rFonts w:hint="eastAsia" w:eastAsia="宋体"/>
                      <w:color w:val="auto"/>
                      <w:sz w:val="21"/>
                      <w:szCs w:val="21"/>
                      <w:lang w:eastAsia="zh-CN"/>
                    </w:rPr>
                  </w:pPr>
                  <w:r>
                    <w:rPr>
                      <w:rFonts w:hint="eastAsia"/>
                      <w:bCs/>
                      <w:color w:val="auto"/>
                      <w:sz w:val="21"/>
                      <w:szCs w:val="21"/>
                      <w:lang w:val="en-US" w:eastAsia="zh-CN"/>
                    </w:rPr>
                    <w:t>1</w:t>
                  </w:r>
                </w:p>
              </w:tc>
              <w:tc>
                <w:tcPr>
                  <w:tcW w:w="760" w:type="pct"/>
                  <w:tcBorders>
                    <w:tl2br w:val="nil"/>
                    <w:tr2bl w:val="nil"/>
                  </w:tcBorders>
                  <w:noWrap w:val="0"/>
                  <w:vAlign w:val="center"/>
                </w:tcPr>
                <w:p w14:paraId="779A0147">
                  <w:pPr>
                    <w:spacing w:line="240" w:lineRule="auto"/>
                    <w:jc w:val="center"/>
                    <w:textAlignment w:val="center"/>
                    <w:rPr>
                      <w:color w:val="auto"/>
                      <w:sz w:val="21"/>
                      <w:szCs w:val="21"/>
                    </w:rPr>
                  </w:pPr>
                  <w:r>
                    <w:rPr>
                      <w:rFonts w:hint="eastAsia"/>
                      <w:bCs/>
                      <w:color w:val="auto"/>
                      <w:sz w:val="21"/>
                      <w:szCs w:val="21"/>
                      <w:lang w:val="en-US" w:eastAsia="zh-CN"/>
                    </w:rPr>
                    <w:t>1</w:t>
                  </w:r>
                </w:p>
              </w:tc>
              <w:tc>
                <w:tcPr>
                  <w:tcW w:w="760" w:type="pct"/>
                  <w:tcBorders>
                    <w:tl2br w:val="nil"/>
                    <w:tr2bl w:val="nil"/>
                  </w:tcBorders>
                  <w:noWrap w:val="0"/>
                  <w:vAlign w:val="center"/>
                </w:tcPr>
                <w:p w14:paraId="62F9563B">
                  <w:pPr>
                    <w:spacing w:line="240" w:lineRule="auto"/>
                    <w:jc w:val="center"/>
                    <w:textAlignment w:val="center"/>
                    <w:rPr>
                      <w:rFonts w:hint="eastAsia"/>
                      <w:bCs/>
                      <w:color w:val="auto"/>
                      <w:sz w:val="21"/>
                      <w:szCs w:val="21"/>
                      <w:lang w:val="en-US" w:eastAsia="zh-CN"/>
                    </w:rPr>
                  </w:pPr>
                  <w:r>
                    <w:rPr>
                      <w:rFonts w:hint="eastAsia"/>
                      <w:color w:val="auto"/>
                      <w:sz w:val="21"/>
                      <w:szCs w:val="21"/>
                      <w:highlight w:val="none"/>
                      <w:lang w:val="en-US" w:eastAsia="zh-CN"/>
                    </w:rPr>
                    <w:t>不变</w:t>
                  </w:r>
                </w:p>
              </w:tc>
            </w:tr>
            <w:tr w14:paraId="4D7B80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4095F31C">
                  <w:pPr>
                    <w:widowControl/>
                    <w:jc w:val="center"/>
                    <w:textAlignment w:val="center"/>
                    <w:rPr>
                      <w:color w:val="auto"/>
                      <w:sz w:val="21"/>
                      <w:szCs w:val="21"/>
                    </w:rPr>
                  </w:pPr>
                </w:p>
              </w:tc>
              <w:tc>
                <w:tcPr>
                  <w:tcW w:w="1066" w:type="pct"/>
                  <w:tcBorders>
                    <w:tl2br w:val="nil"/>
                    <w:tr2bl w:val="nil"/>
                  </w:tcBorders>
                  <w:noWrap w:val="0"/>
                  <w:vAlign w:val="center"/>
                </w:tcPr>
                <w:p w14:paraId="3D4A2261">
                  <w:pPr>
                    <w:jc w:val="center"/>
                    <w:rPr>
                      <w:color w:val="auto"/>
                      <w:sz w:val="21"/>
                      <w:szCs w:val="21"/>
                    </w:rPr>
                  </w:pPr>
                  <w:r>
                    <w:rPr>
                      <w:rFonts w:hint="eastAsia" w:ascii="Calibri" w:hAnsi="Calibri" w:eastAsia="宋体" w:cs="Times New Roman"/>
                      <w:color w:val="auto"/>
                      <w:szCs w:val="21"/>
                    </w:rPr>
                    <w:t>平洗机</w:t>
                  </w:r>
                </w:p>
              </w:tc>
              <w:tc>
                <w:tcPr>
                  <w:tcW w:w="482" w:type="pct"/>
                  <w:tcBorders>
                    <w:tl2br w:val="nil"/>
                    <w:tr2bl w:val="nil"/>
                  </w:tcBorders>
                  <w:noWrap w:val="0"/>
                  <w:vAlign w:val="center"/>
                </w:tcPr>
                <w:p w14:paraId="1B30B02F">
                  <w:pPr>
                    <w:widowControl/>
                    <w:jc w:val="center"/>
                    <w:textAlignment w:val="center"/>
                    <w:rPr>
                      <w:color w:val="auto"/>
                      <w:sz w:val="21"/>
                      <w:szCs w:val="21"/>
                    </w:rPr>
                  </w:pPr>
                  <w:r>
                    <w:rPr>
                      <w:rFonts w:hint="eastAsia"/>
                      <w:color w:val="auto"/>
                      <w:kern w:val="0"/>
                      <w:sz w:val="21"/>
                      <w:szCs w:val="21"/>
                      <w:lang w:eastAsia="zh-CN" w:bidi="ar"/>
                    </w:rPr>
                    <w:t>台</w:t>
                  </w:r>
                </w:p>
              </w:tc>
              <w:tc>
                <w:tcPr>
                  <w:tcW w:w="719" w:type="pct"/>
                  <w:tcBorders>
                    <w:tl2br w:val="nil"/>
                    <w:tr2bl w:val="nil"/>
                  </w:tcBorders>
                  <w:noWrap w:val="0"/>
                  <w:vAlign w:val="center"/>
                </w:tcPr>
                <w:p w14:paraId="36ACE47E">
                  <w:pPr>
                    <w:spacing w:line="240" w:lineRule="auto"/>
                    <w:jc w:val="center"/>
                    <w:textAlignment w:val="center"/>
                    <w:rPr>
                      <w:rFonts w:hint="eastAsia" w:eastAsia="宋体"/>
                      <w:color w:val="auto"/>
                      <w:sz w:val="21"/>
                      <w:szCs w:val="21"/>
                      <w:lang w:eastAsia="zh-CN"/>
                    </w:rPr>
                  </w:pPr>
                  <w:r>
                    <w:rPr>
                      <w:rFonts w:hint="eastAsia"/>
                      <w:bCs/>
                      <w:color w:val="auto"/>
                      <w:sz w:val="21"/>
                      <w:szCs w:val="21"/>
                      <w:lang w:val="en-US" w:eastAsia="zh-CN"/>
                    </w:rPr>
                    <w:t>1</w:t>
                  </w:r>
                </w:p>
              </w:tc>
              <w:tc>
                <w:tcPr>
                  <w:tcW w:w="652" w:type="pct"/>
                  <w:tcBorders>
                    <w:tl2br w:val="nil"/>
                    <w:tr2bl w:val="nil"/>
                  </w:tcBorders>
                  <w:noWrap w:val="0"/>
                  <w:vAlign w:val="center"/>
                </w:tcPr>
                <w:p w14:paraId="19BF89D7">
                  <w:pPr>
                    <w:spacing w:line="240" w:lineRule="auto"/>
                    <w:jc w:val="center"/>
                    <w:textAlignment w:val="center"/>
                    <w:rPr>
                      <w:rFonts w:hint="eastAsia" w:eastAsia="宋体"/>
                      <w:color w:val="auto"/>
                      <w:sz w:val="21"/>
                      <w:szCs w:val="21"/>
                      <w:lang w:eastAsia="zh-CN"/>
                    </w:rPr>
                  </w:pPr>
                  <w:r>
                    <w:rPr>
                      <w:rFonts w:hint="eastAsia"/>
                      <w:bCs/>
                      <w:color w:val="auto"/>
                      <w:sz w:val="21"/>
                      <w:szCs w:val="21"/>
                      <w:lang w:val="en-US" w:eastAsia="zh-CN"/>
                    </w:rPr>
                    <w:t>1</w:t>
                  </w:r>
                </w:p>
              </w:tc>
              <w:tc>
                <w:tcPr>
                  <w:tcW w:w="760" w:type="pct"/>
                  <w:tcBorders>
                    <w:tl2br w:val="nil"/>
                    <w:tr2bl w:val="nil"/>
                  </w:tcBorders>
                  <w:noWrap w:val="0"/>
                  <w:vAlign w:val="center"/>
                </w:tcPr>
                <w:p w14:paraId="709E9457">
                  <w:pPr>
                    <w:spacing w:line="240" w:lineRule="auto"/>
                    <w:jc w:val="center"/>
                    <w:textAlignment w:val="center"/>
                    <w:rPr>
                      <w:color w:val="auto"/>
                      <w:sz w:val="21"/>
                      <w:szCs w:val="21"/>
                    </w:rPr>
                  </w:pPr>
                  <w:r>
                    <w:rPr>
                      <w:rFonts w:hint="eastAsia"/>
                      <w:bCs/>
                      <w:color w:val="auto"/>
                      <w:sz w:val="21"/>
                      <w:szCs w:val="21"/>
                      <w:lang w:val="en-US" w:eastAsia="zh-CN"/>
                    </w:rPr>
                    <w:t>1</w:t>
                  </w:r>
                </w:p>
              </w:tc>
              <w:tc>
                <w:tcPr>
                  <w:tcW w:w="760" w:type="pct"/>
                  <w:tcBorders>
                    <w:tl2br w:val="nil"/>
                    <w:tr2bl w:val="nil"/>
                  </w:tcBorders>
                  <w:noWrap w:val="0"/>
                  <w:vAlign w:val="center"/>
                </w:tcPr>
                <w:p w14:paraId="6496AB35">
                  <w:pPr>
                    <w:spacing w:line="240" w:lineRule="auto"/>
                    <w:jc w:val="center"/>
                    <w:textAlignment w:val="center"/>
                    <w:rPr>
                      <w:rFonts w:hint="eastAsia"/>
                      <w:bCs/>
                      <w:color w:val="auto"/>
                      <w:sz w:val="21"/>
                      <w:szCs w:val="21"/>
                      <w:lang w:val="en-US" w:eastAsia="zh-CN"/>
                    </w:rPr>
                  </w:pPr>
                  <w:r>
                    <w:rPr>
                      <w:rFonts w:hint="eastAsia"/>
                      <w:color w:val="auto"/>
                      <w:sz w:val="21"/>
                      <w:szCs w:val="21"/>
                      <w:highlight w:val="none"/>
                      <w:lang w:val="en-US" w:eastAsia="zh-CN"/>
                    </w:rPr>
                    <w:t>不变</w:t>
                  </w:r>
                </w:p>
              </w:tc>
            </w:tr>
            <w:tr w14:paraId="3B18A0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3E35411C">
                  <w:pPr>
                    <w:widowControl/>
                    <w:jc w:val="center"/>
                    <w:textAlignment w:val="center"/>
                    <w:rPr>
                      <w:rFonts w:hint="eastAsia" w:eastAsia="宋体"/>
                      <w:color w:val="auto"/>
                      <w:kern w:val="0"/>
                      <w:sz w:val="21"/>
                      <w:szCs w:val="21"/>
                      <w:lang w:val="en-US" w:eastAsia="zh-CN" w:bidi="ar"/>
                    </w:rPr>
                  </w:pPr>
                </w:p>
              </w:tc>
              <w:tc>
                <w:tcPr>
                  <w:tcW w:w="1066" w:type="pct"/>
                  <w:tcBorders>
                    <w:tl2br w:val="nil"/>
                    <w:tr2bl w:val="nil"/>
                  </w:tcBorders>
                  <w:noWrap w:val="0"/>
                  <w:vAlign w:val="center"/>
                </w:tcPr>
                <w:p w14:paraId="76BA54E5">
                  <w:pPr>
                    <w:jc w:val="center"/>
                    <w:rPr>
                      <w:color w:val="auto"/>
                      <w:kern w:val="0"/>
                      <w:sz w:val="21"/>
                      <w:szCs w:val="21"/>
                      <w:lang w:bidi="ar"/>
                    </w:rPr>
                  </w:pPr>
                  <w:r>
                    <w:rPr>
                      <w:rFonts w:hint="eastAsia" w:ascii="Calibri" w:hAnsi="Calibri" w:eastAsia="宋体" w:cs="Times New Roman"/>
                      <w:color w:val="auto"/>
                      <w:szCs w:val="21"/>
                    </w:rPr>
                    <w:t>高压釜</w:t>
                  </w:r>
                </w:p>
              </w:tc>
              <w:tc>
                <w:tcPr>
                  <w:tcW w:w="482" w:type="pct"/>
                  <w:tcBorders>
                    <w:tl2br w:val="nil"/>
                    <w:tr2bl w:val="nil"/>
                  </w:tcBorders>
                  <w:noWrap w:val="0"/>
                  <w:vAlign w:val="center"/>
                </w:tcPr>
                <w:p w14:paraId="035EDE29">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719" w:type="pct"/>
                  <w:tcBorders>
                    <w:tl2br w:val="nil"/>
                    <w:tr2bl w:val="nil"/>
                  </w:tcBorders>
                  <w:noWrap w:val="0"/>
                  <w:vAlign w:val="center"/>
                </w:tcPr>
                <w:p w14:paraId="4477145C">
                  <w:pPr>
                    <w:spacing w:line="240" w:lineRule="auto"/>
                    <w:jc w:val="center"/>
                    <w:textAlignment w:val="center"/>
                    <w:rPr>
                      <w:rFonts w:hint="eastAsia" w:eastAsia="宋体"/>
                      <w:color w:val="auto"/>
                      <w:kern w:val="0"/>
                      <w:sz w:val="21"/>
                      <w:szCs w:val="21"/>
                      <w:lang w:eastAsia="zh-CN" w:bidi="ar"/>
                    </w:rPr>
                  </w:pPr>
                  <w:r>
                    <w:rPr>
                      <w:rFonts w:hint="eastAsia"/>
                      <w:bCs/>
                      <w:color w:val="auto"/>
                      <w:sz w:val="21"/>
                      <w:szCs w:val="21"/>
                      <w:lang w:val="en-US" w:eastAsia="zh-CN"/>
                    </w:rPr>
                    <w:t>1</w:t>
                  </w:r>
                </w:p>
              </w:tc>
              <w:tc>
                <w:tcPr>
                  <w:tcW w:w="652" w:type="pct"/>
                  <w:tcBorders>
                    <w:tl2br w:val="nil"/>
                    <w:tr2bl w:val="nil"/>
                  </w:tcBorders>
                  <w:noWrap w:val="0"/>
                  <w:vAlign w:val="center"/>
                </w:tcPr>
                <w:p w14:paraId="6D7761D6">
                  <w:pPr>
                    <w:spacing w:line="240" w:lineRule="auto"/>
                    <w:jc w:val="center"/>
                    <w:textAlignment w:val="center"/>
                    <w:rPr>
                      <w:rFonts w:hint="eastAsia" w:eastAsia="宋体"/>
                      <w:color w:val="auto"/>
                      <w:sz w:val="21"/>
                      <w:szCs w:val="21"/>
                      <w:lang w:val="en-US" w:eastAsia="zh-CN"/>
                    </w:rPr>
                  </w:pPr>
                  <w:r>
                    <w:rPr>
                      <w:rFonts w:hint="eastAsia"/>
                      <w:bCs/>
                      <w:color w:val="auto"/>
                      <w:sz w:val="21"/>
                      <w:szCs w:val="21"/>
                      <w:lang w:val="en-US" w:eastAsia="zh-CN"/>
                    </w:rPr>
                    <w:t>1</w:t>
                  </w:r>
                </w:p>
              </w:tc>
              <w:tc>
                <w:tcPr>
                  <w:tcW w:w="760" w:type="pct"/>
                  <w:tcBorders>
                    <w:tl2br w:val="nil"/>
                    <w:tr2bl w:val="nil"/>
                  </w:tcBorders>
                  <w:noWrap w:val="0"/>
                  <w:vAlign w:val="center"/>
                </w:tcPr>
                <w:p w14:paraId="5850C137">
                  <w:pPr>
                    <w:spacing w:line="240" w:lineRule="auto"/>
                    <w:jc w:val="center"/>
                    <w:textAlignment w:val="center"/>
                    <w:rPr>
                      <w:color w:val="auto"/>
                      <w:sz w:val="21"/>
                      <w:szCs w:val="21"/>
                    </w:rPr>
                  </w:pPr>
                  <w:r>
                    <w:rPr>
                      <w:rFonts w:hint="eastAsia"/>
                      <w:bCs/>
                      <w:color w:val="auto"/>
                      <w:sz w:val="21"/>
                      <w:szCs w:val="21"/>
                      <w:lang w:val="en-US" w:eastAsia="zh-CN"/>
                    </w:rPr>
                    <w:t>1</w:t>
                  </w:r>
                </w:p>
              </w:tc>
              <w:tc>
                <w:tcPr>
                  <w:tcW w:w="760" w:type="pct"/>
                  <w:tcBorders>
                    <w:tl2br w:val="nil"/>
                    <w:tr2bl w:val="nil"/>
                  </w:tcBorders>
                  <w:noWrap w:val="0"/>
                  <w:vAlign w:val="center"/>
                </w:tcPr>
                <w:p w14:paraId="2AFCCB53">
                  <w:pPr>
                    <w:spacing w:line="240" w:lineRule="auto"/>
                    <w:jc w:val="center"/>
                    <w:textAlignment w:val="center"/>
                    <w:rPr>
                      <w:rFonts w:hint="eastAsia"/>
                      <w:bCs/>
                      <w:color w:val="auto"/>
                      <w:sz w:val="21"/>
                      <w:szCs w:val="21"/>
                      <w:lang w:val="en-US" w:eastAsia="zh-CN"/>
                    </w:rPr>
                  </w:pPr>
                  <w:r>
                    <w:rPr>
                      <w:rFonts w:hint="eastAsia"/>
                      <w:color w:val="auto"/>
                      <w:sz w:val="21"/>
                      <w:szCs w:val="21"/>
                      <w:highlight w:val="none"/>
                      <w:lang w:val="en-US" w:eastAsia="zh-CN"/>
                    </w:rPr>
                    <w:t>不变</w:t>
                  </w:r>
                </w:p>
              </w:tc>
            </w:tr>
            <w:tr w14:paraId="125020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676C18CE">
                  <w:pPr>
                    <w:widowControl/>
                    <w:jc w:val="center"/>
                    <w:textAlignment w:val="center"/>
                    <w:rPr>
                      <w:rFonts w:hint="eastAsia" w:eastAsia="宋体"/>
                      <w:color w:val="auto"/>
                      <w:kern w:val="0"/>
                      <w:sz w:val="21"/>
                      <w:szCs w:val="21"/>
                      <w:lang w:val="en-US" w:eastAsia="zh-CN" w:bidi="ar"/>
                    </w:rPr>
                  </w:pPr>
                </w:p>
              </w:tc>
              <w:tc>
                <w:tcPr>
                  <w:tcW w:w="1066" w:type="pct"/>
                  <w:tcBorders>
                    <w:tl2br w:val="nil"/>
                    <w:tr2bl w:val="nil"/>
                  </w:tcBorders>
                  <w:noWrap w:val="0"/>
                  <w:vAlign w:val="center"/>
                </w:tcPr>
                <w:p w14:paraId="6BA3C939">
                  <w:pPr>
                    <w:jc w:val="center"/>
                    <w:rPr>
                      <w:color w:val="auto"/>
                      <w:kern w:val="0"/>
                      <w:sz w:val="21"/>
                      <w:szCs w:val="21"/>
                      <w:lang w:bidi="ar"/>
                    </w:rPr>
                  </w:pPr>
                  <w:r>
                    <w:rPr>
                      <w:rFonts w:hint="eastAsia" w:ascii="Calibri" w:hAnsi="Calibri" w:eastAsia="宋体" w:cs="Times New Roman"/>
                      <w:color w:val="auto"/>
                      <w:szCs w:val="21"/>
                    </w:rPr>
                    <w:t>空压机</w:t>
                  </w:r>
                </w:p>
              </w:tc>
              <w:tc>
                <w:tcPr>
                  <w:tcW w:w="482" w:type="pct"/>
                  <w:tcBorders>
                    <w:tl2br w:val="nil"/>
                    <w:tr2bl w:val="nil"/>
                  </w:tcBorders>
                  <w:noWrap w:val="0"/>
                  <w:vAlign w:val="center"/>
                </w:tcPr>
                <w:p w14:paraId="48E6E716">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719" w:type="pct"/>
                  <w:tcBorders>
                    <w:tl2br w:val="nil"/>
                    <w:tr2bl w:val="nil"/>
                  </w:tcBorders>
                  <w:noWrap w:val="0"/>
                  <w:vAlign w:val="center"/>
                </w:tcPr>
                <w:p w14:paraId="67BBF412">
                  <w:pPr>
                    <w:spacing w:line="240" w:lineRule="auto"/>
                    <w:jc w:val="center"/>
                    <w:textAlignment w:val="center"/>
                    <w:rPr>
                      <w:rFonts w:hint="eastAsia" w:eastAsia="宋体"/>
                      <w:color w:val="auto"/>
                      <w:kern w:val="0"/>
                      <w:sz w:val="21"/>
                      <w:szCs w:val="21"/>
                      <w:lang w:eastAsia="zh-CN" w:bidi="ar"/>
                    </w:rPr>
                  </w:pPr>
                  <w:r>
                    <w:rPr>
                      <w:rFonts w:hint="eastAsia"/>
                      <w:bCs/>
                      <w:color w:val="auto"/>
                      <w:sz w:val="21"/>
                      <w:szCs w:val="21"/>
                      <w:lang w:val="en-US" w:eastAsia="zh-CN"/>
                    </w:rPr>
                    <w:t>1</w:t>
                  </w:r>
                </w:p>
              </w:tc>
              <w:tc>
                <w:tcPr>
                  <w:tcW w:w="652" w:type="pct"/>
                  <w:tcBorders>
                    <w:tl2br w:val="nil"/>
                    <w:tr2bl w:val="nil"/>
                  </w:tcBorders>
                  <w:noWrap w:val="0"/>
                  <w:vAlign w:val="center"/>
                </w:tcPr>
                <w:p w14:paraId="568CFAF5">
                  <w:pPr>
                    <w:spacing w:line="240" w:lineRule="auto"/>
                    <w:jc w:val="center"/>
                    <w:textAlignment w:val="center"/>
                    <w:rPr>
                      <w:rFonts w:hint="eastAsia" w:eastAsia="宋体"/>
                      <w:color w:val="auto"/>
                      <w:sz w:val="21"/>
                      <w:szCs w:val="21"/>
                      <w:lang w:val="en-US" w:eastAsia="zh-CN"/>
                    </w:rPr>
                  </w:pPr>
                  <w:r>
                    <w:rPr>
                      <w:rFonts w:hint="eastAsia"/>
                      <w:bCs/>
                      <w:color w:val="auto"/>
                      <w:sz w:val="21"/>
                      <w:szCs w:val="21"/>
                      <w:lang w:val="en-US" w:eastAsia="zh-CN"/>
                    </w:rPr>
                    <w:t>1</w:t>
                  </w:r>
                </w:p>
              </w:tc>
              <w:tc>
                <w:tcPr>
                  <w:tcW w:w="760" w:type="pct"/>
                  <w:tcBorders>
                    <w:tl2br w:val="nil"/>
                    <w:tr2bl w:val="nil"/>
                  </w:tcBorders>
                  <w:noWrap w:val="0"/>
                  <w:vAlign w:val="center"/>
                </w:tcPr>
                <w:p w14:paraId="17D295E1">
                  <w:pPr>
                    <w:spacing w:line="240" w:lineRule="auto"/>
                    <w:jc w:val="center"/>
                    <w:textAlignment w:val="center"/>
                    <w:rPr>
                      <w:color w:val="auto"/>
                      <w:sz w:val="21"/>
                      <w:szCs w:val="21"/>
                    </w:rPr>
                  </w:pPr>
                  <w:r>
                    <w:rPr>
                      <w:rFonts w:hint="eastAsia"/>
                      <w:bCs/>
                      <w:color w:val="auto"/>
                      <w:sz w:val="21"/>
                      <w:szCs w:val="21"/>
                      <w:lang w:val="en-US" w:eastAsia="zh-CN"/>
                    </w:rPr>
                    <w:t>1</w:t>
                  </w:r>
                </w:p>
              </w:tc>
              <w:tc>
                <w:tcPr>
                  <w:tcW w:w="760" w:type="pct"/>
                  <w:tcBorders>
                    <w:tl2br w:val="nil"/>
                    <w:tr2bl w:val="nil"/>
                  </w:tcBorders>
                  <w:noWrap w:val="0"/>
                  <w:vAlign w:val="center"/>
                </w:tcPr>
                <w:p w14:paraId="0E5838B0">
                  <w:pPr>
                    <w:spacing w:line="240" w:lineRule="auto"/>
                    <w:jc w:val="center"/>
                    <w:textAlignment w:val="center"/>
                    <w:rPr>
                      <w:rFonts w:hint="eastAsia"/>
                      <w:bCs/>
                      <w:color w:val="auto"/>
                      <w:sz w:val="21"/>
                      <w:szCs w:val="21"/>
                      <w:lang w:val="en-US" w:eastAsia="zh-CN"/>
                    </w:rPr>
                  </w:pPr>
                  <w:r>
                    <w:rPr>
                      <w:rFonts w:hint="eastAsia"/>
                      <w:color w:val="auto"/>
                      <w:sz w:val="21"/>
                      <w:szCs w:val="21"/>
                      <w:highlight w:val="none"/>
                      <w:lang w:val="en-US" w:eastAsia="zh-CN"/>
                    </w:rPr>
                    <w:t>不变</w:t>
                  </w:r>
                </w:p>
              </w:tc>
            </w:tr>
            <w:tr w14:paraId="06CD1C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0A44BE13">
                  <w:pPr>
                    <w:widowControl/>
                    <w:jc w:val="center"/>
                    <w:textAlignment w:val="center"/>
                    <w:rPr>
                      <w:rFonts w:hint="eastAsia" w:eastAsia="宋体"/>
                      <w:color w:val="auto"/>
                      <w:kern w:val="0"/>
                      <w:sz w:val="21"/>
                      <w:szCs w:val="21"/>
                      <w:lang w:val="en-US" w:eastAsia="zh-CN" w:bidi="ar"/>
                    </w:rPr>
                  </w:pPr>
                </w:p>
              </w:tc>
              <w:tc>
                <w:tcPr>
                  <w:tcW w:w="1066" w:type="pct"/>
                  <w:tcBorders>
                    <w:tl2br w:val="nil"/>
                    <w:tr2bl w:val="nil"/>
                  </w:tcBorders>
                  <w:noWrap w:val="0"/>
                  <w:vAlign w:val="center"/>
                </w:tcPr>
                <w:p w14:paraId="3BE9F4DC">
                  <w:pPr>
                    <w:jc w:val="center"/>
                    <w:rPr>
                      <w:color w:val="auto"/>
                      <w:kern w:val="0"/>
                      <w:sz w:val="21"/>
                      <w:szCs w:val="21"/>
                      <w:lang w:bidi="ar"/>
                    </w:rPr>
                  </w:pPr>
                  <w:r>
                    <w:rPr>
                      <w:rFonts w:hint="eastAsia" w:ascii="Calibri" w:hAnsi="Calibri" w:eastAsia="宋体" w:cs="Times New Roman"/>
                      <w:color w:val="auto"/>
                      <w:szCs w:val="21"/>
                    </w:rPr>
                    <w:t>高压釜平移小车</w:t>
                  </w:r>
                </w:p>
              </w:tc>
              <w:tc>
                <w:tcPr>
                  <w:tcW w:w="482" w:type="pct"/>
                  <w:tcBorders>
                    <w:tl2br w:val="nil"/>
                    <w:tr2bl w:val="nil"/>
                  </w:tcBorders>
                  <w:noWrap w:val="0"/>
                  <w:vAlign w:val="center"/>
                </w:tcPr>
                <w:p w14:paraId="66F7CA2A">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719" w:type="pct"/>
                  <w:tcBorders>
                    <w:tl2br w:val="nil"/>
                    <w:tr2bl w:val="nil"/>
                  </w:tcBorders>
                  <w:noWrap w:val="0"/>
                  <w:vAlign w:val="center"/>
                </w:tcPr>
                <w:p w14:paraId="2C549BE4">
                  <w:pPr>
                    <w:spacing w:line="240" w:lineRule="auto"/>
                    <w:jc w:val="center"/>
                    <w:textAlignment w:val="center"/>
                    <w:rPr>
                      <w:rFonts w:hint="eastAsia" w:eastAsia="宋体"/>
                      <w:color w:val="auto"/>
                      <w:kern w:val="0"/>
                      <w:sz w:val="21"/>
                      <w:szCs w:val="21"/>
                      <w:lang w:eastAsia="zh-CN" w:bidi="ar"/>
                    </w:rPr>
                  </w:pPr>
                  <w:r>
                    <w:rPr>
                      <w:rFonts w:hint="eastAsia"/>
                      <w:bCs/>
                      <w:color w:val="auto"/>
                      <w:sz w:val="21"/>
                      <w:szCs w:val="21"/>
                      <w:lang w:val="en-US" w:eastAsia="zh-CN"/>
                    </w:rPr>
                    <w:t>1</w:t>
                  </w:r>
                </w:p>
              </w:tc>
              <w:tc>
                <w:tcPr>
                  <w:tcW w:w="652" w:type="pct"/>
                  <w:tcBorders>
                    <w:tl2br w:val="nil"/>
                    <w:tr2bl w:val="nil"/>
                  </w:tcBorders>
                  <w:noWrap w:val="0"/>
                  <w:vAlign w:val="center"/>
                </w:tcPr>
                <w:p w14:paraId="728B4947">
                  <w:pPr>
                    <w:spacing w:line="240" w:lineRule="auto"/>
                    <w:jc w:val="center"/>
                    <w:textAlignment w:val="center"/>
                    <w:rPr>
                      <w:rFonts w:hint="eastAsia" w:eastAsia="宋体"/>
                      <w:color w:val="auto"/>
                      <w:sz w:val="21"/>
                      <w:szCs w:val="21"/>
                      <w:lang w:val="en-US" w:eastAsia="zh-CN"/>
                    </w:rPr>
                  </w:pPr>
                  <w:r>
                    <w:rPr>
                      <w:rFonts w:hint="eastAsia"/>
                      <w:bCs/>
                      <w:color w:val="auto"/>
                      <w:sz w:val="21"/>
                      <w:szCs w:val="21"/>
                      <w:lang w:val="en-US" w:eastAsia="zh-CN"/>
                    </w:rPr>
                    <w:t>1</w:t>
                  </w:r>
                </w:p>
              </w:tc>
              <w:tc>
                <w:tcPr>
                  <w:tcW w:w="760" w:type="pct"/>
                  <w:tcBorders>
                    <w:tl2br w:val="nil"/>
                    <w:tr2bl w:val="nil"/>
                  </w:tcBorders>
                  <w:noWrap w:val="0"/>
                  <w:vAlign w:val="center"/>
                </w:tcPr>
                <w:p w14:paraId="5ADFC1BC">
                  <w:pPr>
                    <w:spacing w:line="240" w:lineRule="auto"/>
                    <w:jc w:val="center"/>
                    <w:textAlignment w:val="center"/>
                    <w:rPr>
                      <w:color w:val="auto"/>
                      <w:sz w:val="21"/>
                      <w:szCs w:val="21"/>
                    </w:rPr>
                  </w:pPr>
                  <w:r>
                    <w:rPr>
                      <w:rFonts w:hint="eastAsia"/>
                      <w:bCs/>
                      <w:color w:val="auto"/>
                      <w:sz w:val="21"/>
                      <w:szCs w:val="21"/>
                      <w:lang w:val="en-US" w:eastAsia="zh-CN"/>
                    </w:rPr>
                    <w:t>1</w:t>
                  </w:r>
                </w:p>
              </w:tc>
              <w:tc>
                <w:tcPr>
                  <w:tcW w:w="760" w:type="pct"/>
                  <w:tcBorders>
                    <w:tl2br w:val="nil"/>
                    <w:tr2bl w:val="nil"/>
                  </w:tcBorders>
                  <w:noWrap w:val="0"/>
                  <w:vAlign w:val="center"/>
                </w:tcPr>
                <w:p w14:paraId="2B5CEAA2">
                  <w:pPr>
                    <w:spacing w:line="240" w:lineRule="auto"/>
                    <w:jc w:val="center"/>
                    <w:textAlignment w:val="center"/>
                    <w:rPr>
                      <w:rFonts w:hint="eastAsia"/>
                      <w:bCs/>
                      <w:color w:val="auto"/>
                      <w:sz w:val="21"/>
                      <w:szCs w:val="21"/>
                      <w:lang w:val="en-US" w:eastAsia="zh-CN"/>
                    </w:rPr>
                  </w:pPr>
                  <w:r>
                    <w:rPr>
                      <w:rFonts w:hint="eastAsia"/>
                      <w:color w:val="auto"/>
                      <w:sz w:val="21"/>
                      <w:szCs w:val="21"/>
                      <w:highlight w:val="none"/>
                      <w:lang w:val="en-US" w:eastAsia="zh-CN"/>
                    </w:rPr>
                    <w:t>不变</w:t>
                  </w:r>
                </w:p>
              </w:tc>
            </w:tr>
            <w:tr w14:paraId="318586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restart"/>
                  <w:tcBorders>
                    <w:tl2br w:val="nil"/>
                    <w:tr2bl w:val="nil"/>
                  </w:tcBorders>
                  <w:noWrap w:val="0"/>
                  <w:vAlign w:val="center"/>
                </w:tcPr>
                <w:p w14:paraId="39BA817D">
                  <w:pPr>
                    <w:widowControl/>
                    <w:jc w:val="center"/>
                    <w:textAlignment w:val="center"/>
                    <w:rPr>
                      <w:rFonts w:hint="eastAsia" w:eastAsia="宋体"/>
                      <w:color w:val="auto"/>
                      <w:kern w:val="0"/>
                      <w:sz w:val="21"/>
                      <w:szCs w:val="21"/>
                      <w:lang w:val="en-US" w:eastAsia="zh-CN" w:bidi="ar"/>
                    </w:rPr>
                  </w:pPr>
                  <w:r>
                    <w:rPr>
                      <w:rFonts w:hint="eastAsia" w:eastAsia="宋体"/>
                      <w:color w:val="auto"/>
                      <w:kern w:val="0"/>
                      <w:sz w:val="21"/>
                      <w:szCs w:val="21"/>
                      <w:lang w:val="en-US" w:eastAsia="zh-CN" w:bidi="ar"/>
                    </w:rPr>
                    <w:t>厂房五三层（塑料密封件）</w:t>
                  </w:r>
                </w:p>
              </w:tc>
              <w:tc>
                <w:tcPr>
                  <w:tcW w:w="1066" w:type="pct"/>
                  <w:tcBorders>
                    <w:tl2br w:val="nil"/>
                    <w:tr2bl w:val="nil"/>
                  </w:tcBorders>
                  <w:noWrap w:val="0"/>
                  <w:vAlign w:val="center"/>
                </w:tcPr>
                <w:p w14:paraId="147584CB">
                  <w:pPr>
                    <w:jc w:val="center"/>
                    <w:rPr>
                      <w:color w:val="auto"/>
                      <w:kern w:val="0"/>
                      <w:sz w:val="21"/>
                      <w:szCs w:val="21"/>
                      <w:lang w:bidi="ar"/>
                    </w:rPr>
                  </w:pPr>
                  <w:r>
                    <w:rPr>
                      <w:rFonts w:hint="eastAsia" w:ascii="Calibri" w:hAnsi="Calibri" w:eastAsia="宋体" w:cs="Times New Roman"/>
                      <w:color w:val="auto"/>
                      <w:szCs w:val="21"/>
                    </w:rPr>
                    <w:t>搅拌机</w:t>
                  </w:r>
                </w:p>
              </w:tc>
              <w:tc>
                <w:tcPr>
                  <w:tcW w:w="482" w:type="pct"/>
                  <w:tcBorders>
                    <w:tl2br w:val="nil"/>
                    <w:tr2bl w:val="nil"/>
                  </w:tcBorders>
                  <w:noWrap w:val="0"/>
                  <w:vAlign w:val="center"/>
                </w:tcPr>
                <w:p w14:paraId="6D14F292">
                  <w:pPr>
                    <w:widowControl/>
                    <w:jc w:val="center"/>
                    <w:textAlignment w:val="center"/>
                    <w:rPr>
                      <w:color w:val="auto"/>
                      <w:kern w:val="0"/>
                      <w:sz w:val="21"/>
                      <w:szCs w:val="21"/>
                      <w:lang w:bidi="ar"/>
                    </w:rPr>
                  </w:pPr>
                  <w:r>
                    <w:rPr>
                      <w:rFonts w:hint="eastAsia"/>
                      <w:color w:val="auto"/>
                      <w:kern w:val="0"/>
                      <w:sz w:val="21"/>
                      <w:szCs w:val="21"/>
                      <w:lang w:eastAsia="zh-CN" w:bidi="ar"/>
                    </w:rPr>
                    <w:t>台</w:t>
                  </w:r>
                </w:p>
              </w:tc>
              <w:tc>
                <w:tcPr>
                  <w:tcW w:w="719" w:type="pct"/>
                  <w:tcBorders>
                    <w:tl2br w:val="nil"/>
                    <w:tr2bl w:val="nil"/>
                  </w:tcBorders>
                  <w:noWrap w:val="0"/>
                  <w:vAlign w:val="center"/>
                </w:tcPr>
                <w:p w14:paraId="57DFA102">
                  <w:pPr>
                    <w:spacing w:line="240" w:lineRule="auto"/>
                    <w:jc w:val="center"/>
                    <w:textAlignment w:val="center"/>
                    <w:rPr>
                      <w:rFonts w:hint="eastAsia" w:eastAsia="宋体"/>
                      <w:color w:val="auto"/>
                      <w:kern w:val="0"/>
                      <w:sz w:val="21"/>
                      <w:szCs w:val="21"/>
                      <w:lang w:eastAsia="zh-CN" w:bidi="ar"/>
                    </w:rPr>
                  </w:pPr>
                  <w:r>
                    <w:rPr>
                      <w:rFonts w:hint="eastAsia"/>
                      <w:bCs/>
                      <w:color w:val="auto"/>
                      <w:sz w:val="21"/>
                      <w:szCs w:val="21"/>
                      <w:lang w:val="en-US" w:eastAsia="zh-CN"/>
                    </w:rPr>
                    <w:t>4</w:t>
                  </w:r>
                </w:p>
              </w:tc>
              <w:tc>
                <w:tcPr>
                  <w:tcW w:w="652" w:type="pct"/>
                  <w:tcBorders>
                    <w:tl2br w:val="nil"/>
                    <w:tr2bl w:val="nil"/>
                  </w:tcBorders>
                  <w:noWrap w:val="0"/>
                  <w:vAlign w:val="center"/>
                </w:tcPr>
                <w:p w14:paraId="780AD587">
                  <w:pPr>
                    <w:spacing w:line="240" w:lineRule="auto"/>
                    <w:jc w:val="center"/>
                    <w:textAlignment w:val="center"/>
                    <w:rPr>
                      <w:rFonts w:hint="eastAsia" w:eastAsia="宋体"/>
                      <w:color w:val="auto"/>
                      <w:sz w:val="21"/>
                      <w:szCs w:val="21"/>
                      <w:lang w:val="en-US" w:eastAsia="zh-CN"/>
                    </w:rPr>
                  </w:pPr>
                  <w:r>
                    <w:rPr>
                      <w:rFonts w:hint="eastAsia"/>
                      <w:bCs/>
                      <w:color w:val="auto"/>
                      <w:sz w:val="21"/>
                      <w:szCs w:val="21"/>
                      <w:lang w:val="en-US" w:eastAsia="zh-CN"/>
                    </w:rPr>
                    <w:t>4</w:t>
                  </w:r>
                </w:p>
              </w:tc>
              <w:tc>
                <w:tcPr>
                  <w:tcW w:w="760" w:type="pct"/>
                  <w:tcBorders>
                    <w:tl2br w:val="nil"/>
                    <w:tr2bl w:val="nil"/>
                  </w:tcBorders>
                  <w:noWrap w:val="0"/>
                  <w:vAlign w:val="center"/>
                </w:tcPr>
                <w:p w14:paraId="1C57F4FA">
                  <w:pPr>
                    <w:spacing w:line="240" w:lineRule="auto"/>
                    <w:jc w:val="center"/>
                    <w:textAlignment w:val="center"/>
                    <w:rPr>
                      <w:color w:val="auto"/>
                      <w:sz w:val="21"/>
                      <w:szCs w:val="21"/>
                    </w:rPr>
                  </w:pPr>
                  <w:r>
                    <w:rPr>
                      <w:rFonts w:hint="eastAsia"/>
                      <w:bCs/>
                      <w:color w:val="auto"/>
                      <w:sz w:val="21"/>
                      <w:szCs w:val="21"/>
                      <w:lang w:val="en-US" w:eastAsia="zh-CN"/>
                    </w:rPr>
                    <w:t>4</w:t>
                  </w:r>
                </w:p>
              </w:tc>
              <w:tc>
                <w:tcPr>
                  <w:tcW w:w="760" w:type="pct"/>
                  <w:tcBorders>
                    <w:tl2br w:val="nil"/>
                    <w:tr2bl w:val="nil"/>
                  </w:tcBorders>
                  <w:noWrap w:val="0"/>
                  <w:vAlign w:val="center"/>
                </w:tcPr>
                <w:p w14:paraId="23B325CE">
                  <w:pPr>
                    <w:spacing w:line="240" w:lineRule="auto"/>
                    <w:jc w:val="center"/>
                    <w:textAlignment w:val="center"/>
                    <w:rPr>
                      <w:rFonts w:hint="eastAsia"/>
                      <w:bCs/>
                      <w:color w:val="auto"/>
                      <w:sz w:val="21"/>
                      <w:szCs w:val="21"/>
                      <w:lang w:val="en-US" w:eastAsia="zh-CN"/>
                    </w:rPr>
                  </w:pPr>
                  <w:r>
                    <w:rPr>
                      <w:rFonts w:hint="eastAsia"/>
                      <w:color w:val="auto"/>
                      <w:sz w:val="21"/>
                      <w:szCs w:val="21"/>
                      <w:highlight w:val="none"/>
                      <w:lang w:val="en-US" w:eastAsia="zh-CN"/>
                    </w:rPr>
                    <w:t>不变</w:t>
                  </w:r>
                </w:p>
              </w:tc>
            </w:tr>
            <w:tr w14:paraId="6A6D02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52C986C0">
                  <w:pPr>
                    <w:widowControl/>
                    <w:jc w:val="center"/>
                    <w:textAlignment w:val="center"/>
                    <w:rPr>
                      <w:rFonts w:hint="eastAsia"/>
                      <w:color w:val="auto"/>
                      <w:kern w:val="0"/>
                      <w:sz w:val="21"/>
                      <w:szCs w:val="21"/>
                      <w:lang w:val="en-US" w:eastAsia="zh-CN" w:bidi="ar"/>
                    </w:rPr>
                  </w:pPr>
                </w:p>
              </w:tc>
              <w:tc>
                <w:tcPr>
                  <w:tcW w:w="1066" w:type="pct"/>
                  <w:tcBorders>
                    <w:tl2br w:val="nil"/>
                    <w:tr2bl w:val="nil"/>
                  </w:tcBorders>
                  <w:noWrap w:val="0"/>
                  <w:vAlign w:val="center"/>
                </w:tcPr>
                <w:p w14:paraId="26785122">
                  <w:pPr>
                    <w:jc w:val="center"/>
                    <w:rPr>
                      <w:rFonts w:hint="eastAsia"/>
                      <w:color w:val="auto"/>
                      <w:sz w:val="21"/>
                      <w:szCs w:val="21"/>
                    </w:rPr>
                  </w:pPr>
                  <w:r>
                    <w:rPr>
                      <w:rFonts w:hint="eastAsia" w:ascii="Calibri" w:hAnsi="Calibri" w:eastAsia="宋体" w:cs="Times New Roman"/>
                      <w:color w:val="auto"/>
                      <w:szCs w:val="21"/>
                      <w:lang w:eastAsia="zh-CN"/>
                    </w:rPr>
                    <w:t>立式注塑机</w:t>
                  </w:r>
                </w:p>
              </w:tc>
              <w:tc>
                <w:tcPr>
                  <w:tcW w:w="482" w:type="pct"/>
                  <w:tcBorders>
                    <w:tl2br w:val="nil"/>
                    <w:tr2bl w:val="nil"/>
                  </w:tcBorders>
                  <w:noWrap w:val="0"/>
                  <w:vAlign w:val="center"/>
                </w:tcPr>
                <w:p w14:paraId="73FD4A97">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719" w:type="pct"/>
                  <w:tcBorders>
                    <w:tl2br w:val="nil"/>
                    <w:tr2bl w:val="nil"/>
                  </w:tcBorders>
                  <w:noWrap w:val="0"/>
                  <w:vAlign w:val="center"/>
                </w:tcPr>
                <w:p w14:paraId="3DAEE30C">
                  <w:pPr>
                    <w:spacing w:line="240" w:lineRule="auto"/>
                    <w:jc w:val="center"/>
                    <w:textAlignment w:val="center"/>
                    <w:rPr>
                      <w:rFonts w:hint="eastAsia" w:eastAsia="宋体"/>
                      <w:bCs/>
                      <w:color w:val="auto"/>
                      <w:sz w:val="21"/>
                      <w:szCs w:val="21"/>
                      <w:lang w:val="en-US" w:eastAsia="zh-CN"/>
                    </w:rPr>
                  </w:pPr>
                  <w:r>
                    <w:rPr>
                      <w:rFonts w:hint="eastAsia"/>
                      <w:bCs/>
                      <w:color w:val="auto"/>
                      <w:sz w:val="21"/>
                      <w:szCs w:val="21"/>
                      <w:lang w:val="en-US" w:eastAsia="zh-CN"/>
                    </w:rPr>
                    <w:t>4</w:t>
                  </w:r>
                </w:p>
              </w:tc>
              <w:tc>
                <w:tcPr>
                  <w:tcW w:w="652" w:type="pct"/>
                  <w:tcBorders>
                    <w:tl2br w:val="nil"/>
                    <w:tr2bl w:val="nil"/>
                  </w:tcBorders>
                  <w:noWrap w:val="0"/>
                  <w:vAlign w:val="center"/>
                </w:tcPr>
                <w:p w14:paraId="081DC147">
                  <w:pPr>
                    <w:spacing w:line="240" w:lineRule="auto"/>
                    <w:jc w:val="center"/>
                    <w:textAlignment w:val="center"/>
                    <w:rPr>
                      <w:rFonts w:hint="eastAsia"/>
                      <w:color w:val="auto"/>
                      <w:sz w:val="21"/>
                      <w:szCs w:val="21"/>
                      <w:lang w:val="en-US" w:eastAsia="zh-CN"/>
                    </w:rPr>
                  </w:pPr>
                  <w:r>
                    <w:rPr>
                      <w:rFonts w:hint="eastAsia"/>
                      <w:bCs/>
                      <w:color w:val="auto"/>
                      <w:sz w:val="21"/>
                      <w:szCs w:val="21"/>
                      <w:lang w:val="en-US" w:eastAsia="zh-CN"/>
                    </w:rPr>
                    <w:t>4</w:t>
                  </w:r>
                </w:p>
              </w:tc>
              <w:tc>
                <w:tcPr>
                  <w:tcW w:w="760" w:type="pct"/>
                  <w:tcBorders>
                    <w:tl2br w:val="nil"/>
                    <w:tr2bl w:val="nil"/>
                  </w:tcBorders>
                  <w:noWrap w:val="0"/>
                  <w:vAlign w:val="center"/>
                </w:tcPr>
                <w:p w14:paraId="2ECB636A">
                  <w:pPr>
                    <w:spacing w:line="240" w:lineRule="auto"/>
                    <w:jc w:val="center"/>
                    <w:textAlignment w:val="center"/>
                    <w:rPr>
                      <w:rFonts w:hint="eastAsia"/>
                      <w:color w:val="auto"/>
                      <w:sz w:val="21"/>
                      <w:szCs w:val="21"/>
                      <w:lang w:val="en-US" w:eastAsia="zh-CN"/>
                    </w:rPr>
                  </w:pPr>
                  <w:r>
                    <w:rPr>
                      <w:rFonts w:hint="eastAsia"/>
                      <w:bCs/>
                      <w:color w:val="auto"/>
                      <w:sz w:val="21"/>
                      <w:szCs w:val="21"/>
                      <w:lang w:val="en-US" w:eastAsia="zh-CN"/>
                    </w:rPr>
                    <w:t>4</w:t>
                  </w:r>
                </w:p>
              </w:tc>
              <w:tc>
                <w:tcPr>
                  <w:tcW w:w="760" w:type="pct"/>
                  <w:tcBorders>
                    <w:tl2br w:val="nil"/>
                    <w:tr2bl w:val="nil"/>
                  </w:tcBorders>
                  <w:noWrap w:val="0"/>
                  <w:vAlign w:val="center"/>
                </w:tcPr>
                <w:p w14:paraId="6B9E525B">
                  <w:pPr>
                    <w:spacing w:line="240" w:lineRule="auto"/>
                    <w:jc w:val="center"/>
                    <w:textAlignment w:val="center"/>
                    <w:rPr>
                      <w:rFonts w:hint="eastAsia"/>
                      <w:bCs/>
                      <w:color w:val="auto"/>
                      <w:sz w:val="21"/>
                      <w:szCs w:val="21"/>
                      <w:lang w:val="en-US" w:eastAsia="zh-CN"/>
                    </w:rPr>
                  </w:pPr>
                  <w:r>
                    <w:rPr>
                      <w:rFonts w:hint="eastAsia"/>
                      <w:color w:val="auto"/>
                      <w:sz w:val="21"/>
                      <w:szCs w:val="21"/>
                      <w:highlight w:val="none"/>
                      <w:lang w:val="en-US" w:eastAsia="zh-CN"/>
                    </w:rPr>
                    <w:t>不变</w:t>
                  </w:r>
                </w:p>
              </w:tc>
            </w:tr>
            <w:tr w14:paraId="0AEAC9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6EC01E6B">
                  <w:pPr>
                    <w:widowControl/>
                    <w:jc w:val="center"/>
                    <w:textAlignment w:val="center"/>
                    <w:rPr>
                      <w:rFonts w:hint="eastAsia"/>
                      <w:color w:val="auto"/>
                      <w:kern w:val="0"/>
                      <w:sz w:val="21"/>
                      <w:szCs w:val="21"/>
                      <w:lang w:val="en-US" w:eastAsia="zh-CN" w:bidi="ar"/>
                    </w:rPr>
                  </w:pPr>
                </w:p>
              </w:tc>
              <w:tc>
                <w:tcPr>
                  <w:tcW w:w="1066" w:type="pct"/>
                  <w:tcBorders>
                    <w:tl2br w:val="nil"/>
                    <w:tr2bl w:val="nil"/>
                  </w:tcBorders>
                  <w:noWrap w:val="0"/>
                  <w:vAlign w:val="center"/>
                </w:tcPr>
                <w:p w14:paraId="1C60E526">
                  <w:pPr>
                    <w:jc w:val="center"/>
                    <w:rPr>
                      <w:rFonts w:hint="eastAsia"/>
                      <w:color w:val="auto"/>
                      <w:sz w:val="21"/>
                      <w:szCs w:val="21"/>
                    </w:rPr>
                  </w:pPr>
                  <w:r>
                    <w:rPr>
                      <w:rFonts w:hint="eastAsia" w:ascii="Calibri" w:hAnsi="Calibri" w:cs="Times New Roman"/>
                      <w:color w:val="auto"/>
                      <w:szCs w:val="21"/>
                      <w:lang w:val="en-US" w:eastAsia="zh-CN"/>
                    </w:rPr>
                    <w:t>冷却水槽</w:t>
                  </w:r>
                </w:p>
              </w:tc>
              <w:tc>
                <w:tcPr>
                  <w:tcW w:w="482" w:type="pct"/>
                  <w:tcBorders>
                    <w:tl2br w:val="nil"/>
                    <w:tr2bl w:val="nil"/>
                  </w:tcBorders>
                  <w:noWrap w:val="0"/>
                  <w:vAlign w:val="center"/>
                </w:tcPr>
                <w:p w14:paraId="3A7D9E21">
                  <w:pPr>
                    <w:widowControl/>
                    <w:jc w:val="center"/>
                    <w:textAlignment w:val="center"/>
                    <w:rPr>
                      <w:rFonts w:hint="eastAsia"/>
                      <w:color w:val="auto"/>
                      <w:kern w:val="0"/>
                      <w:sz w:val="21"/>
                      <w:szCs w:val="21"/>
                      <w:lang w:eastAsia="zh-CN" w:bidi="ar"/>
                    </w:rPr>
                  </w:pPr>
                  <w:r>
                    <w:rPr>
                      <w:rFonts w:hint="eastAsia"/>
                      <w:color w:val="auto"/>
                      <w:kern w:val="0"/>
                      <w:sz w:val="21"/>
                      <w:szCs w:val="21"/>
                      <w:lang w:val="en-US" w:eastAsia="zh-CN" w:bidi="ar"/>
                    </w:rPr>
                    <w:t>个</w:t>
                  </w:r>
                </w:p>
              </w:tc>
              <w:tc>
                <w:tcPr>
                  <w:tcW w:w="719" w:type="pct"/>
                  <w:tcBorders>
                    <w:tl2br w:val="nil"/>
                    <w:tr2bl w:val="nil"/>
                  </w:tcBorders>
                  <w:noWrap w:val="0"/>
                  <w:vAlign w:val="center"/>
                </w:tcPr>
                <w:p w14:paraId="71A2D719">
                  <w:pPr>
                    <w:spacing w:line="240" w:lineRule="auto"/>
                    <w:jc w:val="center"/>
                    <w:textAlignment w:val="center"/>
                    <w:rPr>
                      <w:rFonts w:hint="eastAsia" w:eastAsia="宋体"/>
                      <w:bCs/>
                      <w:color w:val="auto"/>
                      <w:sz w:val="21"/>
                      <w:szCs w:val="21"/>
                      <w:lang w:val="en-US" w:eastAsia="zh-CN"/>
                    </w:rPr>
                  </w:pPr>
                  <w:r>
                    <w:rPr>
                      <w:rFonts w:hint="eastAsia"/>
                      <w:bCs/>
                      <w:color w:val="auto"/>
                      <w:sz w:val="21"/>
                      <w:szCs w:val="21"/>
                      <w:lang w:val="en-US" w:eastAsia="zh-CN"/>
                    </w:rPr>
                    <w:t>5</w:t>
                  </w:r>
                </w:p>
              </w:tc>
              <w:tc>
                <w:tcPr>
                  <w:tcW w:w="652" w:type="pct"/>
                  <w:tcBorders>
                    <w:tl2br w:val="nil"/>
                    <w:tr2bl w:val="nil"/>
                  </w:tcBorders>
                  <w:noWrap w:val="0"/>
                  <w:vAlign w:val="center"/>
                </w:tcPr>
                <w:p w14:paraId="7EC4032D">
                  <w:pPr>
                    <w:spacing w:line="240" w:lineRule="auto"/>
                    <w:jc w:val="center"/>
                    <w:textAlignment w:val="center"/>
                    <w:rPr>
                      <w:rFonts w:hint="eastAsia"/>
                      <w:color w:val="auto"/>
                      <w:sz w:val="21"/>
                      <w:szCs w:val="21"/>
                      <w:lang w:val="en-US" w:eastAsia="zh-CN"/>
                    </w:rPr>
                  </w:pPr>
                  <w:r>
                    <w:rPr>
                      <w:rFonts w:hint="eastAsia"/>
                      <w:bCs/>
                      <w:color w:val="auto"/>
                      <w:sz w:val="21"/>
                      <w:szCs w:val="21"/>
                      <w:lang w:val="en-US" w:eastAsia="zh-CN"/>
                    </w:rPr>
                    <w:t>5</w:t>
                  </w:r>
                </w:p>
              </w:tc>
              <w:tc>
                <w:tcPr>
                  <w:tcW w:w="760" w:type="pct"/>
                  <w:tcBorders>
                    <w:tl2br w:val="nil"/>
                    <w:tr2bl w:val="nil"/>
                  </w:tcBorders>
                  <w:noWrap w:val="0"/>
                  <w:vAlign w:val="center"/>
                </w:tcPr>
                <w:p w14:paraId="1B2F6627">
                  <w:pPr>
                    <w:spacing w:line="240" w:lineRule="auto"/>
                    <w:jc w:val="center"/>
                    <w:textAlignment w:val="center"/>
                    <w:rPr>
                      <w:rFonts w:hint="eastAsia"/>
                      <w:color w:val="auto"/>
                      <w:sz w:val="21"/>
                      <w:szCs w:val="21"/>
                      <w:lang w:val="en-US" w:eastAsia="zh-CN"/>
                    </w:rPr>
                  </w:pPr>
                  <w:r>
                    <w:rPr>
                      <w:rFonts w:hint="eastAsia"/>
                      <w:bCs/>
                      <w:color w:val="auto"/>
                      <w:sz w:val="21"/>
                      <w:szCs w:val="21"/>
                      <w:lang w:val="en-US" w:eastAsia="zh-CN"/>
                    </w:rPr>
                    <w:t>5</w:t>
                  </w:r>
                </w:p>
              </w:tc>
              <w:tc>
                <w:tcPr>
                  <w:tcW w:w="760" w:type="pct"/>
                  <w:tcBorders>
                    <w:tl2br w:val="nil"/>
                    <w:tr2bl w:val="nil"/>
                  </w:tcBorders>
                  <w:noWrap w:val="0"/>
                  <w:vAlign w:val="center"/>
                </w:tcPr>
                <w:p w14:paraId="428D37F1">
                  <w:pPr>
                    <w:spacing w:line="240" w:lineRule="auto"/>
                    <w:jc w:val="center"/>
                    <w:textAlignment w:val="center"/>
                    <w:rPr>
                      <w:rFonts w:hint="eastAsia"/>
                      <w:bCs/>
                      <w:color w:val="auto"/>
                      <w:sz w:val="21"/>
                      <w:szCs w:val="21"/>
                      <w:lang w:val="en-US" w:eastAsia="zh-CN"/>
                    </w:rPr>
                  </w:pPr>
                  <w:r>
                    <w:rPr>
                      <w:rFonts w:hint="eastAsia"/>
                      <w:color w:val="auto"/>
                      <w:sz w:val="21"/>
                      <w:szCs w:val="21"/>
                      <w:highlight w:val="none"/>
                      <w:lang w:val="en-US" w:eastAsia="zh-CN"/>
                    </w:rPr>
                    <w:t>不变</w:t>
                  </w:r>
                </w:p>
              </w:tc>
            </w:tr>
            <w:tr w14:paraId="0BA7D5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76C7F9C1">
                  <w:pPr>
                    <w:widowControl/>
                    <w:jc w:val="center"/>
                    <w:textAlignment w:val="center"/>
                    <w:rPr>
                      <w:rFonts w:hint="eastAsia"/>
                      <w:color w:val="auto"/>
                      <w:kern w:val="0"/>
                      <w:sz w:val="21"/>
                      <w:szCs w:val="21"/>
                      <w:lang w:val="en-US" w:eastAsia="zh-CN" w:bidi="ar"/>
                    </w:rPr>
                  </w:pPr>
                </w:p>
              </w:tc>
              <w:tc>
                <w:tcPr>
                  <w:tcW w:w="1066" w:type="pct"/>
                  <w:tcBorders>
                    <w:tl2br w:val="nil"/>
                    <w:tr2bl w:val="nil"/>
                  </w:tcBorders>
                  <w:noWrap w:val="0"/>
                  <w:vAlign w:val="center"/>
                </w:tcPr>
                <w:p w14:paraId="69FAB40F">
                  <w:pPr>
                    <w:jc w:val="center"/>
                    <w:rPr>
                      <w:rFonts w:hint="eastAsia"/>
                      <w:color w:val="auto"/>
                      <w:sz w:val="21"/>
                      <w:szCs w:val="21"/>
                    </w:rPr>
                  </w:pPr>
                  <w:r>
                    <w:rPr>
                      <w:rFonts w:hint="eastAsia" w:ascii="Calibri" w:hAnsi="Calibri" w:cs="Times New Roman"/>
                      <w:color w:val="auto"/>
                      <w:szCs w:val="21"/>
                      <w:lang w:val="en-US" w:eastAsia="zh-CN"/>
                    </w:rPr>
                    <w:t>冷水机</w:t>
                  </w:r>
                </w:p>
              </w:tc>
              <w:tc>
                <w:tcPr>
                  <w:tcW w:w="482" w:type="pct"/>
                  <w:tcBorders>
                    <w:tl2br w:val="nil"/>
                    <w:tr2bl w:val="nil"/>
                  </w:tcBorders>
                  <w:noWrap w:val="0"/>
                  <w:vAlign w:val="center"/>
                </w:tcPr>
                <w:p w14:paraId="39377CB0">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719" w:type="pct"/>
                  <w:tcBorders>
                    <w:tl2br w:val="nil"/>
                    <w:tr2bl w:val="nil"/>
                  </w:tcBorders>
                  <w:noWrap w:val="0"/>
                  <w:vAlign w:val="center"/>
                </w:tcPr>
                <w:p w14:paraId="06DDB614">
                  <w:pPr>
                    <w:spacing w:line="240" w:lineRule="auto"/>
                    <w:jc w:val="center"/>
                    <w:textAlignment w:val="center"/>
                    <w:rPr>
                      <w:rFonts w:hint="default" w:eastAsia="宋体"/>
                      <w:bCs/>
                      <w:color w:val="auto"/>
                      <w:sz w:val="21"/>
                      <w:szCs w:val="21"/>
                      <w:lang w:val="en-US" w:eastAsia="zh-CN"/>
                    </w:rPr>
                  </w:pPr>
                  <w:r>
                    <w:rPr>
                      <w:rFonts w:hint="eastAsia"/>
                      <w:bCs/>
                      <w:color w:val="auto"/>
                      <w:sz w:val="21"/>
                      <w:szCs w:val="21"/>
                      <w:lang w:val="en-US" w:eastAsia="zh-CN"/>
                    </w:rPr>
                    <w:t>5</w:t>
                  </w:r>
                </w:p>
              </w:tc>
              <w:tc>
                <w:tcPr>
                  <w:tcW w:w="652" w:type="pct"/>
                  <w:tcBorders>
                    <w:tl2br w:val="nil"/>
                    <w:tr2bl w:val="nil"/>
                  </w:tcBorders>
                  <w:noWrap w:val="0"/>
                  <w:vAlign w:val="center"/>
                </w:tcPr>
                <w:p w14:paraId="317D6DBA">
                  <w:pPr>
                    <w:spacing w:line="240" w:lineRule="auto"/>
                    <w:jc w:val="center"/>
                    <w:textAlignment w:val="center"/>
                    <w:rPr>
                      <w:rFonts w:hint="eastAsia"/>
                      <w:color w:val="auto"/>
                      <w:sz w:val="21"/>
                      <w:szCs w:val="21"/>
                      <w:lang w:val="en-US" w:eastAsia="zh-CN"/>
                    </w:rPr>
                  </w:pPr>
                  <w:r>
                    <w:rPr>
                      <w:rFonts w:hint="eastAsia"/>
                      <w:bCs/>
                      <w:color w:val="auto"/>
                      <w:sz w:val="21"/>
                      <w:szCs w:val="21"/>
                      <w:lang w:val="en-US" w:eastAsia="zh-CN"/>
                    </w:rPr>
                    <w:t>5</w:t>
                  </w:r>
                </w:p>
              </w:tc>
              <w:tc>
                <w:tcPr>
                  <w:tcW w:w="760" w:type="pct"/>
                  <w:tcBorders>
                    <w:tl2br w:val="nil"/>
                    <w:tr2bl w:val="nil"/>
                  </w:tcBorders>
                  <w:noWrap w:val="0"/>
                  <w:vAlign w:val="center"/>
                </w:tcPr>
                <w:p w14:paraId="3BD87D40">
                  <w:pPr>
                    <w:spacing w:line="240" w:lineRule="auto"/>
                    <w:jc w:val="center"/>
                    <w:textAlignment w:val="center"/>
                    <w:rPr>
                      <w:rFonts w:hint="eastAsia"/>
                      <w:color w:val="auto"/>
                      <w:sz w:val="21"/>
                      <w:szCs w:val="21"/>
                      <w:lang w:val="en-US" w:eastAsia="zh-CN"/>
                    </w:rPr>
                  </w:pPr>
                  <w:r>
                    <w:rPr>
                      <w:rFonts w:hint="eastAsia"/>
                      <w:bCs/>
                      <w:color w:val="auto"/>
                      <w:sz w:val="21"/>
                      <w:szCs w:val="21"/>
                      <w:lang w:val="en-US" w:eastAsia="zh-CN"/>
                    </w:rPr>
                    <w:t>5</w:t>
                  </w:r>
                </w:p>
              </w:tc>
              <w:tc>
                <w:tcPr>
                  <w:tcW w:w="760" w:type="pct"/>
                  <w:tcBorders>
                    <w:tl2br w:val="nil"/>
                    <w:tr2bl w:val="nil"/>
                  </w:tcBorders>
                  <w:noWrap w:val="0"/>
                  <w:vAlign w:val="center"/>
                </w:tcPr>
                <w:p w14:paraId="3DEE318B">
                  <w:pPr>
                    <w:spacing w:line="240" w:lineRule="auto"/>
                    <w:jc w:val="center"/>
                    <w:textAlignment w:val="center"/>
                    <w:rPr>
                      <w:rFonts w:hint="eastAsia"/>
                      <w:bCs/>
                      <w:color w:val="auto"/>
                      <w:sz w:val="21"/>
                      <w:szCs w:val="21"/>
                      <w:lang w:val="en-US" w:eastAsia="zh-CN"/>
                    </w:rPr>
                  </w:pPr>
                  <w:r>
                    <w:rPr>
                      <w:rFonts w:hint="eastAsia"/>
                      <w:color w:val="auto"/>
                      <w:sz w:val="21"/>
                      <w:szCs w:val="21"/>
                      <w:highlight w:val="none"/>
                      <w:lang w:val="en-US" w:eastAsia="zh-CN"/>
                    </w:rPr>
                    <w:t>不变</w:t>
                  </w:r>
                </w:p>
              </w:tc>
            </w:tr>
            <w:tr w14:paraId="139937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6D20839F">
                  <w:pPr>
                    <w:widowControl/>
                    <w:jc w:val="center"/>
                    <w:textAlignment w:val="center"/>
                    <w:rPr>
                      <w:rFonts w:hint="eastAsia"/>
                      <w:color w:val="auto"/>
                      <w:kern w:val="0"/>
                      <w:sz w:val="21"/>
                      <w:szCs w:val="21"/>
                      <w:lang w:val="en-US" w:eastAsia="zh-CN" w:bidi="ar"/>
                    </w:rPr>
                  </w:pPr>
                </w:p>
              </w:tc>
              <w:tc>
                <w:tcPr>
                  <w:tcW w:w="1066" w:type="pct"/>
                  <w:tcBorders>
                    <w:tl2br w:val="nil"/>
                    <w:tr2bl w:val="nil"/>
                  </w:tcBorders>
                  <w:noWrap w:val="0"/>
                  <w:vAlign w:val="center"/>
                </w:tcPr>
                <w:p w14:paraId="480D8169">
                  <w:pPr>
                    <w:jc w:val="center"/>
                    <w:rPr>
                      <w:rFonts w:hint="eastAsia"/>
                      <w:color w:val="auto"/>
                      <w:sz w:val="21"/>
                      <w:szCs w:val="21"/>
                    </w:rPr>
                  </w:pPr>
                  <w:r>
                    <w:rPr>
                      <w:rFonts w:hint="eastAsia" w:ascii="Calibri" w:hAnsi="Calibri" w:cs="Times New Roman"/>
                      <w:color w:val="auto"/>
                      <w:szCs w:val="21"/>
                      <w:lang w:val="en-US" w:eastAsia="zh-CN"/>
                    </w:rPr>
                    <w:t>空压机</w:t>
                  </w:r>
                </w:p>
              </w:tc>
              <w:tc>
                <w:tcPr>
                  <w:tcW w:w="482" w:type="pct"/>
                  <w:tcBorders>
                    <w:tl2br w:val="nil"/>
                    <w:tr2bl w:val="nil"/>
                  </w:tcBorders>
                  <w:noWrap w:val="0"/>
                  <w:vAlign w:val="center"/>
                </w:tcPr>
                <w:p w14:paraId="595CAB84">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719" w:type="pct"/>
                  <w:tcBorders>
                    <w:tl2br w:val="nil"/>
                    <w:tr2bl w:val="nil"/>
                  </w:tcBorders>
                  <w:noWrap w:val="0"/>
                  <w:vAlign w:val="center"/>
                </w:tcPr>
                <w:p w14:paraId="11812208">
                  <w:pPr>
                    <w:spacing w:line="240" w:lineRule="auto"/>
                    <w:jc w:val="center"/>
                    <w:textAlignment w:val="center"/>
                    <w:rPr>
                      <w:rFonts w:hint="eastAsia" w:eastAsia="宋体"/>
                      <w:bCs/>
                      <w:color w:val="auto"/>
                      <w:sz w:val="21"/>
                      <w:szCs w:val="21"/>
                      <w:lang w:val="en-US" w:eastAsia="zh-CN"/>
                    </w:rPr>
                  </w:pPr>
                  <w:r>
                    <w:rPr>
                      <w:rFonts w:hint="eastAsia"/>
                      <w:bCs/>
                      <w:color w:val="auto"/>
                      <w:sz w:val="21"/>
                      <w:szCs w:val="21"/>
                      <w:lang w:val="en-US" w:eastAsia="zh-CN"/>
                    </w:rPr>
                    <w:t>1</w:t>
                  </w:r>
                </w:p>
              </w:tc>
              <w:tc>
                <w:tcPr>
                  <w:tcW w:w="652" w:type="pct"/>
                  <w:tcBorders>
                    <w:tl2br w:val="nil"/>
                    <w:tr2bl w:val="nil"/>
                  </w:tcBorders>
                  <w:noWrap w:val="0"/>
                  <w:vAlign w:val="center"/>
                </w:tcPr>
                <w:p w14:paraId="331DCDBD">
                  <w:pPr>
                    <w:spacing w:line="240" w:lineRule="auto"/>
                    <w:jc w:val="center"/>
                    <w:textAlignment w:val="center"/>
                    <w:rPr>
                      <w:rFonts w:hint="eastAsia"/>
                      <w:color w:val="auto"/>
                      <w:sz w:val="21"/>
                      <w:szCs w:val="21"/>
                      <w:lang w:val="en-US" w:eastAsia="zh-CN"/>
                    </w:rPr>
                  </w:pPr>
                  <w:r>
                    <w:rPr>
                      <w:rFonts w:hint="eastAsia"/>
                      <w:bCs/>
                      <w:color w:val="auto"/>
                      <w:sz w:val="21"/>
                      <w:szCs w:val="21"/>
                      <w:lang w:val="en-US" w:eastAsia="zh-CN"/>
                    </w:rPr>
                    <w:t>1</w:t>
                  </w:r>
                </w:p>
              </w:tc>
              <w:tc>
                <w:tcPr>
                  <w:tcW w:w="760" w:type="pct"/>
                  <w:tcBorders>
                    <w:tl2br w:val="nil"/>
                    <w:tr2bl w:val="nil"/>
                  </w:tcBorders>
                  <w:noWrap w:val="0"/>
                  <w:vAlign w:val="center"/>
                </w:tcPr>
                <w:p w14:paraId="0AB9C800">
                  <w:pPr>
                    <w:spacing w:line="240" w:lineRule="auto"/>
                    <w:jc w:val="center"/>
                    <w:textAlignment w:val="center"/>
                    <w:rPr>
                      <w:rFonts w:hint="eastAsia"/>
                      <w:color w:val="auto"/>
                      <w:sz w:val="21"/>
                      <w:szCs w:val="21"/>
                      <w:lang w:val="en-US" w:eastAsia="zh-CN"/>
                    </w:rPr>
                  </w:pPr>
                  <w:r>
                    <w:rPr>
                      <w:rFonts w:hint="eastAsia"/>
                      <w:bCs/>
                      <w:color w:val="auto"/>
                      <w:sz w:val="21"/>
                      <w:szCs w:val="21"/>
                      <w:lang w:val="en-US" w:eastAsia="zh-CN"/>
                    </w:rPr>
                    <w:t>1</w:t>
                  </w:r>
                </w:p>
              </w:tc>
              <w:tc>
                <w:tcPr>
                  <w:tcW w:w="760" w:type="pct"/>
                  <w:tcBorders>
                    <w:tl2br w:val="nil"/>
                    <w:tr2bl w:val="nil"/>
                  </w:tcBorders>
                  <w:noWrap w:val="0"/>
                  <w:vAlign w:val="center"/>
                </w:tcPr>
                <w:p w14:paraId="45D0B317">
                  <w:pPr>
                    <w:spacing w:line="240" w:lineRule="auto"/>
                    <w:jc w:val="center"/>
                    <w:textAlignment w:val="center"/>
                    <w:rPr>
                      <w:rFonts w:hint="eastAsia"/>
                      <w:bCs/>
                      <w:color w:val="auto"/>
                      <w:sz w:val="21"/>
                      <w:szCs w:val="21"/>
                      <w:lang w:val="en-US" w:eastAsia="zh-CN"/>
                    </w:rPr>
                  </w:pPr>
                  <w:r>
                    <w:rPr>
                      <w:rFonts w:hint="eastAsia"/>
                      <w:color w:val="auto"/>
                      <w:sz w:val="21"/>
                      <w:szCs w:val="21"/>
                      <w:highlight w:val="none"/>
                      <w:lang w:val="en-US" w:eastAsia="zh-CN"/>
                    </w:rPr>
                    <w:t>不变</w:t>
                  </w:r>
                </w:p>
              </w:tc>
            </w:tr>
            <w:tr w14:paraId="4FE781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7" w:type="pct"/>
                  <w:vMerge w:val="continue"/>
                  <w:tcBorders>
                    <w:tl2br w:val="nil"/>
                    <w:tr2bl w:val="nil"/>
                  </w:tcBorders>
                  <w:noWrap w:val="0"/>
                  <w:vAlign w:val="center"/>
                </w:tcPr>
                <w:p w14:paraId="413730BD">
                  <w:pPr>
                    <w:widowControl/>
                    <w:jc w:val="center"/>
                    <w:textAlignment w:val="center"/>
                    <w:rPr>
                      <w:rFonts w:hint="eastAsia"/>
                      <w:color w:val="auto"/>
                      <w:kern w:val="0"/>
                      <w:sz w:val="21"/>
                      <w:szCs w:val="21"/>
                      <w:lang w:val="en-US" w:eastAsia="zh-CN" w:bidi="ar"/>
                    </w:rPr>
                  </w:pPr>
                </w:p>
              </w:tc>
              <w:tc>
                <w:tcPr>
                  <w:tcW w:w="1066" w:type="pct"/>
                  <w:tcBorders>
                    <w:tl2br w:val="nil"/>
                    <w:tr2bl w:val="nil"/>
                  </w:tcBorders>
                  <w:noWrap w:val="0"/>
                  <w:vAlign w:val="center"/>
                </w:tcPr>
                <w:p w14:paraId="725B600E">
                  <w:pPr>
                    <w:jc w:val="center"/>
                    <w:rPr>
                      <w:rFonts w:hint="eastAsia"/>
                      <w:color w:val="auto"/>
                      <w:sz w:val="21"/>
                      <w:szCs w:val="21"/>
                    </w:rPr>
                  </w:pPr>
                  <w:r>
                    <w:rPr>
                      <w:rFonts w:hint="eastAsia" w:ascii="Calibri" w:hAnsi="Calibri" w:cs="Times New Roman"/>
                      <w:color w:val="auto"/>
                      <w:szCs w:val="21"/>
                      <w:lang w:val="en-US" w:eastAsia="zh-CN"/>
                    </w:rPr>
                    <w:t>裁断机</w:t>
                  </w:r>
                </w:p>
              </w:tc>
              <w:tc>
                <w:tcPr>
                  <w:tcW w:w="482" w:type="pct"/>
                  <w:tcBorders>
                    <w:tl2br w:val="nil"/>
                    <w:tr2bl w:val="nil"/>
                  </w:tcBorders>
                  <w:noWrap w:val="0"/>
                  <w:vAlign w:val="center"/>
                </w:tcPr>
                <w:p w14:paraId="498438EC">
                  <w:pPr>
                    <w:widowControl/>
                    <w:jc w:val="center"/>
                    <w:textAlignment w:val="center"/>
                    <w:rPr>
                      <w:rFonts w:hint="eastAsia"/>
                      <w:color w:val="auto"/>
                      <w:kern w:val="0"/>
                      <w:sz w:val="21"/>
                      <w:szCs w:val="21"/>
                      <w:lang w:eastAsia="zh-CN" w:bidi="ar"/>
                    </w:rPr>
                  </w:pPr>
                  <w:r>
                    <w:rPr>
                      <w:rFonts w:hint="eastAsia"/>
                      <w:color w:val="auto"/>
                      <w:kern w:val="0"/>
                      <w:sz w:val="21"/>
                      <w:szCs w:val="21"/>
                      <w:lang w:eastAsia="zh-CN" w:bidi="ar"/>
                    </w:rPr>
                    <w:t>台</w:t>
                  </w:r>
                </w:p>
              </w:tc>
              <w:tc>
                <w:tcPr>
                  <w:tcW w:w="719" w:type="pct"/>
                  <w:tcBorders>
                    <w:tl2br w:val="nil"/>
                    <w:tr2bl w:val="nil"/>
                  </w:tcBorders>
                  <w:noWrap w:val="0"/>
                  <w:vAlign w:val="center"/>
                </w:tcPr>
                <w:p w14:paraId="0174F27B">
                  <w:pPr>
                    <w:spacing w:line="240" w:lineRule="auto"/>
                    <w:jc w:val="center"/>
                    <w:textAlignment w:val="center"/>
                    <w:rPr>
                      <w:rFonts w:hint="eastAsia" w:eastAsia="宋体"/>
                      <w:bCs/>
                      <w:color w:val="auto"/>
                      <w:sz w:val="21"/>
                      <w:szCs w:val="21"/>
                      <w:lang w:val="en-US" w:eastAsia="zh-CN"/>
                    </w:rPr>
                  </w:pPr>
                  <w:r>
                    <w:rPr>
                      <w:rFonts w:hint="eastAsia"/>
                      <w:bCs/>
                      <w:color w:val="auto"/>
                      <w:sz w:val="21"/>
                      <w:szCs w:val="21"/>
                      <w:lang w:val="en-US" w:eastAsia="zh-CN"/>
                    </w:rPr>
                    <w:t>5</w:t>
                  </w:r>
                </w:p>
              </w:tc>
              <w:tc>
                <w:tcPr>
                  <w:tcW w:w="652" w:type="pct"/>
                  <w:tcBorders>
                    <w:tl2br w:val="nil"/>
                    <w:tr2bl w:val="nil"/>
                  </w:tcBorders>
                  <w:noWrap w:val="0"/>
                  <w:vAlign w:val="center"/>
                </w:tcPr>
                <w:p w14:paraId="6C6F6CDC">
                  <w:pPr>
                    <w:spacing w:line="240" w:lineRule="auto"/>
                    <w:jc w:val="center"/>
                    <w:textAlignment w:val="center"/>
                    <w:rPr>
                      <w:rFonts w:hint="eastAsia"/>
                      <w:color w:val="auto"/>
                      <w:sz w:val="21"/>
                      <w:szCs w:val="21"/>
                      <w:lang w:val="en-US" w:eastAsia="zh-CN"/>
                    </w:rPr>
                  </w:pPr>
                  <w:r>
                    <w:rPr>
                      <w:rFonts w:hint="eastAsia"/>
                      <w:bCs/>
                      <w:color w:val="auto"/>
                      <w:sz w:val="21"/>
                      <w:szCs w:val="21"/>
                      <w:lang w:val="en-US" w:eastAsia="zh-CN"/>
                    </w:rPr>
                    <w:t>5</w:t>
                  </w:r>
                </w:p>
              </w:tc>
              <w:tc>
                <w:tcPr>
                  <w:tcW w:w="760" w:type="pct"/>
                  <w:tcBorders>
                    <w:tl2br w:val="nil"/>
                    <w:tr2bl w:val="nil"/>
                  </w:tcBorders>
                  <w:noWrap w:val="0"/>
                  <w:vAlign w:val="center"/>
                </w:tcPr>
                <w:p w14:paraId="2EF83885">
                  <w:pPr>
                    <w:spacing w:line="240" w:lineRule="auto"/>
                    <w:jc w:val="center"/>
                    <w:textAlignment w:val="center"/>
                    <w:rPr>
                      <w:rFonts w:hint="eastAsia"/>
                      <w:color w:val="auto"/>
                      <w:sz w:val="21"/>
                      <w:szCs w:val="21"/>
                      <w:lang w:val="en-US" w:eastAsia="zh-CN"/>
                    </w:rPr>
                  </w:pPr>
                  <w:r>
                    <w:rPr>
                      <w:rFonts w:hint="eastAsia"/>
                      <w:bCs/>
                      <w:color w:val="auto"/>
                      <w:sz w:val="21"/>
                      <w:szCs w:val="21"/>
                      <w:lang w:val="en-US" w:eastAsia="zh-CN"/>
                    </w:rPr>
                    <w:t>5</w:t>
                  </w:r>
                </w:p>
              </w:tc>
              <w:tc>
                <w:tcPr>
                  <w:tcW w:w="760" w:type="pct"/>
                  <w:tcBorders>
                    <w:tl2br w:val="nil"/>
                    <w:tr2bl w:val="nil"/>
                  </w:tcBorders>
                  <w:noWrap w:val="0"/>
                  <w:vAlign w:val="center"/>
                </w:tcPr>
                <w:p w14:paraId="462C0538">
                  <w:pPr>
                    <w:spacing w:line="240" w:lineRule="auto"/>
                    <w:jc w:val="center"/>
                    <w:textAlignment w:val="center"/>
                    <w:rPr>
                      <w:rFonts w:hint="eastAsia"/>
                      <w:bCs/>
                      <w:color w:val="auto"/>
                      <w:sz w:val="21"/>
                      <w:szCs w:val="21"/>
                      <w:lang w:val="en-US" w:eastAsia="zh-CN"/>
                    </w:rPr>
                  </w:pPr>
                  <w:r>
                    <w:rPr>
                      <w:rFonts w:hint="eastAsia"/>
                      <w:color w:val="auto"/>
                      <w:sz w:val="21"/>
                      <w:szCs w:val="21"/>
                      <w:highlight w:val="none"/>
                      <w:lang w:val="en-US" w:eastAsia="zh-CN"/>
                    </w:rPr>
                    <w:t>不变</w:t>
                  </w:r>
                </w:p>
              </w:tc>
            </w:tr>
          </w:tbl>
          <w:p w14:paraId="62826766">
            <w:pPr>
              <w:pStyle w:val="3"/>
              <w:numPr>
                <w:ilvl w:val="0"/>
                <w:numId w:val="0"/>
              </w:numPr>
              <w:spacing w:before="240" w:beforeLines="100" w:after="120" w:afterLines="50"/>
              <w:rPr>
                <w:rFonts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2.6现有工程工艺流程及产污环节</w:t>
            </w:r>
          </w:p>
          <w:p w14:paraId="459378B2">
            <w:pPr>
              <w:tabs>
                <w:tab w:val="left" w:pos="720"/>
              </w:tabs>
              <w:spacing w:line="360" w:lineRule="auto"/>
              <w:ind w:firstLine="482" w:firstLineChars="200"/>
              <w:rPr>
                <w:b/>
                <w:bCs/>
                <w:color w:val="auto"/>
                <w:sz w:val="24"/>
              </w:rPr>
            </w:pPr>
            <w:r>
              <w:rPr>
                <w:rFonts w:hint="eastAsia"/>
                <w:b/>
                <w:bCs/>
                <w:color w:val="auto"/>
                <w:sz w:val="24"/>
              </w:rPr>
              <w:t>（1）</w:t>
            </w:r>
            <w:r>
              <w:rPr>
                <w:rFonts w:hint="eastAsia"/>
                <w:b/>
                <w:bCs/>
                <w:color w:val="auto"/>
                <w:sz w:val="24"/>
                <w:lang w:val="en-US" w:eastAsia="zh-CN"/>
              </w:rPr>
              <w:t>特种玻璃</w:t>
            </w:r>
            <w:r>
              <w:rPr>
                <w:rFonts w:hint="eastAsia"/>
                <w:b/>
                <w:bCs/>
                <w:color w:val="auto"/>
                <w:sz w:val="24"/>
              </w:rPr>
              <w:t>生产工艺流程及产污环节</w:t>
            </w:r>
          </w:p>
          <w:p w14:paraId="458A2A7E">
            <w:pPr>
              <w:tabs>
                <w:tab w:val="left" w:pos="720"/>
              </w:tabs>
              <w:spacing w:line="360" w:lineRule="auto"/>
              <w:ind w:firstLine="480" w:firstLineChars="200"/>
              <w:rPr>
                <w:bCs/>
                <w:snapToGrid w:val="0"/>
                <w:color w:val="auto"/>
                <w:sz w:val="24"/>
              </w:rPr>
            </w:pPr>
            <w:r>
              <w:rPr>
                <w:rFonts w:hint="eastAsia"/>
                <w:bCs/>
                <w:snapToGrid w:val="0"/>
                <w:color w:val="auto"/>
                <w:sz w:val="24"/>
              </w:rPr>
              <w:t>特种玻璃生产线工艺流程及产污环节见图2</w:t>
            </w:r>
            <w:r>
              <w:rPr>
                <w:bCs/>
                <w:snapToGrid w:val="0"/>
                <w:color w:val="auto"/>
                <w:sz w:val="24"/>
              </w:rPr>
              <w:t>-</w:t>
            </w:r>
            <w:r>
              <w:rPr>
                <w:rFonts w:hint="eastAsia"/>
                <w:bCs/>
                <w:snapToGrid w:val="0"/>
                <w:color w:val="auto"/>
                <w:sz w:val="24"/>
                <w:lang w:val="en-US" w:eastAsia="zh-CN"/>
              </w:rPr>
              <w:t>9</w:t>
            </w:r>
            <w:r>
              <w:rPr>
                <w:rFonts w:hint="eastAsia"/>
                <w:bCs/>
                <w:snapToGrid w:val="0"/>
                <w:color w:val="auto"/>
                <w:sz w:val="24"/>
              </w:rPr>
              <w:t>。</w:t>
            </w:r>
          </w:p>
          <w:p w14:paraId="0271CD3C">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eastAsia="宋体"/>
                <w:color w:val="auto"/>
                <w:sz w:val="24"/>
                <w:lang w:eastAsia="zh-CN"/>
              </w:rPr>
            </w:pPr>
            <w:r>
              <w:rPr>
                <w:rFonts w:hint="eastAsia" w:eastAsia="宋体"/>
                <w:color w:val="auto"/>
                <w:sz w:val="24"/>
                <w:lang w:eastAsia="zh-CN"/>
              </w:rPr>
              <w:drawing>
                <wp:inline distT="0" distB="0" distL="114300" distR="114300">
                  <wp:extent cx="5419725" cy="3785870"/>
                  <wp:effectExtent l="0" t="0" r="9525" b="5080"/>
                  <wp:docPr id="43" name="图片 43" descr="45bbfa02062b294743e09440f3b5f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5bbfa02062b294743e09440f3b5f4b5"/>
                          <pic:cNvPicPr>
                            <a:picLocks noChangeAspect="1"/>
                          </pic:cNvPicPr>
                        </pic:nvPicPr>
                        <pic:blipFill>
                          <a:blip r:embed="rId30"/>
                          <a:stretch>
                            <a:fillRect/>
                          </a:stretch>
                        </pic:blipFill>
                        <pic:spPr>
                          <a:xfrm>
                            <a:off x="0" y="0"/>
                            <a:ext cx="5419725" cy="3785870"/>
                          </a:xfrm>
                          <a:prstGeom prst="rect">
                            <a:avLst/>
                          </a:prstGeom>
                        </pic:spPr>
                      </pic:pic>
                    </a:graphicData>
                  </a:graphic>
                </wp:inline>
              </w:drawing>
            </w:r>
          </w:p>
          <w:p w14:paraId="7E2A2539">
            <w:pPr>
              <w:pStyle w:val="15"/>
              <w:jc w:val="center"/>
              <w:rPr>
                <w:rFonts w:hint="eastAsia" w:ascii="Times New Roman" w:hAnsi="Times New Roman" w:eastAsia="宋体" w:cs="Times New Roman"/>
                <w:b/>
                <w:color w:val="auto"/>
                <w:kern w:val="21"/>
                <w:sz w:val="24"/>
                <w:szCs w:val="24"/>
                <w:lang w:val="en-US" w:eastAsia="zh-CN" w:bidi="ar-SA"/>
              </w:rPr>
            </w:pPr>
            <w:r>
              <w:rPr>
                <w:rFonts w:hint="eastAsia" w:ascii="Times New Roman" w:hAnsi="Times New Roman" w:eastAsia="宋体" w:cs="Times New Roman"/>
                <w:b/>
                <w:color w:val="auto"/>
                <w:kern w:val="21"/>
                <w:sz w:val="24"/>
                <w:szCs w:val="24"/>
                <w:lang w:val="en-US" w:eastAsia="zh-CN" w:bidi="ar-SA"/>
              </w:rPr>
              <w:t>图2-9  现有工程特种玻璃生产工艺流程</w:t>
            </w:r>
          </w:p>
          <w:p w14:paraId="597EC960">
            <w:pPr>
              <w:tabs>
                <w:tab w:val="left" w:pos="720"/>
              </w:tabs>
              <w:spacing w:line="360" w:lineRule="auto"/>
              <w:ind w:firstLine="482" w:firstLineChars="200"/>
              <w:rPr>
                <w:b/>
                <w:bCs/>
                <w:color w:val="auto"/>
                <w:sz w:val="24"/>
              </w:rPr>
            </w:pPr>
            <w:r>
              <w:rPr>
                <w:rFonts w:hint="eastAsia"/>
                <w:b/>
                <w:bCs/>
                <w:color w:val="auto"/>
                <w:sz w:val="24"/>
              </w:rPr>
              <w:t>（</w:t>
            </w:r>
            <w:r>
              <w:rPr>
                <w:rFonts w:hint="eastAsia"/>
                <w:b/>
                <w:bCs/>
                <w:color w:val="auto"/>
                <w:sz w:val="24"/>
                <w:lang w:val="en-US" w:eastAsia="zh-CN"/>
              </w:rPr>
              <w:t>2</w:t>
            </w:r>
            <w:r>
              <w:rPr>
                <w:rFonts w:hint="eastAsia"/>
                <w:b/>
                <w:bCs/>
                <w:color w:val="auto"/>
                <w:sz w:val="24"/>
              </w:rPr>
              <w:t>）塑料密封件生产工艺流程及产污环节</w:t>
            </w:r>
          </w:p>
          <w:p w14:paraId="6E4E9A88">
            <w:pPr>
              <w:tabs>
                <w:tab w:val="left" w:pos="720"/>
              </w:tabs>
              <w:spacing w:line="360" w:lineRule="auto"/>
              <w:ind w:firstLine="480" w:firstLineChars="200"/>
              <w:rPr>
                <w:bCs/>
                <w:snapToGrid w:val="0"/>
                <w:color w:val="auto"/>
                <w:sz w:val="24"/>
              </w:rPr>
            </w:pPr>
            <w:r>
              <w:rPr>
                <w:rFonts w:hint="eastAsia"/>
                <w:bCs/>
                <w:snapToGrid w:val="0"/>
                <w:color w:val="auto"/>
                <w:sz w:val="24"/>
              </w:rPr>
              <w:t>塑料密封件生产线工艺流程及产污环节见图2</w:t>
            </w:r>
            <w:r>
              <w:rPr>
                <w:bCs/>
                <w:snapToGrid w:val="0"/>
                <w:color w:val="auto"/>
                <w:sz w:val="24"/>
              </w:rPr>
              <w:t>-</w:t>
            </w:r>
            <w:r>
              <w:rPr>
                <w:rFonts w:hint="eastAsia"/>
                <w:bCs/>
                <w:snapToGrid w:val="0"/>
                <w:color w:val="auto"/>
                <w:sz w:val="24"/>
                <w:lang w:val="en-US" w:eastAsia="zh-CN"/>
              </w:rPr>
              <w:t>10</w:t>
            </w:r>
            <w:r>
              <w:rPr>
                <w:rFonts w:hint="eastAsia"/>
                <w:bCs/>
                <w:snapToGrid w:val="0"/>
                <w:color w:val="auto"/>
                <w:sz w:val="24"/>
              </w:rPr>
              <w:t>。</w:t>
            </w:r>
          </w:p>
          <w:p w14:paraId="535B0F28">
            <w:pPr>
              <w:pStyle w:val="15"/>
              <w:rPr>
                <w:rFonts w:hint="eastAsia" w:eastAsia="宋体"/>
                <w:color w:val="auto"/>
                <w:lang w:eastAsia="zh-CN"/>
              </w:rPr>
            </w:pPr>
            <w:r>
              <w:rPr>
                <w:rFonts w:hint="eastAsia" w:eastAsia="宋体"/>
                <w:color w:val="auto"/>
                <w:lang w:eastAsia="zh-CN"/>
              </w:rPr>
              <w:drawing>
                <wp:inline distT="0" distB="0" distL="114300" distR="114300">
                  <wp:extent cx="5474335" cy="5425440"/>
                  <wp:effectExtent l="0" t="0" r="12065" b="3810"/>
                  <wp:docPr id="73" name="图片 73" descr="9593a04adb9400ba601714591f282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9593a04adb9400ba601714591f2823a9"/>
                          <pic:cNvPicPr>
                            <a:picLocks noChangeAspect="1"/>
                          </pic:cNvPicPr>
                        </pic:nvPicPr>
                        <pic:blipFill>
                          <a:blip r:embed="rId31"/>
                          <a:stretch>
                            <a:fillRect/>
                          </a:stretch>
                        </pic:blipFill>
                        <pic:spPr>
                          <a:xfrm>
                            <a:off x="0" y="0"/>
                            <a:ext cx="5474335" cy="5425440"/>
                          </a:xfrm>
                          <a:prstGeom prst="rect">
                            <a:avLst/>
                          </a:prstGeom>
                        </pic:spPr>
                      </pic:pic>
                    </a:graphicData>
                  </a:graphic>
                </wp:inline>
              </w:drawing>
            </w:r>
          </w:p>
          <w:p w14:paraId="3489667C">
            <w:pPr>
              <w:pStyle w:val="15"/>
              <w:jc w:val="center"/>
              <w:rPr>
                <w:rFonts w:hint="eastAsia" w:ascii="Times New Roman" w:hAnsi="Times New Roman" w:eastAsia="宋体" w:cs="Times New Roman"/>
                <w:b/>
                <w:color w:val="auto"/>
                <w:kern w:val="21"/>
                <w:sz w:val="24"/>
                <w:szCs w:val="24"/>
                <w:lang w:val="en-US" w:eastAsia="zh-CN" w:bidi="ar-SA"/>
              </w:rPr>
            </w:pPr>
            <w:r>
              <w:rPr>
                <w:rFonts w:hint="eastAsia" w:ascii="Times New Roman" w:hAnsi="Times New Roman" w:eastAsia="宋体" w:cs="Times New Roman"/>
                <w:b/>
                <w:color w:val="auto"/>
                <w:kern w:val="21"/>
                <w:sz w:val="24"/>
                <w:szCs w:val="24"/>
                <w:lang w:val="en-US" w:eastAsia="zh-CN" w:bidi="ar-SA"/>
              </w:rPr>
              <w:t>图2-10 现有工程塑料密封件生产工艺流程</w:t>
            </w:r>
          </w:p>
          <w:p w14:paraId="4CF80254">
            <w:pPr>
              <w:pStyle w:val="3"/>
              <w:numPr>
                <w:ilvl w:val="0"/>
                <w:numId w:val="0"/>
              </w:numPr>
              <w:spacing w:before="240" w:beforeLines="100" w:after="120" w:afterLines="50"/>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2.7现有工程主要污染物排放情况</w:t>
            </w:r>
          </w:p>
          <w:p w14:paraId="47866E90">
            <w:pPr>
              <w:spacing w:line="360" w:lineRule="auto"/>
              <w:ind w:firstLine="480" w:firstLineChars="200"/>
              <w:rPr>
                <w:color w:val="auto"/>
                <w:kern w:val="0"/>
                <w:sz w:val="24"/>
                <w:highlight w:val="none"/>
              </w:rPr>
            </w:pPr>
            <w:r>
              <w:rPr>
                <w:rFonts w:hint="eastAsia"/>
                <w:color w:val="auto"/>
                <w:kern w:val="0"/>
                <w:sz w:val="24"/>
                <w:highlight w:val="none"/>
              </w:rPr>
              <w:t>（1）废水</w:t>
            </w:r>
          </w:p>
          <w:p w14:paraId="2B09EB4F">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highlight w:val="none"/>
                <w:lang w:val="en-US" w:eastAsia="zh-CN"/>
              </w:rPr>
            </w:pPr>
            <w:r>
              <w:rPr>
                <w:rFonts w:hint="eastAsia"/>
                <w:b/>
                <w:bCs/>
                <w:color w:val="auto"/>
                <w:sz w:val="24"/>
                <w:highlight w:val="none"/>
                <w:lang w:val="en-US" w:eastAsia="zh-CN"/>
              </w:rPr>
              <w:t>原环评核算污染物排放情况：</w:t>
            </w:r>
          </w:p>
          <w:p w14:paraId="58F470D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①生活用水：原环评预估职工人数45人，10人住厂，35人不住厂，生活用水量约为808.5t/a，生活污水排放量约646.8t/a，生活污水经化粪池处理达标后纳入福清市融元污水处理厂处理。</w:t>
            </w:r>
          </w:p>
          <w:p w14:paraId="4D73FD7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②塑料制品生产线设备冷却水：设备冷却水循环使用，不外排，年补充循环水量为61.25t。</w:t>
            </w:r>
          </w:p>
          <w:p w14:paraId="052A22C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lang w:val="en-US" w:eastAsia="zh-CN"/>
              </w:rPr>
            </w:pPr>
            <w:r>
              <w:rPr>
                <w:rFonts w:hint="eastAsia"/>
                <w:color w:val="auto"/>
                <w:sz w:val="24"/>
                <w:highlight w:val="none"/>
                <w:lang w:val="en-US" w:eastAsia="zh-CN"/>
              </w:rPr>
              <w:t>③特种玻璃制造生产线冷却水：设备冷却水循环使用，不外排，年补充用水量为147t/a。</w:t>
            </w:r>
          </w:p>
          <w:p w14:paraId="1750401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lang w:val="en-US" w:eastAsia="zh-CN"/>
              </w:rPr>
            </w:pPr>
            <w:r>
              <w:rPr>
                <w:rFonts w:hint="eastAsia"/>
                <w:color w:val="auto"/>
                <w:sz w:val="24"/>
                <w:highlight w:val="none"/>
                <w:lang w:val="en-US" w:eastAsia="zh-CN"/>
              </w:rPr>
              <w:t>④清洗用水：清洗用水量为150t/a，清洗后的废水经沉淀后排入福清市融元污水处理厂，COD排放量为0.008t/a，NH</w:t>
            </w:r>
            <w:r>
              <w:rPr>
                <w:rFonts w:hint="eastAsia"/>
                <w:color w:val="auto"/>
                <w:sz w:val="24"/>
                <w:highlight w:val="none"/>
                <w:vertAlign w:val="subscript"/>
                <w:lang w:val="en-US" w:eastAsia="zh-CN"/>
              </w:rPr>
              <w:t>3</w:t>
            </w:r>
            <w:r>
              <w:rPr>
                <w:rFonts w:hint="eastAsia"/>
                <w:color w:val="auto"/>
                <w:sz w:val="24"/>
                <w:highlight w:val="none"/>
                <w:lang w:val="en-US" w:eastAsia="zh-CN"/>
              </w:rPr>
              <w:t>-N排放量为0.0008t/a。</w:t>
            </w:r>
          </w:p>
          <w:p w14:paraId="0564DDD5">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highlight w:val="none"/>
                <w:lang w:val="en-US" w:eastAsia="zh-CN"/>
              </w:rPr>
            </w:pPr>
            <w:r>
              <w:rPr>
                <w:rFonts w:hint="eastAsia"/>
                <w:b/>
                <w:bCs/>
                <w:color w:val="auto"/>
                <w:sz w:val="24"/>
                <w:highlight w:val="none"/>
                <w:lang w:val="en-US" w:eastAsia="zh-CN"/>
              </w:rPr>
              <w:t>项目验收污染物排放情况：</w:t>
            </w:r>
          </w:p>
          <w:p w14:paraId="31C0224B">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①生活用水：</w:t>
            </w:r>
            <w:r>
              <w:rPr>
                <w:rFonts w:hint="eastAsia" w:hAnsi="宋体"/>
                <w:color w:val="auto"/>
                <w:sz w:val="24"/>
                <w:highlight w:val="none"/>
                <w:lang w:val="en-US" w:eastAsia="zh-CN"/>
              </w:rPr>
              <w:t>现有工程</w:t>
            </w:r>
            <w:r>
              <w:rPr>
                <w:rFonts w:hint="eastAsia" w:hAnsi="宋体"/>
                <w:color w:val="auto"/>
                <w:sz w:val="24"/>
                <w:highlight w:val="none"/>
              </w:rPr>
              <w:t>职工人数</w:t>
            </w:r>
            <w:r>
              <w:rPr>
                <w:rFonts w:hint="eastAsia" w:hAnsi="宋体"/>
                <w:color w:val="auto"/>
                <w:sz w:val="24"/>
                <w:highlight w:val="none"/>
                <w:lang w:val="en-US" w:eastAsia="zh-CN"/>
              </w:rPr>
              <w:t>45人，均不住厂</w:t>
            </w:r>
            <w:r>
              <w:rPr>
                <w:rFonts w:hint="eastAsia" w:hAnsi="宋体"/>
                <w:color w:val="auto"/>
                <w:sz w:val="24"/>
                <w:highlight w:val="none"/>
                <w:lang w:eastAsia="zh-CN"/>
              </w:rPr>
              <w:t>，</w:t>
            </w:r>
            <w:r>
              <w:rPr>
                <w:color w:val="auto"/>
                <w:kern w:val="18"/>
                <w:sz w:val="24"/>
                <w:highlight w:val="none"/>
              </w:rPr>
              <w:t>生活用水量</w:t>
            </w:r>
            <w:r>
              <w:rPr>
                <w:rFonts w:hint="eastAsia"/>
                <w:color w:val="auto"/>
                <w:kern w:val="18"/>
                <w:sz w:val="24"/>
                <w:highlight w:val="none"/>
                <w:lang w:eastAsia="zh-CN"/>
              </w:rPr>
              <w:t>约</w:t>
            </w:r>
            <w:r>
              <w:rPr>
                <w:color w:val="auto"/>
                <w:kern w:val="18"/>
                <w:sz w:val="24"/>
                <w:highlight w:val="none"/>
              </w:rPr>
              <w:t>为</w:t>
            </w:r>
            <w:r>
              <w:rPr>
                <w:rFonts w:hint="eastAsia"/>
                <w:color w:val="auto"/>
                <w:kern w:val="18"/>
                <w:sz w:val="24"/>
                <w:highlight w:val="none"/>
                <w:lang w:val="en-US" w:eastAsia="zh-CN"/>
              </w:rPr>
              <w:t>551.25t/a，</w:t>
            </w:r>
            <w:r>
              <w:rPr>
                <w:rFonts w:hint="eastAsia" w:hAnsi="宋体"/>
                <w:color w:val="auto"/>
                <w:sz w:val="24"/>
                <w:highlight w:val="none"/>
                <w:lang w:eastAsia="zh-CN"/>
              </w:rPr>
              <w:t>生活污水</w:t>
            </w:r>
            <w:r>
              <w:rPr>
                <w:rFonts w:hint="eastAsia" w:hAnsi="宋体"/>
                <w:color w:val="auto"/>
                <w:sz w:val="24"/>
                <w:highlight w:val="none"/>
                <w:lang w:val="en-US" w:eastAsia="zh-CN"/>
              </w:rPr>
              <w:t>排放量496.125/a，</w:t>
            </w:r>
            <w:r>
              <w:rPr>
                <w:rFonts w:hint="eastAsia"/>
                <w:color w:val="auto"/>
                <w:sz w:val="24"/>
                <w:highlight w:val="none"/>
              </w:rPr>
              <w:t>生活污水经化粪池处理达标后纳入</w:t>
            </w:r>
            <w:r>
              <w:rPr>
                <w:rFonts w:hint="eastAsia"/>
                <w:color w:val="auto"/>
                <w:sz w:val="24"/>
                <w:highlight w:val="none"/>
                <w:lang w:eastAsia="zh-CN"/>
              </w:rPr>
              <w:t>福清市融元污水处理厂</w:t>
            </w:r>
            <w:r>
              <w:rPr>
                <w:rFonts w:hint="eastAsia"/>
                <w:color w:val="auto"/>
                <w:spacing w:val="4"/>
                <w:sz w:val="24"/>
                <w:highlight w:val="none"/>
              </w:rPr>
              <w:t>处理</w:t>
            </w:r>
            <w:r>
              <w:rPr>
                <w:rFonts w:hint="eastAsia"/>
                <w:color w:val="auto"/>
                <w:sz w:val="24"/>
                <w:highlight w:val="none"/>
                <w:lang w:val="en-US" w:eastAsia="zh-CN"/>
              </w:rPr>
              <w:t>。</w:t>
            </w:r>
          </w:p>
          <w:p w14:paraId="4AB5C31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lang w:val="en-US" w:eastAsia="zh-CN"/>
              </w:rPr>
              <w:t>②塑料制品生产线设备冷却水：设备冷却水循环使用，不外排，年补充循环水量为61.25t。</w:t>
            </w:r>
          </w:p>
          <w:p w14:paraId="697F4AE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lang w:val="en-US" w:eastAsia="zh-CN"/>
              </w:rPr>
            </w:pPr>
            <w:r>
              <w:rPr>
                <w:rFonts w:hint="eastAsia"/>
                <w:color w:val="auto"/>
                <w:sz w:val="24"/>
                <w:highlight w:val="none"/>
                <w:lang w:val="en-US" w:eastAsia="zh-CN"/>
              </w:rPr>
              <w:t>③特种玻璃制造生产线冷却水：设备冷却水循环使用，不外排，年补充用水量为147t/a。</w:t>
            </w:r>
          </w:p>
          <w:p w14:paraId="6573C864">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highlight w:val="none"/>
                <w:lang w:eastAsia="zh-CN"/>
              </w:rPr>
            </w:pPr>
            <w:r>
              <w:rPr>
                <w:rFonts w:hint="eastAsia"/>
                <w:color w:val="auto"/>
                <w:sz w:val="24"/>
                <w:highlight w:val="none"/>
                <w:lang w:val="en-US" w:eastAsia="zh-CN"/>
              </w:rPr>
              <w:t>④清洗用水：</w:t>
            </w:r>
            <w:r>
              <w:rPr>
                <w:rFonts w:hint="eastAsia" w:hAnsi="宋体"/>
                <w:color w:val="auto"/>
                <w:sz w:val="24"/>
                <w:highlight w:val="none"/>
                <w:lang w:val="en-US" w:eastAsia="zh-CN"/>
              </w:rPr>
              <w:t>年用量约为150t/a，清洗废水排放量约为150t/a，经过滤棉过滤和沉淀后排入福清市融元污水处理厂集中</w:t>
            </w:r>
            <w:r>
              <w:rPr>
                <w:rFonts w:hint="eastAsia"/>
                <w:color w:val="auto"/>
                <w:spacing w:val="4"/>
                <w:sz w:val="24"/>
                <w:highlight w:val="none"/>
              </w:rPr>
              <w:t>处理</w:t>
            </w:r>
            <w:r>
              <w:rPr>
                <w:rFonts w:hint="eastAsia"/>
                <w:color w:val="auto"/>
                <w:spacing w:val="4"/>
                <w:sz w:val="24"/>
                <w:highlight w:val="none"/>
                <w:lang w:eastAsia="zh-CN"/>
              </w:rPr>
              <w:t>。</w:t>
            </w:r>
          </w:p>
          <w:p w14:paraId="1D19A135">
            <w:pPr>
              <w:spacing w:line="360" w:lineRule="auto"/>
              <w:ind w:firstLine="480" w:firstLineChars="200"/>
              <w:rPr>
                <w:rFonts w:hint="eastAsia" w:eastAsia="宋体"/>
                <w:color w:val="auto"/>
                <w:kern w:val="0"/>
                <w:sz w:val="24"/>
                <w:highlight w:val="yellow"/>
                <w:lang w:eastAsia="zh-CN"/>
              </w:rPr>
            </w:pPr>
            <w:r>
              <w:rPr>
                <w:rFonts w:hint="eastAsia" w:eastAsia="宋体"/>
                <w:color w:val="auto"/>
                <w:kern w:val="0"/>
                <w:sz w:val="24"/>
                <w:highlight w:val="none"/>
                <w:lang w:eastAsia="zh-CN"/>
              </w:rPr>
              <w:object>
                <v:shape id="_x0000_i1033" o:spt="75" type="#_x0000_t75" style="height:241.8pt;width:389.75pt;" o:ole="t" filled="f" o:preferrelative="t" stroked="f" coordsize="21600,21600">
                  <v:path/>
                  <v:fill on="f" focussize="0,0"/>
                  <v:stroke on="f"/>
                  <v:imagedata r:id="rId33" o:title=""/>
                  <o:lock v:ext="edit" aspectratio="f"/>
                  <w10:wrap type="none"/>
                  <w10:anchorlock/>
                </v:shape>
                <o:OLEObject Type="Embed" ProgID="Visio.Drawing.15" ShapeID="_x0000_i1033" DrawAspect="Content" ObjectID="_1468075733" r:id="rId32">
                  <o:LockedField>false</o:LockedField>
                </o:OLEObject>
              </w:object>
            </w:r>
          </w:p>
          <w:p w14:paraId="1A92CEF3">
            <w:pPr>
              <w:pStyle w:val="15"/>
              <w:jc w:val="center"/>
              <w:rPr>
                <w:rFonts w:hint="eastAsia" w:ascii="Times New Roman" w:hAnsi="Times New Roman" w:eastAsia="宋体" w:cs="Times New Roman"/>
                <w:b/>
                <w:color w:val="auto"/>
                <w:kern w:val="21"/>
                <w:sz w:val="24"/>
                <w:szCs w:val="24"/>
                <w:highlight w:val="none"/>
                <w:lang w:val="en-US" w:eastAsia="zh-CN" w:bidi="ar-SA"/>
              </w:rPr>
            </w:pPr>
            <w:r>
              <w:rPr>
                <w:rFonts w:hint="eastAsia" w:ascii="Times New Roman" w:hAnsi="Times New Roman" w:eastAsia="宋体" w:cs="Times New Roman"/>
                <w:b/>
                <w:color w:val="auto"/>
                <w:kern w:val="21"/>
                <w:sz w:val="24"/>
                <w:szCs w:val="24"/>
                <w:highlight w:val="none"/>
                <w:lang w:val="en-US" w:eastAsia="zh-CN" w:bidi="ar-SA"/>
              </w:rPr>
              <w:t>图2-11 现有工程水平衡</w:t>
            </w:r>
          </w:p>
          <w:p w14:paraId="35E8759F">
            <w:pPr>
              <w:spacing w:line="360" w:lineRule="auto"/>
              <w:ind w:firstLine="480" w:firstLineChars="200"/>
              <w:rPr>
                <w:color w:val="auto"/>
                <w:kern w:val="0"/>
                <w:sz w:val="24"/>
                <w:highlight w:val="none"/>
              </w:rPr>
            </w:pPr>
            <w:r>
              <w:rPr>
                <w:rFonts w:hint="eastAsia"/>
                <w:color w:val="auto"/>
                <w:kern w:val="0"/>
                <w:sz w:val="24"/>
                <w:highlight w:val="none"/>
              </w:rPr>
              <w:t>根</w:t>
            </w:r>
            <w:r>
              <w:rPr>
                <w:color w:val="auto"/>
                <w:kern w:val="0"/>
                <w:sz w:val="24"/>
                <w:highlight w:val="none"/>
              </w:rPr>
              <w:t>据《</w:t>
            </w:r>
            <w:r>
              <w:rPr>
                <w:rFonts w:hint="eastAsia"/>
                <w:color w:val="auto"/>
                <w:kern w:val="0"/>
                <w:sz w:val="24"/>
                <w:highlight w:val="none"/>
              </w:rPr>
              <w:t>福建铠盾材料科技有限公司年加工特种玻璃6万件、加工塑料密封件600万件项目验收监测报告表</w:t>
            </w:r>
            <w:r>
              <w:rPr>
                <w:color w:val="auto"/>
                <w:kern w:val="0"/>
                <w:sz w:val="24"/>
                <w:highlight w:val="none"/>
              </w:rPr>
              <w:t>》</w:t>
            </w:r>
            <w:r>
              <w:rPr>
                <w:rFonts w:hint="eastAsia"/>
                <w:bCs/>
                <w:color w:val="auto"/>
                <w:kern w:val="0"/>
                <w:sz w:val="24"/>
                <w:highlight w:val="none"/>
              </w:rPr>
              <w:t>，现有工程</w:t>
            </w:r>
            <w:r>
              <w:rPr>
                <w:rFonts w:hint="eastAsia"/>
                <w:bCs/>
                <w:color w:val="auto"/>
                <w:kern w:val="0"/>
                <w:sz w:val="24"/>
                <w:highlight w:val="none"/>
                <w:lang w:val="en-US" w:eastAsia="zh-CN"/>
              </w:rPr>
              <w:t>废水</w:t>
            </w:r>
            <w:r>
              <w:rPr>
                <w:rFonts w:hint="eastAsia"/>
                <w:bCs/>
                <w:color w:val="auto"/>
                <w:kern w:val="0"/>
                <w:sz w:val="24"/>
                <w:highlight w:val="none"/>
              </w:rPr>
              <w:t>监测结果见表2-</w:t>
            </w:r>
            <w:r>
              <w:rPr>
                <w:rFonts w:hint="eastAsia"/>
                <w:bCs/>
                <w:color w:val="auto"/>
                <w:kern w:val="0"/>
                <w:sz w:val="24"/>
                <w:highlight w:val="none"/>
                <w:lang w:val="en-US" w:eastAsia="zh-CN"/>
              </w:rPr>
              <w:t>16</w:t>
            </w:r>
            <w:r>
              <w:rPr>
                <w:rFonts w:hint="eastAsia"/>
                <w:bCs/>
                <w:color w:val="auto"/>
                <w:kern w:val="0"/>
                <w:sz w:val="24"/>
                <w:highlight w:val="none"/>
              </w:rPr>
              <w:t>。</w:t>
            </w:r>
          </w:p>
          <w:p w14:paraId="65BD6B6F">
            <w:pPr>
              <w:pStyle w:val="30"/>
              <w:widowControl w:val="0"/>
              <w:spacing w:before="120" w:beforeLines="50" w:beforeAutospacing="0" w:after="0" w:afterAutospacing="0"/>
              <w:jc w:val="center"/>
              <w:rPr>
                <w:rFonts w:hint="default" w:ascii="Times New Roman" w:hAnsi="Times New Roman" w:eastAsia="黑体" w:cs="Times New Roman"/>
                <w:color w:val="auto"/>
                <w:kern w:val="2"/>
                <w:highlight w:val="yellow"/>
                <w:lang w:val="en-US" w:eastAsia="zh-CN"/>
              </w:rPr>
            </w:pPr>
          </w:p>
          <w:p w14:paraId="1B387F04">
            <w:pPr>
              <w:pStyle w:val="30"/>
              <w:widowControl w:val="0"/>
              <w:spacing w:before="120" w:beforeLines="50" w:beforeAutospacing="0" w:after="0" w:afterAutospacing="0"/>
              <w:jc w:val="center"/>
              <w:rPr>
                <w:rFonts w:hint="default" w:ascii="Times New Roman" w:hAnsi="Times New Roman" w:eastAsia="黑体" w:cs="Times New Roman"/>
                <w:color w:val="auto"/>
                <w:kern w:val="2"/>
                <w:highlight w:val="yellow"/>
                <w:lang w:val="en-US" w:eastAsia="zh-CN"/>
              </w:rPr>
            </w:pPr>
          </w:p>
          <w:p w14:paraId="06E309E5">
            <w:pPr>
              <w:pStyle w:val="30"/>
              <w:widowControl w:val="0"/>
              <w:spacing w:before="120" w:beforeLines="50" w:beforeAutospacing="0" w:after="0" w:afterAutospacing="0"/>
              <w:jc w:val="center"/>
              <w:rPr>
                <w:rFonts w:hint="default" w:ascii="Times New Roman" w:hAnsi="Times New Roman" w:eastAsia="黑体" w:cs="Times New Roman"/>
                <w:color w:val="auto"/>
                <w:kern w:val="2"/>
                <w:highlight w:val="yellow"/>
                <w:lang w:val="en-US" w:eastAsia="zh-CN"/>
              </w:rPr>
            </w:pPr>
          </w:p>
          <w:p w14:paraId="7030EA28">
            <w:pPr>
              <w:pStyle w:val="16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w:t>
            </w:r>
            <w:r>
              <w:rPr>
                <w:rFonts w:hint="eastAsia" w:ascii="Times New Roman" w:hAnsi="Times New Roman" w:cs="Times New Roman"/>
                <w:color w:val="auto"/>
                <w:highlight w:val="none"/>
                <w:lang w:val="en-US" w:eastAsia="zh-CN"/>
              </w:rPr>
              <w:t>16</w:t>
            </w:r>
            <w:r>
              <w:rPr>
                <w:rFonts w:hint="default" w:ascii="Times New Roman" w:hAnsi="Times New Roman" w:cs="Times New Roman"/>
                <w:color w:val="auto"/>
                <w:highlight w:val="none"/>
                <w:lang w:val="en-US" w:eastAsia="zh-CN"/>
              </w:rPr>
              <w:t xml:space="preserve">  现有工程</w:t>
            </w:r>
            <w:r>
              <w:rPr>
                <w:rFonts w:hint="eastAsia" w:ascii="Times New Roman" w:hAnsi="Times New Roman" w:cs="Times New Roman"/>
                <w:color w:val="auto"/>
                <w:highlight w:val="none"/>
                <w:lang w:val="en-US" w:eastAsia="zh-CN"/>
              </w:rPr>
              <w:t>废水</w:t>
            </w:r>
            <w:r>
              <w:rPr>
                <w:rFonts w:hint="default" w:ascii="Times New Roman" w:hAnsi="Times New Roman" w:cs="Times New Roman"/>
                <w:color w:val="auto"/>
                <w:highlight w:val="none"/>
                <w:lang w:val="en-US" w:eastAsia="zh-CN"/>
              </w:rPr>
              <w:t>检测结果</w:t>
            </w:r>
          </w:p>
          <w:tbl>
            <w:tblPr>
              <w:tblStyle w:val="3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063"/>
              <w:gridCol w:w="1718"/>
              <w:gridCol w:w="1009"/>
              <w:gridCol w:w="819"/>
              <w:gridCol w:w="1009"/>
              <w:gridCol w:w="982"/>
              <w:gridCol w:w="911"/>
            </w:tblGrid>
            <w:tr w14:paraId="6DCA5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104" w:type="dxa"/>
                  <w:vMerge w:val="restart"/>
                  <w:tcBorders>
                    <w:tl2br w:val="nil"/>
                    <w:tr2bl w:val="nil"/>
                  </w:tcBorders>
                  <w:vAlign w:val="center"/>
                </w:tcPr>
                <w:p w14:paraId="1F891157">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采样日期</w:t>
                  </w:r>
                </w:p>
              </w:tc>
              <w:tc>
                <w:tcPr>
                  <w:tcW w:w="1063" w:type="dxa"/>
                  <w:vMerge w:val="restart"/>
                  <w:tcBorders>
                    <w:tl2br w:val="nil"/>
                    <w:tr2bl w:val="nil"/>
                  </w:tcBorders>
                  <w:vAlign w:val="center"/>
                </w:tcPr>
                <w:p w14:paraId="1838D312">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检测点位</w:t>
                  </w:r>
                </w:p>
              </w:tc>
              <w:tc>
                <w:tcPr>
                  <w:tcW w:w="1718" w:type="dxa"/>
                  <w:vMerge w:val="restart"/>
                  <w:tcBorders>
                    <w:tl2br w:val="nil"/>
                    <w:tr2bl w:val="nil"/>
                  </w:tcBorders>
                  <w:vAlign w:val="center"/>
                </w:tcPr>
                <w:p w14:paraId="289B52D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检测项目</w:t>
                  </w:r>
                </w:p>
              </w:tc>
              <w:tc>
                <w:tcPr>
                  <w:tcW w:w="1009" w:type="dxa"/>
                  <w:vMerge w:val="restart"/>
                  <w:tcBorders>
                    <w:tl2br w:val="nil"/>
                    <w:tr2bl w:val="nil"/>
                  </w:tcBorders>
                  <w:vAlign w:val="center"/>
                </w:tcPr>
                <w:p w14:paraId="2AD75C3F">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单位</w:t>
                  </w:r>
                </w:p>
              </w:tc>
              <w:tc>
                <w:tcPr>
                  <w:tcW w:w="3721" w:type="dxa"/>
                  <w:gridSpan w:val="4"/>
                  <w:tcBorders>
                    <w:tl2br w:val="nil"/>
                    <w:tr2bl w:val="nil"/>
                  </w:tcBorders>
                  <w:vAlign w:val="center"/>
                </w:tcPr>
                <w:p w14:paraId="6A6F7286">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检测结果</w:t>
                  </w:r>
                </w:p>
              </w:tc>
            </w:tr>
            <w:tr w14:paraId="75D9D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104" w:type="dxa"/>
                  <w:vMerge w:val="continue"/>
                  <w:tcBorders>
                    <w:tl2br w:val="nil"/>
                    <w:tr2bl w:val="nil"/>
                  </w:tcBorders>
                  <w:vAlign w:val="center"/>
                </w:tcPr>
                <w:p w14:paraId="7AC215F0">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643941FF">
                  <w:pPr>
                    <w:spacing w:line="240" w:lineRule="auto"/>
                    <w:jc w:val="center"/>
                    <w:rPr>
                      <w:rFonts w:hint="eastAsia"/>
                      <w:color w:val="auto"/>
                      <w:kern w:val="0"/>
                      <w:sz w:val="21"/>
                      <w:szCs w:val="21"/>
                      <w:highlight w:val="none"/>
                      <w:vertAlign w:val="baseline"/>
                    </w:rPr>
                  </w:pPr>
                </w:p>
              </w:tc>
              <w:tc>
                <w:tcPr>
                  <w:tcW w:w="1718" w:type="dxa"/>
                  <w:vMerge w:val="continue"/>
                  <w:tcBorders>
                    <w:tl2br w:val="nil"/>
                    <w:tr2bl w:val="nil"/>
                  </w:tcBorders>
                  <w:vAlign w:val="center"/>
                </w:tcPr>
                <w:p w14:paraId="4DA5739F">
                  <w:pPr>
                    <w:spacing w:line="240" w:lineRule="auto"/>
                    <w:jc w:val="center"/>
                    <w:rPr>
                      <w:rFonts w:hint="eastAsia"/>
                      <w:color w:val="auto"/>
                      <w:kern w:val="0"/>
                      <w:sz w:val="21"/>
                      <w:szCs w:val="21"/>
                      <w:highlight w:val="none"/>
                      <w:vertAlign w:val="baseline"/>
                    </w:rPr>
                  </w:pPr>
                </w:p>
              </w:tc>
              <w:tc>
                <w:tcPr>
                  <w:tcW w:w="1009" w:type="dxa"/>
                  <w:vMerge w:val="continue"/>
                  <w:tcBorders>
                    <w:tl2br w:val="nil"/>
                    <w:tr2bl w:val="nil"/>
                  </w:tcBorders>
                  <w:vAlign w:val="center"/>
                </w:tcPr>
                <w:p w14:paraId="444E6963">
                  <w:pPr>
                    <w:spacing w:line="240" w:lineRule="auto"/>
                    <w:jc w:val="center"/>
                    <w:rPr>
                      <w:rFonts w:hint="eastAsia"/>
                      <w:color w:val="auto"/>
                      <w:kern w:val="0"/>
                      <w:sz w:val="21"/>
                      <w:szCs w:val="21"/>
                      <w:highlight w:val="none"/>
                      <w:vertAlign w:val="baseline"/>
                    </w:rPr>
                  </w:pPr>
                </w:p>
              </w:tc>
              <w:tc>
                <w:tcPr>
                  <w:tcW w:w="819" w:type="dxa"/>
                  <w:tcBorders>
                    <w:tl2br w:val="nil"/>
                    <w:tr2bl w:val="nil"/>
                  </w:tcBorders>
                  <w:vAlign w:val="center"/>
                </w:tcPr>
                <w:p w14:paraId="0FF9384E">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第1次</w:t>
                  </w:r>
                </w:p>
              </w:tc>
              <w:tc>
                <w:tcPr>
                  <w:tcW w:w="1009" w:type="dxa"/>
                  <w:tcBorders>
                    <w:tl2br w:val="nil"/>
                    <w:tr2bl w:val="nil"/>
                  </w:tcBorders>
                  <w:vAlign w:val="center"/>
                </w:tcPr>
                <w:p w14:paraId="5AA3A830">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第2次</w:t>
                  </w:r>
                </w:p>
              </w:tc>
              <w:tc>
                <w:tcPr>
                  <w:tcW w:w="982" w:type="dxa"/>
                  <w:tcBorders>
                    <w:tl2br w:val="nil"/>
                    <w:tr2bl w:val="nil"/>
                  </w:tcBorders>
                  <w:vAlign w:val="center"/>
                </w:tcPr>
                <w:p w14:paraId="58420BEF">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第3次</w:t>
                  </w:r>
                </w:p>
              </w:tc>
              <w:tc>
                <w:tcPr>
                  <w:tcW w:w="911" w:type="dxa"/>
                  <w:tcBorders>
                    <w:tl2br w:val="nil"/>
                    <w:tr2bl w:val="nil"/>
                  </w:tcBorders>
                  <w:vAlign w:val="center"/>
                </w:tcPr>
                <w:p w14:paraId="7F876549">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平均值</w:t>
                  </w:r>
                </w:p>
              </w:tc>
            </w:tr>
            <w:tr w14:paraId="286F8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restart"/>
                  <w:tcBorders>
                    <w:tl2br w:val="nil"/>
                    <w:tr2bl w:val="nil"/>
                  </w:tcBorders>
                  <w:vAlign w:val="center"/>
                </w:tcPr>
                <w:p w14:paraId="6A51E889">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2024年12月19日</w:t>
                  </w:r>
                </w:p>
              </w:tc>
              <w:tc>
                <w:tcPr>
                  <w:tcW w:w="1063" w:type="dxa"/>
                  <w:vMerge w:val="restart"/>
                  <w:tcBorders>
                    <w:tl2br w:val="nil"/>
                    <w:tr2bl w:val="nil"/>
                  </w:tcBorders>
                  <w:vAlign w:val="center"/>
                </w:tcPr>
                <w:p w14:paraId="6354A63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E1生活污水排放口</w:t>
                  </w:r>
                </w:p>
              </w:tc>
              <w:tc>
                <w:tcPr>
                  <w:tcW w:w="1718" w:type="dxa"/>
                  <w:tcBorders>
                    <w:tl2br w:val="nil"/>
                    <w:tr2bl w:val="nil"/>
                  </w:tcBorders>
                  <w:vAlign w:val="center"/>
                </w:tcPr>
                <w:p w14:paraId="4164B3D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pH值</w:t>
                  </w:r>
                </w:p>
              </w:tc>
              <w:tc>
                <w:tcPr>
                  <w:tcW w:w="1009" w:type="dxa"/>
                  <w:tcBorders>
                    <w:tl2br w:val="nil"/>
                    <w:tr2bl w:val="nil"/>
                  </w:tcBorders>
                  <w:vAlign w:val="center"/>
                </w:tcPr>
                <w:p w14:paraId="244E056C">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无量纲</w:t>
                  </w:r>
                </w:p>
              </w:tc>
              <w:tc>
                <w:tcPr>
                  <w:tcW w:w="819" w:type="dxa"/>
                  <w:tcBorders>
                    <w:tl2br w:val="nil"/>
                    <w:tr2bl w:val="nil"/>
                  </w:tcBorders>
                  <w:vAlign w:val="center"/>
                </w:tcPr>
                <w:p w14:paraId="34448D1A">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7.5</w:t>
                  </w:r>
                </w:p>
              </w:tc>
              <w:tc>
                <w:tcPr>
                  <w:tcW w:w="1009" w:type="dxa"/>
                  <w:tcBorders>
                    <w:tl2br w:val="nil"/>
                    <w:tr2bl w:val="nil"/>
                  </w:tcBorders>
                  <w:vAlign w:val="center"/>
                </w:tcPr>
                <w:p w14:paraId="1BF85FC8">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7.5</w:t>
                  </w:r>
                </w:p>
              </w:tc>
              <w:tc>
                <w:tcPr>
                  <w:tcW w:w="982" w:type="dxa"/>
                  <w:tcBorders>
                    <w:tl2br w:val="nil"/>
                    <w:tr2bl w:val="nil"/>
                  </w:tcBorders>
                  <w:vAlign w:val="center"/>
                </w:tcPr>
                <w:p w14:paraId="6E61CE3F">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7.6</w:t>
                  </w:r>
                </w:p>
              </w:tc>
              <w:tc>
                <w:tcPr>
                  <w:tcW w:w="911" w:type="dxa"/>
                  <w:tcBorders>
                    <w:tl2br w:val="nil"/>
                    <w:tr2bl w:val="nil"/>
                  </w:tcBorders>
                  <w:vAlign w:val="center"/>
                </w:tcPr>
                <w:p w14:paraId="78220885">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w:t>
                  </w:r>
                </w:p>
              </w:tc>
            </w:tr>
            <w:tr w14:paraId="5CEED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4B4AD9D3">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7667A2E9">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62EDDCFB">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化学需氧量</w:t>
                  </w:r>
                </w:p>
              </w:tc>
              <w:tc>
                <w:tcPr>
                  <w:tcW w:w="1009" w:type="dxa"/>
                  <w:tcBorders>
                    <w:tl2br w:val="nil"/>
                    <w:tr2bl w:val="nil"/>
                  </w:tcBorders>
                  <w:vAlign w:val="center"/>
                </w:tcPr>
                <w:p w14:paraId="3B708B2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025039F8">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117</w:t>
                  </w:r>
                </w:p>
              </w:tc>
              <w:tc>
                <w:tcPr>
                  <w:tcW w:w="1009" w:type="dxa"/>
                  <w:tcBorders>
                    <w:tl2br w:val="nil"/>
                    <w:tr2bl w:val="nil"/>
                  </w:tcBorders>
                  <w:vAlign w:val="center"/>
                </w:tcPr>
                <w:p w14:paraId="489C7AA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142</w:t>
                  </w:r>
                </w:p>
              </w:tc>
              <w:tc>
                <w:tcPr>
                  <w:tcW w:w="982" w:type="dxa"/>
                  <w:tcBorders>
                    <w:tl2br w:val="nil"/>
                    <w:tr2bl w:val="nil"/>
                  </w:tcBorders>
                  <w:vAlign w:val="center"/>
                </w:tcPr>
                <w:p w14:paraId="704298FF">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125</w:t>
                  </w:r>
                </w:p>
              </w:tc>
              <w:tc>
                <w:tcPr>
                  <w:tcW w:w="911" w:type="dxa"/>
                  <w:tcBorders>
                    <w:tl2br w:val="nil"/>
                    <w:tr2bl w:val="nil"/>
                  </w:tcBorders>
                  <w:vAlign w:val="center"/>
                </w:tcPr>
                <w:p w14:paraId="46D4CB25">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128</w:t>
                  </w:r>
                </w:p>
              </w:tc>
            </w:tr>
            <w:tr w14:paraId="121E9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5F6633AB">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2206FDFF">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29AEFFD3">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氨氮</w:t>
                  </w:r>
                </w:p>
              </w:tc>
              <w:tc>
                <w:tcPr>
                  <w:tcW w:w="1009" w:type="dxa"/>
                  <w:tcBorders>
                    <w:tl2br w:val="nil"/>
                    <w:tr2bl w:val="nil"/>
                  </w:tcBorders>
                  <w:vAlign w:val="center"/>
                </w:tcPr>
                <w:p w14:paraId="4BFEDA47">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267C7C5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12.0</w:t>
                  </w:r>
                </w:p>
              </w:tc>
              <w:tc>
                <w:tcPr>
                  <w:tcW w:w="1009" w:type="dxa"/>
                  <w:tcBorders>
                    <w:tl2br w:val="nil"/>
                    <w:tr2bl w:val="nil"/>
                  </w:tcBorders>
                  <w:vAlign w:val="center"/>
                </w:tcPr>
                <w:p w14:paraId="725777B9">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11.4</w:t>
                  </w:r>
                </w:p>
              </w:tc>
              <w:tc>
                <w:tcPr>
                  <w:tcW w:w="982" w:type="dxa"/>
                  <w:tcBorders>
                    <w:tl2br w:val="nil"/>
                    <w:tr2bl w:val="nil"/>
                  </w:tcBorders>
                  <w:vAlign w:val="center"/>
                </w:tcPr>
                <w:p w14:paraId="38E670F2">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11.6</w:t>
                  </w:r>
                </w:p>
              </w:tc>
              <w:tc>
                <w:tcPr>
                  <w:tcW w:w="911" w:type="dxa"/>
                  <w:tcBorders>
                    <w:tl2br w:val="nil"/>
                    <w:tr2bl w:val="nil"/>
                  </w:tcBorders>
                  <w:vAlign w:val="center"/>
                </w:tcPr>
                <w:p w14:paraId="3B7AEE06">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11.7</w:t>
                  </w:r>
                </w:p>
              </w:tc>
            </w:tr>
            <w:tr w14:paraId="0F08A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04" w:type="dxa"/>
                  <w:vMerge w:val="continue"/>
                  <w:tcBorders>
                    <w:tl2br w:val="nil"/>
                    <w:tr2bl w:val="nil"/>
                  </w:tcBorders>
                  <w:vAlign w:val="center"/>
                </w:tcPr>
                <w:p w14:paraId="27E5901A">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6226A075">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2EAEBEAF">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五日生化需氧量</w:t>
                  </w:r>
                </w:p>
              </w:tc>
              <w:tc>
                <w:tcPr>
                  <w:tcW w:w="1009" w:type="dxa"/>
                  <w:tcBorders>
                    <w:tl2br w:val="nil"/>
                    <w:tr2bl w:val="nil"/>
                  </w:tcBorders>
                  <w:vAlign w:val="center"/>
                </w:tcPr>
                <w:p w14:paraId="6CA9C3FA">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571DF094">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37.0</w:t>
                  </w:r>
                </w:p>
              </w:tc>
              <w:tc>
                <w:tcPr>
                  <w:tcW w:w="1009" w:type="dxa"/>
                  <w:tcBorders>
                    <w:tl2br w:val="nil"/>
                    <w:tr2bl w:val="nil"/>
                  </w:tcBorders>
                  <w:vAlign w:val="center"/>
                </w:tcPr>
                <w:p w14:paraId="763954D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47.4</w:t>
                  </w:r>
                </w:p>
              </w:tc>
              <w:tc>
                <w:tcPr>
                  <w:tcW w:w="982" w:type="dxa"/>
                  <w:tcBorders>
                    <w:tl2br w:val="nil"/>
                    <w:tr2bl w:val="nil"/>
                  </w:tcBorders>
                  <w:vAlign w:val="center"/>
                </w:tcPr>
                <w:p w14:paraId="30D9227F">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42.2</w:t>
                  </w:r>
                </w:p>
              </w:tc>
              <w:tc>
                <w:tcPr>
                  <w:tcW w:w="911" w:type="dxa"/>
                  <w:tcBorders>
                    <w:tl2br w:val="nil"/>
                    <w:tr2bl w:val="nil"/>
                  </w:tcBorders>
                  <w:vAlign w:val="center"/>
                </w:tcPr>
                <w:p w14:paraId="580207C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42.2</w:t>
                  </w:r>
                </w:p>
              </w:tc>
            </w:tr>
            <w:tr w14:paraId="53089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337042AD">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3E45F22D">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2D6F0F53">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悬浮物</w:t>
                  </w:r>
                </w:p>
              </w:tc>
              <w:tc>
                <w:tcPr>
                  <w:tcW w:w="1009" w:type="dxa"/>
                  <w:tcBorders>
                    <w:tl2br w:val="nil"/>
                    <w:tr2bl w:val="nil"/>
                  </w:tcBorders>
                  <w:vAlign w:val="center"/>
                </w:tcPr>
                <w:p w14:paraId="28FE6429">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0B704859">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26</w:t>
                  </w:r>
                </w:p>
              </w:tc>
              <w:tc>
                <w:tcPr>
                  <w:tcW w:w="1009" w:type="dxa"/>
                  <w:tcBorders>
                    <w:tl2br w:val="nil"/>
                    <w:tr2bl w:val="nil"/>
                  </w:tcBorders>
                  <w:vAlign w:val="center"/>
                </w:tcPr>
                <w:p w14:paraId="21BF7447">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23</w:t>
                  </w:r>
                </w:p>
              </w:tc>
              <w:tc>
                <w:tcPr>
                  <w:tcW w:w="982" w:type="dxa"/>
                  <w:tcBorders>
                    <w:tl2br w:val="nil"/>
                    <w:tr2bl w:val="nil"/>
                  </w:tcBorders>
                  <w:vAlign w:val="center"/>
                </w:tcPr>
                <w:p w14:paraId="22C6C67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20</w:t>
                  </w:r>
                </w:p>
              </w:tc>
              <w:tc>
                <w:tcPr>
                  <w:tcW w:w="911" w:type="dxa"/>
                  <w:tcBorders>
                    <w:tl2br w:val="nil"/>
                    <w:tr2bl w:val="nil"/>
                  </w:tcBorders>
                  <w:vAlign w:val="center"/>
                </w:tcPr>
                <w:p w14:paraId="4D72248D">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23</w:t>
                  </w:r>
                </w:p>
              </w:tc>
            </w:tr>
            <w:tr w14:paraId="01A47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2A6D72A6">
                  <w:pPr>
                    <w:spacing w:line="240" w:lineRule="auto"/>
                    <w:jc w:val="center"/>
                    <w:rPr>
                      <w:rFonts w:hint="eastAsia"/>
                      <w:color w:val="auto"/>
                      <w:kern w:val="0"/>
                      <w:sz w:val="21"/>
                      <w:szCs w:val="21"/>
                      <w:highlight w:val="none"/>
                      <w:vertAlign w:val="baseline"/>
                    </w:rPr>
                  </w:pPr>
                </w:p>
              </w:tc>
              <w:tc>
                <w:tcPr>
                  <w:tcW w:w="1063" w:type="dxa"/>
                  <w:vMerge w:val="restart"/>
                  <w:tcBorders>
                    <w:tl2br w:val="nil"/>
                    <w:tr2bl w:val="nil"/>
                  </w:tcBorders>
                  <w:vAlign w:val="center"/>
                </w:tcPr>
                <w:p w14:paraId="347C20E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E2清洗废水排放口</w:t>
                  </w:r>
                </w:p>
              </w:tc>
              <w:tc>
                <w:tcPr>
                  <w:tcW w:w="1718" w:type="dxa"/>
                  <w:tcBorders>
                    <w:tl2br w:val="nil"/>
                    <w:tr2bl w:val="nil"/>
                  </w:tcBorders>
                  <w:vAlign w:val="center"/>
                </w:tcPr>
                <w:p w14:paraId="69907BE9">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pH值</w:t>
                  </w:r>
                </w:p>
              </w:tc>
              <w:tc>
                <w:tcPr>
                  <w:tcW w:w="1009" w:type="dxa"/>
                  <w:tcBorders>
                    <w:tl2br w:val="nil"/>
                    <w:tr2bl w:val="nil"/>
                  </w:tcBorders>
                  <w:vAlign w:val="center"/>
                </w:tcPr>
                <w:p w14:paraId="6049847E">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无量纲</w:t>
                  </w:r>
                </w:p>
              </w:tc>
              <w:tc>
                <w:tcPr>
                  <w:tcW w:w="819" w:type="dxa"/>
                  <w:tcBorders>
                    <w:tl2br w:val="nil"/>
                    <w:tr2bl w:val="nil"/>
                  </w:tcBorders>
                  <w:vAlign w:val="center"/>
                </w:tcPr>
                <w:p w14:paraId="0255335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6.8</w:t>
                  </w:r>
                </w:p>
              </w:tc>
              <w:tc>
                <w:tcPr>
                  <w:tcW w:w="1009" w:type="dxa"/>
                  <w:tcBorders>
                    <w:tl2br w:val="nil"/>
                    <w:tr2bl w:val="nil"/>
                  </w:tcBorders>
                  <w:vAlign w:val="center"/>
                </w:tcPr>
                <w:p w14:paraId="3540BC3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6.9</w:t>
                  </w:r>
                </w:p>
              </w:tc>
              <w:tc>
                <w:tcPr>
                  <w:tcW w:w="982" w:type="dxa"/>
                  <w:tcBorders>
                    <w:tl2br w:val="nil"/>
                    <w:tr2bl w:val="nil"/>
                  </w:tcBorders>
                  <w:vAlign w:val="center"/>
                </w:tcPr>
                <w:p w14:paraId="05424E6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6.9</w:t>
                  </w:r>
                </w:p>
              </w:tc>
              <w:tc>
                <w:tcPr>
                  <w:tcW w:w="911" w:type="dxa"/>
                  <w:tcBorders>
                    <w:tl2br w:val="nil"/>
                    <w:tr2bl w:val="nil"/>
                  </w:tcBorders>
                  <w:vAlign w:val="center"/>
                </w:tcPr>
                <w:p w14:paraId="7AFD96D5">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w:t>
                  </w:r>
                </w:p>
              </w:tc>
            </w:tr>
            <w:tr w14:paraId="75F57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07128936">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104BE910">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5B9D4B95">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化学需氧量</w:t>
                  </w:r>
                </w:p>
              </w:tc>
              <w:tc>
                <w:tcPr>
                  <w:tcW w:w="1009" w:type="dxa"/>
                  <w:tcBorders>
                    <w:tl2br w:val="nil"/>
                    <w:tr2bl w:val="nil"/>
                  </w:tcBorders>
                  <w:vAlign w:val="center"/>
                </w:tcPr>
                <w:p w14:paraId="55AC2E38">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271341F6">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20.5</w:t>
                  </w:r>
                </w:p>
              </w:tc>
              <w:tc>
                <w:tcPr>
                  <w:tcW w:w="1009" w:type="dxa"/>
                  <w:tcBorders>
                    <w:tl2br w:val="nil"/>
                    <w:tr2bl w:val="nil"/>
                  </w:tcBorders>
                  <w:vAlign w:val="center"/>
                </w:tcPr>
                <w:p w14:paraId="5B9530A8">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27.2</w:t>
                  </w:r>
                </w:p>
              </w:tc>
              <w:tc>
                <w:tcPr>
                  <w:tcW w:w="982" w:type="dxa"/>
                  <w:tcBorders>
                    <w:tl2br w:val="nil"/>
                    <w:tr2bl w:val="nil"/>
                  </w:tcBorders>
                  <w:vAlign w:val="center"/>
                </w:tcPr>
                <w:p w14:paraId="1D9DD41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29.8</w:t>
                  </w:r>
                </w:p>
              </w:tc>
              <w:tc>
                <w:tcPr>
                  <w:tcW w:w="911" w:type="dxa"/>
                  <w:tcBorders>
                    <w:tl2br w:val="nil"/>
                    <w:tr2bl w:val="nil"/>
                  </w:tcBorders>
                  <w:vAlign w:val="center"/>
                </w:tcPr>
                <w:p w14:paraId="540F759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25.8</w:t>
                  </w:r>
                </w:p>
              </w:tc>
            </w:tr>
            <w:tr w14:paraId="186F6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150D0125">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5D311E78">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7E813569">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氨氮</w:t>
                  </w:r>
                </w:p>
              </w:tc>
              <w:tc>
                <w:tcPr>
                  <w:tcW w:w="1009" w:type="dxa"/>
                  <w:tcBorders>
                    <w:tl2br w:val="nil"/>
                    <w:tr2bl w:val="nil"/>
                  </w:tcBorders>
                  <w:vAlign w:val="center"/>
                </w:tcPr>
                <w:p w14:paraId="7FB79F02">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4D44DAD0">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0.759</w:t>
                  </w:r>
                </w:p>
              </w:tc>
              <w:tc>
                <w:tcPr>
                  <w:tcW w:w="1009" w:type="dxa"/>
                  <w:tcBorders>
                    <w:tl2br w:val="nil"/>
                    <w:tr2bl w:val="nil"/>
                  </w:tcBorders>
                  <w:vAlign w:val="center"/>
                </w:tcPr>
                <w:p w14:paraId="52DF84ED">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0.866</w:t>
                  </w:r>
                </w:p>
              </w:tc>
              <w:tc>
                <w:tcPr>
                  <w:tcW w:w="982" w:type="dxa"/>
                  <w:tcBorders>
                    <w:tl2br w:val="nil"/>
                    <w:tr2bl w:val="nil"/>
                  </w:tcBorders>
                  <w:vAlign w:val="center"/>
                </w:tcPr>
                <w:p w14:paraId="26776D7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0.825</w:t>
                  </w:r>
                </w:p>
              </w:tc>
              <w:tc>
                <w:tcPr>
                  <w:tcW w:w="911" w:type="dxa"/>
                  <w:tcBorders>
                    <w:tl2br w:val="nil"/>
                    <w:tr2bl w:val="nil"/>
                  </w:tcBorders>
                  <w:vAlign w:val="center"/>
                </w:tcPr>
                <w:p w14:paraId="745D44F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0.817</w:t>
                  </w:r>
                </w:p>
              </w:tc>
            </w:tr>
            <w:tr w14:paraId="781B5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616137A0">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20560D3B">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053C8D12">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五日生化需氧量</w:t>
                  </w:r>
                </w:p>
              </w:tc>
              <w:tc>
                <w:tcPr>
                  <w:tcW w:w="1009" w:type="dxa"/>
                  <w:tcBorders>
                    <w:tl2br w:val="nil"/>
                    <w:tr2bl w:val="nil"/>
                  </w:tcBorders>
                  <w:vAlign w:val="center"/>
                </w:tcPr>
                <w:p w14:paraId="0F5E2754">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140F780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6.1</w:t>
                  </w:r>
                </w:p>
              </w:tc>
              <w:tc>
                <w:tcPr>
                  <w:tcW w:w="1009" w:type="dxa"/>
                  <w:tcBorders>
                    <w:tl2br w:val="nil"/>
                    <w:tr2bl w:val="nil"/>
                  </w:tcBorders>
                  <w:vAlign w:val="center"/>
                </w:tcPr>
                <w:p w14:paraId="7E78D9D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9.5</w:t>
                  </w:r>
                </w:p>
              </w:tc>
              <w:tc>
                <w:tcPr>
                  <w:tcW w:w="982" w:type="dxa"/>
                  <w:tcBorders>
                    <w:tl2br w:val="nil"/>
                    <w:tr2bl w:val="nil"/>
                  </w:tcBorders>
                  <w:vAlign w:val="center"/>
                </w:tcPr>
                <w:p w14:paraId="69246470">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10.9</w:t>
                  </w:r>
                </w:p>
              </w:tc>
              <w:tc>
                <w:tcPr>
                  <w:tcW w:w="911" w:type="dxa"/>
                  <w:tcBorders>
                    <w:tl2br w:val="nil"/>
                    <w:tr2bl w:val="nil"/>
                  </w:tcBorders>
                  <w:vAlign w:val="center"/>
                </w:tcPr>
                <w:p w14:paraId="2D3B476F">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8.8</w:t>
                  </w:r>
                </w:p>
              </w:tc>
            </w:tr>
            <w:tr w14:paraId="555E3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61B76598">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4CA13B87">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1EF7D07C">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悬浮物</w:t>
                  </w:r>
                </w:p>
              </w:tc>
              <w:tc>
                <w:tcPr>
                  <w:tcW w:w="1009" w:type="dxa"/>
                  <w:tcBorders>
                    <w:tl2br w:val="nil"/>
                    <w:tr2bl w:val="nil"/>
                  </w:tcBorders>
                  <w:vAlign w:val="center"/>
                </w:tcPr>
                <w:p w14:paraId="6A0E6ADA">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0EE7388D">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10</w:t>
                  </w:r>
                </w:p>
              </w:tc>
              <w:tc>
                <w:tcPr>
                  <w:tcW w:w="1009" w:type="dxa"/>
                  <w:tcBorders>
                    <w:tl2br w:val="nil"/>
                    <w:tr2bl w:val="nil"/>
                  </w:tcBorders>
                  <w:vAlign w:val="center"/>
                </w:tcPr>
                <w:p w14:paraId="2CE5FC7D">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9</w:t>
                  </w:r>
                </w:p>
              </w:tc>
              <w:tc>
                <w:tcPr>
                  <w:tcW w:w="982" w:type="dxa"/>
                  <w:tcBorders>
                    <w:tl2br w:val="nil"/>
                    <w:tr2bl w:val="nil"/>
                  </w:tcBorders>
                  <w:vAlign w:val="center"/>
                </w:tcPr>
                <w:p w14:paraId="2B7C7C24">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15</w:t>
                  </w:r>
                </w:p>
              </w:tc>
              <w:tc>
                <w:tcPr>
                  <w:tcW w:w="911" w:type="dxa"/>
                  <w:tcBorders>
                    <w:tl2br w:val="nil"/>
                    <w:tr2bl w:val="nil"/>
                  </w:tcBorders>
                  <w:vAlign w:val="center"/>
                </w:tcPr>
                <w:p w14:paraId="4ED98587">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w:t>
                  </w:r>
                </w:p>
              </w:tc>
            </w:tr>
            <w:tr w14:paraId="39192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restart"/>
                  <w:tcBorders>
                    <w:tl2br w:val="nil"/>
                    <w:tr2bl w:val="nil"/>
                  </w:tcBorders>
                  <w:vAlign w:val="center"/>
                </w:tcPr>
                <w:p w14:paraId="0A078517">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2024年12月20日</w:t>
                  </w:r>
                </w:p>
              </w:tc>
              <w:tc>
                <w:tcPr>
                  <w:tcW w:w="1063" w:type="dxa"/>
                  <w:vMerge w:val="restart"/>
                  <w:tcBorders>
                    <w:tl2br w:val="nil"/>
                    <w:tr2bl w:val="nil"/>
                  </w:tcBorders>
                  <w:vAlign w:val="center"/>
                </w:tcPr>
                <w:p w14:paraId="26440836">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E1生活污水排放口</w:t>
                  </w:r>
                </w:p>
              </w:tc>
              <w:tc>
                <w:tcPr>
                  <w:tcW w:w="1718" w:type="dxa"/>
                  <w:tcBorders>
                    <w:tl2br w:val="nil"/>
                    <w:tr2bl w:val="nil"/>
                  </w:tcBorders>
                  <w:vAlign w:val="center"/>
                </w:tcPr>
                <w:p w14:paraId="78787193">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pH值</w:t>
                  </w:r>
                </w:p>
              </w:tc>
              <w:tc>
                <w:tcPr>
                  <w:tcW w:w="1009" w:type="dxa"/>
                  <w:tcBorders>
                    <w:tl2br w:val="nil"/>
                    <w:tr2bl w:val="nil"/>
                  </w:tcBorders>
                  <w:vAlign w:val="center"/>
                </w:tcPr>
                <w:p w14:paraId="627148EC">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无量纲</w:t>
                  </w:r>
                </w:p>
              </w:tc>
              <w:tc>
                <w:tcPr>
                  <w:tcW w:w="819" w:type="dxa"/>
                  <w:tcBorders>
                    <w:tl2br w:val="nil"/>
                    <w:tr2bl w:val="nil"/>
                  </w:tcBorders>
                  <w:vAlign w:val="center"/>
                </w:tcPr>
                <w:p w14:paraId="0C4985B9">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7.6</w:t>
                  </w:r>
                </w:p>
              </w:tc>
              <w:tc>
                <w:tcPr>
                  <w:tcW w:w="1009" w:type="dxa"/>
                  <w:tcBorders>
                    <w:tl2br w:val="nil"/>
                    <w:tr2bl w:val="nil"/>
                  </w:tcBorders>
                  <w:vAlign w:val="center"/>
                </w:tcPr>
                <w:p w14:paraId="7CF9DF0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7.5</w:t>
                  </w:r>
                </w:p>
              </w:tc>
              <w:tc>
                <w:tcPr>
                  <w:tcW w:w="982" w:type="dxa"/>
                  <w:tcBorders>
                    <w:tl2br w:val="nil"/>
                    <w:tr2bl w:val="nil"/>
                  </w:tcBorders>
                  <w:vAlign w:val="center"/>
                </w:tcPr>
                <w:p w14:paraId="6567B9EF">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7.6</w:t>
                  </w:r>
                </w:p>
              </w:tc>
              <w:tc>
                <w:tcPr>
                  <w:tcW w:w="911" w:type="dxa"/>
                  <w:tcBorders>
                    <w:tl2br w:val="nil"/>
                    <w:tr2bl w:val="nil"/>
                  </w:tcBorders>
                  <w:vAlign w:val="center"/>
                </w:tcPr>
                <w:p w14:paraId="0966DF88">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w:t>
                  </w:r>
                </w:p>
              </w:tc>
            </w:tr>
            <w:tr w14:paraId="62B12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479C9F2A">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1C97A434">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700C2D13">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化学需氧量</w:t>
                  </w:r>
                </w:p>
              </w:tc>
              <w:tc>
                <w:tcPr>
                  <w:tcW w:w="1009" w:type="dxa"/>
                  <w:tcBorders>
                    <w:tl2br w:val="nil"/>
                    <w:tr2bl w:val="nil"/>
                  </w:tcBorders>
                  <w:vAlign w:val="center"/>
                </w:tcPr>
                <w:p w14:paraId="638E1E03">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4A5A3062">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106</w:t>
                  </w:r>
                </w:p>
              </w:tc>
              <w:tc>
                <w:tcPr>
                  <w:tcW w:w="1009" w:type="dxa"/>
                  <w:tcBorders>
                    <w:tl2br w:val="nil"/>
                    <w:tr2bl w:val="nil"/>
                  </w:tcBorders>
                  <w:vAlign w:val="center"/>
                </w:tcPr>
                <w:p w14:paraId="2CAE9135">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128</w:t>
                  </w:r>
                </w:p>
              </w:tc>
              <w:tc>
                <w:tcPr>
                  <w:tcW w:w="982" w:type="dxa"/>
                  <w:tcBorders>
                    <w:tl2br w:val="nil"/>
                    <w:tr2bl w:val="nil"/>
                  </w:tcBorders>
                  <w:vAlign w:val="center"/>
                </w:tcPr>
                <w:p w14:paraId="43851BC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120</w:t>
                  </w:r>
                </w:p>
              </w:tc>
              <w:tc>
                <w:tcPr>
                  <w:tcW w:w="911" w:type="dxa"/>
                  <w:tcBorders>
                    <w:tl2br w:val="nil"/>
                    <w:tr2bl w:val="nil"/>
                  </w:tcBorders>
                  <w:vAlign w:val="center"/>
                </w:tcPr>
                <w:p w14:paraId="7ABA805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118</w:t>
                  </w:r>
                </w:p>
              </w:tc>
            </w:tr>
            <w:tr w14:paraId="2C11F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19F904B3">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5E80E516">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57212204">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氨氮</w:t>
                  </w:r>
                </w:p>
              </w:tc>
              <w:tc>
                <w:tcPr>
                  <w:tcW w:w="1009" w:type="dxa"/>
                  <w:tcBorders>
                    <w:tl2br w:val="nil"/>
                    <w:tr2bl w:val="nil"/>
                  </w:tcBorders>
                  <w:vAlign w:val="center"/>
                </w:tcPr>
                <w:p w14:paraId="3D2CAD9B">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390E19D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12.9</w:t>
                  </w:r>
                </w:p>
              </w:tc>
              <w:tc>
                <w:tcPr>
                  <w:tcW w:w="1009" w:type="dxa"/>
                  <w:tcBorders>
                    <w:tl2br w:val="nil"/>
                    <w:tr2bl w:val="nil"/>
                  </w:tcBorders>
                  <w:vAlign w:val="center"/>
                </w:tcPr>
                <w:p w14:paraId="6A9084C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12.3</w:t>
                  </w:r>
                </w:p>
              </w:tc>
              <w:tc>
                <w:tcPr>
                  <w:tcW w:w="982" w:type="dxa"/>
                  <w:tcBorders>
                    <w:tl2br w:val="nil"/>
                    <w:tr2bl w:val="nil"/>
                  </w:tcBorders>
                  <w:vAlign w:val="center"/>
                </w:tcPr>
                <w:p w14:paraId="6A3F280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11.9</w:t>
                  </w:r>
                </w:p>
              </w:tc>
              <w:tc>
                <w:tcPr>
                  <w:tcW w:w="911" w:type="dxa"/>
                  <w:tcBorders>
                    <w:tl2br w:val="nil"/>
                    <w:tr2bl w:val="nil"/>
                  </w:tcBorders>
                  <w:vAlign w:val="center"/>
                </w:tcPr>
                <w:p w14:paraId="7C14F90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12.4</w:t>
                  </w:r>
                </w:p>
              </w:tc>
            </w:tr>
            <w:tr w14:paraId="6DA7B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169BA62E">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00BDBF0F">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5850129A">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五日生化需氧量</w:t>
                  </w:r>
                </w:p>
              </w:tc>
              <w:tc>
                <w:tcPr>
                  <w:tcW w:w="1009" w:type="dxa"/>
                  <w:tcBorders>
                    <w:tl2br w:val="nil"/>
                    <w:tr2bl w:val="nil"/>
                  </w:tcBorders>
                  <w:vAlign w:val="center"/>
                </w:tcPr>
                <w:p w14:paraId="6EB15364">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4F5EAB56">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32.4</w:t>
                  </w:r>
                </w:p>
              </w:tc>
              <w:tc>
                <w:tcPr>
                  <w:tcW w:w="1009" w:type="dxa"/>
                  <w:tcBorders>
                    <w:tl2br w:val="nil"/>
                    <w:tr2bl w:val="nil"/>
                  </w:tcBorders>
                  <w:vAlign w:val="center"/>
                </w:tcPr>
                <w:p w14:paraId="1289FCA4">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41.9</w:t>
                  </w:r>
                </w:p>
              </w:tc>
              <w:tc>
                <w:tcPr>
                  <w:tcW w:w="982" w:type="dxa"/>
                  <w:tcBorders>
                    <w:tl2br w:val="nil"/>
                    <w:tr2bl w:val="nil"/>
                  </w:tcBorders>
                  <w:vAlign w:val="center"/>
                </w:tcPr>
                <w:p w14:paraId="4555724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38.6</w:t>
                  </w:r>
                </w:p>
              </w:tc>
              <w:tc>
                <w:tcPr>
                  <w:tcW w:w="911" w:type="dxa"/>
                  <w:tcBorders>
                    <w:tl2br w:val="nil"/>
                    <w:tr2bl w:val="nil"/>
                  </w:tcBorders>
                  <w:vAlign w:val="center"/>
                </w:tcPr>
                <w:p w14:paraId="6E64F0A6">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37.6</w:t>
                  </w:r>
                </w:p>
              </w:tc>
            </w:tr>
            <w:tr w14:paraId="42424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18ED5AF9">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2AE79352">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479B6F06">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悬浮物</w:t>
                  </w:r>
                </w:p>
              </w:tc>
              <w:tc>
                <w:tcPr>
                  <w:tcW w:w="1009" w:type="dxa"/>
                  <w:tcBorders>
                    <w:tl2br w:val="nil"/>
                    <w:tr2bl w:val="nil"/>
                  </w:tcBorders>
                  <w:vAlign w:val="center"/>
                </w:tcPr>
                <w:p w14:paraId="47BE80ED">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15D6F7F2">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19</w:t>
                  </w:r>
                </w:p>
              </w:tc>
              <w:tc>
                <w:tcPr>
                  <w:tcW w:w="1009" w:type="dxa"/>
                  <w:tcBorders>
                    <w:tl2br w:val="nil"/>
                    <w:tr2bl w:val="nil"/>
                  </w:tcBorders>
                  <w:vAlign w:val="center"/>
                </w:tcPr>
                <w:p w14:paraId="24C06364">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22</w:t>
                  </w:r>
                </w:p>
              </w:tc>
              <w:tc>
                <w:tcPr>
                  <w:tcW w:w="982" w:type="dxa"/>
                  <w:tcBorders>
                    <w:tl2br w:val="nil"/>
                    <w:tr2bl w:val="nil"/>
                  </w:tcBorders>
                  <w:vAlign w:val="center"/>
                </w:tcPr>
                <w:p w14:paraId="391FDB21">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24</w:t>
                  </w:r>
                </w:p>
              </w:tc>
              <w:tc>
                <w:tcPr>
                  <w:tcW w:w="911" w:type="dxa"/>
                  <w:tcBorders>
                    <w:tl2br w:val="nil"/>
                    <w:tr2bl w:val="nil"/>
                  </w:tcBorders>
                  <w:vAlign w:val="center"/>
                </w:tcPr>
                <w:p w14:paraId="7C8BD576">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22</w:t>
                  </w:r>
                </w:p>
              </w:tc>
            </w:tr>
            <w:tr w14:paraId="242C4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5E42FE06">
                  <w:pPr>
                    <w:spacing w:line="240" w:lineRule="auto"/>
                    <w:jc w:val="center"/>
                    <w:rPr>
                      <w:rFonts w:hint="eastAsia"/>
                      <w:color w:val="auto"/>
                      <w:kern w:val="0"/>
                      <w:sz w:val="21"/>
                      <w:szCs w:val="21"/>
                      <w:highlight w:val="none"/>
                      <w:vertAlign w:val="baseline"/>
                    </w:rPr>
                  </w:pPr>
                </w:p>
              </w:tc>
              <w:tc>
                <w:tcPr>
                  <w:tcW w:w="1063" w:type="dxa"/>
                  <w:vMerge w:val="restart"/>
                  <w:tcBorders>
                    <w:tl2br w:val="nil"/>
                    <w:tr2bl w:val="nil"/>
                  </w:tcBorders>
                  <w:vAlign w:val="center"/>
                </w:tcPr>
                <w:p w14:paraId="2E12C745">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E2清洗废水排放口</w:t>
                  </w:r>
                </w:p>
              </w:tc>
              <w:tc>
                <w:tcPr>
                  <w:tcW w:w="1718" w:type="dxa"/>
                  <w:tcBorders>
                    <w:tl2br w:val="nil"/>
                    <w:tr2bl w:val="nil"/>
                  </w:tcBorders>
                  <w:vAlign w:val="center"/>
                </w:tcPr>
                <w:p w14:paraId="250A42A5">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pH值</w:t>
                  </w:r>
                </w:p>
              </w:tc>
              <w:tc>
                <w:tcPr>
                  <w:tcW w:w="1009" w:type="dxa"/>
                  <w:tcBorders>
                    <w:tl2br w:val="nil"/>
                    <w:tr2bl w:val="nil"/>
                  </w:tcBorders>
                  <w:vAlign w:val="center"/>
                </w:tcPr>
                <w:p w14:paraId="48F13D88">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无量纲</w:t>
                  </w:r>
                </w:p>
              </w:tc>
              <w:tc>
                <w:tcPr>
                  <w:tcW w:w="819" w:type="dxa"/>
                  <w:tcBorders>
                    <w:tl2br w:val="nil"/>
                    <w:tr2bl w:val="nil"/>
                  </w:tcBorders>
                  <w:vAlign w:val="center"/>
                </w:tcPr>
                <w:p w14:paraId="4E209634">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6.8</w:t>
                  </w:r>
                </w:p>
              </w:tc>
              <w:tc>
                <w:tcPr>
                  <w:tcW w:w="1009" w:type="dxa"/>
                  <w:tcBorders>
                    <w:tl2br w:val="nil"/>
                    <w:tr2bl w:val="nil"/>
                  </w:tcBorders>
                  <w:vAlign w:val="center"/>
                </w:tcPr>
                <w:p w14:paraId="726D9B7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6.8</w:t>
                  </w:r>
                </w:p>
              </w:tc>
              <w:tc>
                <w:tcPr>
                  <w:tcW w:w="982" w:type="dxa"/>
                  <w:tcBorders>
                    <w:tl2br w:val="nil"/>
                    <w:tr2bl w:val="nil"/>
                  </w:tcBorders>
                  <w:vAlign w:val="center"/>
                </w:tcPr>
                <w:p w14:paraId="4ABF7B6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6.7</w:t>
                  </w:r>
                </w:p>
              </w:tc>
              <w:tc>
                <w:tcPr>
                  <w:tcW w:w="911" w:type="dxa"/>
                  <w:tcBorders>
                    <w:tl2br w:val="nil"/>
                    <w:tr2bl w:val="nil"/>
                  </w:tcBorders>
                  <w:vAlign w:val="center"/>
                </w:tcPr>
                <w:p w14:paraId="24820C82">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w:t>
                  </w:r>
                </w:p>
              </w:tc>
            </w:tr>
            <w:tr w14:paraId="2F3E4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1E6CE6EA">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1BCBC361">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200CDFB9">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化学需氧量</w:t>
                  </w:r>
                </w:p>
              </w:tc>
              <w:tc>
                <w:tcPr>
                  <w:tcW w:w="1009" w:type="dxa"/>
                  <w:tcBorders>
                    <w:tl2br w:val="nil"/>
                    <w:tr2bl w:val="nil"/>
                  </w:tcBorders>
                  <w:vAlign w:val="center"/>
                </w:tcPr>
                <w:p w14:paraId="0221D321">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689B94A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22.5</w:t>
                  </w:r>
                </w:p>
              </w:tc>
              <w:tc>
                <w:tcPr>
                  <w:tcW w:w="1009" w:type="dxa"/>
                  <w:tcBorders>
                    <w:tl2br w:val="nil"/>
                    <w:tr2bl w:val="nil"/>
                  </w:tcBorders>
                  <w:vAlign w:val="center"/>
                </w:tcPr>
                <w:p w14:paraId="76119C62">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26.1</w:t>
                  </w:r>
                </w:p>
              </w:tc>
              <w:tc>
                <w:tcPr>
                  <w:tcW w:w="982" w:type="dxa"/>
                  <w:tcBorders>
                    <w:tl2br w:val="nil"/>
                    <w:tr2bl w:val="nil"/>
                  </w:tcBorders>
                  <w:vAlign w:val="center"/>
                </w:tcPr>
                <w:p w14:paraId="6C761EF0">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17.0</w:t>
                  </w:r>
                </w:p>
              </w:tc>
              <w:tc>
                <w:tcPr>
                  <w:tcW w:w="911" w:type="dxa"/>
                  <w:tcBorders>
                    <w:tl2br w:val="nil"/>
                    <w:tr2bl w:val="nil"/>
                  </w:tcBorders>
                  <w:vAlign w:val="center"/>
                </w:tcPr>
                <w:p w14:paraId="08FB2716">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21.9</w:t>
                  </w:r>
                </w:p>
              </w:tc>
            </w:tr>
            <w:tr w14:paraId="32D76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18D468DC">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298A2FE4">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08BF68BC">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氨氮</w:t>
                  </w:r>
                </w:p>
              </w:tc>
              <w:tc>
                <w:tcPr>
                  <w:tcW w:w="1009" w:type="dxa"/>
                  <w:tcBorders>
                    <w:tl2br w:val="nil"/>
                    <w:tr2bl w:val="nil"/>
                  </w:tcBorders>
                  <w:vAlign w:val="center"/>
                </w:tcPr>
                <w:p w14:paraId="15A61794">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1B3C6A14">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0.759</w:t>
                  </w:r>
                </w:p>
              </w:tc>
              <w:tc>
                <w:tcPr>
                  <w:tcW w:w="1009" w:type="dxa"/>
                  <w:tcBorders>
                    <w:tl2br w:val="nil"/>
                    <w:tr2bl w:val="nil"/>
                  </w:tcBorders>
                  <w:vAlign w:val="center"/>
                </w:tcPr>
                <w:p w14:paraId="15F22D3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0.784</w:t>
                  </w:r>
                </w:p>
              </w:tc>
              <w:tc>
                <w:tcPr>
                  <w:tcW w:w="982" w:type="dxa"/>
                  <w:tcBorders>
                    <w:tl2br w:val="nil"/>
                    <w:tr2bl w:val="nil"/>
                  </w:tcBorders>
                  <w:vAlign w:val="center"/>
                </w:tcPr>
                <w:p w14:paraId="657CF995">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0.703</w:t>
                  </w:r>
                </w:p>
              </w:tc>
              <w:tc>
                <w:tcPr>
                  <w:tcW w:w="911" w:type="dxa"/>
                  <w:tcBorders>
                    <w:tl2br w:val="nil"/>
                    <w:tr2bl w:val="nil"/>
                  </w:tcBorders>
                  <w:vAlign w:val="center"/>
                </w:tcPr>
                <w:p w14:paraId="4FAEE70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0.749</w:t>
                  </w:r>
                </w:p>
              </w:tc>
            </w:tr>
            <w:tr w14:paraId="1A3EE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06A8EB48">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7EBBDE7C">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33988F89">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五日生化需氧量</w:t>
                  </w:r>
                </w:p>
              </w:tc>
              <w:tc>
                <w:tcPr>
                  <w:tcW w:w="1009" w:type="dxa"/>
                  <w:tcBorders>
                    <w:tl2br w:val="nil"/>
                    <w:tr2bl w:val="nil"/>
                  </w:tcBorders>
                  <w:vAlign w:val="center"/>
                </w:tcPr>
                <w:p w14:paraId="49E6CB09">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78FEE493">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7.9</w:t>
                  </w:r>
                </w:p>
              </w:tc>
              <w:tc>
                <w:tcPr>
                  <w:tcW w:w="1009" w:type="dxa"/>
                  <w:tcBorders>
                    <w:tl2br w:val="nil"/>
                    <w:tr2bl w:val="nil"/>
                  </w:tcBorders>
                  <w:vAlign w:val="center"/>
                </w:tcPr>
                <w:p w14:paraId="4F07A2FC">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8.3</w:t>
                  </w:r>
                </w:p>
              </w:tc>
              <w:tc>
                <w:tcPr>
                  <w:tcW w:w="982" w:type="dxa"/>
                  <w:tcBorders>
                    <w:tl2br w:val="nil"/>
                    <w:tr2bl w:val="nil"/>
                  </w:tcBorders>
                  <w:vAlign w:val="center"/>
                </w:tcPr>
                <w:p w14:paraId="4E615ECA">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5.2</w:t>
                  </w:r>
                </w:p>
              </w:tc>
              <w:tc>
                <w:tcPr>
                  <w:tcW w:w="911" w:type="dxa"/>
                  <w:tcBorders>
                    <w:tl2br w:val="nil"/>
                    <w:tr2bl w:val="nil"/>
                  </w:tcBorders>
                  <w:vAlign w:val="center"/>
                </w:tcPr>
                <w:p w14:paraId="36D61EBB">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7.1</w:t>
                  </w:r>
                </w:p>
              </w:tc>
            </w:tr>
            <w:tr w14:paraId="6AC1C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4" w:type="dxa"/>
                  <w:vMerge w:val="continue"/>
                  <w:tcBorders>
                    <w:tl2br w:val="nil"/>
                    <w:tr2bl w:val="nil"/>
                  </w:tcBorders>
                  <w:vAlign w:val="center"/>
                </w:tcPr>
                <w:p w14:paraId="1AD3DBA5">
                  <w:pPr>
                    <w:spacing w:line="240" w:lineRule="auto"/>
                    <w:jc w:val="center"/>
                    <w:rPr>
                      <w:rFonts w:hint="eastAsia"/>
                      <w:color w:val="auto"/>
                      <w:kern w:val="0"/>
                      <w:sz w:val="21"/>
                      <w:szCs w:val="21"/>
                      <w:highlight w:val="none"/>
                      <w:vertAlign w:val="baseline"/>
                    </w:rPr>
                  </w:pPr>
                </w:p>
              </w:tc>
              <w:tc>
                <w:tcPr>
                  <w:tcW w:w="1063" w:type="dxa"/>
                  <w:vMerge w:val="continue"/>
                  <w:tcBorders>
                    <w:tl2br w:val="nil"/>
                    <w:tr2bl w:val="nil"/>
                  </w:tcBorders>
                  <w:vAlign w:val="center"/>
                </w:tcPr>
                <w:p w14:paraId="287CEA3C">
                  <w:pPr>
                    <w:spacing w:line="240" w:lineRule="auto"/>
                    <w:jc w:val="center"/>
                    <w:rPr>
                      <w:rFonts w:hint="eastAsia"/>
                      <w:color w:val="auto"/>
                      <w:kern w:val="0"/>
                      <w:sz w:val="21"/>
                      <w:szCs w:val="21"/>
                      <w:highlight w:val="none"/>
                      <w:vertAlign w:val="baseline"/>
                    </w:rPr>
                  </w:pPr>
                </w:p>
              </w:tc>
              <w:tc>
                <w:tcPr>
                  <w:tcW w:w="1718" w:type="dxa"/>
                  <w:tcBorders>
                    <w:tl2br w:val="nil"/>
                    <w:tr2bl w:val="nil"/>
                  </w:tcBorders>
                  <w:vAlign w:val="center"/>
                </w:tcPr>
                <w:p w14:paraId="3B7CA8E8">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悬浮物</w:t>
                  </w:r>
                </w:p>
              </w:tc>
              <w:tc>
                <w:tcPr>
                  <w:tcW w:w="1009" w:type="dxa"/>
                  <w:tcBorders>
                    <w:tl2br w:val="nil"/>
                    <w:tr2bl w:val="nil"/>
                  </w:tcBorders>
                  <w:vAlign w:val="center"/>
                </w:tcPr>
                <w:p w14:paraId="4D186D70">
                  <w:pPr>
                    <w:spacing w:line="240" w:lineRule="auto"/>
                    <w:jc w:val="center"/>
                    <w:rPr>
                      <w:rFonts w:hint="eastAsia"/>
                      <w:color w:val="auto"/>
                      <w:kern w:val="0"/>
                      <w:sz w:val="21"/>
                      <w:szCs w:val="21"/>
                      <w:highlight w:val="none"/>
                      <w:vertAlign w:val="baseline"/>
                    </w:rPr>
                  </w:pPr>
                  <w:r>
                    <w:rPr>
                      <w:rFonts w:hint="eastAsia"/>
                      <w:color w:val="auto"/>
                      <w:kern w:val="0"/>
                      <w:sz w:val="21"/>
                      <w:szCs w:val="21"/>
                      <w:highlight w:val="none"/>
                      <w:vertAlign w:val="baseline"/>
                      <w:lang w:val="en-US" w:eastAsia="zh-CN"/>
                    </w:rPr>
                    <w:t>mg/L</w:t>
                  </w:r>
                </w:p>
              </w:tc>
              <w:tc>
                <w:tcPr>
                  <w:tcW w:w="819" w:type="dxa"/>
                  <w:tcBorders>
                    <w:tl2br w:val="nil"/>
                    <w:tr2bl w:val="nil"/>
                  </w:tcBorders>
                  <w:vAlign w:val="center"/>
                </w:tcPr>
                <w:p w14:paraId="14127CD8">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6</w:t>
                  </w:r>
                </w:p>
              </w:tc>
              <w:tc>
                <w:tcPr>
                  <w:tcW w:w="1009" w:type="dxa"/>
                  <w:tcBorders>
                    <w:tl2br w:val="nil"/>
                    <w:tr2bl w:val="nil"/>
                  </w:tcBorders>
                  <w:vAlign w:val="center"/>
                </w:tcPr>
                <w:p w14:paraId="0669E870">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8</w:t>
                  </w:r>
                </w:p>
              </w:tc>
              <w:tc>
                <w:tcPr>
                  <w:tcW w:w="982" w:type="dxa"/>
                  <w:tcBorders>
                    <w:tl2br w:val="nil"/>
                    <w:tr2bl w:val="nil"/>
                  </w:tcBorders>
                  <w:vAlign w:val="center"/>
                </w:tcPr>
                <w:p w14:paraId="38B84D2E">
                  <w:pPr>
                    <w:spacing w:line="240" w:lineRule="auto"/>
                    <w:jc w:val="center"/>
                    <w:rPr>
                      <w:rFonts w:hint="default"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14</w:t>
                  </w:r>
                </w:p>
              </w:tc>
              <w:tc>
                <w:tcPr>
                  <w:tcW w:w="911" w:type="dxa"/>
                  <w:tcBorders>
                    <w:tl2br w:val="nil"/>
                    <w:tr2bl w:val="nil"/>
                  </w:tcBorders>
                  <w:vAlign w:val="center"/>
                </w:tcPr>
                <w:p w14:paraId="31A5723C">
                  <w:pPr>
                    <w:spacing w:line="240" w:lineRule="auto"/>
                    <w:jc w:val="center"/>
                    <w:rPr>
                      <w:rFonts w:hint="eastAsia" w:eastAsia="宋体"/>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9</w:t>
                  </w:r>
                </w:p>
              </w:tc>
            </w:tr>
          </w:tbl>
          <w:p w14:paraId="4028A4D7">
            <w:pPr>
              <w:adjustRightInd w:val="0"/>
              <w:snapToGrid w:val="0"/>
              <w:spacing w:before="120" w:beforeLines="50" w:line="360" w:lineRule="auto"/>
              <w:ind w:firstLine="480" w:firstLineChars="200"/>
              <w:rPr>
                <w:rFonts w:hint="eastAsia"/>
                <w:color w:val="auto"/>
                <w:sz w:val="24"/>
                <w:highlight w:val="none"/>
                <w:lang w:val="en-US" w:eastAsia="zh-CN"/>
              </w:rPr>
            </w:pPr>
            <w:r>
              <w:rPr>
                <w:color w:val="auto"/>
                <w:sz w:val="24"/>
                <w:highlight w:val="none"/>
              </w:rPr>
              <w:t>根据表</w:t>
            </w:r>
            <w:r>
              <w:rPr>
                <w:rFonts w:hint="eastAsia"/>
                <w:color w:val="auto"/>
                <w:sz w:val="24"/>
                <w:highlight w:val="none"/>
              </w:rPr>
              <w:t>2-1</w:t>
            </w:r>
            <w:r>
              <w:rPr>
                <w:rFonts w:hint="eastAsia"/>
                <w:color w:val="auto"/>
                <w:sz w:val="24"/>
                <w:highlight w:val="none"/>
                <w:lang w:val="en-US" w:eastAsia="zh-CN"/>
              </w:rPr>
              <w:t>6</w:t>
            </w:r>
            <w:r>
              <w:rPr>
                <w:color w:val="auto"/>
                <w:sz w:val="24"/>
                <w:highlight w:val="none"/>
              </w:rPr>
              <w:t>可知，</w:t>
            </w:r>
            <w:r>
              <w:rPr>
                <w:rFonts w:hint="eastAsia"/>
                <w:color w:val="auto"/>
                <w:sz w:val="24"/>
                <w:highlight w:val="none"/>
              </w:rPr>
              <w:t>现有工程竣工验收</w:t>
            </w:r>
            <w:r>
              <w:rPr>
                <w:rFonts w:hint="eastAsia"/>
                <w:color w:val="auto"/>
                <w:sz w:val="24"/>
                <w:highlight w:val="none"/>
                <w:lang w:val="en-US" w:eastAsia="zh-CN"/>
              </w:rPr>
              <w:t>期间，生活污水pH值范围为7.5~7.6之间，BOD最大值为47.4mg/L，COD最大值为142mg/L，氨氮最大值12.9mg/L，SS最大日均值26mg/L，满足《污水综合排放标准》(GB8978-1996)表4三级标准，氨氮满足《污水排入城镇下水道水质标准》(GB/T31962-2015)表1中B等级标准；清洗废水pH值范围为6.7~6.9之间，BOD</w:t>
            </w:r>
            <w:r>
              <w:rPr>
                <w:rFonts w:hint="eastAsia"/>
                <w:color w:val="auto"/>
                <w:sz w:val="24"/>
                <w:highlight w:val="none"/>
                <w:vertAlign w:val="subscript"/>
                <w:lang w:val="en-US" w:eastAsia="zh-CN"/>
              </w:rPr>
              <w:t>5</w:t>
            </w:r>
            <w:r>
              <w:rPr>
                <w:rFonts w:hint="eastAsia"/>
                <w:color w:val="auto"/>
                <w:sz w:val="24"/>
                <w:highlight w:val="none"/>
                <w:lang w:val="en-US" w:eastAsia="zh-CN"/>
              </w:rPr>
              <w:t>最大值10.9mg/L，COD 最大值为29.8mg/L，氨氮最大值0.866mg/L，SS最大日均值15mg/L，满足《污水综合排放标准》(GB 8978-1996)表4三级标准，氨氮满足《污水排入城镇下水道水质标准》(GB/T31962-2015)表1中B等级标准。</w:t>
            </w:r>
          </w:p>
          <w:p w14:paraId="53BEB06C">
            <w:pPr>
              <w:pStyle w:val="165"/>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表2-17  现有工程废水排放情况</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642"/>
              <w:gridCol w:w="2023"/>
              <w:gridCol w:w="3152"/>
            </w:tblGrid>
            <w:tr w14:paraId="7E859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8" w:type="pct"/>
                  <w:gridSpan w:val="2"/>
                  <w:tcBorders>
                    <w:tl2br w:val="nil"/>
                    <w:tr2bl w:val="nil"/>
                  </w:tcBorders>
                  <w:noWrap w:val="0"/>
                  <w:vAlign w:val="center"/>
                </w:tcPr>
                <w:p w14:paraId="0CD065CB">
                  <w:pPr>
                    <w:spacing w:line="240" w:lineRule="auto"/>
                    <w:jc w:val="center"/>
                    <w:rPr>
                      <w:rFonts w:hint="default"/>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产排污环节</w:t>
                  </w:r>
                </w:p>
              </w:tc>
              <w:tc>
                <w:tcPr>
                  <w:tcW w:w="1169" w:type="pct"/>
                  <w:tcBorders>
                    <w:tl2br w:val="nil"/>
                    <w:tr2bl w:val="nil"/>
                  </w:tcBorders>
                  <w:noWrap w:val="0"/>
                  <w:vAlign w:val="center"/>
                </w:tcPr>
                <w:p w14:paraId="607A1814">
                  <w:pPr>
                    <w:spacing w:line="240" w:lineRule="auto"/>
                    <w:jc w:val="center"/>
                    <w:rPr>
                      <w:rFonts w:hint="eastAsia" w:eastAsia="宋体"/>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验收排放量（t）</w:t>
                  </w:r>
                </w:p>
              </w:tc>
              <w:tc>
                <w:tcPr>
                  <w:tcW w:w="1822" w:type="pct"/>
                  <w:tcBorders>
                    <w:tl2br w:val="nil"/>
                    <w:tr2bl w:val="nil"/>
                  </w:tcBorders>
                  <w:noWrap w:val="0"/>
                  <w:vAlign w:val="center"/>
                </w:tcPr>
                <w:p w14:paraId="6DD442DF">
                  <w:pPr>
                    <w:spacing w:line="240" w:lineRule="auto"/>
                    <w:jc w:val="center"/>
                    <w:rPr>
                      <w:rFonts w:hint="eastAsia"/>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备注</w:t>
                  </w:r>
                </w:p>
              </w:tc>
            </w:tr>
            <w:tr w14:paraId="36206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059" w:type="pct"/>
                  <w:vMerge w:val="restart"/>
                  <w:tcBorders>
                    <w:tl2br w:val="nil"/>
                    <w:tr2bl w:val="nil"/>
                  </w:tcBorders>
                  <w:noWrap w:val="0"/>
                  <w:vAlign w:val="center"/>
                </w:tcPr>
                <w:p w14:paraId="7A324CE4">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清洗废水</w:t>
                  </w:r>
                </w:p>
              </w:tc>
              <w:tc>
                <w:tcPr>
                  <w:tcW w:w="948" w:type="pct"/>
                  <w:tcBorders>
                    <w:tl2br w:val="nil"/>
                    <w:tr2bl w:val="nil"/>
                  </w:tcBorders>
                  <w:noWrap w:val="0"/>
                  <w:vAlign w:val="center"/>
                </w:tcPr>
                <w:p w14:paraId="6D5708AE">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COD</w:t>
                  </w:r>
                </w:p>
              </w:tc>
              <w:tc>
                <w:tcPr>
                  <w:tcW w:w="1169" w:type="pct"/>
                  <w:tcBorders>
                    <w:tl2br w:val="nil"/>
                    <w:tr2bl w:val="nil"/>
                  </w:tcBorders>
                  <w:noWrap w:val="0"/>
                  <w:vAlign w:val="center"/>
                </w:tcPr>
                <w:p w14:paraId="46D6B42A">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0.0036</w:t>
                  </w:r>
                </w:p>
              </w:tc>
              <w:tc>
                <w:tcPr>
                  <w:tcW w:w="1822" w:type="pct"/>
                  <w:vMerge w:val="restart"/>
                  <w:tcBorders>
                    <w:tl2br w:val="nil"/>
                    <w:tr2bl w:val="nil"/>
                  </w:tcBorders>
                  <w:noWrap w:val="0"/>
                  <w:vAlign w:val="center"/>
                </w:tcPr>
                <w:p w14:paraId="177D23CC">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根据现有工程验收废水检测结果，计算现有工程实际排放量</w:t>
                  </w:r>
                </w:p>
              </w:tc>
            </w:tr>
            <w:tr w14:paraId="7E4DF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9" w:type="pct"/>
                  <w:vMerge w:val="continue"/>
                  <w:tcBorders>
                    <w:tl2br w:val="nil"/>
                    <w:tr2bl w:val="nil"/>
                  </w:tcBorders>
                  <w:noWrap w:val="0"/>
                  <w:vAlign w:val="center"/>
                </w:tcPr>
                <w:p w14:paraId="10FC5444">
                  <w:pPr>
                    <w:spacing w:line="240" w:lineRule="auto"/>
                    <w:jc w:val="center"/>
                    <w:rPr>
                      <w:rFonts w:hint="eastAsia"/>
                      <w:color w:val="auto"/>
                      <w:kern w:val="0"/>
                      <w:sz w:val="21"/>
                      <w:szCs w:val="21"/>
                      <w:highlight w:val="none"/>
                      <w:vertAlign w:val="baseline"/>
                      <w:lang w:val="en-US" w:eastAsia="zh-CN"/>
                    </w:rPr>
                  </w:pPr>
                </w:p>
              </w:tc>
              <w:tc>
                <w:tcPr>
                  <w:tcW w:w="948" w:type="pct"/>
                  <w:tcBorders>
                    <w:tl2br w:val="nil"/>
                    <w:tr2bl w:val="nil"/>
                  </w:tcBorders>
                  <w:noWrap w:val="0"/>
                  <w:vAlign w:val="center"/>
                </w:tcPr>
                <w:p w14:paraId="597FB78A">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NH</w:t>
                  </w:r>
                  <w:r>
                    <w:rPr>
                      <w:rFonts w:hint="eastAsia"/>
                      <w:color w:val="auto"/>
                      <w:kern w:val="0"/>
                      <w:sz w:val="21"/>
                      <w:szCs w:val="21"/>
                      <w:highlight w:val="none"/>
                      <w:vertAlign w:val="subscript"/>
                      <w:lang w:val="en-US" w:eastAsia="zh-CN"/>
                    </w:rPr>
                    <w:t>3</w:t>
                  </w:r>
                  <w:r>
                    <w:rPr>
                      <w:rFonts w:hint="eastAsia"/>
                      <w:color w:val="auto"/>
                      <w:kern w:val="0"/>
                      <w:sz w:val="21"/>
                      <w:szCs w:val="21"/>
                      <w:highlight w:val="none"/>
                      <w:vertAlign w:val="baseline"/>
                      <w:lang w:val="en-US" w:eastAsia="zh-CN"/>
                    </w:rPr>
                    <w:t>-N</w:t>
                  </w:r>
                </w:p>
              </w:tc>
              <w:tc>
                <w:tcPr>
                  <w:tcW w:w="1169" w:type="pct"/>
                  <w:tcBorders>
                    <w:tl2br w:val="nil"/>
                    <w:tr2bl w:val="nil"/>
                  </w:tcBorders>
                  <w:noWrap w:val="0"/>
                  <w:vAlign w:val="center"/>
                </w:tcPr>
                <w:p w14:paraId="257EA1CE">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0.0001</w:t>
                  </w:r>
                </w:p>
              </w:tc>
              <w:tc>
                <w:tcPr>
                  <w:tcW w:w="1822" w:type="pct"/>
                  <w:vMerge w:val="continue"/>
                  <w:tcBorders>
                    <w:tl2br w:val="nil"/>
                    <w:tr2bl w:val="nil"/>
                  </w:tcBorders>
                  <w:noWrap w:val="0"/>
                  <w:vAlign w:val="center"/>
                </w:tcPr>
                <w:p w14:paraId="33E09146">
                  <w:pPr>
                    <w:spacing w:line="240" w:lineRule="auto"/>
                    <w:jc w:val="center"/>
                    <w:rPr>
                      <w:rFonts w:hint="eastAsia"/>
                      <w:color w:val="auto"/>
                      <w:kern w:val="0"/>
                      <w:sz w:val="21"/>
                      <w:szCs w:val="21"/>
                      <w:highlight w:val="none"/>
                      <w:vertAlign w:val="baseline"/>
                      <w:lang w:val="en-US" w:eastAsia="zh-CN"/>
                    </w:rPr>
                  </w:pPr>
                </w:p>
              </w:tc>
            </w:tr>
          </w:tbl>
          <w:p w14:paraId="671B1419">
            <w:pPr>
              <w:spacing w:line="360" w:lineRule="auto"/>
              <w:ind w:firstLine="480" w:firstLineChars="200"/>
              <w:rPr>
                <w:color w:val="auto"/>
                <w:kern w:val="0"/>
                <w:sz w:val="24"/>
              </w:rPr>
            </w:pPr>
            <w:r>
              <w:rPr>
                <w:rFonts w:hint="eastAsia"/>
                <w:color w:val="auto"/>
                <w:kern w:val="0"/>
                <w:sz w:val="24"/>
              </w:rPr>
              <w:t>（2）废气</w:t>
            </w:r>
          </w:p>
          <w:p w14:paraId="08407BE5">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原环评核算污染物排放情况：</w:t>
            </w:r>
          </w:p>
          <w:p w14:paraId="570F4A02">
            <w:pPr>
              <w:spacing w:line="360" w:lineRule="auto"/>
              <w:ind w:firstLine="480" w:firstLineChars="200"/>
              <w:rPr>
                <w:rFonts w:hint="eastAsia"/>
                <w:color w:val="auto"/>
                <w:kern w:val="0"/>
                <w:sz w:val="24"/>
              </w:rPr>
            </w:pPr>
            <w:r>
              <w:rPr>
                <w:rFonts w:hint="eastAsia"/>
                <w:color w:val="auto"/>
                <w:kern w:val="0"/>
                <w:sz w:val="24"/>
                <w:lang w:val="en-US" w:eastAsia="zh-CN"/>
              </w:rPr>
              <w:t>原环评预测现有工程废气主要为塑料密封件注塑过程产生的注塑废气，主要污染物为非甲烷总烃和恶臭，经集气罩收集（收集效率80%）后通过</w:t>
            </w:r>
            <w:r>
              <w:rPr>
                <w:rFonts w:hint="eastAsia"/>
                <w:color w:val="auto"/>
                <w:sz w:val="24"/>
                <w:lang w:val="en-US" w:eastAsia="zh-CN"/>
              </w:rPr>
              <w:t>二级活性炭吸附装置处理后</w:t>
            </w:r>
            <w:r>
              <w:rPr>
                <w:rFonts w:hint="eastAsia"/>
                <w:color w:val="auto"/>
                <w:kern w:val="0"/>
                <w:sz w:val="24"/>
              </w:rPr>
              <w:t>引至一根</w:t>
            </w:r>
            <w:r>
              <w:rPr>
                <w:rFonts w:hint="eastAsia"/>
                <w:color w:val="auto"/>
                <w:kern w:val="0"/>
                <w:sz w:val="24"/>
                <w:lang w:val="en-US" w:eastAsia="zh-CN"/>
              </w:rPr>
              <w:t>2</w:t>
            </w:r>
            <w:r>
              <w:rPr>
                <w:rFonts w:hint="eastAsia"/>
                <w:color w:val="auto"/>
                <w:kern w:val="0"/>
                <w:sz w:val="24"/>
              </w:rPr>
              <w:t>5m高的排气筒</w:t>
            </w:r>
            <w:r>
              <w:rPr>
                <w:rFonts w:hint="eastAsia"/>
                <w:color w:val="auto"/>
                <w:kern w:val="0"/>
                <w:sz w:val="24"/>
                <w:lang w:val="en-US" w:eastAsia="zh-CN"/>
              </w:rPr>
              <w:t>DA001排放，预估有组织排放量为0.031t/a，无组织排放量为0.039t/a</w:t>
            </w:r>
            <w:r>
              <w:rPr>
                <w:rFonts w:hint="eastAsia"/>
                <w:color w:val="auto"/>
                <w:kern w:val="0"/>
                <w:sz w:val="24"/>
              </w:rPr>
              <w:t>。</w:t>
            </w:r>
          </w:p>
          <w:p w14:paraId="02B5B63E">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lang w:val="en-US" w:eastAsia="zh-CN"/>
              </w:rPr>
            </w:pPr>
            <w:r>
              <w:rPr>
                <w:rFonts w:hint="eastAsia"/>
                <w:b/>
                <w:bCs/>
                <w:color w:val="auto"/>
                <w:sz w:val="24"/>
                <w:lang w:val="en-US" w:eastAsia="zh-CN"/>
              </w:rPr>
              <w:t>现有工程项目验收污染物排放情况：</w:t>
            </w:r>
          </w:p>
          <w:p w14:paraId="74772B4F">
            <w:pPr>
              <w:spacing w:line="360" w:lineRule="auto"/>
              <w:ind w:firstLine="480" w:firstLineChars="200"/>
              <w:rPr>
                <w:color w:val="auto"/>
                <w:kern w:val="0"/>
                <w:sz w:val="24"/>
              </w:rPr>
            </w:pPr>
            <w:r>
              <w:rPr>
                <w:rFonts w:hint="eastAsia"/>
                <w:color w:val="auto"/>
                <w:kern w:val="0"/>
                <w:sz w:val="24"/>
              </w:rPr>
              <w:t>①有组织废气</w:t>
            </w:r>
          </w:p>
          <w:p w14:paraId="3FB21B48">
            <w:pPr>
              <w:spacing w:line="360" w:lineRule="auto"/>
              <w:ind w:firstLine="480" w:firstLineChars="200"/>
              <w:rPr>
                <w:rFonts w:hint="eastAsia"/>
                <w:color w:val="auto"/>
                <w:kern w:val="0"/>
                <w:sz w:val="24"/>
              </w:rPr>
            </w:pPr>
            <w:r>
              <w:rPr>
                <w:rFonts w:hint="eastAsia"/>
                <w:color w:val="auto"/>
                <w:kern w:val="0"/>
                <w:sz w:val="24"/>
              </w:rPr>
              <w:t>现有工程</w:t>
            </w:r>
            <w:r>
              <w:rPr>
                <w:rFonts w:hint="eastAsia"/>
                <w:color w:val="auto"/>
                <w:kern w:val="0"/>
                <w:sz w:val="24"/>
                <w:lang w:val="en-US" w:eastAsia="zh-CN"/>
              </w:rPr>
              <w:t>塑料密封件注塑过程</w:t>
            </w:r>
            <w:r>
              <w:rPr>
                <w:rFonts w:hint="eastAsia"/>
                <w:color w:val="auto"/>
                <w:kern w:val="0"/>
                <w:sz w:val="24"/>
              </w:rPr>
              <w:t>产生的有机废气</w:t>
            </w:r>
            <w:r>
              <w:rPr>
                <w:rFonts w:hint="eastAsia"/>
                <w:color w:val="auto"/>
                <w:kern w:val="0"/>
                <w:sz w:val="24"/>
                <w:lang w:val="en-US" w:eastAsia="zh-CN"/>
              </w:rPr>
              <w:t>和恶臭</w:t>
            </w:r>
            <w:r>
              <w:rPr>
                <w:rFonts w:hint="eastAsia"/>
                <w:color w:val="auto"/>
                <w:sz w:val="24"/>
                <w:lang w:val="en-US" w:eastAsia="zh-CN"/>
              </w:rPr>
              <w:t>经集气罩收集后通过UV光氧+活性炭吸附装置处理后</w:t>
            </w:r>
            <w:r>
              <w:rPr>
                <w:rFonts w:hint="eastAsia"/>
                <w:color w:val="auto"/>
                <w:kern w:val="0"/>
                <w:sz w:val="24"/>
              </w:rPr>
              <w:t>引至一根</w:t>
            </w:r>
            <w:r>
              <w:rPr>
                <w:rFonts w:hint="eastAsia"/>
                <w:color w:val="auto"/>
                <w:kern w:val="0"/>
                <w:sz w:val="24"/>
                <w:lang w:val="en-US" w:eastAsia="zh-CN"/>
              </w:rPr>
              <w:t>2</w:t>
            </w:r>
            <w:r>
              <w:rPr>
                <w:rFonts w:hint="eastAsia"/>
                <w:color w:val="auto"/>
                <w:kern w:val="0"/>
                <w:sz w:val="24"/>
              </w:rPr>
              <w:t>5m高的排气筒</w:t>
            </w:r>
            <w:r>
              <w:rPr>
                <w:rFonts w:hint="eastAsia"/>
                <w:color w:val="auto"/>
                <w:kern w:val="0"/>
                <w:sz w:val="24"/>
                <w:lang w:val="en-US" w:eastAsia="zh-CN"/>
              </w:rPr>
              <w:t>排放</w:t>
            </w:r>
            <w:r>
              <w:rPr>
                <w:rFonts w:hint="eastAsia"/>
                <w:color w:val="auto"/>
                <w:kern w:val="0"/>
                <w:sz w:val="24"/>
              </w:rPr>
              <w:t>。</w:t>
            </w:r>
          </w:p>
          <w:p w14:paraId="7E290586">
            <w:pPr>
              <w:spacing w:line="360" w:lineRule="auto"/>
              <w:ind w:firstLine="480" w:firstLineChars="200"/>
              <w:rPr>
                <w:color w:val="auto"/>
                <w:kern w:val="0"/>
                <w:sz w:val="24"/>
              </w:rPr>
            </w:pPr>
            <w:r>
              <w:rPr>
                <w:rFonts w:hint="eastAsia"/>
                <w:color w:val="auto"/>
                <w:kern w:val="0"/>
                <w:sz w:val="24"/>
              </w:rPr>
              <w:t>根</w:t>
            </w:r>
            <w:r>
              <w:rPr>
                <w:color w:val="auto"/>
                <w:kern w:val="0"/>
                <w:sz w:val="24"/>
              </w:rPr>
              <w:t>据《</w:t>
            </w:r>
            <w:r>
              <w:rPr>
                <w:rFonts w:hint="eastAsia"/>
                <w:color w:val="auto"/>
                <w:kern w:val="0"/>
                <w:sz w:val="24"/>
              </w:rPr>
              <w:t>福建铠盾材料科技有限公司年加工特种玻璃6万件、加工塑料密封件600万件项目验收监测报告表</w:t>
            </w:r>
            <w:r>
              <w:rPr>
                <w:color w:val="auto"/>
                <w:kern w:val="0"/>
                <w:sz w:val="24"/>
              </w:rPr>
              <w:t>》</w:t>
            </w:r>
            <w:r>
              <w:rPr>
                <w:rFonts w:hint="eastAsia"/>
                <w:bCs/>
                <w:color w:val="auto"/>
                <w:kern w:val="0"/>
                <w:sz w:val="24"/>
              </w:rPr>
              <w:t>，现有工程有组织废气监测结果见表2-</w:t>
            </w:r>
            <w:r>
              <w:rPr>
                <w:rFonts w:hint="eastAsia"/>
                <w:bCs/>
                <w:color w:val="auto"/>
                <w:kern w:val="0"/>
                <w:sz w:val="24"/>
                <w:lang w:val="en-US" w:eastAsia="zh-CN"/>
              </w:rPr>
              <w:t>18</w:t>
            </w:r>
            <w:r>
              <w:rPr>
                <w:rFonts w:hint="eastAsia"/>
                <w:bCs/>
                <w:color w:val="auto"/>
                <w:kern w:val="0"/>
                <w:sz w:val="24"/>
              </w:rPr>
              <w:t>，无组织废气监测结果见表2-</w:t>
            </w:r>
            <w:r>
              <w:rPr>
                <w:rFonts w:hint="eastAsia"/>
                <w:bCs/>
                <w:color w:val="auto"/>
                <w:kern w:val="0"/>
                <w:sz w:val="24"/>
                <w:lang w:val="en-US" w:eastAsia="zh-CN"/>
              </w:rPr>
              <w:t>19、2-20</w:t>
            </w:r>
            <w:r>
              <w:rPr>
                <w:rFonts w:hint="eastAsia"/>
                <w:bCs/>
                <w:color w:val="auto"/>
                <w:kern w:val="0"/>
                <w:sz w:val="24"/>
              </w:rPr>
              <w:t>。</w:t>
            </w:r>
          </w:p>
          <w:p w14:paraId="4CA8D233">
            <w:pPr>
              <w:pStyle w:val="165"/>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w:t>
            </w:r>
            <w:r>
              <w:rPr>
                <w:rFonts w:hint="eastAsia" w:ascii="Times New Roman" w:hAnsi="Times New Roman" w:cs="Times New Roman"/>
                <w:color w:val="auto"/>
                <w:lang w:val="en-US" w:eastAsia="zh-CN"/>
              </w:rPr>
              <w:t>18</w:t>
            </w:r>
            <w:r>
              <w:rPr>
                <w:rFonts w:hint="default" w:ascii="Times New Roman" w:hAnsi="Times New Roman" w:cs="Times New Roman"/>
                <w:color w:val="auto"/>
                <w:lang w:val="en-US" w:eastAsia="zh-CN"/>
              </w:rPr>
              <w:t xml:space="preserve">  现有工程有组织废气检测结果</w:t>
            </w:r>
          </w:p>
          <w:tbl>
            <w:tblPr>
              <w:tblStyle w:val="36"/>
              <w:tblW w:w="0" w:type="auto"/>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948"/>
              <w:gridCol w:w="1195"/>
              <w:gridCol w:w="970"/>
              <w:gridCol w:w="1063"/>
              <w:gridCol w:w="67"/>
              <w:gridCol w:w="1130"/>
              <w:gridCol w:w="29"/>
              <w:gridCol w:w="1101"/>
              <w:gridCol w:w="125"/>
              <w:gridCol w:w="1007"/>
            </w:tblGrid>
            <w:tr w14:paraId="4F9F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980" w:type="dxa"/>
                  <w:vMerge w:val="restart"/>
                  <w:tcBorders>
                    <w:top w:val="single" w:color="auto" w:sz="12" w:space="0"/>
                    <w:right w:val="single" w:color="auto" w:sz="2" w:space="0"/>
                  </w:tcBorders>
                  <w:vAlign w:val="center"/>
                </w:tcPr>
                <w:p w14:paraId="2CA41442">
                  <w:pPr>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采样日期</w:t>
                  </w:r>
                </w:p>
              </w:tc>
              <w:tc>
                <w:tcPr>
                  <w:tcW w:w="948" w:type="dxa"/>
                  <w:vMerge w:val="restart"/>
                  <w:tcBorders>
                    <w:top w:val="single" w:color="auto" w:sz="12" w:space="0"/>
                    <w:left w:val="single" w:color="auto" w:sz="2" w:space="0"/>
                    <w:right w:val="single" w:color="auto" w:sz="2" w:space="0"/>
                  </w:tcBorders>
                  <w:vAlign w:val="center"/>
                </w:tcPr>
                <w:p w14:paraId="6BA6B903">
                  <w:pPr>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检测点位</w:t>
                  </w:r>
                </w:p>
              </w:tc>
              <w:tc>
                <w:tcPr>
                  <w:tcW w:w="1195" w:type="dxa"/>
                  <w:vMerge w:val="restart"/>
                  <w:tcBorders>
                    <w:top w:val="single" w:color="auto" w:sz="12" w:space="0"/>
                    <w:left w:val="single" w:color="auto" w:sz="2" w:space="0"/>
                    <w:right w:val="single" w:color="auto" w:sz="2" w:space="0"/>
                  </w:tcBorders>
                  <w:vAlign w:val="center"/>
                </w:tcPr>
                <w:p w14:paraId="221B27A1">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检测项目</w:t>
                  </w:r>
                </w:p>
              </w:tc>
              <w:tc>
                <w:tcPr>
                  <w:tcW w:w="970" w:type="dxa"/>
                  <w:vMerge w:val="restart"/>
                  <w:tcBorders>
                    <w:top w:val="single" w:color="auto" w:sz="12" w:space="0"/>
                    <w:left w:val="single" w:color="auto" w:sz="2" w:space="0"/>
                    <w:right w:val="single" w:color="auto" w:sz="2" w:space="0"/>
                  </w:tcBorders>
                  <w:vAlign w:val="center"/>
                </w:tcPr>
                <w:p w14:paraId="2A480BC9">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检测频次</w:t>
                  </w:r>
                </w:p>
              </w:tc>
              <w:tc>
                <w:tcPr>
                  <w:tcW w:w="4522" w:type="dxa"/>
                  <w:gridSpan w:val="7"/>
                  <w:tcBorders>
                    <w:top w:val="single" w:color="auto" w:sz="12" w:space="0"/>
                    <w:left w:val="single" w:color="auto" w:sz="2" w:space="0"/>
                    <w:right w:val="nil"/>
                  </w:tcBorders>
                  <w:vAlign w:val="center"/>
                </w:tcPr>
                <w:p w14:paraId="5F9AE014">
                  <w:pPr>
                    <w:spacing w:line="240" w:lineRule="auto"/>
                    <w:jc w:val="center"/>
                    <w:rPr>
                      <w:rFonts w:hint="eastAsia"/>
                      <w:color w:val="auto"/>
                      <w:kern w:val="0"/>
                      <w:sz w:val="18"/>
                      <w:szCs w:val="18"/>
                      <w:vertAlign w:val="baseline"/>
                    </w:rPr>
                  </w:pPr>
                  <w:r>
                    <w:rPr>
                      <w:rFonts w:hint="eastAsia"/>
                      <w:color w:val="auto"/>
                      <w:kern w:val="0"/>
                      <w:sz w:val="18"/>
                      <w:szCs w:val="18"/>
                      <w:vertAlign w:val="baseline"/>
                      <w:lang w:val="en-US" w:eastAsia="zh-CN"/>
                    </w:rPr>
                    <w:t>检测结果</w:t>
                  </w:r>
                </w:p>
              </w:tc>
            </w:tr>
            <w:tr w14:paraId="78C7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778C410">
                  <w:pPr>
                    <w:spacing w:line="240" w:lineRule="auto"/>
                    <w:jc w:val="center"/>
                    <w:rPr>
                      <w:rFonts w:hint="eastAsia"/>
                      <w:color w:val="auto"/>
                      <w:kern w:val="0"/>
                      <w:sz w:val="18"/>
                      <w:szCs w:val="18"/>
                      <w:vertAlign w:val="baseline"/>
                    </w:rPr>
                  </w:pPr>
                </w:p>
              </w:tc>
              <w:tc>
                <w:tcPr>
                  <w:tcW w:w="948" w:type="dxa"/>
                  <w:vMerge w:val="continue"/>
                  <w:tcBorders>
                    <w:left w:val="single" w:color="auto" w:sz="2" w:space="0"/>
                    <w:right w:val="single" w:color="auto" w:sz="2" w:space="0"/>
                  </w:tcBorders>
                  <w:vAlign w:val="center"/>
                </w:tcPr>
                <w:p w14:paraId="5D32B39A">
                  <w:pPr>
                    <w:spacing w:line="240" w:lineRule="auto"/>
                    <w:jc w:val="center"/>
                    <w:rPr>
                      <w:rFonts w:hint="eastAsia"/>
                      <w:color w:val="auto"/>
                      <w:kern w:val="0"/>
                      <w:sz w:val="18"/>
                      <w:szCs w:val="18"/>
                      <w:vertAlign w:val="baseline"/>
                    </w:rPr>
                  </w:pPr>
                </w:p>
              </w:tc>
              <w:tc>
                <w:tcPr>
                  <w:tcW w:w="1195" w:type="dxa"/>
                  <w:vMerge w:val="continue"/>
                  <w:tcBorders>
                    <w:left w:val="single" w:color="auto" w:sz="2" w:space="0"/>
                    <w:right w:val="single" w:color="auto" w:sz="2" w:space="0"/>
                  </w:tcBorders>
                  <w:vAlign w:val="center"/>
                </w:tcPr>
                <w:p w14:paraId="07EB8376">
                  <w:pPr>
                    <w:spacing w:line="240" w:lineRule="auto"/>
                    <w:jc w:val="center"/>
                    <w:rPr>
                      <w:rFonts w:hint="eastAsia"/>
                      <w:color w:val="auto"/>
                      <w:kern w:val="0"/>
                      <w:sz w:val="18"/>
                      <w:szCs w:val="18"/>
                      <w:vertAlign w:val="baseline"/>
                    </w:rPr>
                  </w:pPr>
                </w:p>
              </w:tc>
              <w:tc>
                <w:tcPr>
                  <w:tcW w:w="970" w:type="dxa"/>
                  <w:vMerge w:val="continue"/>
                  <w:tcBorders>
                    <w:left w:val="single" w:color="auto" w:sz="2" w:space="0"/>
                    <w:right w:val="single" w:color="auto" w:sz="2" w:space="0"/>
                  </w:tcBorders>
                  <w:vAlign w:val="center"/>
                </w:tcPr>
                <w:p w14:paraId="6A6A5B53">
                  <w:pPr>
                    <w:spacing w:line="240" w:lineRule="auto"/>
                    <w:jc w:val="center"/>
                    <w:rPr>
                      <w:rFonts w:hint="eastAsia"/>
                      <w:color w:val="auto"/>
                      <w:kern w:val="0"/>
                      <w:sz w:val="18"/>
                      <w:szCs w:val="18"/>
                      <w:vertAlign w:val="baseline"/>
                    </w:rPr>
                  </w:pPr>
                </w:p>
              </w:tc>
              <w:tc>
                <w:tcPr>
                  <w:tcW w:w="1063" w:type="dxa"/>
                  <w:tcBorders>
                    <w:left w:val="single" w:color="auto" w:sz="2" w:space="0"/>
                    <w:right w:val="single" w:color="auto" w:sz="2" w:space="0"/>
                  </w:tcBorders>
                  <w:vAlign w:val="center"/>
                </w:tcPr>
                <w:p w14:paraId="349C476D">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烟气流量（m</w:t>
                  </w:r>
                  <w:r>
                    <w:rPr>
                      <w:rFonts w:hint="eastAsia"/>
                      <w:color w:val="auto"/>
                      <w:kern w:val="0"/>
                      <w:sz w:val="18"/>
                      <w:szCs w:val="18"/>
                      <w:vertAlign w:val="superscript"/>
                      <w:lang w:val="en-US" w:eastAsia="zh-CN"/>
                    </w:rPr>
                    <w:t>3</w:t>
                  </w:r>
                  <w:r>
                    <w:rPr>
                      <w:rFonts w:hint="eastAsia"/>
                      <w:color w:val="auto"/>
                      <w:kern w:val="0"/>
                      <w:sz w:val="18"/>
                      <w:szCs w:val="18"/>
                      <w:vertAlign w:val="baseline"/>
                      <w:lang w:val="en-US" w:eastAsia="zh-CN"/>
                    </w:rPr>
                    <w:t>/h）</w:t>
                  </w:r>
                </w:p>
              </w:tc>
              <w:tc>
                <w:tcPr>
                  <w:tcW w:w="1226" w:type="dxa"/>
                  <w:gridSpan w:val="3"/>
                  <w:tcBorders>
                    <w:left w:val="single" w:color="auto" w:sz="2" w:space="0"/>
                    <w:right w:val="single" w:color="auto" w:sz="2" w:space="0"/>
                  </w:tcBorders>
                  <w:vAlign w:val="center"/>
                </w:tcPr>
                <w:p w14:paraId="495BFBDC">
                  <w:pPr>
                    <w:spacing w:line="240" w:lineRule="auto"/>
                    <w:jc w:val="center"/>
                    <w:rPr>
                      <w:rFonts w:hint="eastAsia" w:eastAsia="宋体"/>
                      <w:color w:val="auto"/>
                      <w:kern w:val="0"/>
                      <w:sz w:val="18"/>
                      <w:szCs w:val="18"/>
                      <w:vertAlign w:val="baseline"/>
                      <w:lang w:val="en-US" w:eastAsia="zh-CN"/>
                    </w:rPr>
                  </w:pPr>
                  <w:r>
                    <w:rPr>
                      <w:rFonts w:hint="eastAsia"/>
                      <w:color w:val="auto"/>
                      <w:kern w:val="0"/>
                      <w:sz w:val="18"/>
                      <w:szCs w:val="18"/>
                      <w:vertAlign w:val="baseline"/>
                      <w:lang w:val="en-US" w:eastAsia="zh-CN"/>
                    </w:rPr>
                    <w:t>实测浓度（mg/m</w:t>
                  </w:r>
                  <w:r>
                    <w:rPr>
                      <w:rFonts w:hint="eastAsia"/>
                      <w:color w:val="auto"/>
                      <w:kern w:val="0"/>
                      <w:sz w:val="18"/>
                      <w:szCs w:val="18"/>
                      <w:vertAlign w:val="superscript"/>
                      <w:lang w:val="en-US" w:eastAsia="zh-CN"/>
                    </w:rPr>
                    <w:t>3</w:t>
                  </w:r>
                  <w:r>
                    <w:rPr>
                      <w:rFonts w:hint="eastAsia"/>
                      <w:color w:val="auto"/>
                      <w:kern w:val="0"/>
                      <w:sz w:val="18"/>
                      <w:szCs w:val="18"/>
                      <w:vertAlign w:val="baseline"/>
                      <w:lang w:val="en-US" w:eastAsia="zh-CN"/>
                    </w:rPr>
                    <w:t>）</w:t>
                  </w:r>
                </w:p>
              </w:tc>
              <w:tc>
                <w:tcPr>
                  <w:tcW w:w="1226" w:type="dxa"/>
                  <w:gridSpan w:val="2"/>
                  <w:tcBorders>
                    <w:left w:val="single" w:color="auto" w:sz="2" w:space="0"/>
                    <w:right w:val="single" w:color="auto" w:sz="2" w:space="0"/>
                  </w:tcBorders>
                  <w:vAlign w:val="center"/>
                </w:tcPr>
                <w:p w14:paraId="52EE6EA1">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排放浓度（mg/m</w:t>
                  </w:r>
                  <w:r>
                    <w:rPr>
                      <w:rFonts w:hint="eastAsia"/>
                      <w:color w:val="auto"/>
                      <w:kern w:val="0"/>
                      <w:sz w:val="18"/>
                      <w:szCs w:val="18"/>
                      <w:vertAlign w:val="superscript"/>
                      <w:lang w:val="en-US" w:eastAsia="zh-CN"/>
                    </w:rPr>
                    <w:t>3</w:t>
                  </w:r>
                  <w:r>
                    <w:rPr>
                      <w:rFonts w:hint="eastAsia"/>
                      <w:color w:val="auto"/>
                      <w:kern w:val="0"/>
                      <w:sz w:val="18"/>
                      <w:szCs w:val="18"/>
                      <w:vertAlign w:val="baseline"/>
                      <w:lang w:val="en-US" w:eastAsia="zh-CN"/>
                    </w:rPr>
                    <w:t>）</w:t>
                  </w:r>
                </w:p>
              </w:tc>
              <w:tc>
                <w:tcPr>
                  <w:tcW w:w="1007" w:type="dxa"/>
                  <w:tcBorders>
                    <w:left w:val="single" w:color="auto" w:sz="2" w:space="0"/>
                    <w:right w:val="nil"/>
                  </w:tcBorders>
                  <w:vAlign w:val="center"/>
                </w:tcPr>
                <w:p w14:paraId="223ED294">
                  <w:pPr>
                    <w:spacing w:line="240" w:lineRule="auto"/>
                    <w:jc w:val="center"/>
                    <w:rPr>
                      <w:rFonts w:hint="default" w:eastAsia="宋体"/>
                      <w:color w:val="auto"/>
                      <w:kern w:val="0"/>
                      <w:sz w:val="18"/>
                      <w:szCs w:val="18"/>
                      <w:vertAlign w:val="baseline"/>
                      <w:lang w:val="en-US" w:eastAsia="zh-CN"/>
                    </w:rPr>
                  </w:pPr>
                  <w:r>
                    <w:rPr>
                      <w:rFonts w:hint="eastAsia"/>
                      <w:color w:val="auto"/>
                      <w:kern w:val="0"/>
                      <w:sz w:val="18"/>
                      <w:szCs w:val="18"/>
                      <w:vertAlign w:val="baseline"/>
                      <w:lang w:val="en-US" w:eastAsia="zh-CN"/>
                    </w:rPr>
                    <w:t>排放速率（kg/h）</w:t>
                  </w:r>
                </w:p>
              </w:tc>
            </w:tr>
            <w:tr w14:paraId="1882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restart"/>
                  <w:tcBorders>
                    <w:left w:val="nil"/>
                    <w:right w:val="single" w:color="auto" w:sz="2" w:space="0"/>
                  </w:tcBorders>
                  <w:vAlign w:val="center"/>
                </w:tcPr>
                <w:p w14:paraId="0DFEDCFB">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2024年12月19日</w:t>
                  </w:r>
                </w:p>
              </w:tc>
              <w:tc>
                <w:tcPr>
                  <w:tcW w:w="948" w:type="dxa"/>
                  <w:vMerge w:val="restart"/>
                  <w:tcBorders>
                    <w:left w:val="single" w:color="auto" w:sz="2" w:space="0"/>
                    <w:right w:val="single" w:color="auto" w:sz="2" w:space="0"/>
                  </w:tcBorders>
                  <w:vAlign w:val="center"/>
                </w:tcPr>
                <w:p w14:paraId="6CCC3E8F">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1#有组织废气车间进口</w:t>
                  </w:r>
                </w:p>
              </w:tc>
              <w:tc>
                <w:tcPr>
                  <w:tcW w:w="1195" w:type="dxa"/>
                  <w:vMerge w:val="restart"/>
                  <w:tcBorders>
                    <w:left w:val="single" w:color="auto" w:sz="2" w:space="0"/>
                    <w:right w:val="single" w:color="auto" w:sz="2" w:space="0"/>
                  </w:tcBorders>
                  <w:vAlign w:val="center"/>
                </w:tcPr>
                <w:p w14:paraId="7536B0A2">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42343813">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063" w:type="dxa"/>
                  <w:tcBorders>
                    <w:left w:val="single" w:color="auto" w:sz="2" w:space="0"/>
                    <w:right w:val="single" w:color="auto" w:sz="2" w:space="0"/>
                  </w:tcBorders>
                  <w:vAlign w:val="center"/>
                </w:tcPr>
                <w:p w14:paraId="011A046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7526</w:t>
                  </w:r>
                </w:p>
              </w:tc>
              <w:tc>
                <w:tcPr>
                  <w:tcW w:w="1226" w:type="dxa"/>
                  <w:gridSpan w:val="3"/>
                  <w:tcBorders>
                    <w:left w:val="single" w:color="auto" w:sz="2" w:space="0"/>
                    <w:right w:val="single" w:color="auto" w:sz="2" w:space="0"/>
                  </w:tcBorders>
                  <w:vAlign w:val="center"/>
                </w:tcPr>
                <w:p w14:paraId="2BF5E7E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3.01</w:t>
                  </w:r>
                </w:p>
              </w:tc>
              <w:tc>
                <w:tcPr>
                  <w:tcW w:w="1226" w:type="dxa"/>
                  <w:gridSpan w:val="2"/>
                  <w:vMerge w:val="restart"/>
                  <w:tcBorders>
                    <w:left w:val="single" w:color="auto" w:sz="2" w:space="0"/>
                    <w:right w:val="single" w:color="auto" w:sz="2" w:space="0"/>
                  </w:tcBorders>
                  <w:vAlign w:val="center"/>
                </w:tcPr>
                <w:p w14:paraId="40800FC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007" w:type="dxa"/>
                  <w:vMerge w:val="restart"/>
                  <w:tcBorders>
                    <w:left w:val="single" w:color="auto" w:sz="2" w:space="0"/>
                    <w:right w:val="nil"/>
                  </w:tcBorders>
                  <w:vAlign w:val="center"/>
                </w:tcPr>
                <w:p w14:paraId="1F173FA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w:t>
                  </w:r>
                </w:p>
              </w:tc>
            </w:tr>
            <w:tr w14:paraId="2151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91A2C7F">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4B3CF224">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12FD99CF">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AC7E5C1">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1063" w:type="dxa"/>
                  <w:tcBorders>
                    <w:left w:val="single" w:color="auto" w:sz="2" w:space="0"/>
                    <w:right w:val="single" w:color="auto" w:sz="2" w:space="0"/>
                  </w:tcBorders>
                  <w:vAlign w:val="center"/>
                </w:tcPr>
                <w:p w14:paraId="35F27F6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8055</w:t>
                  </w:r>
                </w:p>
              </w:tc>
              <w:tc>
                <w:tcPr>
                  <w:tcW w:w="1226" w:type="dxa"/>
                  <w:gridSpan w:val="3"/>
                  <w:tcBorders>
                    <w:left w:val="single" w:color="auto" w:sz="2" w:space="0"/>
                    <w:right w:val="single" w:color="auto" w:sz="2" w:space="0"/>
                  </w:tcBorders>
                  <w:vAlign w:val="center"/>
                </w:tcPr>
                <w:p w14:paraId="40E4216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3.75</w:t>
                  </w:r>
                </w:p>
              </w:tc>
              <w:tc>
                <w:tcPr>
                  <w:tcW w:w="1226" w:type="dxa"/>
                  <w:gridSpan w:val="2"/>
                  <w:vMerge w:val="continue"/>
                  <w:tcBorders>
                    <w:left w:val="single" w:color="auto" w:sz="2" w:space="0"/>
                    <w:right w:val="single" w:color="auto" w:sz="2" w:space="0"/>
                  </w:tcBorders>
                  <w:vAlign w:val="center"/>
                </w:tcPr>
                <w:p w14:paraId="081B7E3C">
                  <w:pPr>
                    <w:spacing w:line="240" w:lineRule="auto"/>
                    <w:jc w:val="center"/>
                    <w:rPr>
                      <w:rFonts w:hint="eastAsia"/>
                      <w:color w:val="auto"/>
                      <w:kern w:val="0"/>
                      <w:sz w:val="21"/>
                      <w:szCs w:val="21"/>
                      <w:vertAlign w:val="baseline"/>
                      <w:lang w:val="en-US" w:eastAsia="zh-CN"/>
                    </w:rPr>
                  </w:pPr>
                </w:p>
              </w:tc>
              <w:tc>
                <w:tcPr>
                  <w:tcW w:w="1007" w:type="dxa"/>
                  <w:vMerge w:val="continue"/>
                  <w:tcBorders>
                    <w:left w:val="single" w:color="auto" w:sz="2" w:space="0"/>
                    <w:right w:val="nil"/>
                  </w:tcBorders>
                  <w:vAlign w:val="center"/>
                </w:tcPr>
                <w:p w14:paraId="4FCAF9CD">
                  <w:pPr>
                    <w:spacing w:line="240" w:lineRule="auto"/>
                    <w:jc w:val="center"/>
                    <w:rPr>
                      <w:rFonts w:hint="eastAsia"/>
                      <w:color w:val="auto"/>
                      <w:kern w:val="0"/>
                      <w:sz w:val="21"/>
                      <w:szCs w:val="21"/>
                      <w:vertAlign w:val="baseline"/>
                      <w:lang w:val="en-US" w:eastAsia="zh-CN"/>
                    </w:rPr>
                  </w:pPr>
                </w:p>
              </w:tc>
            </w:tr>
            <w:tr w14:paraId="477B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trPr>
              <w:tc>
                <w:tcPr>
                  <w:tcW w:w="980" w:type="dxa"/>
                  <w:vMerge w:val="continue"/>
                  <w:tcBorders>
                    <w:left w:val="nil"/>
                    <w:right w:val="single" w:color="auto" w:sz="2" w:space="0"/>
                  </w:tcBorders>
                  <w:vAlign w:val="center"/>
                </w:tcPr>
                <w:p w14:paraId="2EB854CD">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20D9E5AC">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008CDE6">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1E75D07">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1063" w:type="dxa"/>
                  <w:tcBorders>
                    <w:left w:val="single" w:color="auto" w:sz="2" w:space="0"/>
                    <w:right w:val="single" w:color="auto" w:sz="2" w:space="0"/>
                  </w:tcBorders>
                  <w:vAlign w:val="center"/>
                </w:tcPr>
                <w:p w14:paraId="73F3826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8414</w:t>
                  </w:r>
                </w:p>
              </w:tc>
              <w:tc>
                <w:tcPr>
                  <w:tcW w:w="1226" w:type="dxa"/>
                  <w:gridSpan w:val="3"/>
                  <w:tcBorders>
                    <w:left w:val="single" w:color="auto" w:sz="2" w:space="0"/>
                    <w:right w:val="single" w:color="auto" w:sz="2" w:space="0"/>
                  </w:tcBorders>
                  <w:vAlign w:val="center"/>
                </w:tcPr>
                <w:p w14:paraId="2AE73E7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3.17</w:t>
                  </w:r>
                </w:p>
              </w:tc>
              <w:tc>
                <w:tcPr>
                  <w:tcW w:w="1226" w:type="dxa"/>
                  <w:gridSpan w:val="2"/>
                  <w:vMerge w:val="continue"/>
                  <w:tcBorders>
                    <w:left w:val="single" w:color="auto" w:sz="2" w:space="0"/>
                    <w:right w:val="single" w:color="auto" w:sz="2" w:space="0"/>
                  </w:tcBorders>
                  <w:vAlign w:val="center"/>
                </w:tcPr>
                <w:p w14:paraId="652B232A">
                  <w:pPr>
                    <w:spacing w:line="240" w:lineRule="auto"/>
                    <w:jc w:val="center"/>
                    <w:rPr>
                      <w:rFonts w:hint="eastAsia"/>
                      <w:color w:val="auto"/>
                      <w:kern w:val="0"/>
                      <w:sz w:val="21"/>
                      <w:szCs w:val="21"/>
                      <w:vertAlign w:val="baseline"/>
                      <w:lang w:val="en-US" w:eastAsia="zh-CN"/>
                    </w:rPr>
                  </w:pPr>
                </w:p>
              </w:tc>
              <w:tc>
                <w:tcPr>
                  <w:tcW w:w="1007" w:type="dxa"/>
                  <w:vMerge w:val="continue"/>
                  <w:tcBorders>
                    <w:left w:val="single" w:color="auto" w:sz="2" w:space="0"/>
                    <w:right w:val="nil"/>
                  </w:tcBorders>
                  <w:vAlign w:val="center"/>
                </w:tcPr>
                <w:p w14:paraId="39D3A435">
                  <w:pPr>
                    <w:spacing w:line="240" w:lineRule="auto"/>
                    <w:jc w:val="center"/>
                    <w:rPr>
                      <w:rFonts w:hint="eastAsia"/>
                      <w:color w:val="auto"/>
                      <w:kern w:val="0"/>
                      <w:sz w:val="21"/>
                      <w:szCs w:val="21"/>
                      <w:vertAlign w:val="baseline"/>
                      <w:lang w:val="en-US" w:eastAsia="zh-CN"/>
                    </w:rPr>
                  </w:pPr>
                </w:p>
              </w:tc>
            </w:tr>
            <w:tr w14:paraId="077A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4B6EBFA3">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7B143E39">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5C38FE52">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46D49E80">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063" w:type="dxa"/>
                  <w:tcBorders>
                    <w:left w:val="single" w:color="auto" w:sz="2" w:space="0"/>
                    <w:right w:val="single" w:color="auto" w:sz="2" w:space="0"/>
                  </w:tcBorders>
                  <w:vAlign w:val="center"/>
                </w:tcPr>
                <w:p w14:paraId="48F3A5A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7998</w:t>
                  </w:r>
                </w:p>
              </w:tc>
              <w:tc>
                <w:tcPr>
                  <w:tcW w:w="1226" w:type="dxa"/>
                  <w:gridSpan w:val="3"/>
                  <w:tcBorders>
                    <w:left w:val="single" w:color="auto" w:sz="2" w:space="0"/>
                    <w:right w:val="single" w:color="auto" w:sz="2" w:space="0"/>
                  </w:tcBorders>
                  <w:vAlign w:val="center"/>
                </w:tcPr>
                <w:p w14:paraId="372AACE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3.31</w:t>
                  </w:r>
                </w:p>
              </w:tc>
              <w:tc>
                <w:tcPr>
                  <w:tcW w:w="1226" w:type="dxa"/>
                  <w:gridSpan w:val="2"/>
                  <w:vMerge w:val="continue"/>
                  <w:tcBorders>
                    <w:left w:val="single" w:color="auto" w:sz="2" w:space="0"/>
                    <w:right w:val="single" w:color="auto" w:sz="2" w:space="0"/>
                  </w:tcBorders>
                  <w:vAlign w:val="center"/>
                </w:tcPr>
                <w:p w14:paraId="0B98E7A4">
                  <w:pPr>
                    <w:spacing w:line="240" w:lineRule="auto"/>
                    <w:jc w:val="center"/>
                    <w:rPr>
                      <w:rFonts w:hint="eastAsia"/>
                      <w:color w:val="auto"/>
                      <w:kern w:val="0"/>
                      <w:sz w:val="21"/>
                      <w:szCs w:val="21"/>
                      <w:vertAlign w:val="baseline"/>
                      <w:lang w:val="en-US" w:eastAsia="zh-CN"/>
                    </w:rPr>
                  </w:pPr>
                </w:p>
              </w:tc>
              <w:tc>
                <w:tcPr>
                  <w:tcW w:w="1007" w:type="dxa"/>
                  <w:vMerge w:val="continue"/>
                  <w:tcBorders>
                    <w:left w:val="single" w:color="auto" w:sz="2" w:space="0"/>
                    <w:right w:val="nil"/>
                  </w:tcBorders>
                  <w:vAlign w:val="center"/>
                </w:tcPr>
                <w:p w14:paraId="5846B618">
                  <w:pPr>
                    <w:spacing w:line="240" w:lineRule="auto"/>
                    <w:jc w:val="center"/>
                    <w:rPr>
                      <w:rFonts w:hint="eastAsia"/>
                      <w:color w:val="auto"/>
                      <w:kern w:val="0"/>
                      <w:sz w:val="21"/>
                      <w:szCs w:val="21"/>
                      <w:vertAlign w:val="baseline"/>
                      <w:lang w:val="en-US" w:eastAsia="zh-CN"/>
                    </w:rPr>
                  </w:pPr>
                </w:p>
              </w:tc>
            </w:tr>
            <w:tr w14:paraId="0F33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C85B5D3">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252F649">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1DEF5CA9">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1D21BD6B">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057A689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417</w:t>
                  </w:r>
                </w:p>
              </w:tc>
            </w:tr>
            <w:tr w14:paraId="4011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358E3164">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0A4A127A">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2EFB2678">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8AE27B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7CE4BAB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479</w:t>
                  </w:r>
                </w:p>
              </w:tc>
            </w:tr>
            <w:tr w14:paraId="6E2D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trPr>
              <w:tc>
                <w:tcPr>
                  <w:tcW w:w="980" w:type="dxa"/>
                  <w:vMerge w:val="continue"/>
                  <w:tcBorders>
                    <w:left w:val="nil"/>
                    <w:right w:val="single" w:color="auto" w:sz="2" w:space="0"/>
                  </w:tcBorders>
                  <w:vAlign w:val="center"/>
                </w:tcPr>
                <w:p w14:paraId="39B70078">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0227A30D">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11156332">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566C2CD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5B44B1C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300</w:t>
                  </w:r>
                </w:p>
              </w:tc>
            </w:tr>
            <w:tr w14:paraId="2F15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F9316F4">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A9739D3">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3816DF9">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9E6DAC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right w:val="nil"/>
                  </w:tcBorders>
                  <w:vAlign w:val="center"/>
                </w:tcPr>
                <w:p w14:paraId="0C55AD9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479</w:t>
                  </w:r>
                </w:p>
              </w:tc>
            </w:tr>
            <w:tr w14:paraId="2430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3F947335">
                  <w:pPr>
                    <w:spacing w:line="240" w:lineRule="auto"/>
                    <w:jc w:val="center"/>
                    <w:rPr>
                      <w:rFonts w:hint="eastAsia"/>
                      <w:color w:val="auto"/>
                      <w:kern w:val="0"/>
                      <w:sz w:val="21"/>
                      <w:szCs w:val="21"/>
                      <w:vertAlign w:val="baseline"/>
                    </w:rPr>
                  </w:pPr>
                </w:p>
              </w:tc>
              <w:tc>
                <w:tcPr>
                  <w:tcW w:w="948" w:type="dxa"/>
                  <w:vMerge w:val="restart"/>
                  <w:tcBorders>
                    <w:left w:val="single" w:color="auto" w:sz="2" w:space="0"/>
                    <w:right w:val="single" w:color="auto" w:sz="2" w:space="0"/>
                  </w:tcBorders>
                  <w:vAlign w:val="center"/>
                </w:tcPr>
                <w:p w14:paraId="6ED0E75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1#有组织废气车间出口</w:t>
                  </w:r>
                </w:p>
              </w:tc>
              <w:tc>
                <w:tcPr>
                  <w:tcW w:w="1195" w:type="dxa"/>
                  <w:vMerge w:val="restart"/>
                  <w:tcBorders>
                    <w:left w:val="single" w:color="auto" w:sz="2" w:space="0"/>
                    <w:right w:val="single" w:color="auto" w:sz="2" w:space="0"/>
                  </w:tcBorders>
                  <w:vAlign w:val="center"/>
                </w:tcPr>
                <w:p w14:paraId="5B0F739A">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5859586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130" w:type="dxa"/>
                  <w:gridSpan w:val="2"/>
                  <w:tcBorders>
                    <w:left w:val="single" w:color="auto" w:sz="2" w:space="0"/>
                    <w:right w:val="single" w:color="auto" w:sz="2" w:space="0"/>
                  </w:tcBorders>
                  <w:vAlign w:val="center"/>
                </w:tcPr>
                <w:p w14:paraId="22749B1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9320</w:t>
                  </w:r>
                </w:p>
              </w:tc>
              <w:tc>
                <w:tcPr>
                  <w:tcW w:w="1130" w:type="dxa"/>
                  <w:tcBorders>
                    <w:left w:val="single" w:color="auto" w:sz="2" w:space="0"/>
                    <w:right w:val="single" w:color="auto" w:sz="2" w:space="0"/>
                  </w:tcBorders>
                  <w:vAlign w:val="center"/>
                </w:tcPr>
                <w:p w14:paraId="35DEC16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1.52</w:t>
                  </w:r>
                </w:p>
              </w:tc>
              <w:tc>
                <w:tcPr>
                  <w:tcW w:w="1130" w:type="dxa"/>
                  <w:gridSpan w:val="2"/>
                  <w:vMerge w:val="restart"/>
                  <w:tcBorders>
                    <w:left w:val="single" w:color="auto" w:sz="2" w:space="0"/>
                    <w:right w:val="single" w:color="auto" w:sz="2" w:space="0"/>
                  </w:tcBorders>
                  <w:vAlign w:val="center"/>
                </w:tcPr>
                <w:p w14:paraId="6A31BE1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1.63</w:t>
                  </w:r>
                </w:p>
              </w:tc>
              <w:tc>
                <w:tcPr>
                  <w:tcW w:w="1132" w:type="dxa"/>
                  <w:gridSpan w:val="2"/>
                  <w:vMerge w:val="restart"/>
                  <w:tcBorders>
                    <w:left w:val="single" w:color="auto" w:sz="2" w:space="0"/>
                    <w:right w:val="nil"/>
                  </w:tcBorders>
                  <w:vAlign w:val="center"/>
                </w:tcPr>
                <w:p w14:paraId="786375A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0.01</w:t>
                  </w:r>
                </w:p>
              </w:tc>
            </w:tr>
            <w:tr w14:paraId="756C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6B5D413A">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32F4AF2F">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1862781">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4FEE6B0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1130" w:type="dxa"/>
                  <w:gridSpan w:val="2"/>
                  <w:tcBorders>
                    <w:left w:val="single" w:color="auto" w:sz="2" w:space="0"/>
                    <w:right w:val="single" w:color="auto" w:sz="2" w:space="0"/>
                  </w:tcBorders>
                  <w:vAlign w:val="center"/>
                </w:tcPr>
                <w:p w14:paraId="7E9D594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8685</w:t>
                  </w:r>
                </w:p>
              </w:tc>
              <w:tc>
                <w:tcPr>
                  <w:tcW w:w="1130" w:type="dxa"/>
                  <w:tcBorders>
                    <w:left w:val="single" w:color="auto" w:sz="2" w:space="0"/>
                    <w:right w:val="single" w:color="auto" w:sz="2" w:space="0"/>
                  </w:tcBorders>
                  <w:vAlign w:val="center"/>
                </w:tcPr>
                <w:p w14:paraId="6A20E09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1.94</w:t>
                  </w:r>
                </w:p>
              </w:tc>
              <w:tc>
                <w:tcPr>
                  <w:tcW w:w="1130" w:type="dxa"/>
                  <w:gridSpan w:val="2"/>
                  <w:vMerge w:val="continue"/>
                  <w:tcBorders>
                    <w:left w:val="single" w:color="auto" w:sz="2" w:space="0"/>
                    <w:right w:val="single" w:color="auto" w:sz="2" w:space="0"/>
                  </w:tcBorders>
                  <w:vAlign w:val="center"/>
                </w:tcPr>
                <w:p w14:paraId="27E015A4">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20F16450">
                  <w:pPr>
                    <w:spacing w:line="240" w:lineRule="auto"/>
                    <w:jc w:val="center"/>
                    <w:rPr>
                      <w:rFonts w:hint="eastAsia"/>
                      <w:color w:val="auto"/>
                      <w:kern w:val="0"/>
                      <w:sz w:val="21"/>
                      <w:szCs w:val="21"/>
                      <w:vertAlign w:val="baseline"/>
                      <w:lang w:val="en-US" w:eastAsia="zh-CN"/>
                    </w:rPr>
                  </w:pPr>
                </w:p>
              </w:tc>
            </w:tr>
            <w:tr w14:paraId="408F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427D3672">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09A8FD19">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595DF75A">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340358E3">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1130" w:type="dxa"/>
                  <w:gridSpan w:val="2"/>
                  <w:tcBorders>
                    <w:left w:val="single" w:color="auto" w:sz="2" w:space="0"/>
                    <w:right w:val="single" w:color="auto" w:sz="2" w:space="0"/>
                  </w:tcBorders>
                  <w:vAlign w:val="center"/>
                </w:tcPr>
                <w:p w14:paraId="1DF3654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8377</w:t>
                  </w:r>
                </w:p>
              </w:tc>
              <w:tc>
                <w:tcPr>
                  <w:tcW w:w="1130" w:type="dxa"/>
                  <w:tcBorders>
                    <w:left w:val="single" w:color="auto" w:sz="2" w:space="0"/>
                    <w:right w:val="single" w:color="auto" w:sz="2" w:space="0"/>
                  </w:tcBorders>
                  <w:vAlign w:val="center"/>
                </w:tcPr>
                <w:p w14:paraId="2DA369B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1.44</w:t>
                  </w:r>
                </w:p>
              </w:tc>
              <w:tc>
                <w:tcPr>
                  <w:tcW w:w="1130" w:type="dxa"/>
                  <w:gridSpan w:val="2"/>
                  <w:vMerge w:val="continue"/>
                  <w:tcBorders>
                    <w:left w:val="single" w:color="auto" w:sz="2" w:space="0"/>
                    <w:right w:val="single" w:color="auto" w:sz="2" w:space="0"/>
                  </w:tcBorders>
                  <w:vAlign w:val="center"/>
                </w:tcPr>
                <w:p w14:paraId="6E331318">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3606D0D5">
                  <w:pPr>
                    <w:spacing w:line="240" w:lineRule="auto"/>
                    <w:jc w:val="center"/>
                    <w:rPr>
                      <w:rFonts w:hint="eastAsia"/>
                      <w:color w:val="auto"/>
                      <w:kern w:val="0"/>
                      <w:sz w:val="21"/>
                      <w:szCs w:val="21"/>
                      <w:vertAlign w:val="baseline"/>
                      <w:lang w:val="en-US" w:eastAsia="zh-CN"/>
                    </w:rPr>
                  </w:pPr>
                </w:p>
              </w:tc>
            </w:tr>
            <w:tr w14:paraId="0AF1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trPr>
              <w:tc>
                <w:tcPr>
                  <w:tcW w:w="980" w:type="dxa"/>
                  <w:vMerge w:val="continue"/>
                  <w:tcBorders>
                    <w:left w:val="nil"/>
                    <w:right w:val="single" w:color="auto" w:sz="2" w:space="0"/>
                  </w:tcBorders>
                  <w:vAlign w:val="center"/>
                </w:tcPr>
                <w:p w14:paraId="2567DAA2">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16227C45">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E84D015">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5C72F19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130" w:type="dxa"/>
                  <w:gridSpan w:val="2"/>
                  <w:tcBorders>
                    <w:left w:val="single" w:color="auto" w:sz="2" w:space="0"/>
                    <w:right w:val="single" w:color="auto" w:sz="2" w:space="0"/>
                  </w:tcBorders>
                  <w:vAlign w:val="center"/>
                </w:tcPr>
                <w:p w14:paraId="203387F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8794</w:t>
                  </w:r>
                </w:p>
              </w:tc>
              <w:tc>
                <w:tcPr>
                  <w:tcW w:w="1130" w:type="dxa"/>
                  <w:tcBorders>
                    <w:left w:val="single" w:color="auto" w:sz="2" w:space="0"/>
                    <w:right w:val="single" w:color="auto" w:sz="2" w:space="0"/>
                  </w:tcBorders>
                  <w:vAlign w:val="center"/>
                </w:tcPr>
                <w:p w14:paraId="2D98091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1.63</w:t>
                  </w:r>
                </w:p>
              </w:tc>
              <w:tc>
                <w:tcPr>
                  <w:tcW w:w="1130" w:type="dxa"/>
                  <w:gridSpan w:val="2"/>
                  <w:vMerge w:val="continue"/>
                  <w:tcBorders>
                    <w:left w:val="single" w:color="auto" w:sz="2" w:space="0"/>
                    <w:right w:val="single" w:color="auto" w:sz="2" w:space="0"/>
                  </w:tcBorders>
                  <w:vAlign w:val="center"/>
                </w:tcPr>
                <w:p w14:paraId="188A0BA5">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422CFD80">
                  <w:pPr>
                    <w:spacing w:line="240" w:lineRule="auto"/>
                    <w:jc w:val="center"/>
                    <w:rPr>
                      <w:rFonts w:hint="eastAsia"/>
                      <w:color w:val="auto"/>
                      <w:kern w:val="0"/>
                      <w:sz w:val="21"/>
                      <w:szCs w:val="21"/>
                      <w:vertAlign w:val="baseline"/>
                      <w:lang w:val="en-US" w:eastAsia="zh-CN"/>
                    </w:rPr>
                  </w:pPr>
                </w:p>
              </w:tc>
            </w:tr>
            <w:tr w14:paraId="4026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BC07817">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7FB45C49">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37A6A66A">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709797E3">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506FF34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234</w:t>
                  </w:r>
                </w:p>
              </w:tc>
            </w:tr>
            <w:tr w14:paraId="0C59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668D72D8">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71E50FF">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42122DC2">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3179BB8C">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39690D0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174</w:t>
                  </w:r>
                </w:p>
              </w:tc>
            </w:tr>
            <w:tr w14:paraId="32F3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3D76656F">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0979E41">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04AD8BD">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464F637F">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03FFAB0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112</w:t>
                  </w:r>
                </w:p>
              </w:tc>
            </w:tr>
            <w:tr w14:paraId="7E76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33CC5CC9">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4138054">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608DC0CC">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1B082E4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right w:val="nil"/>
                  </w:tcBorders>
                  <w:vAlign w:val="center"/>
                </w:tcPr>
                <w:p w14:paraId="1BDB433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234</w:t>
                  </w:r>
                </w:p>
              </w:tc>
            </w:tr>
            <w:tr w14:paraId="6511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restart"/>
                  <w:tcBorders>
                    <w:left w:val="nil"/>
                    <w:right w:val="single" w:color="auto" w:sz="2" w:space="0"/>
                  </w:tcBorders>
                  <w:vAlign w:val="center"/>
                </w:tcPr>
                <w:p w14:paraId="3054C407">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2024年12月20日</w:t>
                  </w:r>
                </w:p>
              </w:tc>
              <w:tc>
                <w:tcPr>
                  <w:tcW w:w="948" w:type="dxa"/>
                  <w:vMerge w:val="restart"/>
                  <w:tcBorders>
                    <w:left w:val="single" w:color="auto" w:sz="2" w:space="0"/>
                    <w:right w:val="single" w:color="auto" w:sz="2" w:space="0"/>
                  </w:tcBorders>
                  <w:vAlign w:val="center"/>
                </w:tcPr>
                <w:p w14:paraId="527C10A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1#有组织废气车间进口</w:t>
                  </w:r>
                </w:p>
              </w:tc>
              <w:tc>
                <w:tcPr>
                  <w:tcW w:w="1195" w:type="dxa"/>
                  <w:vMerge w:val="restart"/>
                  <w:tcBorders>
                    <w:left w:val="single" w:color="auto" w:sz="2" w:space="0"/>
                    <w:right w:val="single" w:color="auto" w:sz="2" w:space="0"/>
                  </w:tcBorders>
                  <w:vAlign w:val="center"/>
                </w:tcPr>
                <w:p w14:paraId="3F108DEA">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498786FC">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130" w:type="dxa"/>
                  <w:gridSpan w:val="2"/>
                  <w:tcBorders>
                    <w:left w:val="single" w:color="auto" w:sz="2" w:space="0"/>
                    <w:right w:val="single" w:color="auto" w:sz="2" w:space="0"/>
                  </w:tcBorders>
                  <w:vAlign w:val="center"/>
                </w:tcPr>
                <w:p w14:paraId="4BFE315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7358</w:t>
                  </w:r>
                </w:p>
              </w:tc>
              <w:tc>
                <w:tcPr>
                  <w:tcW w:w="1130" w:type="dxa"/>
                  <w:tcBorders>
                    <w:left w:val="single" w:color="auto" w:sz="2" w:space="0"/>
                    <w:right w:val="single" w:color="auto" w:sz="2" w:space="0"/>
                  </w:tcBorders>
                  <w:vAlign w:val="center"/>
                </w:tcPr>
                <w:p w14:paraId="701B2B0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4.62</w:t>
                  </w:r>
                </w:p>
              </w:tc>
              <w:tc>
                <w:tcPr>
                  <w:tcW w:w="1130" w:type="dxa"/>
                  <w:gridSpan w:val="2"/>
                  <w:vMerge w:val="restart"/>
                  <w:tcBorders>
                    <w:left w:val="single" w:color="auto" w:sz="2" w:space="0"/>
                    <w:right w:val="single" w:color="auto" w:sz="2" w:space="0"/>
                  </w:tcBorders>
                  <w:vAlign w:val="center"/>
                </w:tcPr>
                <w:p w14:paraId="722A6D3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c>
                <w:tcPr>
                  <w:tcW w:w="1132" w:type="dxa"/>
                  <w:gridSpan w:val="2"/>
                  <w:vMerge w:val="restart"/>
                  <w:tcBorders>
                    <w:left w:val="single" w:color="auto" w:sz="2" w:space="0"/>
                    <w:right w:val="nil"/>
                  </w:tcBorders>
                  <w:vAlign w:val="center"/>
                </w:tcPr>
                <w:p w14:paraId="703DC941">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w:t>
                  </w:r>
                </w:p>
              </w:tc>
            </w:tr>
            <w:tr w14:paraId="625C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40BBB28">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7D17ED7D">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27D725D3">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6127A550">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1130" w:type="dxa"/>
                  <w:gridSpan w:val="2"/>
                  <w:tcBorders>
                    <w:left w:val="single" w:color="auto" w:sz="2" w:space="0"/>
                    <w:right w:val="single" w:color="auto" w:sz="2" w:space="0"/>
                  </w:tcBorders>
                  <w:vAlign w:val="center"/>
                </w:tcPr>
                <w:p w14:paraId="5339D1A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8257</w:t>
                  </w:r>
                </w:p>
              </w:tc>
              <w:tc>
                <w:tcPr>
                  <w:tcW w:w="1130" w:type="dxa"/>
                  <w:tcBorders>
                    <w:left w:val="single" w:color="auto" w:sz="2" w:space="0"/>
                    <w:right w:val="single" w:color="auto" w:sz="2" w:space="0"/>
                  </w:tcBorders>
                  <w:vAlign w:val="center"/>
                </w:tcPr>
                <w:p w14:paraId="4037CA0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4.23</w:t>
                  </w:r>
                </w:p>
              </w:tc>
              <w:tc>
                <w:tcPr>
                  <w:tcW w:w="1130" w:type="dxa"/>
                  <w:gridSpan w:val="2"/>
                  <w:vMerge w:val="continue"/>
                  <w:tcBorders>
                    <w:left w:val="single" w:color="auto" w:sz="2" w:space="0"/>
                    <w:right w:val="single" w:color="auto" w:sz="2" w:space="0"/>
                  </w:tcBorders>
                  <w:vAlign w:val="center"/>
                </w:tcPr>
                <w:p w14:paraId="5EB9821B">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753B7CAC">
                  <w:pPr>
                    <w:spacing w:line="240" w:lineRule="auto"/>
                    <w:jc w:val="center"/>
                    <w:rPr>
                      <w:rFonts w:hint="eastAsia"/>
                      <w:color w:val="auto"/>
                      <w:kern w:val="0"/>
                      <w:sz w:val="21"/>
                      <w:szCs w:val="21"/>
                      <w:vertAlign w:val="baseline"/>
                      <w:lang w:val="en-US" w:eastAsia="zh-CN"/>
                    </w:rPr>
                  </w:pPr>
                </w:p>
              </w:tc>
            </w:tr>
            <w:tr w14:paraId="1B92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4AD1FA15">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BFD20F0">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1D9DCC5F">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63A842D">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1130" w:type="dxa"/>
                  <w:gridSpan w:val="2"/>
                  <w:tcBorders>
                    <w:left w:val="single" w:color="auto" w:sz="2" w:space="0"/>
                    <w:right w:val="single" w:color="auto" w:sz="2" w:space="0"/>
                  </w:tcBorders>
                  <w:vAlign w:val="center"/>
                </w:tcPr>
                <w:p w14:paraId="04347F4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7730</w:t>
                  </w:r>
                </w:p>
              </w:tc>
              <w:tc>
                <w:tcPr>
                  <w:tcW w:w="1130" w:type="dxa"/>
                  <w:tcBorders>
                    <w:left w:val="single" w:color="auto" w:sz="2" w:space="0"/>
                    <w:right w:val="single" w:color="auto" w:sz="2" w:space="0"/>
                  </w:tcBorders>
                  <w:vAlign w:val="center"/>
                </w:tcPr>
                <w:p w14:paraId="532DB2E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3.92</w:t>
                  </w:r>
                </w:p>
              </w:tc>
              <w:tc>
                <w:tcPr>
                  <w:tcW w:w="1130" w:type="dxa"/>
                  <w:gridSpan w:val="2"/>
                  <w:vMerge w:val="continue"/>
                  <w:tcBorders>
                    <w:left w:val="single" w:color="auto" w:sz="2" w:space="0"/>
                    <w:right w:val="single" w:color="auto" w:sz="2" w:space="0"/>
                  </w:tcBorders>
                  <w:vAlign w:val="center"/>
                </w:tcPr>
                <w:p w14:paraId="1305C266">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1A92431E">
                  <w:pPr>
                    <w:spacing w:line="240" w:lineRule="auto"/>
                    <w:jc w:val="center"/>
                    <w:rPr>
                      <w:rFonts w:hint="eastAsia"/>
                      <w:color w:val="auto"/>
                      <w:kern w:val="0"/>
                      <w:sz w:val="21"/>
                      <w:szCs w:val="21"/>
                      <w:vertAlign w:val="baseline"/>
                      <w:lang w:val="en-US" w:eastAsia="zh-CN"/>
                    </w:rPr>
                  </w:pPr>
                </w:p>
              </w:tc>
            </w:tr>
            <w:tr w14:paraId="13FC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1F82AACB">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72A8A557">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462A75BF">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2DD42B8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130" w:type="dxa"/>
                  <w:gridSpan w:val="2"/>
                  <w:tcBorders>
                    <w:left w:val="single" w:color="auto" w:sz="2" w:space="0"/>
                    <w:right w:val="single" w:color="auto" w:sz="2" w:space="0"/>
                  </w:tcBorders>
                  <w:vAlign w:val="center"/>
                </w:tcPr>
                <w:p w14:paraId="12BC80F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7782</w:t>
                  </w:r>
                </w:p>
              </w:tc>
              <w:tc>
                <w:tcPr>
                  <w:tcW w:w="1130" w:type="dxa"/>
                  <w:tcBorders>
                    <w:left w:val="single" w:color="auto" w:sz="2" w:space="0"/>
                    <w:right w:val="single" w:color="auto" w:sz="2" w:space="0"/>
                  </w:tcBorders>
                  <w:vAlign w:val="center"/>
                </w:tcPr>
                <w:p w14:paraId="704B89E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4.26</w:t>
                  </w:r>
                </w:p>
              </w:tc>
              <w:tc>
                <w:tcPr>
                  <w:tcW w:w="1130" w:type="dxa"/>
                  <w:gridSpan w:val="2"/>
                  <w:vMerge w:val="continue"/>
                  <w:tcBorders>
                    <w:left w:val="single" w:color="auto" w:sz="2" w:space="0"/>
                    <w:right w:val="single" w:color="auto" w:sz="2" w:space="0"/>
                  </w:tcBorders>
                  <w:vAlign w:val="center"/>
                </w:tcPr>
                <w:p w14:paraId="1A0A7947">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2940F560">
                  <w:pPr>
                    <w:spacing w:line="240" w:lineRule="auto"/>
                    <w:jc w:val="center"/>
                    <w:rPr>
                      <w:rFonts w:hint="eastAsia"/>
                      <w:color w:val="auto"/>
                      <w:kern w:val="0"/>
                      <w:sz w:val="21"/>
                      <w:szCs w:val="21"/>
                      <w:vertAlign w:val="baseline"/>
                      <w:lang w:val="en-US" w:eastAsia="zh-CN"/>
                    </w:rPr>
                  </w:pPr>
                </w:p>
              </w:tc>
            </w:tr>
            <w:tr w14:paraId="4BFF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3B1CD2E">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2B86143E">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11E3B98F">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7660302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5667388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309</w:t>
                  </w:r>
                </w:p>
              </w:tc>
            </w:tr>
            <w:tr w14:paraId="630D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E42116A">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044E780">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3A7B67ED">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5E0BCE9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2400E92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355</w:t>
                  </w:r>
                </w:p>
              </w:tc>
            </w:tr>
            <w:tr w14:paraId="766F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F6B490D">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20078759">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2E7C4F4B">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246FF3EB">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43465AD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417</w:t>
                  </w:r>
                </w:p>
              </w:tc>
            </w:tr>
            <w:tr w14:paraId="2EE4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6ECD6796">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26C31F2A">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15686644">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05E6EEB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right w:val="nil"/>
                  </w:tcBorders>
                  <w:vAlign w:val="center"/>
                </w:tcPr>
                <w:p w14:paraId="55DAEE7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417</w:t>
                  </w:r>
                </w:p>
              </w:tc>
            </w:tr>
            <w:tr w14:paraId="06D2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856DEFF">
                  <w:pPr>
                    <w:spacing w:line="240" w:lineRule="auto"/>
                    <w:jc w:val="center"/>
                    <w:rPr>
                      <w:rFonts w:hint="eastAsia"/>
                      <w:color w:val="auto"/>
                      <w:kern w:val="0"/>
                      <w:sz w:val="21"/>
                      <w:szCs w:val="21"/>
                      <w:vertAlign w:val="baseline"/>
                    </w:rPr>
                  </w:pPr>
                </w:p>
              </w:tc>
              <w:tc>
                <w:tcPr>
                  <w:tcW w:w="948" w:type="dxa"/>
                  <w:vMerge w:val="restart"/>
                  <w:tcBorders>
                    <w:left w:val="single" w:color="auto" w:sz="2" w:space="0"/>
                    <w:right w:val="single" w:color="auto" w:sz="2" w:space="0"/>
                  </w:tcBorders>
                  <w:vAlign w:val="center"/>
                </w:tcPr>
                <w:p w14:paraId="615C2DE4">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1#有组织废气车间出口</w:t>
                  </w:r>
                </w:p>
              </w:tc>
              <w:tc>
                <w:tcPr>
                  <w:tcW w:w="1195" w:type="dxa"/>
                  <w:vMerge w:val="restart"/>
                  <w:tcBorders>
                    <w:left w:val="single" w:color="auto" w:sz="2" w:space="0"/>
                    <w:right w:val="single" w:color="auto" w:sz="2" w:space="0"/>
                  </w:tcBorders>
                  <w:vAlign w:val="center"/>
                </w:tcPr>
                <w:p w14:paraId="1A0AD40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970" w:type="dxa"/>
                  <w:tcBorders>
                    <w:left w:val="single" w:color="auto" w:sz="2" w:space="0"/>
                    <w:right w:val="single" w:color="auto" w:sz="2" w:space="0"/>
                  </w:tcBorders>
                  <w:vAlign w:val="center"/>
                </w:tcPr>
                <w:p w14:paraId="04099C8B">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1130" w:type="dxa"/>
                  <w:gridSpan w:val="2"/>
                  <w:tcBorders>
                    <w:left w:val="single" w:color="auto" w:sz="2" w:space="0"/>
                    <w:right w:val="single" w:color="auto" w:sz="2" w:space="0"/>
                  </w:tcBorders>
                  <w:vAlign w:val="center"/>
                </w:tcPr>
                <w:p w14:paraId="12D4C4C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8568</w:t>
                  </w:r>
                </w:p>
              </w:tc>
              <w:tc>
                <w:tcPr>
                  <w:tcW w:w="1130" w:type="dxa"/>
                  <w:tcBorders>
                    <w:left w:val="single" w:color="auto" w:sz="2" w:space="0"/>
                    <w:right w:val="single" w:color="auto" w:sz="2" w:space="0"/>
                  </w:tcBorders>
                  <w:vAlign w:val="center"/>
                </w:tcPr>
                <w:p w14:paraId="0A8D354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1.85</w:t>
                  </w:r>
                </w:p>
              </w:tc>
              <w:tc>
                <w:tcPr>
                  <w:tcW w:w="1130" w:type="dxa"/>
                  <w:gridSpan w:val="2"/>
                  <w:vMerge w:val="restart"/>
                  <w:tcBorders>
                    <w:left w:val="single" w:color="auto" w:sz="2" w:space="0"/>
                    <w:right w:val="single" w:color="auto" w:sz="2" w:space="0"/>
                  </w:tcBorders>
                  <w:vAlign w:val="center"/>
                </w:tcPr>
                <w:p w14:paraId="2E68782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1.93</w:t>
                  </w:r>
                </w:p>
              </w:tc>
              <w:tc>
                <w:tcPr>
                  <w:tcW w:w="1132" w:type="dxa"/>
                  <w:gridSpan w:val="2"/>
                  <w:vMerge w:val="restart"/>
                  <w:tcBorders>
                    <w:left w:val="single" w:color="auto" w:sz="2" w:space="0"/>
                    <w:right w:val="nil"/>
                  </w:tcBorders>
                  <w:vAlign w:val="center"/>
                </w:tcPr>
                <w:p w14:paraId="1B4BF47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0.02</w:t>
                  </w:r>
                </w:p>
              </w:tc>
            </w:tr>
            <w:tr w14:paraId="0634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2D6AA985">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0DB60002">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5D7B0550">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B25B47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1130" w:type="dxa"/>
                  <w:gridSpan w:val="2"/>
                  <w:tcBorders>
                    <w:left w:val="single" w:color="auto" w:sz="2" w:space="0"/>
                    <w:right w:val="single" w:color="auto" w:sz="2" w:space="0"/>
                  </w:tcBorders>
                  <w:vAlign w:val="center"/>
                </w:tcPr>
                <w:p w14:paraId="5239BA0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8742</w:t>
                  </w:r>
                </w:p>
              </w:tc>
              <w:tc>
                <w:tcPr>
                  <w:tcW w:w="1130" w:type="dxa"/>
                  <w:tcBorders>
                    <w:left w:val="single" w:color="auto" w:sz="2" w:space="0"/>
                    <w:right w:val="single" w:color="auto" w:sz="2" w:space="0"/>
                  </w:tcBorders>
                  <w:vAlign w:val="center"/>
                </w:tcPr>
                <w:p w14:paraId="29F9F68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2.07</w:t>
                  </w:r>
                </w:p>
              </w:tc>
              <w:tc>
                <w:tcPr>
                  <w:tcW w:w="1130" w:type="dxa"/>
                  <w:gridSpan w:val="2"/>
                  <w:vMerge w:val="continue"/>
                  <w:tcBorders>
                    <w:left w:val="single" w:color="auto" w:sz="2" w:space="0"/>
                    <w:right w:val="single" w:color="auto" w:sz="2" w:space="0"/>
                  </w:tcBorders>
                  <w:vAlign w:val="center"/>
                </w:tcPr>
                <w:p w14:paraId="3F5C7601">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36C46ADD">
                  <w:pPr>
                    <w:spacing w:line="240" w:lineRule="auto"/>
                    <w:jc w:val="center"/>
                    <w:rPr>
                      <w:rFonts w:hint="eastAsia"/>
                      <w:color w:val="auto"/>
                      <w:kern w:val="0"/>
                      <w:sz w:val="21"/>
                      <w:szCs w:val="21"/>
                      <w:vertAlign w:val="baseline"/>
                      <w:lang w:val="en-US" w:eastAsia="zh-CN"/>
                    </w:rPr>
                  </w:pPr>
                </w:p>
              </w:tc>
            </w:tr>
            <w:tr w14:paraId="649E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1695B0D">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1F467B60">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4EE13416">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2F778AED">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1130" w:type="dxa"/>
                  <w:gridSpan w:val="2"/>
                  <w:tcBorders>
                    <w:left w:val="single" w:color="auto" w:sz="2" w:space="0"/>
                    <w:right w:val="single" w:color="auto" w:sz="2" w:space="0"/>
                  </w:tcBorders>
                  <w:vAlign w:val="center"/>
                </w:tcPr>
                <w:p w14:paraId="58C275D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8572</w:t>
                  </w:r>
                </w:p>
              </w:tc>
              <w:tc>
                <w:tcPr>
                  <w:tcW w:w="1130" w:type="dxa"/>
                  <w:tcBorders>
                    <w:left w:val="single" w:color="auto" w:sz="2" w:space="0"/>
                    <w:right w:val="single" w:color="auto" w:sz="2" w:space="0"/>
                  </w:tcBorders>
                  <w:vAlign w:val="center"/>
                </w:tcPr>
                <w:p w14:paraId="1672C17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1.86</w:t>
                  </w:r>
                </w:p>
              </w:tc>
              <w:tc>
                <w:tcPr>
                  <w:tcW w:w="1130" w:type="dxa"/>
                  <w:gridSpan w:val="2"/>
                  <w:vMerge w:val="continue"/>
                  <w:tcBorders>
                    <w:left w:val="single" w:color="auto" w:sz="2" w:space="0"/>
                    <w:right w:val="single" w:color="auto" w:sz="2" w:space="0"/>
                  </w:tcBorders>
                  <w:vAlign w:val="center"/>
                </w:tcPr>
                <w:p w14:paraId="1F544BC2">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189F1810">
                  <w:pPr>
                    <w:spacing w:line="240" w:lineRule="auto"/>
                    <w:jc w:val="center"/>
                    <w:rPr>
                      <w:rFonts w:hint="eastAsia"/>
                      <w:color w:val="auto"/>
                      <w:kern w:val="0"/>
                      <w:sz w:val="21"/>
                      <w:szCs w:val="21"/>
                      <w:vertAlign w:val="baseline"/>
                      <w:lang w:val="en-US" w:eastAsia="zh-CN"/>
                    </w:rPr>
                  </w:pPr>
                </w:p>
              </w:tc>
            </w:tr>
            <w:tr w14:paraId="7021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549DCA8C">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6BF4599">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33F52E87">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5D83993D">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平均值</w:t>
                  </w:r>
                </w:p>
              </w:tc>
              <w:tc>
                <w:tcPr>
                  <w:tcW w:w="1130" w:type="dxa"/>
                  <w:gridSpan w:val="2"/>
                  <w:tcBorders>
                    <w:left w:val="single" w:color="auto" w:sz="2" w:space="0"/>
                    <w:right w:val="single" w:color="auto" w:sz="2" w:space="0"/>
                  </w:tcBorders>
                  <w:vAlign w:val="center"/>
                </w:tcPr>
                <w:p w14:paraId="406D6B5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8627</w:t>
                  </w:r>
                </w:p>
              </w:tc>
              <w:tc>
                <w:tcPr>
                  <w:tcW w:w="1130" w:type="dxa"/>
                  <w:tcBorders>
                    <w:left w:val="single" w:color="auto" w:sz="2" w:space="0"/>
                    <w:right w:val="single" w:color="auto" w:sz="2" w:space="0"/>
                  </w:tcBorders>
                  <w:vAlign w:val="center"/>
                </w:tcPr>
                <w:p w14:paraId="12586A6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1.93</w:t>
                  </w:r>
                </w:p>
              </w:tc>
              <w:tc>
                <w:tcPr>
                  <w:tcW w:w="1130" w:type="dxa"/>
                  <w:gridSpan w:val="2"/>
                  <w:vMerge w:val="continue"/>
                  <w:tcBorders>
                    <w:left w:val="single" w:color="auto" w:sz="2" w:space="0"/>
                    <w:right w:val="single" w:color="auto" w:sz="2" w:space="0"/>
                  </w:tcBorders>
                  <w:vAlign w:val="center"/>
                </w:tcPr>
                <w:p w14:paraId="372B2707">
                  <w:pPr>
                    <w:spacing w:line="240" w:lineRule="auto"/>
                    <w:jc w:val="center"/>
                    <w:rPr>
                      <w:rFonts w:hint="eastAsia"/>
                      <w:color w:val="auto"/>
                      <w:kern w:val="0"/>
                      <w:sz w:val="21"/>
                      <w:szCs w:val="21"/>
                      <w:vertAlign w:val="baseline"/>
                      <w:lang w:val="en-US" w:eastAsia="zh-CN"/>
                    </w:rPr>
                  </w:pPr>
                </w:p>
              </w:tc>
              <w:tc>
                <w:tcPr>
                  <w:tcW w:w="1132" w:type="dxa"/>
                  <w:gridSpan w:val="2"/>
                  <w:vMerge w:val="continue"/>
                  <w:tcBorders>
                    <w:left w:val="single" w:color="auto" w:sz="2" w:space="0"/>
                    <w:right w:val="nil"/>
                  </w:tcBorders>
                  <w:vAlign w:val="center"/>
                </w:tcPr>
                <w:p w14:paraId="7265431D">
                  <w:pPr>
                    <w:spacing w:line="240" w:lineRule="auto"/>
                    <w:jc w:val="center"/>
                    <w:rPr>
                      <w:rFonts w:hint="eastAsia"/>
                      <w:color w:val="auto"/>
                      <w:kern w:val="0"/>
                      <w:sz w:val="21"/>
                      <w:szCs w:val="21"/>
                      <w:vertAlign w:val="baseline"/>
                      <w:lang w:val="en-US" w:eastAsia="zh-CN"/>
                    </w:rPr>
                  </w:pPr>
                </w:p>
              </w:tc>
            </w:tr>
            <w:tr w14:paraId="6C72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7B21FD93">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2E005B9">
                  <w:pPr>
                    <w:spacing w:line="240" w:lineRule="auto"/>
                    <w:jc w:val="center"/>
                    <w:rPr>
                      <w:rFonts w:hint="eastAsia"/>
                      <w:color w:val="auto"/>
                      <w:kern w:val="0"/>
                      <w:sz w:val="21"/>
                      <w:szCs w:val="21"/>
                      <w:vertAlign w:val="baseline"/>
                    </w:rPr>
                  </w:pPr>
                </w:p>
              </w:tc>
              <w:tc>
                <w:tcPr>
                  <w:tcW w:w="1195" w:type="dxa"/>
                  <w:vMerge w:val="restart"/>
                  <w:tcBorders>
                    <w:left w:val="single" w:color="auto" w:sz="2" w:space="0"/>
                    <w:right w:val="single" w:color="auto" w:sz="2" w:space="0"/>
                  </w:tcBorders>
                  <w:vAlign w:val="center"/>
                </w:tcPr>
                <w:p w14:paraId="0E501FA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970" w:type="dxa"/>
                  <w:tcBorders>
                    <w:left w:val="single" w:color="auto" w:sz="2" w:space="0"/>
                    <w:right w:val="single" w:color="auto" w:sz="2" w:space="0"/>
                  </w:tcBorders>
                  <w:vAlign w:val="center"/>
                </w:tcPr>
                <w:p w14:paraId="405523A5">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第1次</w:t>
                  </w:r>
                </w:p>
              </w:tc>
              <w:tc>
                <w:tcPr>
                  <w:tcW w:w="4522" w:type="dxa"/>
                  <w:gridSpan w:val="7"/>
                  <w:tcBorders>
                    <w:left w:val="single" w:color="auto" w:sz="2" w:space="0"/>
                    <w:right w:val="nil"/>
                  </w:tcBorders>
                  <w:vAlign w:val="center"/>
                </w:tcPr>
                <w:p w14:paraId="48C585D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269</w:t>
                  </w:r>
                </w:p>
              </w:tc>
            </w:tr>
            <w:tr w14:paraId="1175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044D4A3A">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599DC39A">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28FF403">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307A1E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第2次</w:t>
                  </w:r>
                </w:p>
              </w:tc>
              <w:tc>
                <w:tcPr>
                  <w:tcW w:w="4522" w:type="dxa"/>
                  <w:gridSpan w:val="7"/>
                  <w:tcBorders>
                    <w:left w:val="single" w:color="auto" w:sz="2" w:space="0"/>
                    <w:right w:val="nil"/>
                  </w:tcBorders>
                  <w:vAlign w:val="center"/>
                </w:tcPr>
                <w:p w14:paraId="3539B37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200</w:t>
                  </w:r>
                </w:p>
              </w:tc>
            </w:tr>
            <w:tr w14:paraId="14D8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right w:val="single" w:color="auto" w:sz="2" w:space="0"/>
                  </w:tcBorders>
                  <w:vAlign w:val="center"/>
                </w:tcPr>
                <w:p w14:paraId="695EEC20">
                  <w:pPr>
                    <w:spacing w:line="240" w:lineRule="auto"/>
                    <w:jc w:val="center"/>
                    <w:rPr>
                      <w:rFonts w:hint="eastAsia"/>
                      <w:color w:val="auto"/>
                      <w:kern w:val="0"/>
                      <w:sz w:val="21"/>
                      <w:szCs w:val="21"/>
                      <w:vertAlign w:val="baseline"/>
                    </w:rPr>
                  </w:pPr>
                </w:p>
              </w:tc>
              <w:tc>
                <w:tcPr>
                  <w:tcW w:w="948" w:type="dxa"/>
                  <w:vMerge w:val="continue"/>
                  <w:tcBorders>
                    <w:left w:val="single" w:color="auto" w:sz="2" w:space="0"/>
                    <w:right w:val="single" w:color="auto" w:sz="2" w:space="0"/>
                  </w:tcBorders>
                  <w:vAlign w:val="center"/>
                </w:tcPr>
                <w:p w14:paraId="6F445ED2">
                  <w:pPr>
                    <w:spacing w:line="240" w:lineRule="auto"/>
                    <w:jc w:val="center"/>
                    <w:rPr>
                      <w:rFonts w:hint="eastAsia"/>
                      <w:color w:val="auto"/>
                      <w:kern w:val="0"/>
                      <w:sz w:val="21"/>
                      <w:szCs w:val="21"/>
                      <w:vertAlign w:val="baseline"/>
                    </w:rPr>
                  </w:pPr>
                </w:p>
              </w:tc>
              <w:tc>
                <w:tcPr>
                  <w:tcW w:w="1195" w:type="dxa"/>
                  <w:vMerge w:val="continue"/>
                  <w:tcBorders>
                    <w:left w:val="single" w:color="auto" w:sz="2" w:space="0"/>
                    <w:right w:val="single" w:color="auto" w:sz="2" w:space="0"/>
                  </w:tcBorders>
                  <w:vAlign w:val="center"/>
                </w:tcPr>
                <w:p w14:paraId="070A99BD">
                  <w:pPr>
                    <w:spacing w:line="240" w:lineRule="auto"/>
                    <w:jc w:val="center"/>
                    <w:rPr>
                      <w:rFonts w:hint="eastAsia"/>
                      <w:color w:val="auto"/>
                      <w:kern w:val="0"/>
                      <w:sz w:val="21"/>
                      <w:szCs w:val="21"/>
                      <w:vertAlign w:val="baseline"/>
                    </w:rPr>
                  </w:pPr>
                </w:p>
              </w:tc>
              <w:tc>
                <w:tcPr>
                  <w:tcW w:w="970" w:type="dxa"/>
                  <w:tcBorders>
                    <w:left w:val="single" w:color="auto" w:sz="2" w:space="0"/>
                    <w:right w:val="single" w:color="auto" w:sz="2" w:space="0"/>
                  </w:tcBorders>
                  <w:vAlign w:val="center"/>
                </w:tcPr>
                <w:p w14:paraId="7385882F">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第3次</w:t>
                  </w:r>
                </w:p>
              </w:tc>
              <w:tc>
                <w:tcPr>
                  <w:tcW w:w="4522" w:type="dxa"/>
                  <w:gridSpan w:val="7"/>
                  <w:tcBorders>
                    <w:left w:val="single" w:color="auto" w:sz="2" w:space="0"/>
                    <w:right w:val="nil"/>
                  </w:tcBorders>
                  <w:vAlign w:val="center"/>
                </w:tcPr>
                <w:p w14:paraId="1C2231F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132</w:t>
                  </w:r>
                </w:p>
              </w:tc>
            </w:tr>
            <w:tr w14:paraId="5C75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980" w:type="dxa"/>
                  <w:vMerge w:val="continue"/>
                  <w:tcBorders>
                    <w:left w:val="nil"/>
                    <w:bottom w:val="single" w:color="auto" w:sz="12" w:space="0"/>
                    <w:right w:val="single" w:color="auto" w:sz="2" w:space="0"/>
                  </w:tcBorders>
                  <w:vAlign w:val="center"/>
                </w:tcPr>
                <w:p w14:paraId="09893E30">
                  <w:pPr>
                    <w:spacing w:line="240" w:lineRule="auto"/>
                    <w:jc w:val="center"/>
                    <w:rPr>
                      <w:rFonts w:hint="eastAsia"/>
                      <w:color w:val="auto"/>
                      <w:kern w:val="0"/>
                      <w:sz w:val="21"/>
                      <w:szCs w:val="21"/>
                      <w:vertAlign w:val="baseline"/>
                    </w:rPr>
                  </w:pPr>
                </w:p>
              </w:tc>
              <w:tc>
                <w:tcPr>
                  <w:tcW w:w="948" w:type="dxa"/>
                  <w:vMerge w:val="continue"/>
                  <w:tcBorders>
                    <w:left w:val="single" w:color="auto" w:sz="2" w:space="0"/>
                    <w:bottom w:val="single" w:color="auto" w:sz="12" w:space="0"/>
                    <w:right w:val="single" w:color="auto" w:sz="2" w:space="0"/>
                  </w:tcBorders>
                  <w:vAlign w:val="center"/>
                </w:tcPr>
                <w:p w14:paraId="067A013A">
                  <w:pPr>
                    <w:spacing w:line="240" w:lineRule="auto"/>
                    <w:jc w:val="center"/>
                    <w:rPr>
                      <w:rFonts w:hint="eastAsia"/>
                      <w:color w:val="auto"/>
                      <w:kern w:val="0"/>
                      <w:sz w:val="21"/>
                      <w:szCs w:val="21"/>
                      <w:vertAlign w:val="baseline"/>
                    </w:rPr>
                  </w:pPr>
                </w:p>
              </w:tc>
              <w:tc>
                <w:tcPr>
                  <w:tcW w:w="1195" w:type="dxa"/>
                  <w:vMerge w:val="continue"/>
                  <w:tcBorders>
                    <w:left w:val="single" w:color="auto" w:sz="2" w:space="0"/>
                    <w:bottom w:val="single" w:color="auto" w:sz="12" w:space="0"/>
                    <w:right w:val="single" w:color="auto" w:sz="2" w:space="0"/>
                  </w:tcBorders>
                  <w:vAlign w:val="center"/>
                </w:tcPr>
                <w:p w14:paraId="0DD85C72">
                  <w:pPr>
                    <w:spacing w:line="240" w:lineRule="auto"/>
                    <w:jc w:val="center"/>
                    <w:rPr>
                      <w:rFonts w:hint="eastAsia"/>
                      <w:color w:val="auto"/>
                      <w:kern w:val="0"/>
                      <w:sz w:val="21"/>
                      <w:szCs w:val="21"/>
                      <w:vertAlign w:val="baseline"/>
                    </w:rPr>
                  </w:pPr>
                </w:p>
              </w:tc>
              <w:tc>
                <w:tcPr>
                  <w:tcW w:w="970" w:type="dxa"/>
                  <w:tcBorders>
                    <w:left w:val="single" w:color="auto" w:sz="2" w:space="0"/>
                    <w:bottom w:val="single" w:color="auto" w:sz="12" w:space="0"/>
                    <w:right w:val="single" w:color="auto" w:sz="2" w:space="0"/>
                  </w:tcBorders>
                  <w:vAlign w:val="center"/>
                </w:tcPr>
                <w:p w14:paraId="657EA7AE">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最大值</w:t>
                  </w:r>
                </w:p>
              </w:tc>
              <w:tc>
                <w:tcPr>
                  <w:tcW w:w="4522" w:type="dxa"/>
                  <w:gridSpan w:val="7"/>
                  <w:tcBorders>
                    <w:left w:val="single" w:color="auto" w:sz="2" w:space="0"/>
                    <w:bottom w:val="single" w:color="auto" w:sz="12" w:space="0"/>
                    <w:right w:val="nil"/>
                  </w:tcBorders>
                  <w:vAlign w:val="center"/>
                </w:tcPr>
                <w:p w14:paraId="2757D30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269</w:t>
                  </w:r>
                </w:p>
              </w:tc>
            </w:tr>
          </w:tbl>
          <w:p w14:paraId="42EDC62A">
            <w:pPr>
              <w:spacing w:before="157" w:beforeLines="50" w:line="360" w:lineRule="auto"/>
              <w:ind w:firstLine="480" w:firstLineChars="200"/>
              <w:rPr>
                <w:rFonts w:hint="eastAsia"/>
                <w:color w:val="auto"/>
                <w:kern w:val="0"/>
                <w:sz w:val="24"/>
              </w:rPr>
            </w:pPr>
            <w:r>
              <w:rPr>
                <w:rFonts w:hint="eastAsia"/>
                <w:color w:val="auto"/>
                <w:kern w:val="0"/>
                <w:sz w:val="24"/>
              </w:rPr>
              <w:t>②无组织排放废气</w:t>
            </w:r>
          </w:p>
          <w:p w14:paraId="3B319A8C">
            <w:pPr>
              <w:spacing w:before="0" w:beforeLines="-2147483648" w:line="360" w:lineRule="auto"/>
              <w:ind w:firstLine="480" w:firstLineChars="200"/>
              <w:jc w:val="left"/>
              <w:rPr>
                <w:rFonts w:hint="eastAsia" w:eastAsia="宋体"/>
                <w:bCs/>
                <w:color w:val="auto"/>
                <w:sz w:val="24"/>
                <w:lang w:eastAsia="zh-CN"/>
              </w:rPr>
            </w:pPr>
            <w:r>
              <w:rPr>
                <w:rFonts w:hint="eastAsia"/>
                <w:color w:val="auto"/>
                <w:kern w:val="0"/>
                <w:sz w:val="24"/>
              </w:rPr>
              <w:t>现有工程无组织废气主要为项</w:t>
            </w:r>
            <w:r>
              <w:rPr>
                <w:rFonts w:hint="eastAsia"/>
                <w:color w:val="auto"/>
                <w:kern w:val="0"/>
                <w:sz w:val="24"/>
                <w:lang w:val="en-US" w:eastAsia="zh-CN"/>
              </w:rPr>
              <w:t>目塑料密封件注塑过程</w:t>
            </w:r>
            <w:r>
              <w:rPr>
                <w:rFonts w:hint="eastAsia"/>
                <w:color w:val="auto"/>
                <w:kern w:val="0"/>
                <w:sz w:val="24"/>
              </w:rPr>
              <w:t>未经收集的</w:t>
            </w:r>
            <w:r>
              <w:rPr>
                <w:rFonts w:hint="eastAsia"/>
                <w:color w:val="auto"/>
                <w:kern w:val="0"/>
                <w:sz w:val="24"/>
                <w:lang w:val="en-US" w:eastAsia="zh-CN"/>
              </w:rPr>
              <w:t>有机废气和</w:t>
            </w:r>
            <w:r>
              <w:rPr>
                <w:rFonts w:hint="eastAsia"/>
                <w:bCs/>
                <w:color w:val="auto"/>
                <w:kern w:val="0"/>
                <w:sz w:val="24"/>
                <w:lang w:val="en-US" w:eastAsia="zh-CN"/>
              </w:rPr>
              <w:t>恶臭</w:t>
            </w:r>
            <w:r>
              <w:rPr>
                <w:rFonts w:hint="eastAsia"/>
                <w:color w:val="auto"/>
                <w:kern w:val="0"/>
                <w:sz w:val="24"/>
                <w:lang w:eastAsia="zh-CN"/>
              </w:rPr>
              <w:t>。</w:t>
            </w:r>
          </w:p>
          <w:p w14:paraId="1DF51D92">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表2-19 现有工程厂界无组织排放废气监测结果一览表</w:t>
            </w:r>
          </w:p>
          <w:tbl>
            <w:tblPr>
              <w:tblStyle w:val="36"/>
              <w:tblW w:w="495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199"/>
              <w:gridCol w:w="1080"/>
              <w:gridCol w:w="1194"/>
              <w:gridCol w:w="1398"/>
              <w:gridCol w:w="1250"/>
              <w:gridCol w:w="1216"/>
            </w:tblGrid>
            <w:tr w14:paraId="52288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pct"/>
                  <w:vMerge w:val="restart"/>
                  <w:tcBorders>
                    <w:tl2br w:val="nil"/>
                    <w:tr2bl w:val="nil"/>
                  </w:tcBorders>
                  <w:vAlign w:val="center"/>
                </w:tcPr>
                <w:p w14:paraId="4444AEB8">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采样日期</w:t>
                  </w:r>
                </w:p>
              </w:tc>
              <w:tc>
                <w:tcPr>
                  <w:tcW w:w="699" w:type="pct"/>
                  <w:vMerge w:val="restart"/>
                  <w:tcBorders>
                    <w:tl2br w:val="nil"/>
                    <w:tr2bl w:val="nil"/>
                  </w:tcBorders>
                  <w:vAlign w:val="center"/>
                </w:tcPr>
                <w:p w14:paraId="6F231410">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检测点位</w:t>
                  </w:r>
                </w:p>
              </w:tc>
              <w:tc>
                <w:tcPr>
                  <w:tcW w:w="630" w:type="pct"/>
                  <w:vMerge w:val="restart"/>
                  <w:tcBorders>
                    <w:tl2br w:val="nil"/>
                    <w:tr2bl w:val="nil"/>
                  </w:tcBorders>
                  <w:vAlign w:val="center"/>
                </w:tcPr>
                <w:p w14:paraId="7462DAE0">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检测频次</w:t>
                  </w:r>
                </w:p>
              </w:tc>
              <w:tc>
                <w:tcPr>
                  <w:tcW w:w="2949" w:type="pct"/>
                  <w:gridSpan w:val="4"/>
                  <w:tcBorders>
                    <w:tl2br w:val="nil"/>
                    <w:tr2bl w:val="nil"/>
                  </w:tcBorders>
                  <w:vAlign w:val="center"/>
                </w:tcPr>
                <w:p w14:paraId="420EDE3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检测结果</w:t>
                  </w:r>
                </w:p>
              </w:tc>
            </w:tr>
            <w:tr w14:paraId="3EF23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5A963994">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68C1C457">
                  <w:pPr>
                    <w:spacing w:line="240" w:lineRule="auto"/>
                    <w:jc w:val="center"/>
                    <w:rPr>
                      <w:rFonts w:hint="eastAsia"/>
                      <w:color w:val="auto"/>
                      <w:kern w:val="0"/>
                      <w:sz w:val="21"/>
                      <w:szCs w:val="21"/>
                      <w:vertAlign w:val="baseline"/>
                    </w:rPr>
                  </w:pPr>
                </w:p>
              </w:tc>
              <w:tc>
                <w:tcPr>
                  <w:tcW w:w="630" w:type="pct"/>
                  <w:vMerge w:val="continue"/>
                  <w:tcBorders>
                    <w:tl2br w:val="nil"/>
                    <w:tr2bl w:val="nil"/>
                  </w:tcBorders>
                  <w:vAlign w:val="center"/>
                </w:tcPr>
                <w:p w14:paraId="70D2F13F">
                  <w:pPr>
                    <w:spacing w:line="240" w:lineRule="auto"/>
                    <w:jc w:val="center"/>
                    <w:rPr>
                      <w:rFonts w:hint="eastAsia"/>
                      <w:color w:val="auto"/>
                      <w:kern w:val="0"/>
                      <w:sz w:val="21"/>
                      <w:szCs w:val="21"/>
                      <w:vertAlign w:val="baseline"/>
                    </w:rPr>
                  </w:pPr>
                </w:p>
              </w:tc>
              <w:tc>
                <w:tcPr>
                  <w:tcW w:w="696" w:type="pct"/>
                  <w:tcBorders>
                    <w:tl2br w:val="nil"/>
                    <w:tr2bl w:val="nil"/>
                  </w:tcBorders>
                  <w:vAlign w:val="center"/>
                </w:tcPr>
                <w:p w14:paraId="7C40784A">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F1上风向</w:t>
                  </w:r>
                </w:p>
              </w:tc>
              <w:tc>
                <w:tcPr>
                  <w:tcW w:w="815" w:type="pct"/>
                  <w:tcBorders>
                    <w:tl2br w:val="nil"/>
                    <w:tr2bl w:val="nil"/>
                  </w:tcBorders>
                  <w:vAlign w:val="center"/>
                </w:tcPr>
                <w:p w14:paraId="4FBD21C7">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F2下风向</w:t>
                  </w:r>
                </w:p>
              </w:tc>
              <w:tc>
                <w:tcPr>
                  <w:tcW w:w="729" w:type="pct"/>
                  <w:tcBorders>
                    <w:tl2br w:val="nil"/>
                    <w:tr2bl w:val="nil"/>
                  </w:tcBorders>
                  <w:vAlign w:val="center"/>
                </w:tcPr>
                <w:p w14:paraId="6A2745F4">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F3下风向</w:t>
                  </w:r>
                </w:p>
              </w:tc>
              <w:tc>
                <w:tcPr>
                  <w:tcW w:w="708" w:type="pct"/>
                  <w:tcBorders>
                    <w:tl2br w:val="nil"/>
                    <w:tr2bl w:val="nil"/>
                  </w:tcBorders>
                  <w:vAlign w:val="center"/>
                </w:tcPr>
                <w:p w14:paraId="157EC1BA">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F4下风向</w:t>
                  </w:r>
                </w:p>
              </w:tc>
            </w:tr>
            <w:tr w14:paraId="40DA7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restart"/>
                  <w:tcBorders>
                    <w:tl2br w:val="nil"/>
                    <w:tr2bl w:val="nil"/>
                  </w:tcBorders>
                  <w:vAlign w:val="center"/>
                </w:tcPr>
                <w:p w14:paraId="504B9F2D">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2024年12月19日</w:t>
                  </w:r>
                </w:p>
              </w:tc>
              <w:tc>
                <w:tcPr>
                  <w:tcW w:w="699" w:type="pct"/>
                  <w:vMerge w:val="restart"/>
                  <w:tcBorders>
                    <w:tl2br w:val="nil"/>
                    <w:tr2bl w:val="nil"/>
                  </w:tcBorders>
                  <w:vAlign w:val="center"/>
                </w:tcPr>
                <w:p w14:paraId="45A23F66">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630" w:type="pct"/>
                  <w:tcBorders>
                    <w:tl2br w:val="nil"/>
                    <w:tr2bl w:val="nil"/>
                  </w:tcBorders>
                  <w:vAlign w:val="center"/>
                </w:tcPr>
                <w:p w14:paraId="650E6431">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696" w:type="pct"/>
                  <w:tcBorders>
                    <w:tl2br w:val="nil"/>
                    <w:tr2bl w:val="nil"/>
                  </w:tcBorders>
                  <w:vAlign w:val="center"/>
                </w:tcPr>
                <w:p w14:paraId="7201EBE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0.12</w:t>
                  </w:r>
                </w:p>
              </w:tc>
              <w:tc>
                <w:tcPr>
                  <w:tcW w:w="815" w:type="pct"/>
                  <w:tcBorders>
                    <w:tl2br w:val="nil"/>
                    <w:tr2bl w:val="nil"/>
                  </w:tcBorders>
                  <w:vAlign w:val="center"/>
                </w:tcPr>
                <w:p w14:paraId="2923C95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0.27</w:t>
                  </w:r>
                </w:p>
              </w:tc>
              <w:tc>
                <w:tcPr>
                  <w:tcW w:w="729" w:type="pct"/>
                  <w:tcBorders>
                    <w:tl2br w:val="nil"/>
                    <w:tr2bl w:val="nil"/>
                  </w:tcBorders>
                  <w:vAlign w:val="center"/>
                </w:tcPr>
                <w:p w14:paraId="72A69EC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0.33</w:t>
                  </w:r>
                </w:p>
              </w:tc>
              <w:tc>
                <w:tcPr>
                  <w:tcW w:w="708" w:type="pct"/>
                  <w:tcBorders>
                    <w:tl2br w:val="nil"/>
                    <w:tr2bl w:val="nil"/>
                  </w:tcBorders>
                  <w:vAlign w:val="center"/>
                </w:tcPr>
                <w:p w14:paraId="038181A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0.17</w:t>
                  </w:r>
                </w:p>
              </w:tc>
            </w:tr>
            <w:tr w14:paraId="7259D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0178A4F6">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624B9D0C">
                  <w:pPr>
                    <w:spacing w:line="240" w:lineRule="auto"/>
                    <w:jc w:val="center"/>
                    <w:rPr>
                      <w:rFonts w:hint="eastAsia"/>
                      <w:color w:val="auto"/>
                      <w:kern w:val="0"/>
                      <w:sz w:val="21"/>
                      <w:szCs w:val="21"/>
                      <w:vertAlign w:val="baseline"/>
                    </w:rPr>
                  </w:pPr>
                </w:p>
              </w:tc>
              <w:tc>
                <w:tcPr>
                  <w:tcW w:w="630" w:type="pct"/>
                  <w:tcBorders>
                    <w:tl2br w:val="nil"/>
                    <w:tr2bl w:val="nil"/>
                  </w:tcBorders>
                  <w:vAlign w:val="center"/>
                </w:tcPr>
                <w:p w14:paraId="50B7B70F">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696" w:type="pct"/>
                  <w:tcBorders>
                    <w:tl2br w:val="nil"/>
                    <w:tr2bl w:val="nil"/>
                  </w:tcBorders>
                  <w:vAlign w:val="center"/>
                </w:tcPr>
                <w:p w14:paraId="225120A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0.15</w:t>
                  </w:r>
                </w:p>
              </w:tc>
              <w:tc>
                <w:tcPr>
                  <w:tcW w:w="815" w:type="pct"/>
                  <w:tcBorders>
                    <w:tl2br w:val="nil"/>
                    <w:tr2bl w:val="nil"/>
                  </w:tcBorders>
                  <w:vAlign w:val="center"/>
                </w:tcPr>
                <w:p w14:paraId="56C85F0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0.31</w:t>
                  </w:r>
                </w:p>
              </w:tc>
              <w:tc>
                <w:tcPr>
                  <w:tcW w:w="729" w:type="pct"/>
                  <w:tcBorders>
                    <w:tl2br w:val="nil"/>
                    <w:tr2bl w:val="nil"/>
                  </w:tcBorders>
                  <w:vAlign w:val="center"/>
                </w:tcPr>
                <w:p w14:paraId="0167BC9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0.25</w:t>
                  </w:r>
                </w:p>
              </w:tc>
              <w:tc>
                <w:tcPr>
                  <w:tcW w:w="708" w:type="pct"/>
                  <w:tcBorders>
                    <w:tl2br w:val="nil"/>
                    <w:tr2bl w:val="nil"/>
                  </w:tcBorders>
                  <w:vAlign w:val="center"/>
                </w:tcPr>
                <w:p w14:paraId="46C22E9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0.16</w:t>
                  </w:r>
                </w:p>
              </w:tc>
            </w:tr>
            <w:tr w14:paraId="54FA8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122106AD">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2A821A37">
                  <w:pPr>
                    <w:spacing w:line="240" w:lineRule="auto"/>
                    <w:jc w:val="center"/>
                    <w:rPr>
                      <w:rFonts w:hint="eastAsia"/>
                      <w:color w:val="auto"/>
                      <w:kern w:val="0"/>
                      <w:sz w:val="21"/>
                      <w:szCs w:val="21"/>
                      <w:vertAlign w:val="baseline"/>
                    </w:rPr>
                  </w:pPr>
                </w:p>
              </w:tc>
              <w:tc>
                <w:tcPr>
                  <w:tcW w:w="630" w:type="pct"/>
                  <w:tcBorders>
                    <w:tl2br w:val="nil"/>
                    <w:tr2bl w:val="nil"/>
                  </w:tcBorders>
                  <w:vAlign w:val="center"/>
                </w:tcPr>
                <w:p w14:paraId="1F9EA352">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696" w:type="pct"/>
                  <w:tcBorders>
                    <w:tl2br w:val="nil"/>
                    <w:tr2bl w:val="nil"/>
                  </w:tcBorders>
                  <w:vAlign w:val="center"/>
                </w:tcPr>
                <w:p w14:paraId="139E778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0.16</w:t>
                  </w:r>
                </w:p>
              </w:tc>
              <w:tc>
                <w:tcPr>
                  <w:tcW w:w="815" w:type="pct"/>
                  <w:tcBorders>
                    <w:tl2br w:val="nil"/>
                    <w:tr2bl w:val="nil"/>
                  </w:tcBorders>
                  <w:vAlign w:val="center"/>
                </w:tcPr>
                <w:p w14:paraId="5029768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0.26</w:t>
                  </w:r>
                </w:p>
              </w:tc>
              <w:tc>
                <w:tcPr>
                  <w:tcW w:w="729" w:type="pct"/>
                  <w:tcBorders>
                    <w:tl2br w:val="nil"/>
                    <w:tr2bl w:val="nil"/>
                  </w:tcBorders>
                  <w:vAlign w:val="center"/>
                </w:tcPr>
                <w:p w14:paraId="0CA7DC8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0.31</w:t>
                  </w:r>
                </w:p>
              </w:tc>
              <w:tc>
                <w:tcPr>
                  <w:tcW w:w="708" w:type="pct"/>
                  <w:tcBorders>
                    <w:tl2br w:val="nil"/>
                    <w:tr2bl w:val="nil"/>
                  </w:tcBorders>
                  <w:vAlign w:val="center"/>
                </w:tcPr>
                <w:p w14:paraId="19D3191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0.19</w:t>
                  </w:r>
                </w:p>
              </w:tc>
            </w:tr>
            <w:tr w14:paraId="14D1F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729D7C45">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3C76219E">
                  <w:pPr>
                    <w:spacing w:line="240" w:lineRule="auto"/>
                    <w:jc w:val="center"/>
                    <w:rPr>
                      <w:rFonts w:hint="eastAsia"/>
                      <w:color w:val="auto"/>
                      <w:kern w:val="0"/>
                      <w:sz w:val="21"/>
                      <w:szCs w:val="21"/>
                      <w:vertAlign w:val="baseline"/>
                    </w:rPr>
                  </w:pPr>
                </w:p>
              </w:tc>
              <w:tc>
                <w:tcPr>
                  <w:tcW w:w="630" w:type="pct"/>
                  <w:tcBorders>
                    <w:tl2br w:val="nil"/>
                    <w:tr2bl w:val="nil"/>
                  </w:tcBorders>
                  <w:shd w:val="clear" w:color="auto" w:fill="auto"/>
                  <w:vAlign w:val="center"/>
                </w:tcPr>
                <w:p w14:paraId="12A2DAFB">
                  <w:pPr>
                    <w:spacing w:line="240" w:lineRule="auto"/>
                    <w:jc w:val="center"/>
                    <w:rPr>
                      <w:rFonts w:hint="eastAsia" w:ascii="Times New Roman" w:hAnsi="Times New Roman" w:eastAsia="宋体" w:cs="Times New Roman"/>
                      <w:color w:val="auto"/>
                      <w:kern w:val="0"/>
                      <w:sz w:val="21"/>
                      <w:szCs w:val="21"/>
                      <w:vertAlign w:val="baseline"/>
                      <w:lang w:val="en-US" w:eastAsia="zh-CN" w:bidi="ar-SA"/>
                    </w:rPr>
                  </w:pPr>
                  <w:r>
                    <w:rPr>
                      <w:rFonts w:hint="eastAsia"/>
                      <w:color w:val="auto"/>
                      <w:kern w:val="0"/>
                      <w:sz w:val="21"/>
                      <w:szCs w:val="21"/>
                      <w:vertAlign w:val="baseline"/>
                      <w:lang w:val="en-US" w:eastAsia="zh-CN"/>
                    </w:rPr>
                    <w:t>第4次</w:t>
                  </w:r>
                </w:p>
              </w:tc>
              <w:tc>
                <w:tcPr>
                  <w:tcW w:w="696" w:type="pct"/>
                  <w:tcBorders>
                    <w:tl2br w:val="nil"/>
                    <w:tr2bl w:val="nil"/>
                  </w:tcBorders>
                  <w:vAlign w:val="center"/>
                </w:tcPr>
                <w:p w14:paraId="27288EB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0.12</w:t>
                  </w:r>
                </w:p>
              </w:tc>
              <w:tc>
                <w:tcPr>
                  <w:tcW w:w="815" w:type="pct"/>
                  <w:tcBorders>
                    <w:tl2br w:val="nil"/>
                    <w:tr2bl w:val="nil"/>
                  </w:tcBorders>
                  <w:vAlign w:val="center"/>
                </w:tcPr>
                <w:p w14:paraId="0B19869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0.32</w:t>
                  </w:r>
                </w:p>
              </w:tc>
              <w:tc>
                <w:tcPr>
                  <w:tcW w:w="729" w:type="pct"/>
                  <w:tcBorders>
                    <w:tl2br w:val="nil"/>
                    <w:tr2bl w:val="nil"/>
                  </w:tcBorders>
                  <w:vAlign w:val="center"/>
                </w:tcPr>
                <w:p w14:paraId="6DFCDF3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0.29</w:t>
                  </w:r>
                </w:p>
              </w:tc>
              <w:tc>
                <w:tcPr>
                  <w:tcW w:w="708" w:type="pct"/>
                  <w:tcBorders>
                    <w:tl2br w:val="nil"/>
                    <w:tr2bl w:val="nil"/>
                  </w:tcBorders>
                  <w:vAlign w:val="center"/>
                </w:tcPr>
                <w:p w14:paraId="3FEE19B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0.21</w:t>
                  </w:r>
                </w:p>
              </w:tc>
            </w:tr>
            <w:tr w14:paraId="47CF0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25CED54C">
                  <w:pPr>
                    <w:spacing w:line="240" w:lineRule="auto"/>
                    <w:jc w:val="center"/>
                    <w:rPr>
                      <w:rFonts w:hint="eastAsia"/>
                      <w:color w:val="auto"/>
                      <w:kern w:val="0"/>
                      <w:sz w:val="21"/>
                      <w:szCs w:val="21"/>
                      <w:vertAlign w:val="baseline"/>
                    </w:rPr>
                  </w:pPr>
                </w:p>
              </w:tc>
              <w:tc>
                <w:tcPr>
                  <w:tcW w:w="699" w:type="pct"/>
                  <w:vMerge w:val="restart"/>
                  <w:tcBorders>
                    <w:tl2br w:val="nil"/>
                    <w:tr2bl w:val="nil"/>
                  </w:tcBorders>
                  <w:vAlign w:val="center"/>
                </w:tcPr>
                <w:p w14:paraId="0D85B8D0">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1075" w:type="dxa"/>
                  <w:tcBorders>
                    <w:tl2br w:val="nil"/>
                    <w:tr2bl w:val="nil"/>
                  </w:tcBorders>
                  <w:shd w:val="clear" w:color="auto" w:fill="auto"/>
                  <w:vAlign w:val="center"/>
                </w:tcPr>
                <w:p w14:paraId="34AD4DCE">
                  <w:pPr>
                    <w:spacing w:line="240" w:lineRule="auto"/>
                    <w:jc w:val="center"/>
                    <w:rPr>
                      <w:rFonts w:hint="eastAsia" w:ascii="Times New Roman" w:hAnsi="Times New Roman" w:eastAsia="宋体" w:cs="Times New Roman"/>
                      <w:color w:val="auto"/>
                      <w:kern w:val="0"/>
                      <w:sz w:val="21"/>
                      <w:szCs w:val="21"/>
                      <w:vertAlign w:val="baseline"/>
                      <w:lang w:val="en-US" w:eastAsia="zh-CN" w:bidi="ar-SA"/>
                    </w:rPr>
                  </w:pPr>
                  <w:r>
                    <w:rPr>
                      <w:rFonts w:hint="eastAsia"/>
                      <w:color w:val="auto"/>
                      <w:kern w:val="0"/>
                      <w:sz w:val="21"/>
                      <w:szCs w:val="21"/>
                      <w:vertAlign w:val="baseline"/>
                      <w:lang w:val="en-US" w:eastAsia="zh-CN"/>
                    </w:rPr>
                    <w:t>第1次</w:t>
                  </w:r>
                </w:p>
              </w:tc>
              <w:tc>
                <w:tcPr>
                  <w:tcW w:w="696" w:type="pct"/>
                  <w:tcBorders>
                    <w:tl2br w:val="nil"/>
                    <w:tr2bl w:val="nil"/>
                  </w:tcBorders>
                  <w:vAlign w:val="center"/>
                </w:tcPr>
                <w:p w14:paraId="5CC9E53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7B2983F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55570FDD">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0093D0EB">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7D78B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0D63D4D2">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7349709C">
                  <w:pPr>
                    <w:spacing w:line="240" w:lineRule="auto"/>
                    <w:jc w:val="center"/>
                    <w:rPr>
                      <w:rFonts w:hint="eastAsia"/>
                      <w:color w:val="auto"/>
                      <w:kern w:val="0"/>
                      <w:sz w:val="21"/>
                      <w:szCs w:val="21"/>
                      <w:vertAlign w:val="baseline"/>
                    </w:rPr>
                  </w:pPr>
                </w:p>
              </w:tc>
              <w:tc>
                <w:tcPr>
                  <w:tcW w:w="1075" w:type="dxa"/>
                  <w:tcBorders>
                    <w:tl2br w:val="nil"/>
                    <w:tr2bl w:val="nil"/>
                  </w:tcBorders>
                  <w:shd w:val="clear" w:color="auto" w:fill="auto"/>
                  <w:vAlign w:val="center"/>
                </w:tcPr>
                <w:p w14:paraId="7D6006CD">
                  <w:pPr>
                    <w:spacing w:line="240" w:lineRule="auto"/>
                    <w:jc w:val="center"/>
                    <w:rPr>
                      <w:rFonts w:hint="eastAsia" w:ascii="Times New Roman" w:hAnsi="Times New Roman" w:eastAsia="宋体" w:cs="Times New Roman"/>
                      <w:color w:val="auto"/>
                      <w:kern w:val="0"/>
                      <w:sz w:val="21"/>
                      <w:szCs w:val="21"/>
                      <w:vertAlign w:val="baseline"/>
                      <w:lang w:val="en-US" w:eastAsia="zh-CN" w:bidi="ar-SA"/>
                    </w:rPr>
                  </w:pPr>
                  <w:r>
                    <w:rPr>
                      <w:rFonts w:hint="eastAsia"/>
                      <w:color w:val="auto"/>
                      <w:kern w:val="0"/>
                      <w:sz w:val="21"/>
                      <w:szCs w:val="21"/>
                      <w:vertAlign w:val="baseline"/>
                      <w:lang w:val="en-US" w:eastAsia="zh-CN"/>
                    </w:rPr>
                    <w:t>第2次</w:t>
                  </w:r>
                </w:p>
              </w:tc>
              <w:tc>
                <w:tcPr>
                  <w:tcW w:w="696" w:type="pct"/>
                  <w:tcBorders>
                    <w:tl2br w:val="nil"/>
                    <w:tr2bl w:val="nil"/>
                  </w:tcBorders>
                  <w:vAlign w:val="center"/>
                </w:tcPr>
                <w:p w14:paraId="0AB8D74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0826AEF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571960B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4D5E1603">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4171A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4E621C25">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17A57560">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1F592228">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696" w:type="pct"/>
                  <w:tcBorders>
                    <w:tl2br w:val="nil"/>
                    <w:tr2bl w:val="nil"/>
                  </w:tcBorders>
                  <w:vAlign w:val="center"/>
                </w:tcPr>
                <w:p w14:paraId="463E085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54EFACF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24E9E5D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57844F05">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3BBDF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76B5AA4B">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251ECD5E">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422C0121">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696" w:type="pct"/>
                  <w:tcBorders>
                    <w:tl2br w:val="nil"/>
                    <w:tr2bl w:val="nil"/>
                  </w:tcBorders>
                  <w:vAlign w:val="center"/>
                </w:tcPr>
                <w:p w14:paraId="5306A99F">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503D4C9B">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3F6461D6">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254FABA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6D2D2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restart"/>
                  <w:tcBorders>
                    <w:tl2br w:val="nil"/>
                    <w:tr2bl w:val="nil"/>
                  </w:tcBorders>
                  <w:vAlign w:val="center"/>
                </w:tcPr>
                <w:p w14:paraId="5D060C1D">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2024年12月20日</w:t>
                  </w:r>
                </w:p>
              </w:tc>
              <w:tc>
                <w:tcPr>
                  <w:tcW w:w="699" w:type="pct"/>
                  <w:vMerge w:val="restart"/>
                  <w:tcBorders>
                    <w:tl2br w:val="nil"/>
                    <w:tr2bl w:val="nil"/>
                  </w:tcBorders>
                  <w:vAlign w:val="center"/>
                </w:tcPr>
                <w:p w14:paraId="083A2B40">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1075" w:type="dxa"/>
                  <w:tcBorders>
                    <w:tl2br w:val="nil"/>
                    <w:tr2bl w:val="nil"/>
                  </w:tcBorders>
                  <w:vAlign w:val="center"/>
                </w:tcPr>
                <w:p w14:paraId="2783C28A">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696" w:type="pct"/>
                  <w:tcBorders>
                    <w:tl2br w:val="nil"/>
                    <w:tr2bl w:val="nil"/>
                  </w:tcBorders>
                  <w:vAlign w:val="center"/>
                </w:tcPr>
                <w:p w14:paraId="1A36A5B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0.12</w:t>
                  </w:r>
                </w:p>
              </w:tc>
              <w:tc>
                <w:tcPr>
                  <w:tcW w:w="815" w:type="pct"/>
                  <w:tcBorders>
                    <w:tl2br w:val="nil"/>
                    <w:tr2bl w:val="nil"/>
                  </w:tcBorders>
                  <w:vAlign w:val="center"/>
                </w:tcPr>
                <w:p w14:paraId="1176AE7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0.32</w:t>
                  </w:r>
                </w:p>
              </w:tc>
              <w:tc>
                <w:tcPr>
                  <w:tcW w:w="729" w:type="pct"/>
                  <w:tcBorders>
                    <w:tl2br w:val="nil"/>
                    <w:tr2bl w:val="nil"/>
                  </w:tcBorders>
                  <w:vAlign w:val="center"/>
                </w:tcPr>
                <w:p w14:paraId="571255E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0.29</w:t>
                  </w:r>
                </w:p>
              </w:tc>
              <w:tc>
                <w:tcPr>
                  <w:tcW w:w="708" w:type="pct"/>
                  <w:tcBorders>
                    <w:tl2br w:val="nil"/>
                    <w:tr2bl w:val="nil"/>
                  </w:tcBorders>
                  <w:vAlign w:val="center"/>
                </w:tcPr>
                <w:p w14:paraId="1DB2BD6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0.19</w:t>
                  </w:r>
                </w:p>
              </w:tc>
            </w:tr>
            <w:tr w14:paraId="50D8C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6968F34E">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1B43F5FB">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3E310447">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696" w:type="pct"/>
                  <w:tcBorders>
                    <w:tl2br w:val="nil"/>
                    <w:tr2bl w:val="nil"/>
                  </w:tcBorders>
                  <w:vAlign w:val="center"/>
                </w:tcPr>
                <w:p w14:paraId="34FFA59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0.14</w:t>
                  </w:r>
                </w:p>
              </w:tc>
              <w:tc>
                <w:tcPr>
                  <w:tcW w:w="815" w:type="pct"/>
                  <w:tcBorders>
                    <w:tl2br w:val="nil"/>
                    <w:tr2bl w:val="nil"/>
                  </w:tcBorders>
                  <w:vAlign w:val="center"/>
                </w:tcPr>
                <w:p w14:paraId="0B5FDC8B">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0.43</w:t>
                  </w:r>
                </w:p>
              </w:tc>
              <w:tc>
                <w:tcPr>
                  <w:tcW w:w="729" w:type="pct"/>
                  <w:tcBorders>
                    <w:tl2br w:val="nil"/>
                    <w:tr2bl w:val="nil"/>
                  </w:tcBorders>
                  <w:vAlign w:val="center"/>
                </w:tcPr>
                <w:p w14:paraId="5F828DC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0.31</w:t>
                  </w:r>
                </w:p>
              </w:tc>
              <w:tc>
                <w:tcPr>
                  <w:tcW w:w="708" w:type="pct"/>
                  <w:tcBorders>
                    <w:tl2br w:val="nil"/>
                    <w:tr2bl w:val="nil"/>
                  </w:tcBorders>
                  <w:vAlign w:val="center"/>
                </w:tcPr>
                <w:p w14:paraId="2EFB000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0.20</w:t>
                  </w:r>
                </w:p>
              </w:tc>
            </w:tr>
            <w:tr w14:paraId="36606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31C76B17">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0AD246F3">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2AB0126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696" w:type="pct"/>
                  <w:tcBorders>
                    <w:tl2br w:val="nil"/>
                    <w:tr2bl w:val="nil"/>
                  </w:tcBorders>
                  <w:vAlign w:val="center"/>
                </w:tcPr>
                <w:p w14:paraId="49B6B7D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0.16</w:t>
                  </w:r>
                </w:p>
              </w:tc>
              <w:tc>
                <w:tcPr>
                  <w:tcW w:w="815" w:type="pct"/>
                  <w:tcBorders>
                    <w:tl2br w:val="nil"/>
                    <w:tr2bl w:val="nil"/>
                  </w:tcBorders>
                  <w:vAlign w:val="center"/>
                </w:tcPr>
                <w:p w14:paraId="35AA1B5F">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0.35</w:t>
                  </w:r>
                </w:p>
              </w:tc>
              <w:tc>
                <w:tcPr>
                  <w:tcW w:w="729" w:type="pct"/>
                  <w:tcBorders>
                    <w:tl2br w:val="nil"/>
                    <w:tr2bl w:val="nil"/>
                  </w:tcBorders>
                  <w:vAlign w:val="center"/>
                </w:tcPr>
                <w:p w14:paraId="5043BFB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0.30</w:t>
                  </w:r>
                </w:p>
              </w:tc>
              <w:tc>
                <w:tcPr>
                  <w:tcW w:w="708" w:type="pct"/>
                  <w:tcBorders>
                    <w:tl2br w:val="nil"/>
                    <w:tr2bl w:val="nil"/>
                  </w:tcBorders>
                  <w:vAlign w:val="center"/>
                </w:tcPr>
                <w:p w14:paraId="230BC31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0.22</w:t>
                  </w:r>
                </w:p>
              </w:tc>
            </w:tr>
            <w:tr w14:paraId="0EDA3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2CAA17C6">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343566B3">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3D311E93">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696" w:type="pct"/>
                  <w:tcBorders>
                    <w:tl2br w:val="nil"/>
                    <w:tr2bl w:val="nil"/>
                  </w:tcBorders>
                  <w:vAlign w:val="center"/>
                </w:tcPr>
                <w:p w14:paraId="52262BE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0.15</w:t>
                  </w:r>
                </w:p>
              </w:tc>
              <w:tc>
                <w:tcPr>
                  <w:tcW w:w="815" w:type="pct"/>
                  <w:tcBorders>
                    <w:tl2br w:val="nil"/>
                    <w:tr2bl w:val="nil"/>
                  </w:tcBorders>
                  <w:vAlign w:val="center"/>
                </w:tcPr>
                <w:p w14:paraId="616CB6B0">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0.33</w:t>
                  </w:r>
                </w:p>
              </w:tc>
              <w:tc>
                <w:tcPr>
                  <w:tcW w:w="729" w:type="pct"/>
                  <w:tcBorders>
                    <w:tl2br w:val="nil"/>
                    <w:tr2bl w:val="nil"/>
                  </w:tcBorders>
                  <w:vAlign w:val="center"/>
                </w:tcPr>
                <w:p w14:paraId="598FD59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0.35</w:t>
                  </w:r>
                </w:p>
              </w:tc>
              <w:tc>
                <w:tcPr>
                  <w:tcW w:w="708" w:type="pct"/>
                  <w:tcBorders>
                    <w:tl2br w:val="nil"/>
                    <w:tr2bl w:val="nil"/>
                  </w:tcBorders>
                  <w:vAlign w:val="center"/>
                </w:tcPr>
                <w:p w14:paraId="0177D8F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0.18</w:t>
                  </w:r>
                </w:p>
              </w:tc>
            </w:tr>
            <w:tr w14:paraId="753FC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1ED54563">
                  <w:pPr>
                    <w:spacing w:line="240" w:lineRule="auto"/>
                    <w:jc w:val="center"/>
                    <w:rPr>
                      <w:rFonts w:hint="eastAsia"/>
                      <w:color w:val="auto"/>
                      <w:kern w:val="0"/>
                      <w:sz w:val="21"/>
                      <w:szCs w:val="21"/>
                      <w:vertAlign w:val="baseline"/>
                    </w:rPr>
                  </w:pPr>
                </w:p>
              </w:tc>
              <w:tc>
                <w:tcPr>
                  <w:tcW w:w="699" w:type="pct"/>
                  <w:vMerge w:val="restart"/>
                  <w:tcBorders>
                    <w:tl2br w:val="nil"/>
                    <w:tr2bl w:val="nil"/>
                  </w:tcBorders>
                  <w:vAlign w:val="center"/>
                </w:tcPr>
                <w:p w14:paraId="10F5C98D">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臭气浓度（无量纲）</w:t>
                  </w:r>
                </w:p>
              </w:tc>
              <w:tc>
                <w:tcPr>
                  <w:tcW w:w="1075" w:type="dxa"/>
                  <w:tcBorders>
                    <w:tl2br w:val="nil"/>
                    <w:tr2bl w:val="nil"/>
                  </w:tcBorders>
                  <w:vAlign w:val="center"/>
                </w:tcPr>
                <w:p w14:paraId="42D321FB">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696" w:type="pct"/>
                  <w:tcBorders>
                    <w:tl2br w:val="nil"/>
                    <w:tr2bl w:val="nil"/>
                  </w:tcBorders>
                  <w:vAlign w:val="center"/>
                </w:tcPr>
                <w:p w14:paraId="32F11B2C">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6690B15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79DFE1B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2D08A1B0">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6A874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376DCFAD">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2E123CBF">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2F4D035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696" w:type="pct"/>
                  <w:tcBorders>
                    <w:tl2br w:val="nil"/>
                    <w:tr2bl w:val="nil"/>
                  </w:tcBorders>
                  <w:vAlign w:val="center"/>
                </w:tcPr>
                <w:p w14:paraId="342D7BC7">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71A4C482">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62DDD7C9">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0F8AF26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6620C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2107155D">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4621E07D">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65422806">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696" w:type="pct"/>
                  <w:tcBorders>
                    <w:tl2br w:val="nil"/>
                    <w:tr2bl w:val="nil"/>
                  </w:tcBorders>
                  <w:vAlign w:val="center"/>
                </w:tcPr>
                <w:p w14:paraId="762F65B4">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11023053">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0EE619F1">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50AE9448">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r w14:paraId="5814E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20" w:type="pct"/>
                  <w:vMerge w:val="continue"/>
                  <w:tcBorders>
                    <w:tl2br w:val="nil"/>
                    <w:tr2bl w:val="nil"/>
                  </w:tcBorders>
                  <w:vAlign w:val="center"/>
                </w:tcPr>
                <w:p w14:paraId="30766BF3">
                  <w:pPr>
                    <w:spacing w:line="240" w:lineRule="auto"/>
                    <w:jc w:val="center"/>
                    <w:rPr>
                      <w:rFonts w:hint="eastAsia"/>
                      <w:color w:val="auto"/>
                      <w:kern w:val="0"/>
                      <w:sz w:val="21"/>
                      <w:szCs w:val="21"/>
                      <w:vertAlign w:val="baseline"/>
                    </w:rPr>
                  </w:pPr>
                </w:p>
              </w:tc>
              <w:tc>
                <w:tcPr>
                  <w:tcW w:w="699" w:type="pct"/>
                  <w:vMerge w:val="continue"/>
                  <w:tcBorders>
                    <w:tl2br w:val="nil"/>
                    <w:tr2bl w:val="nil"/>
                  </w:tcBorders>
                  <w:vAlign w:val="center"/>
                </w:tcPr>
                <w:p w14:paraId="10E19324">
                  <w:pPr>
                    <w:spacing w:line="240" w:lineRule="auto"/>
                    <w:jc w:val="center"/>
                    <w:rPr>
                      <w:rFonts w:hint="eastAsia"/>
                      <w:color w:val="auto"/>
                      <w:kern w:val="0"/>
                      <w:sz w:val="21"/>
                      <w:szCs w:val="21"/>
                      <w:vertAlign w:val="baseline"/>
                    </w:rPr>
                  </w:pPr>
                </w:p>
              </w:tc>
              <w:tc>
                <w:tcPr>
                  <w:tcW w:w="1075" w:type="dxa"/>
                  <w:tcBorders>
                    <w:tl2br w:val="nil"/>
                    <w:tr2bl w:val="nil"/>
                  </w:tcBorders>
                  <w:vAlign w:val="center"/>
                </w:tcPr>
                <w:p w14:paraId="7907FD0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696" w:type="pct"/>
                  <w:tcBorders>
                    <w:tl2br w:val="nil"/>
                    <w:tr2bl w:val="nil"/>
                  </w:tcBorders>
                  <w:vAlign w:val="center"/>
                </w:tcPr>
                <w:p w14:paraId="227CDEF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815" w:type="pct"/>
                  <w:tcBorders>
                    <w:tl2br w:val="nil"/>
                    <w:tr2bl w:val="nil"/>
                  </w:tcBorders>
                  <w:vAlign w:val="center"/>
                </w:tcPr>
                <w:p w14:paraId="3DE01E7F">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29" w:type="pct"/>
                  <w:tcBorders>
                    <w:tl2br w:val="nil"/>
                    <w:tr2bl w:val="nil"/>
                  </w:tcBorders>
                  <w:vAlign w:val="center"/>
                </w:tcPr>
                <w:p w14:paraId="08BF39E1">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c>
                <w:tcPr>
                  <w:tcW w:w="708" w:type="pct"/>
                  <w:tcBorders>
                    <w:tl2br w:val="nil"/>
                    <w:tr2bl w:val="nil"/>
                  </w:tcBorders>
                  <w:vAlign w:val="center"/>
                </w:tcPr>
                <w:p w14:paraId="53138F1A">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＜10</w:t>
                  </w:r>
                </w:p>
              </w:tc>
            </w:tr>
          </w:tbl>
          <w:p w14:paraId="2B6046A1">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表2-20 现有工程厂内无组织排放废气监测结果一览表</w:t>
            </w:r>
          </w:p>
          <w:tbl>
            <w:tblPr>
              <w:tblStyle w:val="36"/>
              <w:tblW w:w="498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404"/>
              <w:gridCol w:w="1265"/>
              <w:gridCol w:w="1399"/>
              <w:gridCol w:w="1639"/>
              <w:gridCol w:w="1473"/>
            </w:tblGrid>
            <w:tr w14:paraId="4BD32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37" w:type="pct"/>
                  <w:vMerge w:val="restart"/>
                  <w:tcBorders>
                    <w:tl2br w:val="nil"/>
                    <w:tr2bl w:val="nil"/>
                  </w:tcBorders>
                  <w:vAlign w:val="center"/>
                </w:tcPr>
                <w:p w14:paraId="59104DC5">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采样日期</w:t>
                  </w:r>
                </w:p>
              </w:tc>
              <w:tc>
                <w:tcPr>
                  <w:tcW w:w="814" w:type="pct"/>
                  <w:vMerge w:val="restart"/>
                  <w:tcBorders>
                    <w:tl2br w:val="nil"/>
                    <w:tr2bl w:val="nil"/>
                  </w:tcBorders>
                  <w:vAlign w:val="center"/>
                </w:tcPr>
                <w:p w14:paraId="1A7C35D1">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检测项目</w:t>
                  </w:r>
                </w:p>
              </w:tc>
              <w:tc>
                <w:tcPr>
                  <w:tcW w:w="733" w:type="pct"/>
                  <w:vMerge w:val="restart"/>
                  <w:tcBorders>
                    <w:tl2br w:val="nil"/>
                    <w:tr2bl w:val="nil"/>
                  </w:tcBorders>
                  <w:vAlign w:val="center"/>
                </w:tcPr>
                <w:p w14:paraId="262B95B5">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检测频次</w:t>
                  </w:r>
                </w:p>
              </w:tc>
              <w:tc>
                <w:tcPr>
                  <w:tcW w:w="2615" w:type="pct"/>
                  <w:gridSpan w:val="3"/>
                  <w:tcBorders>
                    <w:tl2br w:val="nil"/>
                    <w:tr2bl w:val="nil"/>
                  </w:tcBorders>
                  <w:vAlign w:val="center"/>
                </w:tcPr>
                <w:p w14:paraId="493057CC">
                  <w:pPr>
                    <w:spacing w:line="240" w:lineRule="auto"/>
                    <w:jc w:val="center"/>
                    <w:rPr>
                      <w:rFonts w:hint="eastAsia"/>
                      <w:color w:val="auto"/>
                      <w:kern w:val="0"/>
                      <w:sz w:val="21"/>
                      <w:szCs w:val="21"/>
                      <w:vertAlign w:val="baseline"/>
                      <w:lang w:val="en-US" w:eastAsia="zh-CN"/>
                    </w:rPr>
                  </w:pPr>
                  <w:r>
                    <w:rPr>
                      <w:rFonts w:hint="eastAsia"/>
                      <w:color w:val="auto"/>
                      <w:kern w:val="0"/>
                      <w:sz w:val="21"/>
                      <w:szCs w:val="21"/>
                      <w:vertAlign w:val="baseline"/>
                      <w:lang w:val="en-US" w:eastAsia="zh-CN"/>
                    </w:rPr>
                    <w:t>检测结果</w:t>
                  </w:r>
                </w:p>
              </w:tc>
            </w:tr>
            <w:tr w14:paraId="69C52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2AEDC159">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1E4BD56E">
                  <w:pPr>
                    <w:spacing w:line="240" w:lineRule="auto"/>
                    <w:jc w:val="center"/>
                    <w:rPr>
                      <w:rFonts w:hint="eastAsia"/>
                      <w:color w:val="auto"/>
                      <w:kern w:val="0"/>
                      <w:sz w:val="21"/>
                      <w:szCs w:val="21"/>
                      <w:vertAlign w:val="baseline"/>
                    </w:rPr>
                  </w:pPr>
                </w:p>
              </w:tc>
              <w:tc>
                <w:tcPr>
                  <w:tcW w:w="733" w:type="pct"/>
                  <w:vMerge w:val="continue"/>
                  <w:tcBorders>
                    <w:tl2br w:val="nil"/>
                    <w:tr2bl w:val="nil"/>
                  </w:tcBorders>
                  <w:vAlign w:val="center"/>
                </w:tcPr>
                <w:p w14:paraId="15113649">
                  <w:pPr>
                    <w:spacing w:line="240" w:lineRule="auto"/>
                    <w:jc w:val="center"/>
                    <w:rPr>
                      <w:rFonts w:hint="eastAsia"/>
                      <w:color w:val="auto"/>
                      <w:kern w:val="0"/>
                      <w:sz w:val="21"/>
                      <w:szCs w:val="21"/>
                      <w:vertAlign w:val="baseline"/>
                    </w:rPr>
                  </w:pPr>
                </w:p>
              </w:tc>
              <w:tc>
                <w:tcPr>
                  <w:tcW w:w="811" w:type="pct"/>
                  <w:tcBorders>
                    <w:tl2br w:val="nil"/>
                    <w:tr2bl w:val="nil"/>
                  </w:tcBorders>
                  <w:vAlign w:val="center"/>
                </w:tcPr>
                <w:p w14:paraId="3C963DB6">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F5车间外</w:t>
                  </w:r>
                </w:p>
              </w:tc>
              <w:tc>
                <w:tcPr>
                  <w:tcW w:w="950" w:type="pct"/>
                  <w:tcBorders>
                    <w:tl2br w:val="nil"/>
                    <w:tr2bl w:val="nil"/>
                  </w:tcBorders>
                  <w:vAlign w:val="center"/>
                </w:tcPr>
                <w:p w14:paraId="25878179">
                  <w:pPr>
                    <w:spacing w:line="240" w:lineRule="auto"/>
                    <w:jc w:val="center"/>
                    <w:rPr>
                      <w:rFonts w:hint="default" w:eastAsia="宋体"/>
                      <w:color w:val="auto"/>
                      <w:kern w:val="0"/>
                      <w:sz w:val="21"/>
                      <w:szCs w:val="21"/>
                      <w:vertAlign w:val="baseline"/>
                      <w:lang w:val="en-US" w:eastAsia="zh-CN"/>
                    </w:rPr>
                  </w:pPr>
                  <w:r>
                    <w:rPr>
                      <w:rFonts w:hint="eastAsia"/>
                      <w:color w:val="auto"/>
                      <w:kern w:val="0"/>
                      <w:sz w:val="21"/>
                      <w:szCs w:val="21"/>
                      <w:vertAlign w:val="baseline"/>
                      <w:lang w:val="en-US" w:eastAsia="zh-CN"/>
                    </w:rPr>
                    <w:t>F6车间外</w:t>
                  </w:r>
                </w:p>
              </w:tc>
              <w:tc>
                <w:tcPr>
                  <w:tcW w:w="854" w:type="pct"/>
                  <w:tcBorders>
                    <w:tl2br w:val="nil"/>
                    <w:tr2bl w:val="nil"/>
                  </w:tcBorders>
                  <w:vAlign w:val="center"/>
                </w:tcPr>
                <w:p w14:paraId="5CE4375F">
                  <w:pPr>
                    <w:spacing w:line="240" w:lineRule="auto"/>
                    <w:jc w:val="center"/>
                    <w:rPr>
                      <w:rFonts w:hint="eastAsia" w:eastAsia="宋体"/>
                      <w:color w:val="auto"/>
                      <w:kern w:val="0"/>
                      <w:sz w:val="21"/>
                      <w:szCs w:val="21"/>
                      <w:vertAlign w:val="baseline"/>
                      <w:lang w:val="en-US" w:eastAsia="zh-CN"/>
                    </w:rPr>
                  </w:pPr>
                  <w:r>
                    <w:rPr>
                      <w:rFonts w:hint="eastAsia"/>
                      <w:color w:val="auto"/>
                      <w:kern w:val="0"/>
                      <w:sz w:val="21"/>
                      <w:szCs w:val="21"/>
                      <w:vertAlign w:val="baseline"/>
                      <w:lang w:val="en-US" w:eastAsia="zh-CN"/>
                    </w:rPr>
                    <w:t>F7车间外</w:t>
                  </w:r>
                </w:p>
              </w:tc>
            </w:tr>
            <w:tr w14:paraId="55ACB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restart"/>
                  <w:tcBorders>
                    <w:tl2br w:val="nil"/>
                    <w:tr2bl w:val="nil"/>
                  </w:tcBorders>
                  <w:vAlign w:val="center"/>
                </w:tcPr>
                <w:p w14:paraId="4D26A244">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2024年12月19日</w:t>
                  </w:r>
                </w:p>
              </w:tc>
              <w:tc>
                <w:tcPr>
                  <w:tcW w:w="814" w:type="pct"/>
                  <w:vMerge w:val="restart"/>
                  <w:tcBorders>
                    <w:tl2br w:val="nil"/>
                    <w:tr2bl w:val="nil"/>
                  </w:tcBorders>
                  <w:vAlign w:val="center"/>
                </w:tcPr>
                <w:p w14:paraId="070855A7">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1259" w:type="dxa"/>
                  <w:tcBorders>
                    <w:tl2br w:val="nil"/>
                    <w:tr2bl w:val="nil"/>
                  </w:tcBorders>
                  <w:vAlign w:val="center"/>
                </w:tcPr>
                <w:p w14:paraId="39308AE5">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811" w:type="pct"/>
                  <w:tcBorders>
                    <w:tl2br w:val="nil"/>
                    <w:tr2bl w:val="nil"/>
                  </w:tcBorders>
                  <w:vAlign w:val="center"/>
                </w:tcPr>
                <w:p w14:paraId="150BDAFA">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0.29</w:t>
                  </w:r>
                </w:p>
              </w:tc>
              <w:tc>
                <w:tcPr>
                  <w:tcW w:w="950" w:type="pct"/>
                  <w:tcBorders>
                    <w:tl2br w:val="nil"/>
                    <w:tr2bl w:val="nil"/>
                  </w:tcBorders>
                  <w:vAlign w:val="center"/>
                </w:tcPr>
                <w:p w14:paraId="609A9A9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0.51</w:t>
                  </w:r>
                </w:p>
              </w:tc>
              <w:tc>
                <w:tcPr>
                  <w:tcW w:w="854" w:type="pct"/>
                  <w:tcBorders>
                    <w:tl2br w:val="nil"/>
                    <w:tr2bl w:val="nil"/>
                  </w:tcBorders>
                  <w:vAlign w:val="center"/>
                </w:tcPr>
                <w:p w14:paraId="24A28FF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1.66</w:t>
                  </w:r>
                </w:p>
              </w:tc>
            </w:tr>
            <w:tr w14:paraId="44EF7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6DE8A4B0">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71FFE0F4">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26445BAE">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811" w:type="pct"/>
                  <w:tcBorders>
                    <w:tl2br w:val="nil"/>
                    <w:tr2bl w:val="nil"/>
                  </w:tcBorders>
                  <w:vAlign w:val="center"/>
                </w:tcPr>
                <w:p w14:paraId="531396F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0.33</w:t>
                  </w:r>
                </w:p>
              </w:tc>
              <w:tc>
                <w:tcPr>
                  <w:tcW w:w="950" w:type="pct"/>
                  <w:tcBorders>
                    <w:tl2br w:val="nil"/>
                    <w:tr2bl w:val="nil"/>
                  </w:tcBorders>
                  <w:vAlign w:val="center"/>
                </w:tcPr>
                <w:p w14:paraId="692EF229">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0.42</w:t>
                  </w:r>
                </w:p>
              </w:tc>
              <w:tc>
                <w:tcPr>
                  <w:tcW w:w="854" w:type="pct"/>
                  <w:tcBorders>
                    <w:tl2br w:val="nil"/>
                    <w:tr2bl w:val="nil"/>
                  </w:tcBorders>
                  <w:vAlign w:val="center"/>
                </w:tcPr>
                <w:p w14:paraId="4F2AE83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1.49</w:t>
                  </w:r>
                </w:p>
              </w:tc>
            </w:tr>
            <w:tr w14:paraId="0A797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0799B33C">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28F11066">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62CAD215">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811" w:type="pct"/>
                  <w:tcBorders>
                    <w:tl2br w:val="nil"/>
                    <w:tr2bl w:val="nil"/>
                  </w:tcBorders>
                  <w:vAlign w:val="center"/>
                </w:tcPr>
                <w:p w14:paraId="616A590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0.36</w:t>
                  </w:r>
                </w:p>
              </w:tc>
              <w:tc>
                <w:tcPr>
                  <w:tcW w:w="950" w:type="pct"/>
                  <w:tcBorders>
                    <w:tl2br w:val="nil"/>
                    <w:tr2bl w:val="nil"/>
                  </w:tcBorders>
                  <w:vAlign w:val="center"/>
                </w:tcPr>
                <w:p w14:paraId="44702B9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0.48</w:t>
                  </w:r>
                </w:p>
              </w:tc>
              <w:tc>
                <w:tcPr>
                  <w:tcW w:w="854" w:type="pct"/>
                  <w:tcBorders>
                    <w:tl2br w:val="nil"/>
                    <w:tr2bl w:val="nil"/>
                  </w:tcBorders>
                  <w:vAlign w:val="center"/>
                </w:tcPr>
                <w:p w14:paraId="7E0E3A4E">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1.53</w:t>
                  </w:r>
                </w:p>
              </w:tc>
            </w:tr>
            <w:tr w14:paraId="5C3BF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61BC3F35">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757E7D39">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15608DFC">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811" w:type="pct"/>
                  <w:tcBorders>
                    <w:tl2br w:val="nil"/>
                    <w:tr2bl w:val="nil"/>
                  </w:tcBorders>
                  <w:vAlign w:val="center"/>
                </w:tcPr>
                <w:p w14:paraId="3A10407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0.30</w:t>
                  </w:r>
                </w:p>
              </w:tc>
              <w:tc>
                <w:tcPr>
                  <w:tcW w:w="950" w:type="pct"/>
                  <w:tcBorders>
                    <w:tl2br w:val="nil"/>
                    <w:tr2bl w:val="nil"/>
                  </w:tcBorders>
                  <w:vAlign w:val="center"/>
                </w:tcPr>
                <w:p w14:paraId="30EA02A6">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0.47</w:t>
                  </w:r>
                </w:p>
              </w:tc>
              <w:tc>
                <w:tcPr>
                  <w:tcW w:w="854" w:type="pct"/>
                  <w:tcBorders>
                    <w:tl2br w:val="nil"/>
                    <w:tr2bl w:val="nil"/>
                  </w:tcBorders>
                  <w:vAlign w:val="center"/>
                </w:tcPr>
                <w:p w14:paraId="0EB40E9D">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1.59</w:t>
                  </w:r>
                </w:p>
              </w:tc>
            </w:tr>
            <w:tr w14:paraId="5B00E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restart"/>
                  <w:tcBorders>
                    <w:tl2br w:val="nil"/>
                    <w:tr2bl w:val="nil"/>
                  </w:tcBorders>
                  <w:vAlign w:val="center"/>
                </w:tcPr>
                <w:p w14:paraId="4AAA9955">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2024年12月20日</w:t>
                  </w:r>
                </w:p>
              </w:tc>
              <w:tc>
                <w:tcPr>
                  <w:tcW w:w="814" w:type="pct"/>
                  <w:vMerge w:val="restart"/>
                  <w:tcBorders>
                    <w:tl2br w:val="nil"/>
                    <w:tr2bl w:val="nil"/>
                  </w:tcBorders>
                  <w:vAlign w:val="center"/>
                </w:tcPr>
                <w:p w14:paraId="13850318">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非甲烷总烃（mg/m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tc>
              <w:tc>
                <w:tcPr>
                  <w:tcW w:w="1259" w:type="dxa"/>
                  <w:tcBorders>
                    <w:tl2br w:val="nil"/>
                    <w:tr2bl w:val="nil"/>
                  </w:tcBorders>
                  <w:vAlign w:val="center"/>
                </w:tcPr>
                <w:p w14:paraId="1A940C80">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第1次</w:t>
                  </w:r>
                </w:p>
              </w:tc>
              <w:tc>
                <w:tcPr>
                  <w:tcW w:w="811" w:type="pct"/>
                  <w:tcBorders>
                    <w:tl2br w:val="nil"/>
                    <w:tr2bl w:val="nil"/>
                  </w:tcBorders>
                  <w:vAlign w:val="center"/>
                </w:tcPr>
                <w:p w14:paraId="3DCFD021">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0.36</w:t>
                  </w:r>
                </w:p>
              </w:tc>
              <w:tc>
                <w:tcPr>
                  <w:tcW w:w="950" w:type="pct"/>
                  <w:tcBorders>
                    <w:tl2br w:val="nil"/>
                    <w:tr2bl w:val="nil"/>
                  </w:tcBorders>
                  <w:vAlign w:val="center"/>
                </w:tcPr>
                <w:p w14:paraId="490CFBB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0.51</w:t>
                  </w:r>
                </w:p>
              </w:tc>
              <w:tc>
                <w:tcPr>
                  <w:tcW w:w="854" w:type="pct"/>
                  <w:tcBorders>
                    <w:tl2br w:val="nil"/>
                    <w:tr2bl w:val="nil"/>
                  </w:tcBorders>
                  <w:vAlign w:val="center"/>
                </w:tcPr>
                <w:p w14:paraId="069D1D63">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1.70</w:t>
                  </w:r>
                </w:p>
              </w:tc>
            </w:tr>
            <w:tr w14:paraId="4624C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2EED8A3C">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3C64DBDF">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67E96B69">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第2次</w:t>
                  </w:r>
                </w:p>
              </w:tc>
              <w:tc>
                <w:tcPr>
                  <w:tcW w:w="811" w:type="pct"/>
                  <w:tcBorders>
                    <w:tl2br w:val="nil"/>
                    <w:tr2bl w:val="nil"/>
                  </w:tcBorders>
                  <w:vAlign w:val="center"/>
                </w:tcPr>
                <w:p w14:paraId="246CFF95">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0.42</w:t>
                  </w:r>
                </w:p>
              </w:tc>
              <w:tc>
                <w:tcPr>
                  <w:tcW w:w="950" w:type="pct"/>
                  <w:tcBorders>
                    <w:tl2br w:val="nil"/>
                    <w:tr2bl w:val="nil"/>
                  </w:tcBorders>
                  <w:vAlign w:val="center"/>
                </w:tcPr>
                <w:p w14:paraId="7CC022B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0.46</w:t>
                  </w:r>
                </w:p>
              </w:tc>
              <w:tc>
                <w:tcPr>
                  <w:tcW w:w="854" w:type="pct"/>
                  <w:tcBorders>
                    <w:tl2br w:val="nil"/>
                    <w:tr2bl w:val="nil"/>
                  </w:tcBorders>
                  <w:vAlign w:val="center"/>
                </w:tcPr>
                <w:p w14:paraId="4802BD88">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1.65</w:t>
                  </w:r>
                </w:p>
              </w:tc>
            </w:tr>
            <w:tr w14:paraId="4C89E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34A61D89">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399B25FF">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7C3A11D4">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第3次</w:t>
                  </w:r>
                </w:p>
              </w:tc>
              <w:tc>
                <w:tcPr>
                  <w:tcW w:w="811" w:type="pct"/>
                  <w:tcBorders>
                    <w:tl2br w:val="nil"/>
                    <w:tr2bl w:val="nil"/>
                  </w:tcBorders>
                  <w:vAlign w:val="center"/>
                </w:tcPr>
                <w:p w14:paraId="6C363872">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0.39</w:t>
                  </w:r>
                </w:p>
              </w:tc>
              <w:tc>
                <w:tcPr>
                  <w:tcW w:w="950" w:type="pct"/>
                  <w:tcBorders>
                    <w:tl2br w:val="nil"/>
                    <w:tr2bl w:val="nil"/>
                  </w:tcBorders>
                  <w:vAlign w:val="center"/>
                </w:tcPr>
                <w:p w14:paraId="5899239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0.52</w:t>
                  </w:r>
                </w:p>
              </w:tc>
              <w:tc>
                <w:tcPr>
                  <w:tcW w:w="854" w:type="pct"/>
                  <w:tcBorders>
                    <w:tl2br w:val="nil"/>
                    <w:tr2bl w:val="nil"/>
                  </w:tcBorders>
                  <w:vAlign w:val="center"/>
                </w:tcPr>
                <w:p w14:paraId="1CE42594">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1.68</w:t>
                  </w:r>
                </w:p>
              </w:tc>
            </w:tr>
            <w:tr w14:paraId="036B8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7" w:type="pct"/>
                  <w:vMerge w:val="continue"/>
                  <w:tcBorders>
                    <w:tl2br w:val="nil"/>
                    <w:tr2bl w:val="nil"/>
                  </w:tcBorders>
                  <w:vAlign w:val="center"/>
                </w:tcPr>
                <w:p w14:paraId="6FF60E02">
                  <w:pPr>
                    <w:spacing w:line="240" w:lineRule="auto"/>
                    <w:jc w:val="center"/>
                    <w:rPr>
                      <w:rFonts w:hint="eastAsia"/>
                      <w:color w:val="auto"/>
                      <w:kern w:val="0"/>
                      <w:sz w:val="21"/>
                      <w:szCs w:val="21"/>
                      <w:vertAlign w:val="baseline"/>
                    </w:rPr>
                  </w:pPr>
                </w:p>
              </w:tc>
              <w:tc>
                <w:tcPr>
                  <w:tcW w:w="814" w:type="pct"/>
                  <w:vMerge w:val="continue"/>
                  <w:tcBorders>
                    <w:tl2br w:val="nil"/>
                    <w:tr2bl w:val="nil"/>
                  </w:tcBorders>
                  <w:vAlign w:val="center"/>
                </w:tcPr>
                <w:p w14:paraId="6ADA71C1">
                  <w:pPr>
                    <w:spacing w:line="240" w:lineRule="auto"/>
                    <w:jc w:val="center"/>
                    <w:rPr>
                      <w:rFonts w:hint="eastAsia"/>
                      <w:color w:val="auto"/>
                      <w:kern w:val="0"/>
                      <w:sz w:val="21"/>
                      <w:szCs w:val="21"/>
                      <w:vertAlign w:val="baseline"/>
                    </w:rPr>
                  </w:pPr>
                </w:p>
              </w:tc>
              <w:tc>
                <w:tcPr>
                  <w:tcW w:w="1259" w:type="dxa"/>
                  <w:tcBorders>
                    <w:tl2br w:val="nil"/>
                    <w:tr2bl w:val="nil"/>
                  </w:tcBorders>
                  <w:vAlign w:val="center"/>
                </w:tcPr>
                <w:p w14:paraId="5555013D">
                  <w:pPr>
                    <w:spacing w:line="240" w:lineRule="auto"/>
                    <w:jc w:val="center"/>
                    <w:rPr>
                      <w:rFonts w:hint="eastAsia"/>
                      <w:color w:val="auto"/>
                      <w:kern w:val="0"/>
                      <w:sz w:val="21"/>
                      <w:szCs w:val="21"/>
                      <w:vertAlign w:val="baseline"/>
                    </w:rPr>
                  </w:pPr>
                  <w:r>
                    <w:rPr>
                      <w:rFonts w:hint="eastAsia"/>
                      <w:color w:val="auto"/>
                      <w:kern w:val="0"/>
                      <w:sz w:val="21"/>
                      <w:szCs w:val="21"/>
                      <w:vertAlign w:val="baseline"/>
                      <w:lang w:val="en-US" w:eastAsia="zh-CN"/>
                    </w:rPr>
                    <w:t>第4次</w:t>
                  </w:r>
                </w:p>
              </w:tc>
              <w:tc>
                <w:tcPr>
                  <w:tcW w:w="811" w:type="pct"/>
                  <w:tcBorders>
                    <w:tl2br w:val="nil"/>
                    <w:tr2bl w:val="nil"/>
                  </w:tcBorders>
                  <w:vAlign w:val="center"/>
                </w:tcPr>
                <w:p w14:paraId="638F3C8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0.38</w:t>
                  </w:r>
                </w:p>
              </w:tc>
              <w:tc>
                <w:tcPr>
                  <w:tcW w:w="950" w:type="pct"/>
                  <w:tcBorders>
                    <w:tl2br w:val="nil"/>
                    <w:tr2bl w:val="nil"/>
                  </w:tcBorders>
                  <w:vAlign w:val="center"/>
                </w:tcPr>
                <w:p w14:paraId="14D8BEDC">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0.59</w:t>
                  </w:r>
                </w:p>
              </w:tc>
              <w:tc>
                <w:tcPr>
                  <w:tcW w:w="854" w:type="pct"/>
                  <w:tcBorders>
                    <w:tl2br w:val="nil"/>
                    <w:tr2bl w:val="nil"/>
                  </w:tcBorders>
                  <w:vAlign w:val="center"/>
                </w:tcPr>
                <w:p w14:paraId="5FB0AC47">
                  <w:pPr>
                    <w:spacing w:line="240" w:lineRule="auto"/>
                    <w:jc w:val="center"/>
                    <w:rPr>
                      <w:rFonts w:hint="default"/>
                      <w:color w:val="auto"/>
                      <w:kern w:val="0"/>
                      <w:sz w:val="21"/>
                      <w:szCs w:val="21"/>
                      <w:vertAlign w:val="baseline"/>
                      <w:lang w:val="en-US" w:eastAsia="zh-CN"/>
                    </w:rPr>
                  </w:pPr>
                  <w:r>
                    <w:rPr>
                      <w:rFonts w:hint="eastAsia"/>
                      <w:color w:val="auto"/>
                      <w:kern w:val="0"/>
                      <w:sz w:val="21"/>
                      <w:szCs w:val="21"/>
                      <w:vertAlign w:val="baseline"/>
                      <w:lang w:val="en-US" w:eastAsia="zh-CN"/>
                    </w:rPr>
                    <w:t>1.74</w:t>
                  </w:r>
                </w:p>
              </w:tc>
            </w:tr>
          </w:tbl>
          <w:p w14:paraId="7B4176C3">
            <w:pPr>
              <w:adjustRightInd w:val="0"/>
              <w:snapToGrid w:val="0"/>
              <w:spacing w:before="120" w:beforeLines="50" w:line="360" w:lineRule="auto"/>
              <w:ind w:firstLine="480" w:firstLineChars="200"/>
              <w:rPr>
                <w:rFonts w:hint="eastAsia"/>
                <w:color w:val="auto"/>
                <w:sz w:val="24"/>
                <w:highlight w:val="none"/>
              </w:rPr>
            </w:pPr>
            <w:bookmarkStart w:id="15" w:name="_Toc30077"/>
            <w:r>
              <w:rPr>
                <w:color w:val="auto"/>
                <w:sz w:val="24"/>
                <w:highlight w:val="none"/>
              </w:rPr>
              <w:t>根据表</w:t>
            </w:r>
            <w:r>
              <w:rPr>
                <w:rFonts w:hint="eastAsia"/>
                <w:color w:val="auto"/>
                <w:sz w:val="24"/>
                <w:highlight w:val="none"/>
              </w:rPr>
              <w:t>2-1</w:t>
            </w:r>
            <w:r>
              <w:rPr>
                <w:rFonts w:hint="eastAsia"/>
                <w:color w:val="auto"/>
                <w:sz w:val="24"/>
                <w:highlight w:val="none"/>
                <w:lang w:val="en-US" w:eastAsia="zh-CN"/>
              </w:rPr>
              <w:t>8</w:t>
            </w:r>
            <w:r>
              <w:rPr>
                <w:color w:val="auto"/>
                <w:sz w:val="24"/>
                <w:highlight w:val="none"/>
              </w:rPr>
              <w:t>可知，</w:t>
            </w:r>
            <w:r>
              <w:rPr>
                <w:rFonts w:hint="eastAsia"/>
                <w:color w:val="auto"/>
                <w:sz w:val="24"/>
                <w:highlight w:val="none"/>
              </w:rPr>
              <w:t>现有工程竣工验收</w:t>
            </w:r>
            <w:r>
              <w:rPr>
                <w:rFonts w:hint="eastAsia"/>
                <w:color w:val="auto"/>
                <w:sz w:val="24"/>
                <w:highlight w:val="none"/>
                <w:lang w:val="en-US" w:eastAsia="zh-CN"/>
              </w:rPr>
              <w:t>期间，注塑过程产生的</w:t>
            </w:r>
            <w:r>
              <w:rPr>
                <w:rFonts w:hint="eastAsia"/>
                <w:color w:val="auto"/>
                <w:sz w:val="24"/>
                <w:highlight w:val="none"/>
              </w:rPr>
              <w:t>非甲烷总烃的最大检测浓度为2.07mg/m</w:t>
            </w:r>
            <w:r>
              <w:rPr>
                <w:rFonts w:hint="eastAsia"/>
                <w:color w:val="auto"/>
                <w:sz w:val="24"/>
                <w:highlight w:val="none"/>
                <w:vertAlign w:val="superscript"/>
              </w:rPr>
              <w:t>3</w:t>
            </w:r>
            <w:r>
              <w:rPr>
                <w:rFonts w:hint="eastAsia"/>
                <w:color w:val="auto"/>
                <w:sz w:val="24"/>
                <w:highlight w:val="none"/>
              </w:rPr>
              <w:t>，满足《合成树脂工业污染物排放标准》(GB31572-2015)及修改单表5大气污染物特别排放限值；非甲烷总烃≤60mg/m</w:t>
            </w:r>
            <w:r>
              <w:rPr>
                <w:rFonts w:hint="eastAsia"/>
                <w:color w:val="auto"/>
                <w:sz w:val="24"/>
                <w:highlight w:val="none"/>
                <w:vertAlign w:val="superscript"/>
              </w:rPr>
              <w:t>3</w:t>
            </w:r>
            <w:r>
              <w:rPr>
                <w:rFonts w:hint="eastAsia"/>
                <w:color w:val="auto"/>
                <w:sz w:val="24"/>
                <w:highlight w:val="none"/>
              </w:rPr>
              <w:t>。生产工序注塑废气中臭气浓度的最大检测值为269，满足《恶臭污染物排放标准》(GB14554-93)表2恶臭污染物排放标准值；臭气浓度≤</w:t>
            </w:r>
            <w:r>
              <w:rPr>
                <w:rFonts w:hint="eastAsia"/>
                <w:color w:val="auto"/>
                <w:sz w:val="24"/>
                <w:highlight w:val="none"/>
                <w:lang w:val="en-US" w:eastAsia="zh-CN"/>
              </w:rPr>
              <w:t>6</w:t>
            </w:r>
            <w:r>
              <w:rPr>
                <w:rFonts w:hint="eastAsia"/>
                <w:color w:val="auto"/>
                <w:sz w:val="24"/>
                <w:highlight w:val="none"/>
              </w:rPr>
              <w:t>000。</w:t>
            </w:r>
          </w:p>
          <w:p w14:paraId="569FA297">
            <w:pPr>
              <w:spacing w:line="360" w:lineRule="auto"/>
              <w:ind w:firstLine="480" w:firstLineChars="200"/>
              <w:rPr>
                <w:rFonts w:hint="eastAsia"/>
                <w:color w:val="auto"/>
                <w:sz w:val="24"/>
                <w:highlight w:val="none"/>
              </w:rPr>
            </w:pPr>
            <w:r>
              <w:rPr>
                <w:color w:val="auto"/>
                <w:sz w:val="24"/>
                <w:highlight w:val="none"/>
              </w:rPr>
              <w:t>根据表</w:t>
            </w:r>
            <w:r>
              <w:rPr>
                <w:rFonts w:hint="eastAsia"/>
                <w:color w:val="auto"/>
                <w:sz w:val="24"/>
                <w:highlight w:val="none"/>
              </w:rPr>
              <w:t>2-1</w:t>
            </w:r>
            <w:r>
              <w:rPr>
                <w:rFonts w:hint="eastAsia"/>
                <w:color w:val="auto"/>
                <w:sz w:val="24"/>
                <w:highlight w:val="none"/>
                <w:lang w:val="en-US" w:eastAsia="zh-CN"/>
              </w:rPr>
              <w:t>9、2-20</w:t>
            </w:r>
            <w:r>
              <w:rPr>
                <w:color w:val="auto"/>
                <w:sz w:val="24"/>
                <w:highlight w:val="none"/>
              </w:rPr>
              <w:t>可知，</w:t>
            </w:r>
            <w:r>
              <w:rPr>
                <w:rFonts w:hint="eastAsia"/>
                <w:color w:val="auto"/>
                <w:sz w:val="24"/>
                <w:highlight w:val="none"/>
              </w:rPr>
              <w:t>现有</w:t>
            </w:r>
            <w:bookmarkEnd w:id="15"/>
            <w:r>
              <w:rPr>
                <w:rFonts w:hint="eastAsia"/>
                <w:color w:val="auto"/>
                <w:sz w:val="24"/>
                <w:highlight w:val="none"/>
                <w:lang w:eastAsia="zh-CN"/>
              </w:rPr>
              <w:t>工程</w:t>
            </w:r>
            <w:r>
              <w:rPr>
                <w:rFonts w:hint="eastAsia"/>
                <w:color w:val="auto"/>
                <w:sz w:val="24"/>
                <w:highlight w:val="none"/>
              </w:rPr>
              <w:t>验收监测期间，厂界无组织非甲烷总烃最大值为0.43mg/m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rPr>
              <w:t>满足《合成树脂工业污染物排放标准》(GB31572-2015)及修改单表9企业边界大气污染物浓度限值；厂界浓度限值≤4.0mg/m</w:t>
            </w:r>
            <w:r>
              <w:rPr>
                <w:rFonts w:hint="eastAsia"/>
                <w:color w:val="auto"/>
                <w:sz w:val="24"/>
                <w:highlight w:val="none"/>
                <w:vertAlign w:val="superscript"/>
              </w:rPr>
              <w:t>3</w:t>
            </w:r>
            <w:r>
              <w:rPr>
                <w:rFonts w:hint="eastAsia"/>
                <w:color w:val="auto"/>
                <w:sz w:val="24"/>
                <w:highlight w:val="none"/>
              </w:rPr>
              <w:t>。厂界无组织臭气浓度最大值为＜10，满足；臭气浓度≤20。厂内无组织非甲烷总烃最大值为1.74mg/m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rPr>
              <w:t>满足《挥发性有机物无组织排放控制标准》（GB37822-2019）附录A表A.1中排放限值。</w:t>
            </w:r>
          </w:p>
          <w:p w14:paraId="6E498C08">
            <w:pPr>
              <w:numPr>
                <w:ilvl w:val="0"/>
                <w:numId w:val="0"/>
              </w:numPr>
              <w:adjustRightInd w:val="0"/>
              <w:snapToGrid w:val="0"/>
              <w:spacing w:line="360" w:lineRule="auto"/>
              <w:ind w:firstLine="482" w:firstLineChars="200"/>
              <w:rPr>
                <w:rFonts w:hint="default" w:cs="Times New Roman"/>
                <w:b/>
                <w:bCs/>
                <w:color w:val="auto"/>
                <w:sz w:val="24"/>
                <w:lang w:val="en-US" w:eastAsia="zh-CN"/>
              </w:rPr>
            </w:pPr>
            <w:r>
              <w:rPr>
                <w:rFonts w:hint="eastAsia" w:cs="Times New Roman"/>
                <w:b/>
                <w:bCs/>
                <w:color w:val="auto"/>
                <w:sz w:val="24"/>
                <w:lang w:val="en-US" w:eastAsia="zh-CN"/>
              </w:rPr>
              <w:t>现有工程废气处理设施处理效率：</w:t>
            </w:r>
          </w:p>
          <w:p w14:paraId="52D88282">
            <w:pPr>
              <w:numPr>
                <w:ilvl w:val="0"/>
                <w:numId w:val="0"/>
              </w:numPr>
              <w:adjustRightInd w:val="0"/>
              <w:snapToGrid w:val="0"/>
              <w:spacing w:line="360" w:lineRule="auto"/>
              <w:ind w:firstLine="480" w:firstLineChars="200"/>
              <w:rPr>
                <w:rFonts w:hint="default" w:cs="Times New Roman"/>
                <w:color w:val="auto"/>
                <w:sz w:val="24"/>
                <w:lang w:val="en-US" w:eastAsia="zh-CN"/>
              </w:rPr>
            </w:pPr>
            <w:r>
              <w:rPr>
                <w:rFonts w:hint="eastAsia" w:cs="Times New Roman"/>
                <w:color w:val="auto"/>
                <w:sz w:val="24"/>
                <w:lang w:val="en-US" w:eastAsia="zh-CN"/>
              </w:rPr>
              <w:t>根据表2-18</w:t>
            </w:r>
            <w:r>
              <w:rPr>
                <w:rFonts w:hint="eastAsia" w:ascii="Times New Roman" w:hAnsi="Times New Roman" w:eastAsia="宋体" w:cs="Times New Roman"/>
                <w:color w:val="auto"/>
                <w:sz w:val="24"/>
                <w:lang w:val="en-US" w:eastAsia="zh-CN"/>
              </w:rPr>
              <w:t>现有工程有组织废气检测结果</w:t>
            </w:r>
            <w:r>
              <w:rPr>
                <w:rFonts w:hint="eastAsia" w:cs="Times New Roman"/>
                <w:color w:val="auto"/>
                <w:sz w:val="24"/>
                <w:lang w:val="en-US" w:eastAsia="zh-CN"/>
              </w:rPr>
              <w:t>，计算得出现有工程注塑废气配套的UV光氧+活性炭吸附装置对非甲烷总烃的去除效率约为52.8%，处理效率低于原环评要求80%的处理效率。</w:t>
            </w:r>
          </w:p>
          <w:p w14:paraId="7BED5A2D">
            <w:pPr>
              <w:numPr>
                <w:ilvl w:val="0"/>
                <w:numId w:val="7"/>
              </w:numPr>
              <w:spacing w:line="360" w:lineRule="auto"/>
              <w:ind w:firstLine="480" w:firstLineChars="200"/>
              <w:rPr>
                <w:rFonts w:hint="eastAsia"/>
                <w:color w:val="auto"/>
                <w:kern w:val="0"/>
                <w:sz w:val="24"/>
              </w:rPr>
            </w:pPr>
            <w:r>
              <w:rPr>
                <w:rFonts w:hint="eastAsia"/>
                <w:color w:val="auto"/>
                <w:kern w:val="0"/>
                <w:sz w:val="24"/>
              </w:rPr>
              <w:t>噪声</w:t>
            </w:r>
          </w:p>
          <w:p w14:paraId="06EE069C">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原环评核算情况：</w:t>
            </w:r>
          </w:p>
          <w:p w14:paraId="0F4F8159">
            <w:pPr>
              <w:spacing w:line="360" w:lineRule="auto"/>
              <w:ind w:firstLine="480" w:firstLineChars="200"/>
              <w:jc w:val="both"/>
              <w:rPr>
                <w:rFonts w:hint="default"/>
                <w:color w:val="auto"/>
                <w:sz w:val="24"/>
                <w:szCs w:val="24"/>
                <w:lang w:val="en-US" w:eastAsia="zh-CN"/>
              </w:rPr>
            </w:pPr>
            <w:r>
              <w:rPr>
                <w:rFonts w:hint="eastAsia"/>
                <w:color w:val="auto"/>
                <w:sz w:val="24"/>
                <w:szCs w:val="24"/>
                <w:lang w:val="en-US" w:eastAsia="zh-CN"/>
              </w:rPr>
              <w:t>现有工程年工作日245天，两班制，单班6小时/天（工作时间：8:00~20:00），预测厂界噪声最大值为西侧厂界63.8（dB（A））符合《工业企业厂界环境噪声排放标准》(GB12348-2008)3 类限值（</w:t>
            </w:r>
            <w:r>
              <w:rPr>
                <w:rFonts w:hint="eastAsia" w:cs="仿宋_GB2312"/>
                <w:color w:val="auto"/>
                <w:sz w:val="24"/>
                <w:szCs w:val="24"/>
              </w:rPr>
              <w:t>昼间≤</w:t>
            </w:r>
            <w:r>
              <w:rPr>
                <w:rFonts w:hint="eastAsia"/>
                <w:color w:val="auto"/>
                <w:kern w:val="0"/>
                <w:sz w:val="24"/>
                <w:szCs w:val="24"/>
              </w:rPr>
              <w:t>6</w:t>
            </w:r>
            <w:r>
              <w:rPr>
                <w:rFonts w:hint="eastAsia"/>
                <w:color w:val="auto"/>
                <w:kern w:val="0"/>
                <w:sz w:val="24"/>
                <w:szCs w:val="24"/>
                <w:lang w:val="en-US" w:eastAsia="zh-CN"/>
              </w:rPr>
              <w:t>5</w:t>
            </w:r>
            <w:r>
              <w:rPr>
                <w:rFonts w:hint="eastAsia"/>
                <w:color w:val="auto"/>
                <w:sz w:val="24"/>
                <w:szCs w:val="24"/>
                <w:lang w:val="en-US" w:eastAsia="zh-CN"/>
              </w:rPr>
              <w:t>dB（A））</w:t>
            </w:r>
          </w:p>
          <w:p w14:paraId="64191FB8">
            <w:pPr>
              <w:keepNext w:val="0"/>
              <w:keepLines w:val="0"/>
              <w:suppressLineNumbers w:val="0"/>
              <w:adjustRightInd w:val="0"/>
              <w:snapToGrid w:val="0"/>
              <w:spacing w:before="0" w:beforeAutospacing="0" w:after="0" w:afterAutospacing="0" w:line="360" w:lineRule="auto"/>
              <w:ind w:left="0" w:right="0" w:firstLine="482" w:firstLineChars="200"/>
              <w:rPr>
                <w:rFonts w:hint="eastAsia"/>
                <w:color w:val="auto"/>
                <w:kern w:val="0"/>
                <w:sz w:val="24"/>
              </w:rPr>
            </w:pPr>
            <w:r>
              <w:rPr>
                <w:rFonts w:hint="eastAsia"/>
                <w:b/>
                <w:bCs/>
                <w:color w:val="auto"/>
                <w:sz w:val="24"/>
                <w:lang w:val="en-US" w:eastAsia="zh-CN"/>
              </w:rPr>
              <w:t>现有工程项目验收情况：</w:t>
            </w:r>
          </w:p>
          <w:p w14:paraId="0F3858B0">
            <w:pPr>
              <w:spacing w:line="360" w:lineRule="auto"/>
              <w:ind w:firstLine="480" w:firstLineChars="200"/>
              <w:rPr>
                <w:color w:val="auto"/>
                <w:kern w:val="0"/>
                <w:sz w:val="24"/>
              </w:rPr>
            </w:pPr>
            <w:r>
              <w:rPr>
                <w:rFonts w:hint="eastAsia"/>
                <w:color w:val="auto"/>
                <w:kern w:val="0"/>
                <w:sz w:val="24"/>
              </w:rPr>
              <w:t>现有工程噪声主要来自各设备运行产生的噪声</w:t>
            </w:r>
            <w:r>
              <w:rPr>
                <w:rFonts w:hint="eastAsia"/>
                <w:color w:val="auto"/>
                <w:kern w:val="0"/>
                <w:sz w:val="24"/>
                <w:lang w:eastAsia="zh-CN"/>
              </w:rPr>
              <w:t>，</w:t>
            </w:r>
            <w:r>
              <w:rPr>
                <w:rFonts w:hint="eastAsia"/>
                <w:color w:val="auto"/>
                <w:kern w:val="0"/>
                <w:sz w:val="24"/>
                <w:lang w:val="en-US" w:eastAsia="zh-CN"/>
              </w:rPr>
              <w:t>现状通过</w:t>
            </w:r>
            <w:r>
              <w:rPr>
                <w:rFonts w:hint="eastAsia"/>
                <w:color w:val="auto"/>
                <w:kern w:val="0"/>
                <w:sz w:val="24"/>
              </w:rPr>
              <w:t>基础减振、车间隔声等综合降噪措施</w:t>
            </w:r>
            <w:r>
              <w:rPr>
                <w:rFonts w:hint="eastAsia"/>
                <w:color w:val="auto"/>
                <w:kern w:val="0"/>
                <w:sz w:val="24"/>
                <w:lang w:val="en-US" w:eastAsia="zh-CN"/>
              </w:rPr>
              <w:t>处理</w:t>
            </w:r>
            <w:r>
              <w:rPr>
                <w:rFonts w:hint="eastAsia"/>
                <w:color w:val="auto"/>
                <w:kern w:val="0"/>
                <w:sz w:val="24"/>
              </w:rPr>
              <w:t>。根</w:t>
            </w:r>
            <w:r>
              <w:rPr>
                <w:color w:val="auto"/>
                <w:kern w:val="0"/>
                <w:sz w:val="24"/>
              </w:rPr>
              <w:t>据《</w:t>
            </w:r>
            <w:r>
              <w:rPr>
                <w:rFonts w:hint="eastAsia"/>
                <w:color w:val="auto"/>
                <w:kern w:val="0"/>
                <w:sz w:val="24"/>
              </w:rPr>
              <w:t>福建铠盾材料科技有限公司年加工特种玻璃6万件、加工塑料密封件600万件项目验收监测报告表</w:t>
            </w:r>
            <w:r>
              <w:rPr>
                <w:color w:val="auto"/>
                <w:kern w:val="0"/>
                <w:sz w:val="24"/>
              </w:rPr>
              <w:t>》</w:t>
            </w:r>
            <w:r>
              <w:rPr>
                <w:rFonts w:hint="eastAsia"/>
                <w:bCs/>
                <w:color w:val="auto"/>
                <w:kern w:val="0"/>
                <w:sz w:val="24"/>
              </w:rPr>
              <w:t>，现有工程厂界噪声监测结果如下：</w:t>
            </w:r>
          </w:p>
          <w:p w14:paraId="017A9C81">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表2-21  现有工程厂界噪声检测结果</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59"/>
              <w:gridCol w:w="2716"/>
              <w:gridCol w:w="2602"/>
              <w:gridCol w:w="1872"/>
            </w:tblGrid>
            <w:tr w14:paraId="3B458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843" w:type="pct"/>
                  <w:vMerge w:val="restart"/>
                  <w:noWrap w:val="0"/>
                  <w:vAlign w:val="center"/>
                </w:tcPr>
                <w:p w14:paraId="0B87B717">
                  <w:pPr>
                    <w:spacing w:line="240" w:lineRule="auto"/>
                    <w:jc w:val="center"/>
                    <w:rPr>
                      <w:rFonts w:hint="eastAsia" w:cs="仿宋_GB2312"/>
                      <w:b/>
                      <w:bCs/>
                      <w:color w:val="auto"/>
                    </w:rPr>
                  </w:pPr>
                  <w:r>
                    <w:rPr>
                      <w:rFonts w:hint="eastAsia" w:cs="仿宋_GB2312"/>
                      <w:b/>
                      <w:bCs/>
                      <w:color w:val="auto"/>
                    </w:rPr>
                    <w:t>检测时间</w:t>
                  </w:r>
                </w:p>
              </w:tc>
              <w:tc>
                <w:tcPr>
                  <w:tcW w:w="1570" w:type="pct"/>
                  <w:vMerge w:val="restart"/>
                  <w:noWrap w:val="0"/>
                  <w:vAlign w:val="center"/>
                </w:tcPr>
                <w:p w14:paraId="3DDF8704">
                  <w:pPr>
                    <w:spacing w:line="240" w:lineRule="auto"/>
                    <w:jc w:val="center"/>
                    <w:rPr>
                      <w:rFonts w:hint="eastAsia" w:cs="仿宋_GB2312"/>
                      <w:b/>
                      <w:bCs/>
                      <w:color w:val="auto"/>
                    </w:rPr>
                  </w:pPr>
                  <w:r>
                    <w:rPr>
                      <w:rFonts w:hint="eastAsia" w:cs="仿宋_GB2312"/>
                      <w:b/>
                      <w:bCs/>
                      <w:color w:val="auto"/>
                    </w:rPr>
                    <w:t>检测点位</w:t>
                  </w:r>
                </w:p>
              </w:tc>
              <w:tc>
                <w:tcPr>
                  <w:tcW w:w="1504" w:type="pct"/>
                  <w:noWrap w:val="0"/>
                  <w:vAlign w:val="center"/>
                </w:tcPr>
                <w:p w14:paraId="6CD06408">
                  <w:pPr>
                    <w:pStyle w:val="107"/>
                    <w:spacing w:line="240" w:lineRule="auto"/>
                    <w:rPr>
                      <w:rFonts w:ascii="Times New Roman" w:hAnsi="Times New Roman"/>
                      <w:b/>
                      <w:bCs/>
                      <w:color w:val="auto"/>
                      <w:szCs w:val="24"/>
                    </w:rPr>
                  </w:pPr>
                  <w:r>
                    <w:rPr>
                      <w:rFonts w:ascii="Times New Roman" w:hAnsi="Times New Roman"/>
                      <w:b/>
                      <w:bCs/>
                      <w:color w:val="auto"/>
                      <w:szCs w:val="24"/>
                    </w:rPr>
                    <w:t>Leq</w:t>
                  </w:r>
                  <w:r>
                    <w:rPr>
                      <w:rFonts w:hint="eastAsia" w:ascii="Times New Roman" w:hAnsi="Times New Roman"/>
                      <w:b/>
                      <w:bCs/>
                      <w:color w:val="auto"/>
                      <w:szCs w:val="24"/>
                    </w:rPr>
                    <w:t>检测结果（</w:t>
                  </w:r>
                  <w:r>
                    <w:rPr>
                      <w:rFonts w:ascii="Times New Roman" w:hAnsi="Times New Roman"/>
                      <w:b/>
                      <w:bCs/>
                      <w:color w:val="auto"/>
                    </w:rPr>
                    <w:t>dB（A）</w:t>
                  </w:r>
                  <w:r>
                    <w:rPr>
                      <w:rFonts w:hint="eastAsia" w:ascii="Times New Roman" w:hAnsi="Times New Roman"/>
                      <w:b/>
                      <w:bCs/>
                      <w:color w:val="auto"/>
                      <w:szCs w:val="24"/>
                    </w:rPr>
                    <w:t>）</w:t>
                  </w:r>
                </w:p>
              </w:tc>
              <w:tc>
                <w:tcPr>
                  <w:tcW w:w="1081" w:type="pct"/>
                  <w:vMerge w:val="restart"/>
                  <w:noWrap w:val="0"/>
                  <w:vAlign w:val="center"/>
                </w:tcPr>
                <w:p w14:paraId="365B41FF">
                  <w:pPr>
                    <w:pStyle w:val="107"/>
                    <w:spacing w:line="240" w:lineRule="auto"/>
                    <w:rPr>
                      <w:rFonts w:ascii="Times New Roman" w:hAnsi="Times New Roman"/>
                      <w:b/>
                      <w:bCs/>
                      <w:color w:val="auto"/>
                      <w:szCs w:val="24"/>
                    </w:rPr>
                  </w:pPr>
                  <w:r>
                    <w:rPr>
                      <w:rFonts w:hint="eastAsia" w:ascii="Times New Roman" w:hAnsi="Times New Roman" w:cs="仿宋_GB2312"/>
                      <w:b/>
                      <w:bCs/>
                      <w:color w:val="auto"/>
                      <w:szCs w:val="24"/>
                    </w:rPr>
                    <w:t>标准限值</w:t>
                  </w:r>
                  <w:r>
                    <w:rPr>
                      <w:rFonts w:hint="eastAsia" w:ascii="Times New Roman" w:hAnsi="Times New Roman"/>
                      <w:b/>
                      <w:bCs/>
                      <w:color w:val="auto"/>
                    </w:rPr>
                    <w:t>（</w:t>
                  </w:r>
                  <w:r>
                    <w:rPr>
                      <w:rFonts w:ascii="Times New Roman" w:hAnsi="Times New Roman"/>
                      <w:b/>
                      <w:bCs/>
                      <w:color w:val="auto"/>
                    </w:rPr>
                    <w:t>dB（A）</w:t>
                  </w:r>
                  <w:r>
                    <w:rPr>
                      <w:rFonts w:hint="eastAsia" w:ascii="Times New Roman" w:hAnsi="Times New Roman"/>
                      <w:b/>
                      <w:bCs/>
                      <w:color w:val="auto"/>
                    </w:rPr>
                    <w:t>）</w:t>
                  </w:r>
                </w:p>
              </w:tc>
            </w:tr>
            <w:tr w14:paraId="40D5C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843" w:type="pct"/>
                  <w:vMerge w:val="continue"/>
                  <w:noWrap w:val="0"/>
                  <w:vAlign w:val="center"/>
                </w:tcPr>
                <w:p w14:paraId="727ACAAC">
                  <w:pPr>
                    <w:pStyle w:val="107"/>
                    <w:spacing w:line="240" w:lineRule="auto"/>
                    <w:rPr>
                      <w:rFonts w:ascii="Times New Roman" w:hAnsi="Times New Roman"/>
                      <w:color w:val="auto"/>
                    </w:rPr>
                  </w:pPr>
                </w:p>
              </w:tc>
              <w:tc>
                <w:tcPr>
                  <w:tcW w:w="1570" w:type="pct"/>
                  <w:vMerge w:val="continue"/>
                  <w:noWrap w:val="0"/>
                  <w:vAlign w:val="center"/>
                </w:tcPr>
                <w:p w14:paraId="3E5AD38C">
                  <w:pPr>
                    <w:pStyle w:val="107"/>
                    <w:spacing w:line="240" w:lineRule="auto"/>
                    <w:rPr>
                      <w:rFonts w:ascii="Times New Roman" w:hAnsi="Times New Roman"/>
                      <w:color w:val="auto"/>
                    </w:rPr>
                  </w:pPr>
                </w:p>
              </w:tc>
              <w:tc>
                <w:tcPr>
                  <w:tcW w:w="1504" w:type="pct"/>
                  <w:noWrap w:val="0"/>
                  <w:vAlign w:val="center"/>
                </w:tcPr>
                <w:p w14:paraId="7E40E8AF">
                  <w:pPr>
                    <w:pStyle w:val="107"/>
                    <w:spacing w:line="240" w:lineRule="auto"/>
                    <w:rPr>
                      <w:rFonts w:hint="eastAsia" w:ascii="Times New Roman" w:hAnsi="Times New Roman" w:eastAsia="宋体" w:cs="仿宋_GB2312"/>
                      <w:b/>
                      <w:bCs/>
                      <w:color w:val="auto"/>
                      <w:szCs w:val="24"/>
                      <w:lang w:eastAsia="zh-CN"/>
                    </w:rPr>
                  </w:pPr>
                  <w:r>
                    <w:rPr>
                      <w:rFonts w:hint="eastAsia" w:ascii="Times New Roman" w:hAnsi="Times New Roman" w:cs="仿宋_GB2312"/>
                      <w:b/>
                      <w:bCs/>
                      <w:color w:val="auto"/>
                      <w:szCs w:val="24"/>
                      <w:lang w:val="en-US" w:eastAsia="zh-CN"/>
                    </w:rPr>
                    <w:t>（测量值）</w:t>
                  </w:r>
                  <w:r>
                    <w:rPr>
                      <w:rFonts w:hint="eastAsia" w:ascii="Times New Roman" w:hAnsi="Times New Roman" w:cs="仿宋_GB2312"/>
                      <w:b/>
                      <w:bCs/>
                      <w:color w:val="auto"/>
                      <w:szCs w:val="24"/>
                    </w:rPr>
                    <w:t>昼间</w:t>
                  </w:r>
                  <w:r>
                    <w:rPr>
                      <w:rFonts w:hint="eastAsia" w:ascii="Times New Roman" w:hAnsi="Times New Roman" w:cs="仿宋_GB2312"/>
                      <w:b/>
                      <w:bCs/>
                      <w:color w:val="auto"/>
                      <w:szCs w:val="24"/>
                      <w:lang w:eastAsia="zh-CN"/>
                    </w:rPr>
                    <w:t>）</w:t>
                  </w:r>
                </w:p>
              </w:tc>
              <w:tc>
                <w:tcPr>
                  <w:tcW w:w="1081" w:type="pct"/>
                  <w:vMerge w:val="continue"/>
                  <w:noWrap w:val="0"/>
                  <w:vAlign w:val="center"/>
                </w:tcPr>
                <w:p w14:paraId="1D4AEDAE">
                  <w:pPr>
                    <w:pStyle w:val="107"/>
                    <w:spacing w:line="240" w:lineRule="auto"/>
                    <w:rPr>
                      <w:rFonts w:hint="eastAsia" w:ascii="Times New Roman" w:hAnsi="Times New Roman" w:cs="仿宋_GB2312"/>
                      <w:color w:val="auto"/>
                      <w:szCs w:val="24"/>
                    </w:rPr>
                  </w:pPr>
                </w:p>
              </w:tc>
            </w:tr>
            <w:tr w14:paraId="5D98D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43" w:type="pct"/>
                  <w:vMerge w:val="restart"/>
                  <w:noWrap w:val="0"/>
                  <w:vAlign w:val="center"/>
                </w:tcPr>
                <w:p w14:paraId="400BEEAF">
                  <w:pPr>
                    <w:spacing w:line="240" w:lineRule="auto"/>
                    <w:jc w:val="center"/>
                    <w:rPr>
                      <w:rFonts w:hint="eastAsia"/>
                      <w:color w:val="auto"/>
                    </w:rPr>
                  </w:pPr>
                  <w:r>
                    <w:rPr>
                      <w:rFonts w:hint="eastAsia"/>
                      <w:color w:val="auto"/>
                    </w:rPr>
                    <w:t>20</w:t>
                  </w:r>
                  <w:r>
                    <w:rPr>
                      <w:rFonts w:hint="eastAsia"/>
                      <w:color w:val="auto"/>
                      <w:lang w:val="en-US" w:eastAsia="zh-CN"/>
                    </w:rPr>
                    <w:t>24</w:t>
                  </w:r>
                  <w:r>
                    <w:rPr>
                      <w:rFonts w:hint="eastAsia"/>
                      <w:color w:val="auto"/>
                    </w:rPr>
                    <w:t>年</w:t>
                  </w:r>
                </w:p>
                <w:p w14:paraId="02D7133B">
                  <w:pPr>
                    <w:spacing w:line="240" w:lineRule="auto"/>
                    <w:jc w:val="center"/>
                    <w:rPr>
                      <w:color w:val="auto"/>
                    </w:rPr>
                  </w:pPr>
                  <w:r>
                    <w:rPr>
                      <w:rFonts w:hint="eastAsia"/>
                      <w:color w:val="auto"/>
                      <w:lang w:val="en-US" w:eastAsia="zh-CN"/>
                    </w:rPr>
                    <w:t>12</w:t>
                  </w:r>
                  <w:r>
                    <w:rPr>
                      <w:rFonts w:hint="eastAsia"/>
                      <w:color w:val="auto"/>
                    </w:rPr>
                    <w:t>月</w:t>
                  </w:r>
                  <w:r>
                    <w:rPr>
                      <w:rFonts w:hint="eastAsia"/>
                      <w:color w:val="auto"/>
                      <w:lang w:val="en-US" w:eastAsia="zh-CN"/>
                    </w:rPr>
                    <w:t>19</w:t>
                  </w:r>
                  <w:r>
                    <w:rPr>
                      <w:rFonts w:hint="eastAsia"/>
                      <w:color w:val="auto"/>
                    </w:rPr>
                    <w:t>日</w:t>
                  </w:r>
                </w:p>
              </w:tc>
              <w:tc>
                <w:tcPr>
                  <w:tcW w:w="1570" w:type="pct"/>
                  <w:noWrap w:val="0"/>
                  <w:vAlign w:val="center"/>
                </w:tcPr>
                <w:p w14:paraId="16A10955">
                  <w:pPr>
                    <w:pStyle w:val="107"/>
                    <w:spacing w:line="240" w:lineRule="auto"/>
                    <w:rPr>
                      <w:rFonts w:ascii="Times New Roman" w:hAnsi="Times New Roman"/>
                      <w:color w:val="auto"/>
                      <w:kern w:val="2"/>
                      <w:szCs w:val="24"/>
                    </w:rPr>
                  </w:pPr>
                  <w:r>
                    <w:rPr>
                      <w:rFonts w:ascii="Times New Roman" w:hAnsi="Times New Roman"/>
                      <w:color w:val="auto"/>
                      <w:kern w:val="2"/>
                      <w:szCs w:val="24"/>
                    </w:rPr>
                    <w:t xml:space="preserve">N1 </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502A41A7">
                  <w:pPr>
                    <w:spacing w:line="240" w:lineRule="auto"/>
                    <w:jc w:val="center"/>
                    <w:textAlignment w:val="center"/>
                    <w:rPr>
                      <w:rFonts w:hint="default" w:eastAsia="宋体"/>
                      <w:color w:val="auto"/>
                      <w:lang w:val="en-US" w:eastAsia="zh-CN"/>
                    </w:rPr>
                  </w:pPr>
                  <w:r>
                    <w:rPr>
                      <w:rFonts w:hint="eastAsia"/>
                      <w:color w:val="auto"/>
                      <w:lang w:val="en-US" w:eastAsia="zh-CN"/>
                    </w:rPr>
                    <w:t>54.9</w:t>
                  </w:r>
                </w:p>
              </w:tc>
              <w:tc>
                <w:tcPr>
                  <w:tcW w:w="1081" w:type="pct"/>
                  <w:vMerge w:val="restart"/>
                  <w:noWrap w:val="0"/>
                  <w:vAlign w:val="center"/>
                </w:tcPr>
                <w:p w14:paraId="32844365">
                  <w:pPr>
                    <w:spacing w:line="240" w:lineRule="auto"/>
                    <w:jc w:val="center"/>
                    <w:rPr>
                      <w:rFonts w:hint="eastAsia"/>
                      <w:color w:val="auto"/>
                      <w:kern w:val="0"/>
                      <w:lang w:val="en-US" w:eastAsia="zh-CN"/>
                    </w:rPr>
                  </w:pPr>
                  <w:r>
                    <w:rPr>
                      <w:rFonts w:hint="eastAsia" w:cs="仿宋_GB2312"/>
                      <w:color w:val="auto"/>
                    </w:rPr>
                    <w:t>昼间≤</w:t>
                  </w:r>
                  <w:r>
                    <w:rPr>
                      <w:rFonts w:hint="eastAsia"/>
                      <w:color w:val="auto"/>
                      <w:kern w:val="0"/>
                    </w:rPr>
                    <w:t>6</w:t>
                  </w:r>
                  <w:r>
                    <w:rPr>
                      <w:rFonts w:hint="eastAsia"/>
                      <w:color w:val="auto"/>
                      <w:kern w:val="0"/>
                      <w:lang w:val="en-US" w:eastAsia="zh-CN"/>
                    </w:rPr>
                    <w:t>5</w:t>
                  </w:r>
                </w:p>
                <w:p w14:paraId="3317F9A7">
                  <w:pPr>
                    <w:pStyle w:val="15"/>
                    <w:spacing w:line="240" w:lineRule="auto"/>
                    <w:rPr>
                      <w:rFonts w:hint="default"/>
                      <w:color w:val="auto"/>
                      <w:lang w:val="en-US" w:eastAsia="zh-CN"/>
                    </w:rPr>
                  </w:pPr>
                </w:p>
              </w:tc>
            </w:tr>
            <w:tr w14:paraId="7C8B8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continue"/>
                  <w:noWrap w:val="0"/>
                  <w:vAlign w:val="center"/>
                </w:tcPr>
                <w:p w14:paraId="1F048D2B">
                  <w:pPr>
                    <w:pStyle w:val="107"/>
                    <w:spacing w:line="240" w:lineRule="auto"/>
                    <w:rPr>
                      <w:rFonts w:ascii="Times New Roman" w:hAnsi="Times New Roman"/>
                      <w:color w:val="auto"/>
                      <w:kern w:val="2"/>
                      <w:szCs w:val="24"/>
                    </w:rPr>
                  </w:pPr>
                </w:p>
              </w:tc>
              <w:tc>
                <w:tcPr>
                  <w:tcW w:w="1570" w:type="pct"/>
                  <w:noWrap w:val="0"/>
                  <w:vAlign w:val="center"/>
                </w:tcPr>
                <w:p w14:paraId="6EA1AEA8">
                  <w:pPr>
                    <w:pStyle w:val="107"/>
                    <w:spacing w:line="240" w:lineRule="auto"/>
                    <w:rPr>
                      <w:rFonts w:ascii="Times New Roman" w:hAnsi="Times New Roman"/>
                      <w:color w:val="auto"/>
                      <w:kern w:val="2"/>
                      <w:szCs w:val="24"/>
                    </w:rPr>
                  </w:pPr>
                  <w:r>
                    <w:rPr>
                      <w:rFonts w:ascii="Times New Roman" w:hAnsi="Times New Roman"/>
                      <w:color w:val="auto"/>
                      <w:kern w:val="2"/>
                      <w:szCs w:val="24"/>
                    </w:rPr>
                    <w:t>N2</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1FA1F14D">
                  <w:pPr>
                    <w:spacing w:line="240" w:lineRule="auto"/>
                    <w:jc w:val="center"/>
                    <w:textAlignment w:val="center"/>
                    <w:rPr>
                      <w:rFonts w:hint="default" w:eastAsia="宋体"/>
                      <w:color w:val="auto"/>
                      <w:lang w:val="en-US" w:eastAsia="zh-CN"/>
                    </w:rPr>
                  </w:pPr>
                  <w:r>
                    <w:rPr>
                      <w:rFonts w:hint="eastAsia"/>
                      <w:color w:val="auto"/>
                      <w:lang w:val="en-US" w:eastAsia="zh-CN"/>
                    </w:rPr>
                    <w:t>55.1</w:t>
                  </w:r>
                </w:p>
              </w:tc>
              <w:tc>
                <w:tcPr>
                  <w:tcW w:w="1081" w:type="pct"/>
                  <w:vMerge w:val="continue"/>
                  <w:noWrap w:val="0"/>
                  <w:vAlign w:val="center"/>
                </w:tcPr>
                <w:p w14:paraId="4A190ACE">
                  <w:pPr>
                    <w:spacing w:line="240" w:lineRule="auto"/>
                    <w:jc w:val="center"/>
                    <w:rPr>
                      <w:rFonts w:hint="eastAsia"/>
                      <w:color w:val="auto"/>
                      <w:kern w:val="0"/>
                    </w:rPr>
                  </w:pPr>
                </w:p>
              </w:tc>
            </w:tr>
            <w:tr w14:paraId="2750B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43" w:type="pct"/>
                  <w:vMerge w:val="continue"/>
                  <w:noWrap w:val="0"/>
                  <w:vAlign w:val="center"/>
                </w:tcPr>
                <w:p w14:paraId="066A692C">
                  <w:pPr>
                    <w:pStyle w:val="107"/>
                    <w:spacing w:line="240" w:lineRule="auto"/>
                    <w:rPr>
                      <w:rFonts w:ascii="Times New Roman" w:hAnsi="Times New Roman"/>
                      <w:color w:val="auto"/>
                      <w:kern w:val="2"/>
                      <w:szCs w:val="24"/>
                    </w:rPr>
                  </w:pPr>
                </w:p>
              </w:tc>
              <w:tc>
                <w:tcPr>
                  <w:tcW w:w="1570" w:type="pct"/>
                  <w:noWrap w:val="0"/>
                  <w:vAlign w:val="center"/>
                </w:tcPr>
                <w:p w14:paraId="10EEE089">
                  <w:pPr>
                    <w:pStyle w:val="107"/>
                    <w:spacing w:line="240" w:lineRule="auto"/>
                    <w:rPr>
                      <w:rFonts w:ascii="Times New Roman" w:hAnsi="Times New Roman"/>
                      <w:color w:val="auto"/>
                      <w:kern w:val="2"/>
                      <w:szCs w:val="24"/>
                    </w:rPr>
                  </w:pPr>
                  <w:r>
                    <w:rPr>
                      <w:rFonts w:ascii="Times New Roman" w:hAnsi="Times New Roman"/>
                      <w:color w:val="auto"/>
                      <w:kern w:val="2"/>
                      <w:szCs w:val="24"/>
                    </w:rPr>
                    <w:t>N3</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092543E2">
                  <w:pPr>
                    <w:spacing w:line="240" w:lineRule="auto"/>
                    <w:jc w:val="center"/>
                    <w:textAlignment w:val="center"/>
                    <w:rPr>
                      <w:rFonts w:hint="default" w:eastAsia="宋体"/>
                      <w:color w:val="auto"/>
                      <w:lang w:val="en-US" w:eastAsia="zh-CN"/>
                    </w:rPr>
                  </w:pPr>
                  <w:r>
                    <w:rPr>
                      <w:rFonts w:hint="eastAsia"/>
                      <w:color w:val="auto"/>
                      <w:lang w:val="en-US" w:eastAsia="zh-CN"/>
                    </w:rPr>
                    <w:t>57.6</w:t>
                  </w:r>
                </w:p>
              </w:tc>
              <w:tc>
                <w:tcPr>
                  <w:tcW w:w="1081" w:type="pct"/>
                  <w:vMerge w:val="continue"/>
                  <w:noWrap w:val="0"/>
                  <w:vAlign w:val="center"/>
                </w:tcPr>
                <w:p w14:paraId="17455325">
                  <w:pPr>
                    <w:spacing w:line="240" w:lineRule="auto"/>
                    <w:jc w:val="center"/>
                    <w:rPr>
                      <w:rFonts w:hint="eastAsia"/>
                      <w:color w:val="auto"/>
                      <w:kern w:val="0"/>
                    </w:rPr>
                  </w:pPr>
                </w:p>
              </w:tc>
            </w:tr>
            <w:tr w14:paraId="7B568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continue"/>
                  <w:noWrap w:val="0"/>
                  <w:vAlign w:val="center"/>
                </w:tcPr>
                <w:p w14:paraId="3CEBB707">
                  <w:pPr>
                    <w:pStyle w:val="107"/>
                    <w:spacing w:line="240" w:lineRule="auto"/>
                    <w:rPr>
                      <w:rFonts w:ascii="Times New Roman" w:hAnsi="Times New Roman"/>
                      <w:color w:val="auto"/>
                      <w:kern w:val="2"/>
                      <w:szCs w:val="24"/>
                    </w:rPr>
                  </w:pPr>
                </w:p>
              </w:tc>
              <w:tc>
                <w:tcPr>
                  <w:tcW w:w="1570" w:type="pct"/>
                  <w:noWrap w:val="0"/>
                  <w:vAlign w:val="center"/>
                </w:tcPr>
                <w:p w14:paraId="3C5569C0">
                  <w:pPr>
                    <w:pStyle w:val="107"/>
                    <w:spacing w:line="240" w:lineRule="auto"/>
                    <w:rPr>
                      <w:rFonts w:ascii="Times New Roman" w:hAnsi="Times New Roman"/>
                      <w:color w:val="auto"/>
                      <w:kern w:val="2"/>
                      <w:szCs w:val="24"/>
                    </w:rPr>
                  </w:pPr>
                  <w:r>
                    <w:rPr>
                      <w:rFonts w:ascii="Times New Roman" w:hAnsi="Times New Roman"/>
                      <w:color w:val="auto"/>
                      <w:kern w:val="2"/>
                      <w:szCs w:val="24"/>
                    </w:rPr>
                    <w:t>N4</w:t>
                  </w:r>
                  <w:r>
                    <w:rPr>
                      <w:rFonts w:hint="eastAsia" w:ascii="Times New Roman" w:hAnsi="Times New Roman"/>
                      <w:color w:val="auto"/>
                      <w:kern w:val="2"/>
                      <w:szCs w:val="24"/>
                    </w:rPr>
                    <w:t xml:space="preserve"> 厂界</w:t>
                  </w:r>
                  <w:r>
                    <w:rPr>
                      <w:rFonts w:ascii="Times New Roman" w:hAnsi="Times New Roman"/>
                      <w:color w:val="auto"/>
                      <w:kern w:val="2"/>
                      <w:szCs w:val="24"/>
                    </w:rPr>
                    <w:t>外1m</w:t>
                  </w:r>
                </w:p>
              </w:tc>
              <w:tc>
                <w:tcPr>
                  <w:tcW w:w="1504" w:type="pct"/>
                  <w:noWrap w:val="0"/>
                  <w:vAlign w:val="center"/>
                </w:tcPr>
                <w:p w14:paraId="6E6DF96B">
                  <w:pPr>
                    <w:spacing w:line="240" w:lineRule="auto"/>
                    <w:jc w:val="center"/>
                    <w:textAlignment w:val="center"/>
                    <w:rPr>
                      <w:rFonts w:hint="default" w:eastAsia="宋体"/>
                      <w:color w:val="auto"/>
                      <w:lang w:val="en-US" w:eastAsia="zh-CN"/>
                    </w:rPr>
                  </w:pPr>
                  <w:r>
                    <w:rPr>
                      <w:rFonts w:hint="eastAsia"/>
                      <w:color w:val="auto"/>
                      <w:lang w:val="en-US" w:eastAsia="zh-CN"/>
                    </w:rPr>
                    <w:t>56.5</w:t>
                  </w:r>
                </w:p>
              </w:tc>
              <w:tc>
                <w:tcPr>
                  <w:tcW w:w="1081" w:type="pct"/>
                  <w:vMerge w:val="continue"/>
                  <w:noWrap w:val="0"/>
                  <w:vAlign w:val="center"/>
                </w:tcPr>
                <w:p w14:paraId="1E24A890">
                  <w:pPr>
                    <w:spacing w:line="240" w:lineRule="auto"/>
                    <w:jc w:val="center"/>
                    <w:rPr>
                      <w:rFonts w:hint="eastAsia"/>
                      <w:color w:val="auto"/>
                      <w:kern w:val="0"/>
                    </w:rPr>
                  </w:pPr>
                </w:p>
              </w:tc>
            </w:tr>
            <w:tr w14:paraId="26DA8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restart"/>
                  <w:noWrap w:val="0"/>
                  <w:vAlign w:val="center"/>
                </w:tcPr>
                <w:p w14:paraId="69D0F9AD">
                  <w:pPr>
                    <w:spacing w:line="240" w:lineRule="auto"/>
                    <w:jc w:val="center"/>
                    <w:rPr>
                      <w:rFonts w:hint="eastAsia"/>
                      <w:color w:val="auto"/>
                    </w:rPr>
                  </w:pPr>
                  <w:r>
                    <w:rPr>
                      <w:rFonts w:hint="eastAsia"/>
                      <w:color w:val="auto"/>
                    </w:rPr>
                    <w:t>20</w:t>
                  </w:r>
                  <w:r>
                    <w:rPr>
                      <w:rFonts w:hint="eastAsia"/>
                      <w:color w:val="auto"/>
                      <w:lang w:val="en-US" w:eastAsia="zh-CN"/>
                    </w:rPr>
                    <w:t>24</w:t>
                  </w:r>
                  <w:r>
                    <w:rPr>
                      <w:rFonts w:hint="eastAsia"/>
                      <w:color w:val="auto"/>
                    </w:rPr>
                    <w:t>年</w:t>
                  </w:r>
                </w:p>
                <w:p w14:paraId="0946C51D">
                  <w:pPr>
                    <w:spacing w:line="240" w:lineRule="auto"/>
                    <w:jc w:val="center"/>
                    <w:rPr>
                      <w:color w:val="auto"/>
                    </w:rPr>
                  </w:pPr>
                  <w:r>
                    <w:rPr>
                      <w:rFonts w:hint="eastAsia"/>
                      <w:color w:val="auto"/>
                      <w:lang w:val="en-US" w:eastAsia="zh-CN"/>
                    </w:rPr>
                    <w:t>12</w:t>
                  </w:r>
                  <w:r>
                    <w:rPr>
                      <w:rFonts w:hint="eastAsia"/>
                      <w:color w:val="auto"/>
                    </w:rPr>
                    <w:t>月</w:t>
                  </w:r>
                  <w:r>
                    <w:rPr>
                      <w:rFonts w:hint="eastAsia"/>
                      <w:color w:val="auto"/>
                      <w:lang w:val="en-US" w:eastAsia="zh-CN"/>
                    </w:rPr>
                    <w:t>20</w:t>
                  </w:r>
                  <w:r>
                    <w:rPr>
                      <w:rFonts w:hint="eastAsia"/>
                      <w:color w:val="auto"/>
                    </w:rPr>
                    <w:t>日</w:t>
                  </w:r>
                </w:p>
              </w:tc>
              <w:tc>
                <w:tcPr>
                  <w:tcW w:w="1570" w:type="pct"/>
                  <w:noWrap w:val="0"/>
                  <w:vAlign w:val="center"/>
                </w:tcPr>
                <w:p w14:paraId="59995B6C">
                  <w:pPr>
                    <w:pStyle w:val="107"/>
                    <w:spacing w:line="240" w:lineRule="auto"/>
                    <w:rPr>
                      <w:rFonts w:ascii="Times New Roman" w:hAnsi="Times New Roman"/>
                      <w:color w:val="auto"/>
                      <w:kern w:val="2"/>
                      <w:szCs w:val="24"/>
                    </w:rPr>
                  </w:pPr>
                  <w:r>
                    <w:rPr>
                      <w:rFonts w:ascii="Times New Roman" w:hAnsi="Times New Roman"/>
                      <w:color w:val="auto"/>
                      <w:kern w:val="2"/>
                      <w:szCs w:val="24"/>
                    </w:rPr>
                    <w:t xml:space="preserve">N1 </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1DB3069A">
                  <w:pPr>
                    <w:spacing w:line="240" w:lineRule="auto"/>
                    <w:jc w:val="center"/>
                    <w:textAlignment w:val="center"/>
                    <w:rPr>
                      <w:rFonts w:hint="default" w:eastAsia="宋体"/>
                      <w:color w:val="auto"/>
                      <w:lang w:val="en-US" w:eastAsia="zh-CN"/>
                    </w:rPr>
                  </w:pPr>
                  <w:r>
                    <w:rPr>
                      <w:rFonts w:hint="eastAsia"/>
                      <w:color w:val="auto"/>
                      <w:lang w:val="en-US" w:eastAsia="zh-CN"/>
                    </w:rPr>
                    <w:t>55.2</w:t>
                  </w:r>
                </w:p>
              </w:tc>
              <w:tc>
                <w:tcPr>
                  <w:tcW w:w="1081" w:type="pct"/>
                  <w:vMerge w:val="continue"/>
                  <w:noWrap w:val="0"/>
                  <w:vAlign w:val="center"/>
                </w:tcPr>
                <w:p w14:paraId="7454E588">
                  <w:pPr>
                    <w:spacing w:line="240" w:lineRule="auto"/>
                    <w:jc w:val="center"/>
                    <w:rPr>
                      <w:rFonts w:hint="eastAsia"/>
                      <w:color w:val="auto"/>
                      <w:kern w:val="0"/>
                    </w:rPr>
                  </w:pPr>
                </w:p>
              </w:tc>
            </w:tr>
            <w:tr w14:paraId="40903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continue"/>
                  <w:noWrap w:val="0"/>
                  <w:vAlign w:val="center"/>
                </w:tcPr>
                <w:p w14:paraId="28B9308A">
                  <w:pPr>
                    <w:pStyle w:val="107"/>
                    <w:spacing w:line="240" w:lineRule="auto"/>
                    <w:rPr>
                      <w:rFonts w:ascii="Times New Roman" w:hAnsi="Times New Roman"/>
                      <w:color w:val="auto"/>
                      <w:kern w:val="2"/>
                      <w:szCs w:val="24"/>
                    </w:rPr>
                  </w:pPr>
                </w:p>
              </w:tc>
              <w:tc>
                <w:tcPr>
                  <w:tcW w:w="1570" w:type="pct"/>
                  <w:noWrap w:val="0"/>
                  <w:vAlign w:val="center"/>
                </w:tcPr>
                <w:p w14:paraId="32374359">
                  <w:pPr>
                    <w:pStyle w:val="107"/>
                    <w:spacing w:line="240" w:lineRule="auto"/>
                    <w:rPr>
                      <w:rFonts w:ascii="Times New Roman" w:hAnsi="Times New Roman"/>
                      <w:color w:val="auto"/>
                      <w:kern w:val="2"/>
                      <w:szCs w:val="24"/>
                    </w:rPr>
                  </w:pPr>
                  <w:r>
                    <w:rPr>
                      <w:rFonts w:ascii="Times New Roman" w:hAnsi="Times New Roman"/>
                      <w:color w:val="auto"/>
                      <w:kern w:val="2"/>
                      <w:szCs w:val="24"/>
                    </w:rPr>
                    <w:t>N2</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4596F917">
                  <w:pPr>
                    <w:spacing w:line="240" w:lineRule="auto"/>
                    <w:jc w:val="center"/>
                    <w:textAlignment w:val="center"/>
                    <w:rPr>
                      <w:rFonts w:hint="default" w:eastAsia="宋体"/>
                      <w:color w:val="auto"/>
                      <w:lang w:val="en-US" w:eastAsia="zh-CN"/>
                    </w:rPr>
                  </w:pPr>
                  <w:r>
                    <w:rPr>
                      <w:rFonts w:hint="eastAsia"/>
                      <w:color w:val="auto"/>
                      <w:lang w:val="en-US" w:eastAsia="zh-CN"/>
                    </w:rPr>
                    <w:t>54.5</w:t>
                  </w:r>
                </w:p>
              </w:tc>
              <w:tc>
                <w:tcPr>
                  <w:tcW w:w="1081" w:type="pct"/>
                  <w:vMerge w:val="continue"/>
                  <w:noWrap w:val="0"/>
                  <w:vAlign w:val="center"/>
                </w:tcPr>
                <w:p w14:paraId="56F94E46">
                  <w:pPr>
                    <w:spacing w:line="240" w:lineRule="auto"/>
                    <w:jc w:val="center"/>
                    <w:rPr>
                      <w:rFonts w:hint="eastAsia"/>
                      <w:color w:val="auto"/>
                      <w:kern w:val="0"/>
                    </w:rPr>
                  </w:pPr>
                </w:p>
              </w:tc>
            </w:tr>
            <w:tr w14:paraId="0BEEB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continue"/>
                  <w:noWrap w:val="0"/>
                  <w:vAlign w:val="center"/>
                </w:tcPr>
                <w:p w14:paraId="1D8C17E6">
                  <w:pPr>
                    <w:pStyle w:val="107"/>
                    <w:spacing w:line="240" w:lineRule="auto"/>
                    <w:rPr>
                      <w:rFonts w:ascii="Times New Roman" w:hAnsi="Times New Roman"/>
                      <w:color w:val="auto"/>
                      <w:kern w:val="2"/>
                      <w:szCs w:val="24"/>
                    </w:rPr>
                  </w:pPr>
                </w:p>
              </w:tc>
              <w:tc>
                <w:tcPr>
                  <w:tcW w:w="1570" w:type="pct"/>
                  <w:noWrap w:val="0"/>
                  <w:vAlign w:val="center"/>
                </w:tcPr>
                <w:p w14:paraId="644749C6">
                  <w:pPr>
                    <w:pStyle w:val="107"/>
                    <w:spacing w:line="240" w:lineRule="auto"/>
                    <w:rPr>
                      <w:rFonts w:ascii="Times New Roman" w:hAnsi="Times New Roman"/>
                      <w:color w:val="auto"/>
                      <w:kern w:val="2"/>
                      <w:szCs w:val="24"/>
                    </w:rPr>
                  </w:pPr>
                  <w:r>
                    <w:rPr>
                      <w:rFonts w:ascii="Times New Roman" w:hAnsi="Times New Roman"/>
                      <w:color w:val="auto"/>
                      <w:kern w:val="2"/>
                      <w:szCs w:val="24"/>
                    </w:rPr>
                    <w:t>N3</w:t>
                  </w:r>
                  <w:r>
                    <w:rPr>
                      <w:rFonts w:hint="eastAsia" w:ascii="Times New Roman" w:hAnsi="Times New Roman"/>
                      <w:color w:val="auto"/>
                      <w:kern w:val="2"/>
                      <w:szCs w:val="24"/>
                    </w:rPr>
                    <w:t>厂界</w:t>
                  </w:r>
                  <w:r>
                    <w:rPr>
                      <w:rFonts w:ascii="Times New Roman" w:hAnsi="Times New Roman"/>
                      <w:color w:val="auto"/>
                      <w:kern w:val="2"/>
                      <w:szCs w:val="24"/>
                    </w:rPr>
                    <w:t>外1m</w:t>
                  </w:r>
                </w:p>
              </w:tc>
              <w:tc>
                <w:tcPr>
                  <w:tcW w:w="1504" w:type="pct"/>
                  <w:noWrap w:val="0"/>
                  <w:vAlign w:val="center"/>
                </w:tcPr>
                <w:p w14:paraId="416F6881">
                  <w:pPr>
                    <w:spacing w:line="240" w:lineRule="auto"/>
                    <w:jc w:val="center"/>
                    <w:textAlignment w:val="center"/>
                    <w:rPr>
                      <w:rFonts w:hint="default" w:eastAsia="宋体"/>
                      <w:color w:val="auto"/>
                      <w:lang w:val="en-US" w:eastAsia="zh-CN"/>
                    </w:rPr>
                  </w:pPr>
                  <w:r>
                    <w:rPr>
                      <w:rFonts w:hint="eastAsia"/>
                      <w:color w:val="auto"/>
                      <w:lang w:val="en-US" w:eastAsia="zh-CN"/>
                    </w:rPr>
                    <w:t>56.9</w:t>
                  </w:r>
                </w:p>
              </w:tc>
              <w:tc>
                <w:tcPr>
                  <w:tcW w:w="1081" w:type="pct"/>
                  <w:vMerge w:val="continue"/>
                  <w:noWrap w:val="0"/>
                  <w:vAlign w:val="center"/>
                </w:tcPr>
                <w:p w14:paraId="5A9D61D6">
                  <w:pPr>
                    <w:spacing w:line="240" w:lineRule="auto"/>
                    <w:jc w:val="center"/>
                    <w:rPr>
                      <w:rFonts w:hint="eastAsia"/>
                      <w:color w:val="auto"/>
                      <w:kern w:val="0"/>
                    </w:rPr>
                  </w:pPr>
                </w:p>
              </w:tc>
            </w:tr>
            <w:tr w14:paraId="7ECE0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vMerge w:val="continue"/>
                  <w:noWrap w:val="0"/>
                  <w:vAlign w:val="center"/>
                </w:tcPr>
                <w:p w14:paraId="76A23153">
                  <w:pPr>
                    <w:pStyle w:val="107"/>
                    <w:spacing w:line="240" w:lineRule="auto"/>
                    <w:rPr>
                      <w:rFonts w:ascii="Times New Roman" w:hAnsi="Times New Roman"/>
                      <w:color w:val="auto"/>
                      <w:kern w:val="2"/>
                      <w:szCs w:val="24"/>
                    </w:rPr>
                  </w:pPr>
                </w:p>
              </w:tc>
              <w:tc>
                <w:tcPr>
                  <w:tcW w:w="1570" w:type="pct"/>
                  <w:noWrap w:val="0"/>
                  <w:vAlign w:val="center"/>
                </w:tcPr>
                <w:p w14:paraId="677699DC">
                  <w:pPr>
                    <w:pStyle w:val="107"/>
                    <w:spacing w:line="240" w:lineRule="auto"/>
                    <w:rPr>
                      <w:rFonts w:ascii="Times New Roman" w:hAnsi="Times New Roman"/>
                      <w:color w:val="auto"/>
                      <w:kern w:val="2"/>
                      <w:szCs w:val="24"/>
                    </w:rPr>
                  </w:pPr>
                  <w:r>
                    <w:rPr>
                      <w:rFonts w:ascii="Times New Roman" w:hAnsi="Times New Roman"/>
                      <w:color w:val="auto"/>
                      <w:kern w:val="2"/>
                      <w:szCs w:val="24"/>
                    </w:rPr>
                    <w:t>N4</w:t>
                  </w:r>
                  <w:r>
                    <w:rPr>
                      <w:rFonts w:hint="eastAsia" w:ascii="Times New Roman" w:hAnsi="Times New Roman"/>
                      <w:color w:val="auto"/>
                      <w:kern w:val="2"/>
                      <w:szCs w:val="24"/>
                    </w:rPr>
                    <w:t xml:space="preserve"> 厂界</w:t>
                  </w:r>
                  <w:r>
                    <w:rPr>
                      <w:rFonts w:ascii="Times New Roman" w:hAnsi="Times New Roman"/>
                      <w:color w:val="auto"/>
                      <w:kern w:val="2"/>
                      <w:szCs w:val="24"/>
                    </w:rPr>
                    <w:t>外1m</w:t>
                  </w:r>
                </w:p>
              </w:tc>
              <w:tc>
                <w:tcPr>
                  <w:tcW w:w="1504" w:type="pct"/>
                  <w:noWrap w:val="0"/>
                  <w:vAlign w:val="center"/>
                </w:tcPr>
                <w:p w14:paraId="6247543A">
                  <w:pPr>
                    <w:spacing w:line="240" w:lineRule="auto"/>
                    <w:jc w:val="center"/>
                    <w:textAlignment w:val="center"/>
                    <w:rPr>
                      <w:rFonts w:hint="default" w:eastAsia="宋体"/>
                      <w:color w:val="auto"/>
                      <w:lang w:val="en-US" w:eastAsia="zh-CN"/>
                    </w:rPr>
                  </w:pPr>
                  <w:r>
                    <w:rPr>
                      <w:rFonts w:hint="eastAsia"/>
                      <w:color w:val="auto"/>
                      <w:lang w:val="en-US" w:eastAsia="zh-CN"/>
                    </w:rPr>
                    <w:t>57.3</w:t>
                  </w:r>
                </w:p>
              </w:tc>
              <w:tc>
                <w:tcPr>
                  <w:tcW w:w="1081" w:type="pct"/>
                  <w:vMerge w:val="continue"/>
                  <w:noWrap w:val="0"/>
                  <w:vAlign w:val="center"/>
                </w:tcPr>
                <w:p w14:paraId="34F6E3A7">
                  <w:pPr>
                    <w:spacing w:line="240" w:lineRule="auto"/>
                    <w:jc w:val="center"/>
                    <w:rPr>
                      <w:rFonts w:hint="eastAsia"/>
                      <w:color w:val="auto"/>
                      <w:kern w:val="0"/>
                    </w:rPr>
                  </w:pPr>
                </w:p>
              </w:tc>
            </w:tr>
            <w:tr w14:paraId="756D7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3" w:type="pct"/>
                  <w:noWrap w:val="0"/>
                  <w:vAlign w:val="center"/>
                </w:tcPr>
                <w:p w14:paraId="5BD11751">
                  <w:pPr>
                    <w:pStyle w:val="107"/>
                    <w:spacing w:line="240" w:lineRule="auto"/>
                    <w:rPr>
                      <w:rFonts w:ascii="Times New Roman" w:hAnsi="Times New Roman"/>
                      <w:color w:val="auto"/>
                      <w:kern w:val="2"/>
                      <w:szCs w:val="24"/>
                      <w:highlight w:val="none"/>
                    </w:rPr>
                  </w:pPr>
                  <w:r>
                    <w:rPr>
                      <w:rFonts w:ascii="Times New Roman" w:hAnsi="Times New Roman"/>
                      <w:color w:val="auto"/>
                      <w:szCs w:val="24"/>
                      <w:highlight w:val="none"/>
                    </w:rPr>
                    <w:t>备注</w:t>
                  </w:r>
                </w:p>
              </w:tc>
              <w:tc>
                <w:tcPr>
                  <w:tcW w:w="4156" w:type="pct"/>
                  <w:gridSpan w:val="3"/>
                  <w:noWrap w:val="0"/>
                  <w:vAlign w:val="center"/>
                </w:tcPr>
                <w:p w14:paraId="68F0C500">
                  <w:pPr>
                    <w:spacing w:line="240" w:lineRule="auto"/>
                    <w:jc w:val="left"/>
                    <w:rPr>
                      <w:rFonts w:hint="eastAsia"/>
                      <w:color w:val="auto"/>
                      <w:highlight w:val="none"/>
                    </w:rPr>
                  </w:pPr>
                  <w:r>
                    <w:rPr>
                      <w:rFonts w:hint="eastAsia"/>
                      <w:color w:val="auto"/>
                      <w:highlight w:val="none"/>
                    </w:rPr>
                    <w:t>噪声限值执行《工业企业厂界环境噪声排放标准》（GB12348-2008）</w:t>
                  </w:r>
                  <w:r>
                    <w:rPr>
                      <w:rFonts w:hint="eastAsia"/>
                      <w:color w:val="auto"/>
                      <w:highlight w:val="none"/>
                      <w:lang w:val="en-US" w:eastAsia="zh-CN"/>
                    </w:rPr>
                    <w:t>3</w:t>
                  </w:r>
                  <w:r>
                    <w:rPr>
                      <w:rFonts w:hint="eastAsia"/>
                      <w:color w:val="auto"/>
                      <w:highlight w:val="none"/>
                    </w:rPr>
                    <w:t>类标准。</w:t>
                  </w:r>
                </w:p>
              </w:tc>
            </w:tr>
          </w:tbl>
          <w:p w14:paraId="272C65CD">
            <w:pPr>
              <w:spacing w:line="360" w:lineRule="auto"/>
              <w:ind w:firstLine="480" w:firstLineChars="200"/>
              <w:jc w:val="both"/>
              <w:rPr>
                <w:rFonts w:hint="default"/>
                <w:color w:val="auto"/>
                <w:sz w:val="24"/>
                <w:szCs w:val="24"/>
                <w:lang w:val="en-US" w:eastAsia="zh-CN"/>
              </w:rPr>
            </w:pPr>
            <w:r>
              <w:rPr>
                <w:rFonts w:hint="eastAsia"/>
                <w:bCs/>
                <w:color w:val="auto"/>
                <w:kern w:val="0"/>
                <w:sz w:val="24"/>
                <w:szCs w:val="24"/>
                <w:highlight w:val="none"/>
              </w:rPr>
              <w:t>根据监测结果，现有工程昼间厂界噪声符合《工业企业厂界环境噪声排放标准》（GB12348-2008）表1中</w:t>
            </w:r>
            <w:r>
              <w:rPr>
                <w:rFonts w:hint="eastAsia"/>
                <w:bCs/>
                <w:color w:val="auto"/>
                <w:kern w:val="0"/>
                <w:sz w:val="24"/>
                <w:szCs w:val="24"/>
                <w:highlight w:val="none"/>
                <w:lang w:val="en-US" w:eastAsia="zh-CN"/>
              </w:rPr>
              <w:t>3</w:t>
            </w:r>
            <w:r>
              <w:rPr>
                <w:rFonts w:hint="eastAsia"/>
                <w:bCs/>
                <w:color w:val="auto"/>
                <w:kern w:val="0"/>
                <w:sz w:val="24"/>
                <w:szCs w:val="24"/>
                <w:highlight w:val="none"/>
              </w:rPr>
              <w:t>类区的标准限值要求</w:t>
            </w:r>
            <w:r>
              <w:rPr>
                <w:rFonts w:hint="eastAsia"/>
                <w:color w:val="auto"/>
                <w:sz w:val="24"/>
                <w:szCs w:val="24"/>
                <w:lang w:val="en-US" w:eastAsia="zh-CN"/>
              </w:rPr>
              <w:t>（</w:t>
            </w:r>
            <w:r>
              <w:rPr>
                <w:rFonts w:hint="eastAsia" w:cs="仿宋_GB2312"/>
                <w:color w:val="auto"/>
                <w:sz w:val="24"/>
                <w:szCs w:val="24"/>
              </w:rPr>
              <w:t>昼间≤</w:t>
            </w:r>
            <w:r>
              <w:rPr>
                <w:rFonts w:hint="eastAsia"/>
                <w:color w:val="auto"/>
                <w:kern w:val="0"/>
                <w:sz w:val="24"/>
                <w:szCs w:val="24"/>
              </w:rPr>
              <w:t>6</w:t>
            </w:r>
            <w:r>
              <w:rPr>
                <w:rFonts w:hint="eastAsia"/>
                <w:color w:val="auto"/>
                <w:kern w:val="0"/>
                <w:sz w:val="24"/>
                <w:szCs w:val="24"/>
                <w:lang w:val="en-US" w:eastAsia="zh-CN"/>
              </w:rPr>
              <w:t>5</w:t>
            </w:r>
            <w:r>
              <w:rPr>
                <w:rFonts w:hint="eastAsia"/>
                <w:color w:val="auto"/>
                <w:sz w:val="24"/>
                <w:szCs w:val="24"/>
                <w:lang w:val="en-US" w:eastAsia="zh-CN"/>
              </w:rPr>
              <w:t>dB（A））。</w:t>
            </w:r>
          </w:p>
          <w:p w14:paraId="535A1609">
            <w:pPr>
              <w:pageBreakBefore/>
              <w:widowControl/>
              <w:numPr>
                <w:ilvl w:val="0"/>
                <w:numId w:val="0"/>
              </w:numPr>
              <w:tabs>
                <w:tab w:val="left" w:pos="0"/>
              </w:tabs>
              <w:spacing w:before="0" w:beforeLines="0" w:line="360" w:lineRule="auto"/>
              <w:ind w:firstLine="480" w:firstLineChars="200"/>
              <w:jc w:val="left"/>
              <w:outlineLvl w:val="2"/>
              <w:rPr>
                <w:rFonts w:hint="eastAsia"/>
                <w:color w:val="auto"/>
                <w:kern w:val="0"/>
                <w:sz w:val="24"/>
              </w:rPr>
            </w:pPr>
            <w:r>
              <w:rPr>
                <w:rFonts w:hint="eastAsia"/>
                <w:color w:val="auto"/>
                <w:kern w:val="0"/>
                <w:sz w:val="24"/>
                <w:lang w:eastAsia="zh-CN"/>
              </w:rPr>
              <w:t>（</w:t>
            </w:r>
            <w:r>
              <w:rPr>
                <w:rFonts w:hint="eastAsia"/>
                <w:color w:val="auto"/>
                <w:kern w:val="0"/>
                <w:sz w:val="24"/>
                <w:lang w:val="en-US" w:eastAsia="zh-CN"/>
              </w:rPr>
              <w:t>4</w:t>
            </w:r>
            <w:r>
              <w:rPr>
                <w:rFonts w:hint="eastAsia"/>
                <w:color w:val="auto"/>
                <w:kern w:val="0"/>
                <w:sz w:val="24"/>
                <w:lang w:eastAsia="zh-CN"/>
              </w:rPr>
              <w:t>）</w:t>
            </w:r>
            <w:r>
              <w:rPr>
                <w:rFonts w:hint="eastAsia"/>
                <w:color w:val="auto"/>
                <w:kern w:val="0"/>
                <w:sz w:val="24"/>
              </w:rPr>
              <w:t>固体废物</w:t>
            </w:r>
          </w:p>
          <w:p w14:paraId="17817798">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lang w:val="en-US" w:eastAsia="zh-CN"/>
              </w:rPr>
            </w:pPr>
            <w:r>
              <w:rPr>
                <w:rFonts w:hint="eastAsia"/>
                <w:b/>
                <w:bCs/>
                <w:color w:val="auto"/>
                <w:sz w:val="24"/>
                <w:lang w:val="en-US" w:eastAsia="zh-CN"/>
              </w:rPr>
              <w:t>原环评核算污染物产生情况：</w:t>
            </w:r>
          </w:p>
          <w:p w14:paraId="3B3D9260">
            <w:pPr>
              <w:pageBreakBefore/>
              <w:widowControl/>
              <w:numPr>
                <w:ilvl w:val="0"/>
                <w:numId w:val="0"/>
              </w:numPr>
              <w:tabs>
                <w:tab w:val="left" w:pos="0"/>
              </w:tabs>
              <w:spacing w:before="0" w:beforeLines="0" w:line="360" w:lineRule="auto"/>
              <w:ind w:firstLine="480" w:firstLineChars="200"/>
              <w:jc w:val="left"/>
              <w:outlineLvl w:val="2"/>
              <w:rPr>
                <w:rFonts w:hint="eastAsia" w:cs="Times New Roman"/>
                <w:color w:val="auto"/>
                <w:kern w:val="0"/>
                <w:sz w:val="24"/>
                <w:lang w:val="en-US" w:eastAsia="zh-CN"/>
              </w:rPr>
            </w:pPr>
            <w:r>
              <w:rPr>
                <w:rFonts w:hint="eastAsia" w:cs="Times New Roman"/>
                <w:color w:val="auto"/>
                <w:kern w:val="0"/>
                <w:sz w:val="24"/>
                <w:lang w:val="en-US" w:eastAsia="zh-CN"/>
              </w:rPr>
              <w:t>原环评预估现有工程主要固体废物为不合格品及</w:t>
            </w:r>
            <w:r>
              <w:rPr>
                <w:rFonts w:hint="eastAsia" w:ascii="Times New Roman" w:hAnsi="Times New Roman" w:eastAsia="宋体" w:cs="Times New Roman"/>
                <w:color w:val="auto"/>
                <w:kern w:val="0"/>
                <w:sz w:val="24"/>
              </w:rPr>
              <w:t>边角料</w:t>
            </w:r>
            <w:r>
              <w:rPr>
                <w:rFonts w:hint="eastAsia" w:ascii="Times New Roman" w:hAnsi="Times New Roman" w:eastAsia="宋体" w:cs="Times New Roman"/>
                <w:color w:val="auto"/>
                <w:kern w:val="0"/>
                <w:sz w:val="24"/>
                <w:lang w:eastAsia="zh-CN"/>
              </w:rPr>
              <w:t>、</w:t>
            </w:r>
            <w:r>
              <w:rPr>
                <w:rFonts w:hint="eastAsia" w:cs="Times New Roman"/>
                <w:color w:val="auto"/>
                <w:kern w:val="0"/>
                <w:sz w:val="24"/>
                <w:lang w:val="en-US" w:eastAsia="zh-CN"/>
              </w:rPr>
              <w:t>废活性炭和员工生活垃圾等，</w:t>
            </w:r>
            <w:r>
              <w:rPr>
                <w:rFonts w:hint="eastAsia" w:ascii="Times New Roman" w:hAnsi="Times New Roman" w:eastAsia="宋体" w:cs="Times New Roman"/>
                <w:color w:val="auto"/>
                <w:kern w:val="0"/>
                <w:sz w:val="24"/>
                <w:lang w:eastAsia="zh-CN"/>
              </w:rPr>
              <w:t>其中</w:t>
            </w:r>
            <w:r>
              <w:rPr>
                <w:rFonts w:hint="eastAsia" w:ascii="Times New Roman" w:hAnsi="Times New Roman" w:eastAsia="宋体" w:cs="Times New Roman"/>
                <w:color w:val="auto"/>
                <w:kern w:val="0"/>
                <w:sz w:val="24"/>
              </w:rPr>
              <w:t>生产过程中产生的不合格品及边角料</w:t>
            </w:r>
            <w:r>
              <w:rPr>
                <w:rFonts w:hint="eastAsia" w:cs="Times New Roman"/>
                <w:color w:val="auto"/>
                <w:kern w:val="0"/>
                <w:sz w:val="24"/>
                <w:lang w:val="en-US" w:eastAsia="zh-CN"/>
              </w:rPr>
              <w:t>年产生量为15t/a，</w:t>
            </w:r>
            <w:r>
              <w:rPr>
                <w:rFonts w:hint="eastAsia" w:ascii="Times New Roman" w:hAnsi="Times New Roman" w:eastAsia="宋体" w:cs="Times New Roman"/>
                <w:color w:val="auto"/>
                <w:kern w:val="0"/>
                <w:sz w:val="24"/>
              </w:rPr>
              <w:t>暂存于一般固废暂存间</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rPr>
              <w:t>外售综合利用</w:t>
            </w:r>
            <w:r>
              <w:rPr>
                <w:rFonts w:hint="eastAsia" w:cs="Times New Roman"/>
                <w:color w:val="auto"/>
                <w:kern w:val="0"/>
                <w:sz w:val="24"/>
                <w:lang w:val="en-US" w:eastAsia="zh-CN"/>
              </w:rPr>
              <w:t>，员工生活垃圾年产生量为4.3t/a，集中收集后委托当地环卫部门统一处置。废气处理过程中产生废活性炭，年产生量为0.279t/a，暂存于危险废物贮存间，定期委托有资质的单位统一外运处置。</w:t>
            </w:r>
          </w:p>
          <w:p w14:paraId="7BFFEE2B">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sz w:val="24"/>
                <w:lang w:val="en-US" w:eastAsia="zh-CN"/>
              </w:rPr>
            </w:pPr>
            <w:r>
              <w:rPr>
                <w:rFonts w:hint="eastAsia"/>
                <w:b/>
                <w:bCs/>
                <w:color w:val="auto"/>
                <w:sz w:val="24"/>
                <w:lang w:val="en-US" w:eastAsia="zh-CN"/>
              </w:rPr>
              <w:t>现有工程验收污染物生产情况：</w:t>
            </w:r>
          </w:p>
          <w:p w14:paraId="733423E3">
            <w:pPr>
              <w:pageBreakBefore/>
              <w:widowControl/>
              <w:numPr>
                <w:ilvl w:val="0"/>
                <w:numId w:val="0"/>
              </w:numPr>
              <w:tabs>
                <w:tab w:val="left" w:pos="0"/>
              </w:tabs>
              <w:spacing w:before="0" w:beforeLines="0" w:line="360" w:lineRule="auto"/>
              <w:ind w:firstLine="480" w:firstLineChars="200"/>
              <w:jc w:val="left"/>
              <w:outlineLvl w:val="2"/>
              <w:rPr>
                <w:rFonts w:hint="eastAsia" w:cs="Times New Roman"/>
                <w:color w:val="auto"/>
                <w:kern w:val="0"/>
                <w:sz w:val="24"/>
                <w:lang w:eastAsia="zh-CN"/>
              </w:rPr>
            </w:pPr>
            <w:r>
              <w:rPr>
                <w:rFonts w:hint="eastAsia"/>
                <w:color w:val="auto"/>
                <w:kern w:val="0"/>
                <w:sz w:val="24"/>
              </w:rPr>
              <w:t>根</w:t>
            </w:r>
            <w:r>
              <w:rPr>
                <w:color w:val="auto"/>
                <w:kern w:val="0"/>
                <w:sz w:val="24"/>
              </w:rPr>
              <w:t>据《</w:t>
            </w:r>
            <w:r>
              <w:rPr>
                <w:rFonts w:hint="eastAsia"/>
                <w:color w:val="auto"/>
                <w:kern w:val="0"/>
                <w:sz w:val="24"/>
              </w:rPr>
              <w:t>福建铠盾材料科技有限公司年加工特种玻璃6万件、加工塑料密封件600万件项目验收监测报告表</w:t>
            </w:r>
            <w:r>
              <w:rPr>
                <w:color w:val="auto"/>
                <w:kern w:val="0"/>
                <w:sz w:val="24"/>
              </w:rPr>
              <w:t>》</w:t>
            </w:r>
            <w:r>
              <w:rPr>
                <w:rFonts w:hint="eastAsia" w:ascii="Times New Roman" w:hAnsi="Times New Roman" w:eastAsia="宋体" w:cs="Times New Roman"/>
                <w:color w:val="auto"/>
                <w:kern w:val="0"/>
                <w:sz w:val="24"/>
              </w:rPr>
              <w:t>现有工程</w:t>
            </w:r>
            <w:r>
              <w:rPr>
                <w:rFonts w:hint="eastAsia" w:cs="Times New Roman"/>
                <w:color w:val="auto"/>
                <w:kern w:val="0"/>
                <w:sz w:val="24"/>
                <w:lang w:val="en-US" w:eastAsia="zh-CN"/>
              </w:rPr>
              <w:t>主要固体废物为不合格品及</w:t>
            </w:r>
            <w:r>
              <w:rPr>
                <w:rFonts w:hint="eastAsia" w:ascii="Times New Roman" w:hAnsi="Times New Roman" w:eastAsia="宋体" w:cs="Times New Roman"/>
                <w:color w:val="auto"/>
                <w:kern w:val="0"/>
                <w:sz w:val="24"/>
              </w:rPr>
              <w:t>边角料</w:t>
            </w:r>
            <w:r>
              <w:rPr>
                <w:rFonts w:hint="eastAsia" w:cs="Times New Roman"/>
                <w:color w:val="auto"/>
                <w:kern w:val="0"/>
                <w:sz w:val="24"/>
                <w:lang w:eastAsia="zh-CN"/>
              </w:rPr>
              <w:t>、</w:t>
            </w:r>
            <w:r>
              <w:rPr>
                <w:rFonts w:hint="eastAsia" w:cs="Times New Roman"/>
                <w:color w:val="auto"/>
                <w:kern w:val="0"/>
                <w:sz w:val="24"/>
                <w:lang w:val="en-US" w:eastAsia="zh-CN"/>
              </w:rPr>
              <w:t>废活性炭废过滤棉等，其中生产过程中</w:t>
            </w:r>
            <w:r>
              <w:rPr>
                <w:rFonts w:hint="eastAsia" w:ascii="Times New Roman" w:hAnsi="Times New Roman" w:eastAsia="宋体" w:cs="Times New Roman"/>
                <w:color w:val="auto"/>
                <w:kern w:val="0"/>
                <w:sz w:val="24"/>
              </w:rPr>
              <w:t>不合格品及边角料</w:t>
            </w:r>
            <w:r>
              <w:rPr>
                <w:rFonts w:hint="eastAsia" w:cs="Times New Roman"/>
                <w:color w:val="auto"/>
                <w:kern w:val="0"/>
                <w:sz w:val="24"/>
                <w:lang w:val="en-US" w:eastAsia="zh-CN"/>
              </w:rPr>
              <w:t>年产生量为15t/a，</w:t>
            </w:r>
            <w:r>
              <w:rPr>
                <w:rFonts w:hint="eastAsia" w:ascii="Times New Roman" w:hAnsi="Times New Roman" w:eastAsia="宋体" w:cs="Times New Roman"/>
                <w:color w:val="auto"/>
                <w:kern w:val="0"/>
                <w:sz w:val="24"/>
              </w:rPr>
              <w:t>暂存于一般固废暂存间，</w:t>
            </w:r>
            <w:r>
              <w:rPr>
                <w:rFonts w:hint="eastAsia" w:cs="Times New Roman"/>
                <w:color w:val="auto"/>
                <w:kern w:val="0"/>
                <w:sz w:val="24"/>
                <w:lang w:val="en-US" w:eastAsia="zh-CN"/>
              </w:rPr>
              <w:t>由福建钜鸿百纳科技有限公司</w:t>
            </w:r>
            <w:r>
              <w:rPr>
                <w:rFonts w:hint="eastAsia" w:ascii="Times New Roman" w:hAnsi="Times New Roman" w:eastAsia="宋体" w:cs="Times New Roman"/>
                <w:color w:val="auto"/>
                <w:kern w:val="0"/>
                <w:sz w:val="24"/>
              </w:rPr>
              <w:t>委托的福州市德雅环保工程有限公司处置；</w:t>
            </w:r>
            <w:r>
              <w:rPr>
                <w:rFonts w:hint="eastAsia" w:cs="Times New Roman"/>
                <w:color w:val="auto"/>
                <w:kern w:val="0"/>
                <w:sz w:val="24"/>
                <w:lang w:val="en-US" w:eastAsia="zh-CN"/>
              </w:rPr>
              <w:t>现有工程废水处理产生的废过滤棉和废气处理产生的废活性炭，验收期间未产生，预估产生量为废过滤棉约0.1t/a，废活性炭约0.279t/a，企业与</w:t>
            </w:r>
            <w:r>
              <w:rPr>
                <w:rFonts w:hint="eastAsia" w:ascii="Times New Roman" w:hAnsi="Times New Roman" w:eastAsia="宋体" w:cs="Times New Roman"/>
                <w:color w:val="auto"/>
                <w:kern w:val="0"/>
                <w:sz w:val="24"/>
              </w:rPr>
              <w:t>福建深投海峡环保科技有限公司</w:t>
            </w:r>
            <w:r>
              <w:rPr>
                <w:rFonts w:hint="eastAsia" w:cs="Times New Roman"/>
                <w:color w:val="auto"/>
                <w:kern w:val="0"/>
                <w:sz w:val="24"/>
                <w:lang w:val="en-US" w:eastAsia="zh-CN"/>
              </w:rPr>
              <w:t>签订服务合同，待产生后委托</w:t>
            </w:r>
            <w:r>
              <w:rPr>
                <w:rFonts w:hint="eastAsia" w:ascii="Times New Roman" w:hAnsi="Times New Roman" w:eastAsia="宋体" w:cs="Times New Roman"/>
                <w:color w:val="auto"/>
                <w:kern w:val="0"/>
                <w:sz w:val="24"/>
              </w:rPr>
              <w:t>福建深投海峡环保科技有限公司</w:t>
            </w:r>
            <w:r>
              <w:rPr>
                <w:rFonts w:hint="eastAsia" w:cs="Times New Roman"/>
                <w:color w:val="auto"/>
                <w:kern w:val="0"/>
                <w:sz w:val="24"/>
                <w:lang w:val="en-US" w:eastAsia="zh-CN"/>
              </w:rPr>
              <w:t>处置；</w:t>
            </w:r>
            <w:r>
              <w:rPr>
                <w:rFonts w:hint="eastAsia" w:ascii="Times New Roman" w:hAnsi="Times New Roman" w:eastAsia="宋体" w:cs="Times New Roman"/>
                <w:color w:val="auto"/>
                <w:kern w:val="0"/>
                <w:sz w:val="24"/>
              </w:rPr>
              <w:t>生活垃圾</w:t>
            </w:r>
            <w:r>
              <w:rPr>
                <w:rFonts w:hint="eastAsia" w:cs="Times New Roman"/>
                <w:color w:val="auto"/>
                <w:kern w:val="0"/>
                <w:sz w:val="24"/>
                <w:lang w:val="en-US" w:eastAsia="zh-CN"/>
              </w:rPr>
              <w:t>年产生量为4.3t/a，</w:t>
            </w:r>
            <w:r>
              <w:rPr>
                <w:rFonts w:hint="eastAsia" w:ascii="Times New Roman" w:hAnsi="Times New Roman" w:eastAsia="宋体" w:cs="Times New Roman"/>
                <w:color w:val="auto"/>
                <w:kern w:val="0"/>
                <w:sz w:val="24"/>
              </w:rPr>
              <w:t>经收集后暂存三锋汽配生活垃圾站，由三锋汽配委托的生活垃圾处置单位代为处置</w:t>
            </w:r>
            <w:r>
              <w:rPr>
                <w:rFonts w:hint="eastAsia" w:cs="Times New Roman"/>
                <w:color w:val="auto"/>
                <w:kern w:val="0"/>
                <w:sz w:val="24"/>
                <w:lang w:eastAsia="zh-CN"/>
              </w:rPr>
              <w:t>。</w:t>
            </w:r>
          </w:p>
          <w:p w14:paraId="745228A6">
            <w:pPr>
              <w:adjustRightInd w:val="0"/>
              <w:snapToGrid w:val="0"/>
              <w:spacing w:afterLines="0" w:line="360" w:lineRule="auto"/>
              <w:ind w:firstLine="482" w:firstLineChars="200"/>
              <w:rPr>
                <w:rFonts w:hint="eastAsia"/>
                <w:b/>
                <w:bCs/>
                <w:color w:val="auto"/>
                <w:kern w:val="0"/>
                <w:sz w:val="24"/>
                <w:lang w:eastAsia="zh-CN"/>
              </w:rPr>
            </w:pPr>
            <w:r>
              <w:rPr>
                <w:rFonts w:hint="eastAsia"/>
                <w:b/>
                <w:bCs/>
                <w:color w:val="auto"/>
                <w:kern w:val="0"/>
                <w:sz w:val="24"/>
                <w:lang w:eastAsia="zh-CN"/>
              </w:rPr>
              <w:t>现有工程污染物排放情况</w:t>
            </w:r>
          </w:p>
          <w:p w14:paraId="29DC0815">
            <w:pPr>
              <w:pStyle w:val="165"/>
              <w:spacing w:line="240" w:lineRule="auto"/>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表2-21 现有工程污染物排放一览表</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66"/>
              <w:gridCol w:w="1396"/>
              <w:gridCol w:w="2011"/>
              <w:gridCol w:w="2706"/>
            </w:tblGrid>
            <w:tr w14:paraId="18CC4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273" w:type="pct"/>
                  <w:gridSpan w:val="3"/>
                  <w:tcBorders>
                    <w:tl2br w:val="nil"/>
                    <w:tr2bl w:val="nil"/>
                  </w:tcBorders>
                  <w:noWrap w:val="0"/>
                  <w:vAlign w:val="center"/>
                </w:tcPr>
                <w:p w14:paraId="2853959C">
                  <w:pPr>
                    <w:adjustRightInd w:val="0"/>
                    <w:snapToGrid w:val="0"/>
                    <w:spacing w:afterLines="0" w:line="240" w:lineRule="auto"/>
                    <w:jc w:val="center"/>
                    <w:rPr>
                      <w:rFonts w:hint="default"/>
                      <w:b/>
                      <w:bCs/>
                      <w:color w:val="auto"/>
                      <w:kern w:val="0"/>
                      <w:sz w:val="18"/>
                      <w:szCs w:val="18"/>
                      <w:highlight w:val="none"/>
                      <w:vertAlign w:val="baseline"/>
                      <w:lang w:val="en-US" w:eastAsia="zh-CN"/>
                    </w:rPr>
                  </w:pPr>
                  <w:r>
                    <w:rPr>
                      <w:rFonts w:hint="eastAsia"/>
                      <w:b/>
                      <w:bCs/>
                      <w:color w:val="auto"/>
                      <w:kern w:val="0"/>
                      <w:sz w:val="18"/>
                      <w:szCs w:val="18"/>
                      <w:highlight w:val="none"/>
                      <w:vertAlign w:val="baseline"/>
                      <w:lang w:val="en-US" w:eastAsia="zh-CN"/>
                    </w:rPr>
                    <w:t>类别</w:t>
                  </w:r>
                </w:p>
              </w:tc>
              <w:tc>
                <w:tcPr>
                  <w:tcW w:w="1162" w:type="pct"/>
                  <w:tcBorders>
                    <w:tl2br w:val="nil"/>
                    <w:tr2bl w:val="nil"/>
                  </w:tcBorders>
                  <w:noWrap w:val="0"/>
                  <w:vAlign w:val="center"/>
                </w:tcPr>
                <w:p w14:paraId="10AC05E1">
                  <w:pPr>
                    <w:adjustRightInd w:val="0"/>
                    <w:snapToGrid w:val="0"/>
                    <w:spacing w:afterLines="0" w:line="240" w:lineRule="auto"/>
                    <w:jc w:val="center"/>
                    <w:rPr>
                      <w:rFonts w:hint="default"/>
                      <w:b/>
                      <w:bCs/>
                      <w:color w:val="auto"/>
                      <w:kern w:val="0"/>
                      <w:sz w:val="18"/>
                      <w:szCs w:val="18"/>
                      <w:highlight w:val="none"/>
                      <w:vertAlign w:val="baseline"/>
                      <w:lang w:val="en-US" w:eastAsia="zh-CN"/>
                    </w:rPr>
                  </w:pPr>
                  <w:r>
                    <w:rPr>
                      <w:rFonts w:hint="eastAsia"/>
                      <w:b/>
                      <w:bCs/>
                      <w:color w:val="auto"/>
                      <w:kern w:val="0"/>
                      <w:sz w:val="18"/>
                      <w:szCs w:val="18"/>
                      <w:highlight w:val="none"/>
                      <w:vertAlign w:val="baseline"/>
                      <w:lang w:val="en-US" w:eastAsia="zh-CN"/>
                    </w:rPr>
                    <w:t>环评核算排放量</w:t>
                  </w:r>
                </w:p>
              </w:tc>
              <w:tc>
                <w:tcPr>
                  <w:tcW w:w="1564" w:type="pct"/>
                  <w:tcBorders>
                    <w:tl2br w:val="nil"/>
                    <w:tr2bl w:val="nil"/>
                  </w:tcBorders>
                  <w:noWrap w:val="0"/>
                  <w:vAlign w:val="center"/>
                </w:tcPr>
                <w:p w14:paraId="003ED77F">
                  <w:pPr>
                    <w:adjustRightInd w:val="0"/>
                    <w:snapToGrid w:val="0"/>
                    <w:spacing w:afterLines="0" w:line="240" w:lineRule="auto"/>
                    <w:jc w:val="center"/>
                    <w:rPr>
                      <w:rFonts w:hint="eastAsia"/>
                      <w:b/>
                      <w:bCs/>
                      <w:color w:val="auto"/>
                      <w:kern w:val="0"/>
                      <w:sz w:val="18"/>
                      <w:szCs w:val="18"/>
                      <w:highlight w:val="none"/>
                      <w:vertAlign w:val="baseline"/>
                      <w:lang w:val="en-US" w:eastAsia="zh-CN"/>
                    </w:rPr>
                  </w:pPr>
                  <w:r>
                    <w:rPr>
                      <w:rFonts w:hint="eastAsia"/>
                      <w:b/>
                      <w:bCs/>
                      <w:color w:val="auto"/>
                      <w:kern w:val="0"/>
                      <w:sz w:val="18"/>
                      <w:szCs w:val="18"/>
                      <w:highlight w:val="none"/>
                      <w:vertAlign w:val="baseline"/>
                      <w:lang w:val="en-US" w:eastAsia="zh-CN"/>
                    </w:rPr>
                    <w:t>现有工程验收排放量</w:t>
                  </w:r>
                </w:p>
              </w:tc>
            </w:tr>
            <w:tr w14:paraId="09EC4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tcBorders>
                    <w:tl2br w:val="nil"/>
                    <w:tr2bl w:val="nil"/>
                  </w:tcBorders>
                  <w:noWrap w:val="0"/>
                  <w:vAlign w:val="center"/>
                </w:tcPr>
                <w:p w14:paraId="47EE7883">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废气</w:t>
                  </w:r>
                </w:p>
              </w:tc>
              <w:tc>
                <w:tcPr>
                  <w:tcW w:w="1770" w:type="pct"/>
                  <w:gridSpan w:val="2"/>
                  <w:tcBorders>
                    <w:tl2br w:val="nil"/>
                    <w:tr2bl w:val="nil"/>
                  </w:tcBorders>
                  <w:noWrap w:val="0"/>
                  <w:vAlign w:val="center"/>
                </w:tcPr>
                <w:p w14:paraId="67CE4E43">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非甲烷总烃</w:t>
                  </w:r>
                </w:p>
              </w:tc>
              <w:tc>
                <w:tcPr>
                  <w:tcW w:w="1162" w:type="pct"/>
                  <w:tcBorders>
                    <w:tl2br w:val="nil"/>
                    <w:tr2bl w:val="nil"/>
                  </w:tcBorders>
                  <w:noWrap w:val="0"/>
                  <w:vAlign w:val="center"/>
                </w:tcPr>
                <w:p w14:paraId="72995FD9">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lang w:val="en-US" w:eastAsia="zh-CN"/>
                    </w:rPr>
                    <w:t>0.07</w:t>
                  </w:r>
                  <w:r>
                    <w:rPr>
                      <w:rFonts w:hint="default" w:ascii="Times New Roman" w:hAnsi="Times New Roman" w:eastAsia="宋体" w:cs="Times New Roman"/>
                      <w:b w:val="0"/>
                      <w:bCs w:val="0"/>
                      <w:color w:val="auto"/>
                      <w:sz w:val="18"/>
                      <w:szCs w:val="18"/>
                      <w:highlight w:val="none"/>
                      <w:lang w:val="en-US" w:eastAsia="zh-CN"/>
                    </w:rPr>
                    <w:t>t/a</w:t>
                  </w:r>
                </w:p>
              </w:tc>
              <w:tc>
                <w:tcPr>
                  <w:tcW w:w="1564" w:type="pct"/>
                  <w:tcBorders>
                    <w:tl2br w:val="nil"/>
                    <w:tr2bl w:val="nil"/>
                  </w:tcBorders>
                  <w:noWrap w:val="0"/>
                  <w:vAlign w:val="center"/>
                </w:tcPr>
                <w:p w14:paraId="2C87FE1D">
                  <w:pPr>
                    <w:adjustRightInd w:val="0"/>
                    <w:snapToGrid w:val="0"/>
                    <w:spacing w:afterLines="0" w:line="240" w:lineRule="auto"/>
                    <w:jc w:val="center"/>
                    <w:rPr>
                      <w:rFonts w:hint="eastAsia" w:ascii="Times New Roman" w:hAnsi="Times New Roman" w:cs="Times New Roman"/>
                      <w:b w:val="0"/>
                      <w:bCs w:val="0"/>
                      <w:color w:val="auto"/>
                      <w:kern w:val="0"/>
                      <w:sz w:val="18"/>
                      <w:szCs w:val="18"/>
                      <w:highlight w:val="none"/>
                      <w:vertAlign w:val="baseline"/>
                      <w:lang w:val="en-US" w:eastAsia="zh-CN"/>
                    </w:rPr>
                  </w:pPr>
                  <w:r>
                    <w:rPr>
                      <w:rFonts w:hint="eastAsia" w:ascii="Times New Roman" w:hAnsi="Times New Roman" w:cs="Times New Roman"/>
                      <w:b w:val="0"/>
                      <w:bCs w:val="0"/>
                      <w:color w:val="auto"/>
                      <w:kern w:val="0"/>
                      <w:sz w:val="18"/>
                      <w:szCs w:val="18"/>
                      <w:highlight w:val="none"/>
                      <w:vertAlign w:val="baseline"/>
                      <w:lang w:val="en-US" w:eastAsia="zh-CN"/>
                    </w:rPr>
                    <w:t>0.0588</w:t>
                  </w:r>
                  <w:r>
                    <w:rPr>
                      <w:rFonts w:hint="default" w:ascii="Times New Roman" w:hAnsi="Times New Roman" w:eastAsia="宋体" w:cs="Times New Roman"/>
                      <w:b w:val="0"/>
                      <w:bCs w:val="0"/>
                      <w:color w:val="auto"/>
                      <w:sz w:val="18"/>
                      <w:szCs w:val="18"/>
                      <w:highlight w:val="none"/>
                      <w:lang w:val="en-US" w:eastAsia="zh-CN"/>
                    </w:rPr>
                    <w:t>t/a</w:t>
                  </w:r>
                </w:p>
              </w:tc>
            </w:tr>
            <w:tr w14:paraId="2411B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vMerge w:val="restart"/>
                  <w:tcBorders>
                    <w:tl2br w:val="nil"/>
                    <w:tr2bl w:val="nil"/>
                  </w:tcBorders>
                  <w:noWrap w:val="0"/>
                  <w:vAlign w:val="center"/>
                </w:tcPr>
                <w:p w14:paraId="775042AC">
                  <w:pPr>
                    <w:adjustRightInd w:val="0"/>
                    <w:snapToGrid w:val="0"/>
                    <w:spacing w:afterLines="0" w:line="240" w:lineRule="auto"/>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废水</w:t>
                  </w:r>
                </w:p>
              </w:tc>
              <w:tc>
                <w:tcPr>
                  <w:tcW w:w="963" w:type="pct"/>
                  <w:vMerge w:val="restart"/>
                  <w:tcBorders>
                    <w:tl2br w:val="nil"/>
                    <w:tr2bl w:val="nil"/>
                  </w:tcBorders>
                  <w:noWrap w:val="0"/>
                  <w:vAlign w:val="center"/>
                </w:tcPr>
                <w:p w14:paraId="222716DD">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eastAsia"/>
                      <w:color w:val="auto"/>
                      <w:sz w:val="18"/>
                      <w:szCs w:val="18"/>
                      <w:highlight w:val="none"/>
                      <w:lang w:val="en-US" w:eastAsia="zh-CN"/>
                    </w:rPr>
                    <w:t>清洗废水</w:t>
                  </w:r>
                </w:p>
              </w:tc>
              <w:tc>
                <w:tcPr>
                  <w:tcW w:w="807" w:type="pct"/>
                  <w:tcBorders>
                    <w:tl2br w:val="nil"/>
                    <w:tr2bl w:val="nil"/>
                  </w:tcBorders>
                  <w:noWrap w:val="0"/>
                  <w:vAlign w:val="center"/>
                </w:tcPr>
                <w:p w14:paraId="7777A817">
                  <w:pPr>
                    <w:adjustRightInd w:val="0"/>
                    <w:snapToGrid w:val="0"/>
                    <w:spacing w:afterLines="0"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COD</w:t>
                  </w:r>
                </w:p>
              </w:tc>
              <w:tc>
                <w:tcPr>
                  <w:tcW w:w="1162" w:type="pct"/>
                  <w:tcBorders>
                    <w:tl2br w:val="nil"/>
                    <w:tr2bl w:val="nil"/>
                  </w:tcBorders>
                  <w:noWrap w:val="0"/>
                  <w:vAlign w:val="center"/>
                </w:tcPr>
                <w:p w14:paraId="72FA921E">
                  <w:pPr>
                    <w:adjustRightInd w:val="0"/>
                    <w:snapToGrid w:val="0"/>
                    <w:spacing w:afterLines="0" w:line="240" w:lineRule="auto"/>
                    <w:jc w:val="center"/>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0.008</w:t>
                  </w:r>
                  <w:r>
                    <w:rPr>
                      <w:rFonts w:hint="default" w:ascii="Times New Roman" w:hAnsi="Times New Roman" w:eastAsia="宋体" w:cs="Times New Roman"/>
                      <w:b w:val="0"/>
                      <w:bCs w:val="0"/>
                      <w:color w:val="auto"/>
                      <w:sz w:val="18"/>
                      <w:szCs w:val="18"/>
                      <w:highlight w:val="none"/>
                      <w:lang w:val="en-US" w:eastAsia="zh-CN"/>
                    </w:rPr>
                    <w:t>t/a</w:t>
                  </w:r>
                </w:p>
              </w:tc>
              <w:tc>
                <w:tcPr>
                  <w:tcW w:w="1564" w:type="pct"/>
                  <w:tcBorders>
                    <w:tl2br w:val="nil"/>
                    <w:tr2bl w:val="nil"/>
                  </w:tcBorders>
                  <w:noWrap w:val="0"/>
                  <w:vAlign w:val="center"/>
                </w:tcPr>
                <w:p w14:paraId="38F849F6">
                  <w:pPr>
                    <w:adjustRightInd w:val="0"/>
                    <w:snapToGrid w:val="0"/>
                    <w:spacing w:afterLines="0" w:line="240" w:lineRule="auto"/>
                    <w:jc w:val="center"/>
                    <w:rPr>
                      <w:rFonts w:hint="eastAsia" w:ascii="Times New Roman" w:hAnsi="Times New Roman" w:cs="Times New Roman"/>
                      <w:b w:val="0"/>
                      <w:bCs w:val="0"/>
                      <w:color w:val="auto"/>
                      <w:kern w:val="0"/>
                      <w:sz w:val="18"/>
                      <w:szCs w:val="18"/>
                      <w:highlight w:val="none"/>
                      <w:vertAlign w:val="baseline"/>
                      <w:lang w:val="en-US" w:eastAsia="zh-CN"/>
                    </w:rPr>
                  </w:pPr>
                  <w:r>
                    <w:rPr>
                      <w:rFonts w:hint="eastAsia" w:ascii="Times New Roman" w:hAnsi="Times New Roman" w:cs="Times New Roman"/>
                      <w:b w:val="0"/>
                      <w:bCs w:val="0"/>
                      <w:color w:val="auto"/>
                      <w:kern w:val="0"/>
                      <w:sz w:val="18"/>
                      <w:szCs w:val="18"/>
                      <w:highlight w:val="none"/>
                      <w:vertAlign w:val="baseline"/>
                      <w:lang w:val="en-US" w:eastAsia="zh-CN"/>
                    </w:rPr>
                    <w:t>0.00</w:t>
                  </w:r>
                  <w:r>
                    <w:rPr>
                      <w:rFonts w:hint="eastAsia" w:cs="Times New Roman"/>
                      <w:b w:val="0"/>
                      <w:bCs w:val="0"/>
                      <w:color w:val="auto"/>
                      <w:kern w:val="0"/>
                      <w:sz w:val="18"/>
                      <w:szCs w:val="18"/>
                      <w:highlight w:val="none"/>
                      <w:vertAlign w:val="baseline"/>
                      <w:lang w:val="en-US" w:eastAsia="zh-CN"/>
                    </w:rPr>
                    <w:t>36</w:t>
                  </w:r>
                  <w:r>
                    <w:rPr>
                      <w:rFonts w:hint="default" w:ascii="Times New Roman" w:hAnsi="Times New Roman" w:eastAsia="宋体" w:cs="Times New Roman"/>
                      <w:b w:val="0"/>
                      <w:bCs w:val="0"/>
                      <w:color w:val="auto"/>
                      <w:sz w:val="18"/>
                      <w:szCs w:val="18"/>
                      <w:highlight w:val="none"/>
                      <w:lang w:val="en-US" w:eastAsia="zh-CN"/>
                    </w:rPr>
                    <w:t>t/a</w:t>
                  </w:r>
                </w:p>
              </w:tc>
            </w:tr>
            <w:tr w14:paraId="4DB25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vMerge w:val="continue"/>
                  <w:tcBorders>
                    <w:tl2br w:val="nil"/>
                    <w:tr2bl w:val="nil"/>
                  </w:tcBorders>
                  <w:noWrap w:val="0"/>
                  <w:vAlign w:val="center"/>
                </w:tcPr>
                <w:p w14:paraId="7B55CF9D">
                  <w:pPr>
                    <w:adjustRightInd w:val="0"/>
                    <w:snapToGrid w:val="0"/>
                    <w:spacing w:afterLines="0" w:line="240" w:lineRule="auto"/>
                    <w:jc w:val="center"/>
                    <w:rPr>
                      <w:rFonts w:hint="eastAsia"/>
                      <w:color w:val="auto"/>
                      <w:sz w:val="18"/>
                      <w:szCs w:val="18"/>
                      <w:highlight w:val="none"/>
                      <w:lang w:val="en-US" w:eastAsia="zh-CN"/>
                    </w:rPr>
                  </w:pPr>
                </w:p>
              </w:tc>
              <w:tc>
                <w:tcPr>
                  <w:tcW w:w="963" w:type="pct"/>
                  <w:vMerge w:val="continue"/>
                  <w:tcBorders>
                    <w:tl2br w:val="nil"/>
                    <w:tr2bl w:val="nil"/>
                  </w:tcBorders>
                  <w:noWrap w:val="0"/>
                  <w:vAlign w:val="center"/>
                </w:tcPr>
                <w:p w14:paraId="321E74CC">
                  <w:pPr>
                    <w:adjustRightInd w:val="0"/>
                    <w:snapToGrid w:val="0"/>
                    <w:spacing w:afterLines="0" w:line="240" w:lineRule="auto"/>
                    <w:jc w:val="center"/>
                    <w:rPr>
                      <w:rFonts w:hint="eastAsia"/>
                      <w:color w:val="auto"/>
                      <w:sz w:val="18"/>
                      <w:szCs w:val="18"/>
                      <w:highlight w:val="none"/>
                      <w:lang w:val="en-US" w:eastAsia="zh-CN"/>
                    </w:rPr>
                  </w:pPr>
                </w:p>
              </w:tc>
              <w:tc>
                <w:tcPr>
                  <w:tcW w:w="807" w:type="pct"/>
                  <w:tcBorders>
                    <w:tl2br w:val="nil"/>
                    <w:tr2bl w:val="nil"/>
                  </w:tcBorders>
                  <w:noWrap w:val="0"/>
                  <w:vAlign w:val="center"/>
                </w:tcPr>
                <w:p w14:paraId="34F90EE7">
                  <w:pPr>
                    <w:adjustRightInd w:val="0"/>
                    <w:snapToGrid w:val="0"/>
                    <w:spacing w:afterLines="0"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氨氮</w:t>
                  </w:r>
                </w:p>
              </w:tc>
              <w:tc>
                <w:tcPr>
                  <w:tcW w:w="1162" w:type="pct"/>
                  <w:tcBorders>
                    <w:tl2br w:val="nil"/>
                    <w:tr2bl w:val="nil"/>
                  </w:tcBorders>
                  <w:noWrap w:val="0"/>
                  <w:vAlign w:val="center"/>
                </w:tcPr>
                <w:p w14:paraId="5BFBD9BA">
                  <w:pPr>
                    <w:adjustRightInd w:val="0"/>
                    <w:snapToGrid w:val="0"/>
                    <w:spacing w:afterLines="0" w:line="240" w:lineRule="auto"/>
                    <w:jc w:val="center"/>
                    <w:rPr>
                      <w:rFonts w:hint="default"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0.0008</w:t>
                  </w:r>
                  <w:r>
                    <w:rPr>
                      <w:rFonts w:hint="default" w:ascii="Times New Roman" w:hAnsi="Times New Roman" w:eastAsia="宋体" w:cs="Times New Roman"/>
                      <w:b w:val="0"/>
                      <w:bCs w:val="0"/>
                      <w:color w:val="auto"/>
                      <w:sz w:val="18"/>
                      <w:szCs w:val="18"/>
                      <w:highlight w:val="none"/>
                      <w:lang w:val="en-US" w:eastAsia="zh-CN"/>
                    </w:rPr>
                    <w:t>t/a</w:t>
                  </w:r>
                </w:p>
              </w:tc>
              <w:tc>
                <w:tcPr>
                  <w:tcW w:w="1564" w:type="pct"/>
                  <w:tcBorders>
                    <w:tl2br w:val="nil"/>
                    <w:tr2bl w:val="nil"/>
                  </w:tcBorders>
                  <w:noWrap w:val="0"/>
                  <w:vAlign w:val="center"/>
                </w:tcPr>
                <w:p w14:paraId="58580873">
                  <w:pPr>
                    <w:adjustRightInd w:val="0"/>
                    <w:snapToGrid w:val="0"/>
                    <w:spacing w:afterLines="0" w:line="240" w:lineRule="auto"/>
                    <w:jc w:val="center"/>
                    <w:rPr>
                      <w:rFonts w:hint="eastAsia"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0.0001</w:t>
                  </w:r>
                  <w:r>
                    <w:rPr>
                      <w:rFonts w:hint="default" w:ascii="Times New Roman" w:hAnsi="Times New Roman" w:eastAsia="宋体" w:cs="Times New Roman"/>
                      <w:b w:val="0"/>
                      <w:bCs w:val="0"/>
                      <w:color w:val="auto"/>
                      <w:sz w:val="18"/>
                      <w:szCs w:val="18"/>
                      <w:highlight w:val="none"/>
                      <w:lang w:val="en-US" w:eastAsia="zh-CN"/>
                    </w:rPr>
                    <w:t>t/a</w:t>
                  </w:r>
                </w:p>
              </w:tc>
            </w:tr>
            <w:tr w14:paraId="603ED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vMerge w:val="restart"/>
                  <w:tcBorders>
                    <w:tl2br w:val="nil"/>
                    <w:tr2bl w:val="nil"/>
                  </w:tcBorders>
                  <w:noWrap w:val="0"/>
                  <w:vAlign w:val="center"/>
                </w:tcPr>
                <w:p w14:paraId="3B79CD71">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固废</w:t>
                  </w:r>
                </w:p>
              </w:tc>
              <w:tc>
                <w:tcPr>
                  <w:tcW w:w="1770" w:type="pct"/>
                  <w:gridSpan w:val="2"/>
                  <w:tcBorders>
                    <w:tl2br w:val="nil"/>
                    <w:tr2bl w:val="nil"/>
                  </w:tcBorders>
                  <w:noWrap w:val="0"/>
                  <w:vAlign w:val="center"/>
                </w:tcPr>
                <w:p w14:paraId="13287547">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一般工业固体废物（产生量）</w:t>
                  </w:r>
                </w:p>
              </w:tc>
              <w:tc>
                <w:tcPr>
                  <w:tcW w:w="1162" w:type="pct"/>
                  <w:tcBorders>
                    <w:tl2br w:val="nil"/>
                    <w:tr2bl w:val="nil"/>
                  </w:tcBorders>
                  <w:noWrap w:val="0"/>
                  <w:vAlign w:val="center"/>
                </w:tcPr>
                <w:p w14:paraId="7188694C">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15</w:t>
                  </w:r>
                  <w:r>
                    <w:rPr>
                      <w:rFonts w:hint="default" w:ascii="Times New Roman" w:hAnsi="Times New Roman" w:eastAsia="宋体" w:cs="Times New Roman"/>
                      <w:b w:val="0"/>
                      <w:bCs w:val="0"/>
                      <w:caps w:val="0"/>
                      <w:smallCaps w:val="0"/>
                      <w:color w:val="auto"/>
                      <w:sz w:val="18"/>
                      <w:szCs w:val="18"/>
                      <w:highlight w:val="none"/>
                      <w:lang w:val="en-US" w:eastAsia="zh-CN"/>
                    </w:rPr>
                    <w:t>t/a</w:t>
                  </w:r>
                </w:p>
              </w:tc>
              <w:tc>
                <w:tcPr>
                  <w:tcW w:w="1564" w:type="pct"/>
                  <w:tcBorders>
                    <w:tl2br w:val="nil"/>
                    <w:tr2bl w:val="nil"/>
                  </w:tcBorders>
                  <w:noWrap w:val="0"/>
                  <w:vAlign w:val="center"/>
                </w:tcPr>
                <w:p w14:paraId="3B96E2A9">
                  <w:pPr>
                    <w:adjustRightInd w:val="0"/>
                    <w:snapToGrid w:val="0"/>
                    <w:spacing w:afterLines="0" w:line="240" w:lineRule="auto"/>
                    <w:jc w:val="center"/>
                    <w:rPr>
                      <w:rFonts w:hint="eastAsia"/>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15</w:t>
                  </w:r>
                  <w:r>
                    <w:rPr>
                      <w:rFonts w:hint="default" w:ascii="Times New Roman" w:hAnsi="Times New Roman" w:eastAsia="宋体" w:cs="Times New Roman"/>
                      <w:b w:val="0"/>
                      <w:bCs w:val="0"/>
                      <w:caps w:val="0"/>
                      <w:smallCaps w:val="0"/>
                      <w:color w:val="auto"/>
                      <w:sz w:val="18"/>
                      <w:szCs w:val="18"/>
                      <w:highlight w:val="none"/>
                      <w:lang w:val="en-US" w:eastAsia="zh-CN"/>
                    </w:rPr>
                    <w:t>t/a</w:t>
                  </w:r>
                </w:p>
              </w:tc>
            </w:tr>
            <w:tr w14:paraId="7476B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vMerge w:val="continue"/>
                  <w:tcBorders>
                    <w:tl2br w:val="nil"/>
                    <w:tr2bl w:val="nil"/>
                  </w:tcBorders>
                  <w:noWrap w:val="0"/>
                  <w:vAlign w:val="center"/>
                </w:tcPr>
                <w:p w14:paraId="577720D5">
                  <w:pPr>
                    <w:adjustRightInd w:val="0"/>
                    <w:snapToGrid w:val="0"/>
                    <w:spacing w:afterLines="0" w:line="240" w:lineRule="auto"/>
                    <w:jc w:val="center"/>
                    <w:rPr>
                      <w:rFonts w:hint="eastAsia"/>
                      <w:b/>
                      <w:bCs/>
                      <w:color w:val="auto"/>
                      <w:kern w:val="0"/>
                      <w:sz w:val="18"/>
                      <w:szCs w:val="18"/>
                      <w:highlight w:val="none"/>
                      <w:vertAlign w:val="baseline"/>
                      <w:lang w:val="en-US" w:eastAsia="zh-CN"/>
                    </w:rPr>
                  </w:pPr>
                </w:p>
              </w:tc>
              <w:tc>
                <w:tcPr>
                  <w:tcW w:w="1770" w:type="pct"/>
                  <w:gridSpan w:val="2"/>
                  <w:tcBorders>
                    <w:tl2br w:val="nil"/>
                    <w:tr2bl w:val="nil"/>
                  </w:tcBorders>
                  <w:noWrap w:val="0"/>
                  <w:vAlign w:val="center"/>
                </w:tcPr>
                <w:p w14:paraId="701A72F7">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危险废物（产生量）</w:t>
                  </w:r>
                </w:p>
              </w:tc>
              <w:tc>
                <w:tcPr>
                  <w:tcW w:w="1162" w:type="pct"/>
                  <w:tcBorders>
                    <w:tl2br w:val="nil"/>
                    <w:tr2bl w:val="nil"/>
                  </w:tcBorders>
                  <w:noWrap w:val="0"/>
                  <w:vAlign w:val="center"/>
                </w:tcPr>
                <w:p w14:paraId="57EADB95">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0.279</w:t>
                  </w:r>
                  <w:r>
                    <w:rPr>
                      <w:rFonts w:hint="default" w:ascii="Times New Roman" w:hAnsi="Times New Roman" w:eastAsia="宋体" w:cs="Times New Roman"/>
                      <w:b w:val="0"/>
                      <w:bCs w:val="0"/>
                      <w:caps w:val="0"/>
                      <w:smallCaps w:val="0"/>
                      <w:color w:val="auto"/>
                      <w:sz w:val="18"/>
                      <w:szCs w:val="18"/>
                      <w:highlight w:val="none"/>
                      <w:lang w:val="en-US" w:eastAsia="zh-CN"/>
                    </w:rPr>
                    <w:t>t/a</w:t>
                  </w:r>
                </w:p>
              </w:tc>
              <w:tc>
                <w:tcPr>
                  <w:tcW w:w="1564" w:type="pct"/>
                  <w:tcBorders>
                    <w:tl2br w:val="nil"/>
                    <w:tr2bl w:val="nil"/>
                  </w:tcBorders>
                  <w:noWrap w:val="0"/>
                  <w:vAlign w:val="center"/>
                </w:tcPr>
                <w:p w14:paraId="1A7EB13A">
                  <w:pPr>
                    <w:adjustRightInd w:val="0"/>
                    <w:snapToGrid w:val="0"/>
                    <w:spacing w:afterLines="0" w:line="240" w:lineRule="auto"/>
                    <w:jc w:val="center"/>
                    <w:rPr>
                      <w:rFonts w:hint="eastAsia"/>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0.379</w:t>
                  </w:r>
                  <w:r>
                    <w:rPr>
                      <w:rFonts w:hint="default" w:ascii="Times New Roman" w:hAnsi="Times New Roman" w:eastAsia="宋体" w:cs="Times New Roman"/>
                      <w:b w:val="0"/>
                      <w:bCs w:val="0"/>
                      <w:caps w:val="0"/>
                      <w:smallCaps w:val="0"/>
                      <w:color w:val="auto"/>
                      <w:sz w:val="18"/>
                      <w:szCs w:val="18"/>
                      <w:highlight w:val="none"/>
                      <w:lang w:val="en-US" w:eastAsia="zh-CN"/>
                    </w:rPr>
                    <w:t>t/a</w:t>
                  </w:r>
                  <w:r>
                    <w:rPr>
                      <w:rFonts w:hint="eastAsia" w:cs="Times New Roman"/>
                      <w:b w:val="0"/>
                      <w:bCs w:val="0"/>
                      <w:caps w:val="0"/>
                      <w:smallCaps w:val="0"/>
                      <w:color w:val="auto"/>
                      <w:sz w:val="18"/>
                      <w:szCs w:val="18"/>
                      <w:highlight w:val="none"/>
                      <w:lang w:val="en-US" w:eastAsia="zh-CN"/>
                    </w:rPr>
                    <w:t>（增加废过滤棉约0.1t/a）</w:t>
                  </w:r>
                </w:p>
              </w:tc>
            </w:tr>
            <w:tr w14:paraId="2C955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2" w:type="pct"/>
                  <w:vMerge w:val="continue"/>
                  <w:tcBorders>
                    <w:tl2br w:val="nil"/>
                    <w:tr2bl w:val="nil"/>
                  </w:tcBorders>
                  <w:noWrap w:val="0"/>
                  <w:vAlign w:val="center"/>
                </w:tcPr>
                <w:p w14:paraId="3C5AA06F">
                  <w:pPr>
                    <w:adjustRightInd w:val="0"/>
                    <w:snapToGrid w:val="0"/>
                    <w:spacing w:afterLines="0" w:line="240" w:lineRule="auto"/>
                    <w:jc w:val="center"/>
                    <w:rPr>
                      <w:rFonts w:hint="eastAsia"/>
                      <w:b/>
                      <w:bCs/>
                      <w:color w:val="auto"/>
                      <w:kern w:val="0"/>
                      <w:sz w:val="18"/>
                      <w:szCs w:val="18"/>
                      <w:highlight w:val="none"/>
                      <w:vertAlign w:val="baseline"/>
                      <w:lang w:val="en-US" w:eastAsia="zh-CN"/>
                    </w:rPr>
                  </w:pPr>
                </w:p>
              </w:tc>
              <w:tc>
                <w:tcPr>
                  <w:tcW w:w="1770" w:type="pct"/>
                  <w:gridSpan w:val="2"/>
                  <w:tcBorders>
                    <w:tl2br w:val="nil"/>
                    <w:tr2bl w:val="nil"/>
                  </w:tcBorders>
                  <w:noWrap w:val="0"/>
                  <w:vAlign w:val="center"/>
                </w:tcPr>
                <w:p w14:paraId="0D7C60DF">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生活垃圾（产生量）</w:t>
                  </w:r>
                </w:p>
              </w:tc>
              <w:tc>
                <w:tcPr>
                  <w:tcW w:w="1162" w:type="pct"/>
                  <w:tcBorders>
                    <w:tl2br w:val="nil"/>
                    <w:tr2bl w:val="nil"/>
                  </w:tcBorders>
                  <w:noWrap w:val="0"/>
                  <w:vAlign w:val="center"/>
                </w:tcPr>
                <w:p w14:paraId="10AD88AB">
                  <w:pPr>
                    <w:adjustRightInd w:val="0"/>
                    <w:snapToGrid w:val="0"/>
                    <w:spacing w:afterLines="0" w:line="240" w:lineRule="auto"/>
                    <w:jc w:val="center"/>
                    <w:rPr>
                      <w:rFonts w:hint="default"/>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4.3</w:t>
                  </w:r>
                  <w:r>
                    <w:rPr>
                      <w:rFonts w:hint="default" w:ascii="Times New Roman" w:hAnsi="Times New Roman" w:eastAsia="宋体" w:cs="Times New Roman"/>
                      <w:b w:val="0"/>
                      <w:bCs w:val="0"/>
                      <w:caps w:val="0"/>
                      <w:smallCaps w:val="0"/>
                      <w:color w:val="auto"/>
                      <w:sz w:val="18"/>
                      <w:szCs w:val="18"/>
                      <w:highlight w:val="none"/>
                      <w:lang w:val="en-US" w:eastAsia="zh-CN"/>
                    </w:rPr>
                    <w:t>t/a</w:t>
                  </w:r>
                </w:p>
              </w:tc>
              <w:tc>
                <w:tcPr>
                  <w:tcW w:w="1564" w:type="pct"/>
                  <w:tcBorders>
                    <w:tl2br w:val="nil"/>
                    <w:tr2bl w:val="nil"/>
                  </w:tcBorders>
                  <w:noWrap w:val="0"/>
                  <w:vAlign w:val="center"/>
                </w:tcPr>
                <w:p w14:paraId="66AF1837">
                  <w:pPr>
                    <w:adjustRightInd w:val="0"/>
                    <w:snapToGrid w:val="0"/>
                    <w:spacing w:afterLines="0" w:line="240" w:lineRule="auto"/>
                    <w:jc w:val="center"/>
                    <w:rPr>
                      <w:rFonts w:hint="eastAsia"/>
                      <w:b w:val="0"/>
                      <w:bCs w:val="0"/>
                      <w:color w:val="auto"/>
                      <w:kern w:val="0"/>
                      <w:sz w:val="18"/>
                      <w:szCs w:val="18"/>
                      <w:highlight w:val="none"/>
                      <w:vertAlign w:val="baseline"/>
                      <w:lang w:val="en-US" w:eastAsia="zh-CN"/>
                    </w:rPr>
                  </w:pPr>
                  <w:r>
                    <w:rPr>
                      <w:rFonts w:hint="eastAsia"/>
                      <w:b w:val="0"/>
                      <w:bCs w:val="0"/>
                      <w:color w:val="auto"/>
                      <w:kern w:val="0"/>
                      <w:sz w:val="18"/>
                      <w:szCs w:val="18"/>
                      <w:highlight w:val="none"/>
                      <w:vertAlign w:val="baseline"/>
                      <w:lang w:val="en-US" w:eastAsia="zh-CN"/>
                    </w:rPr>
                    <w:t>4.3</w:t>
                  </w:r>
                  <w:r>
                    <w:rPr>
                      <w:rFonts w:hint="default" w:ascii="Times New Roman" w:hAnsi="Times New Roman" w:eastAsia="宋体" w:cs="Times New Roman"/>
                      <w:b w:val="0"/>
                      <w:bCs w:val="0"/>
                      <w:caps w:val="0"/>
                      <w:smallCaps w:val="0"/>
                      <w:color w:val="auto"/>
                      <w:sz w:val="18"/>
                      <w:szCs w:val="18"/>
                      <w:highlight w:val="none"/>
                      <w:lang w:val="en-US" w:eastAsia="zh-CN"/>
                    </w:rPr>
                    <w:t>t/a</w:t>
                  </w:r>
                </w:p>
              </w:tc>
            </w:tr>
          </w:tbl>
          <w:tbl>
            <w:tblPr>
              <w:tblStyle w:val="35"/>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4"/>
              <w:gridCol w:w="4179"/>
            </w:tblGrid>
            <w:tr w14:paraId="2850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4" w:type="dxa"/>
                  <w:noWrap w:val="0"/>
                  <w:vAlign w:val="top"/>
                </w:tcPr>
                <w:p w14:paraId="070690EE">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eastAsia="zh-CN"/>
                    </w:rPr>
                  </w:pPr>
                  <w:r>
                    <w:rPr>
                      <w:rFonts w:hint="eastAsia" w:eastAsia="黑体"/>
                      <w:color w:val="auto"/>
                      <w:sz w:val="21"/>
                      <w:szCs w:val="21"/>
                      <w:lang w:eastAsia="zh-CN"/>
                    </w:rPr>
                    <w:drawing>
                      <wp:inline distT="0" distB="0" distL="114300" distR="114300">
                        <wp:extent cx="2680970" cy="2010410"/>
                        <wp:effectExtent l="0" t="0" r="5080" b="8890"/>
                        <wp:docPr id="285" name="图片 285" descr="0a5483730fc849c88c3f9a962d43d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0a5483730fc849c88c3f9a962d43d439"/>
                                <pic:cNvPicPr>
                                  <a:picLocks noChangeAspect="1"/>
                                </pic:cNvPicPr>
                              </pic:nvPicPr>
                              <pic:blipFill>
                                <a:blip r:embed="rId34"/>
                                <a:stretch>
                                  <a:fillRect/>
                                </a:stretch>
                              </pic:blipFill>
                              <pic:spPr>
                                <a:xfrm>
                                  <a:off x="0" y="0"/>
                                  <a:ext cx="2680970" cy="2010410"/>
                                </a:xfrm>
                                <a:prstGeom prst="rect">
                                  <a:avLst/>
                                </a:prstGeom>
                              </pic:spPr>
                            </pic:pic>
                          </a:graphicData>
                        </a:graphic>
                      </wp:inline>
                    </w:drawing>
                  </w:r>
                </w:p>
              </w:tc>
              <w:tc>
                <w:tcPr>
                  <w:tcW w:w="4179" w:type="dxa"/>
                  <w:noWrap w:val="0"/>
                  <w:vAlign w:val="top"/>
                </w:tcPr>
                <w:p w14:paraId="08015AEA">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eastAsia="zh-CN"/>
                    </w:rPr>
                  </w:pPr>
                  <w:r>
                    <w:rPr>
                      <w:rFonts w:hint="eastAsia" w:eastAsia="黑体"/>
                      <w:color w:val="auto"/>
                      <w:sz w:val="21"/>
                      <w:szCs w:val="21"/>
                      <w:lang w:eastAsia="zh-CN"/>
                    </w:rPr>
                    <w:drawing>
                      <wp:inline distT="0" distB="0" distL="114300" distR="114300">
                        <wp:extent cx="2548890" cy="1911985"/>
                        <wp:effectExtent l="0" t="0" r="3810" b="12065"/>
                        <wp:docPr id="288" name="图片 288" descr="faec6cee49dbbbbb38663044a046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faec6cee49dbbbbb38663044a0464315"/>
                                <pic:cNvPicPr>
                                  <a:picLocks noChangeAspect="1"/>
                                </pic:cNvPicPr>
                              </pic:nvPicPr>
                              <pic:blipFill>
                                <a:blip r:embed="rId35"/>
                                <a:stretch>
                                  <a:fillRect/>
                                </a:stretch>
                              </pic:blipFill>
                              <pic:spPr>
                                <a:xfrm>
                                  <a:off x="0" y="0"/>
                                  <a:ext cx="2548890" cy="1911985"/>
                                </a:xfrm>
                                <a:prstGeom prst="rect">
                                  <a:avLst/>
                                </a:prstGeom>
                              </pic:spPr>
                            </pic:pic>
                          </a:graphicData>
                        </a:graphic>
                      </wp:inline>
                    </w:drawing>
                  </w:r>
                </w:p>
              </w:tc>
            </w:tr>
            <w:tr w14:paraId="6027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4" w:type="dxa"/>
                  <w:noWrap w:val="0"/>
                  <w:vAlign w:val="top"/>
                </w:tcPr>
                <w:p w14:paraId="668E62B0">
                  <w:pPr>
                    <w:keepNext w:val="0"/>
                    <w:keepLines w:val="0"/>
                    <w:pageBreakBefore w:val="0"/>
                    <w:widowControl w:val="0"/>
                    <w:kinsoku/>
                    <w:wordWrap/>
                    <w:overflowPunct/>
                    <w:topLinePunct w:val="0"/>
                    <w:autoSpaceDE/>
                    <w:autoSpaceDN/>
                    <w:bidi w:val="0"/>
                    <w:adjustRightInd/>
                    <w:snapToGrid/>
                    <w:jc w:val="center"/>
                    <w:textAlignment w:val="auto"/>
                    <w:rPr>
                      <w:rFonts w:hint="default" w:eastAsia="黑体"/>
                      <w:color w:val="auto"/>
                      <w:sz w:val="21"/>
                      <w:szCs w:val="21"/>
                      <w:lang w:val="en-US" w:eastAsia="zh-CN"/>
                    </w:rPr>
                  </w:pPr>
                  <w:r>
                    <w:rPr>
                      <w:rFonts w:hint="eastAsia" w:eastAsia="黑体"/>
                      <w:color w:val="auto"/>
                      <w:sz w:val="21"/>
                      <w:szCs w:val="21"/>
                      <w:lang w:val="en-US" w:eastAsia="zh-CN"/>
                    </w:rPr>
                    <w:t>现有工程UV光氧+活性炭吸附装置</w:t>
                  </w:r>
                </w:p>
              </w:tc>
              <w:tc>
                <w:tcPr>
                  <w:tcW w:w="4179" w:type="dxa"/>
                  <w:noWrap w:val="0"/>
                  <w:vAlign w:val="top"/>
                </w:tcPr>
                <w:p w14:paraId="3867803E">
                  <w:pPr>
                    <w:keepNext w:val="0"/>
                    <w:keepLines w:val="0"/>
                    <w:pageBreakBefore w:val="0"/>
                    <w:widowControl w:val="0"/>
                    <w:kinsoku/>
                    <w:wordWrap/>
                    <w:overflowPunct/>
                    <w:topLinePunct w:val="0"/>
                    <w:autoSpaceDE/>
                    <w:autoSpaceDN/>
                    <w:bidi w:val="0"/>
                    <w:adjustRightInd/>
                    <w:snapToGrid/>
                    <w:jc w:val="center"/>
                    <w:textAlignment w:val="auto"/>
                    <w:rPr>
                      <w:rFonts w:hint="default" w:eastAsia="黑体"/>
                      <w:color w:val="auto"/>
                      <w:sz w:val="21"/>
                      <w:szCs w:val="21"/>
                      <w:lang w:val="en-US" w:eastAsia="zh-CN"/>
                    </w:rPr>
                  </w:pPr>
                  <w:r>
                    <w:rPr>
                      <w:rFonts w:hint="eastAsia" w:eastAsia="黑体"/>
                      <w:color w:val="auto"/>
                      <w:sz w:val="21"/>
                      <w:szCs w:val="21"/>
                      <w:lang w:val="en-US" w:eastAsia="zh-CN"/>
                    </w:rPr>
                    <w:t>现有工程清洗机</w:t>
                  </w:r>
                </w:p>
              </w:tc>
            </w:tr>
            <w:tr w14:paraId="5404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34" w:type="dxa"/>
                  <w:noWrap w:val="0"/>
                  <w:vAlign w:val="top"/>
                </w:tcPr>
                <w:p w14:paraId="5106C06F">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val="en-US" w:eastAsia="zh-CN"/>
                    </w:rPr>
                  </w:pPr>
                  <w:r>
                    <w:rPr>
                      <w:rFonts w:hint="eastAsia" w:eastAsia="黑体"/>
                      <w:color w:val="auto"/>
                      <w:sz w:val="21"/>
                      <w:szCs w:val="21"/>
                      <w:lang w:val="en-US" w:eastAsia="zh-CN"/>
                    </w:rPr>
                    <w:drawing>
                      <wp:inline distT="0" distB="0" distL="114300" distR="114300">
                        <wp:extent cx="2782570" cy="3407410"/>
                        <wp:effectExtent l="0" t="0" r="17780" b="2540"/>
                        <wp:docPr id="49" name="图片 49" descr="ed6427b1068685a504e2bbf39638d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d6427b1068685a504e2bbf39638dee2"/>
                                <pic:cNvPicPr>
                                  <a:picLocks noChangeAspect="1"/>
                                </pic:cNvPicPr>
                              </pic:nvPicPr>
                              <pic:blipFill>
                                <a:blip r:embed="rId36"/>
                                <a:srcRect t="19409" b="11700"/>
                                <a:stretch>
                                  <a:fillRect/>
                                </a:stretch>
                              </pic:blipFill>
                              <pic:spPr>
                                <a:xfrm>
                                  <a:off x="0" y="0"/>
                                  <a:ext cx="2782570" cy="3407410"/>
                                </a:xfrm>
                                <a:prstGeom prst="rect">
                                  <a:avLst/>
                                </a:prstGeom>
                              </pic:spPr>
                            </pic:pic>
                          </a:graphicData>
                        </a:graphic>
                      </wp:inline>
                    </w:drawing>
                  </w:r>
                </w:p>
              </w:tc>
              <w:tc>
                <w:tcPr>
                  <w:tcW w:w="4179" w:type="dxa"/>
                  <w:noWrap w:val="0"/>
                  <w:vAlign w:val="top"/>
                </w:tcPr>
                <w:p w14:paraId="3503CDB2">
                  <w:pPr>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color w:val="auto"/>
                      <w:sz w:val="21"/>
                      <w:szCs w:val="21"/>
                      <w:lang w:val="en-US" w:eastAsia="zh-CN"/>
                    </w:rPr>
                  </w:pPr>
                  <w:r>
                    <w:rPr>
                      <w:rFonts w:hint="eastAsia" w:eastAsia="黑体"/>
                      <w:color w:val="auto"/>
                      <w:sz w:val="21"/>
                      <w:szCs w:val="21"/>
                      <w:lang w:val="en-US" w:eastAsia="zh-CN"/>
                    </w:rPr>
                    <w:drawing>
                      <wp:inline distT="0" distB="0" distL="114300" distR="114300">
                        <wp:extent cx="2584450" cy="3442970"/>
                        <wp:effectExtent l="0" t="0" r="6350" b="5080"/>
                        <wp:docPr id="287" name="图片 287" descr="33760a4c4c8421328d804480624ea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33760a4c4c8421328d804480624ea7af"/>
                                <pic:cNvPicPr>
                                  <a:picLocks noChangeAspect="1"/>
                                </pic:cNvPicPr>
                              </pic:nvPicPr>
                              <pic:blipFill>
                                <a:blip r:embed="rId37"/>
                                <a:stretch>
                                  <a:fillRect/>
                                </a:stretch>
                              </pic:blipFill>
                              <pic:spPr>
                                <a:xfrm>
                                  <a:off x="0" y="0"/>
                                  <a:ext cx="2584450" cy="3442970"/>
                                </a:xfrm>
                                <a:prstGeom prst="rect">
                                  <a:avLst/>
                                </a:prstGeom>
                              </pic:spPr>
                            </pic:pic>
                          </a:graphicData>
                        </a:graphic>
                      </wp:inline>
                    </w:drawing>
                  </w:r>
                </w:p>
              </w:tc>
            </w:tr>
            <w:tr w14:paraId="6E72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13" w:type="dxa"/>
                  <w:gridSpan w:val="2"/>
                  <w:noWrap w:val="0"/>
                  <w:vAlign w:val="top"/>
                </w:tcPr>
                <w:p w14:paraId="2ABB421C">
                  <w:pPr>
                    <w:keepNext w:val="0"/>
                    <w:keepLines w:val="0"/>
                    <w:pageBreakBefore w:val="0"/>
                    <w:widowControl w:val="0"/>
                    <w:kinsoku/>
                    <w:wordWrap/>
                    <w:overflowPunct/>
                    <w:topLinePunct w:val="0"/>
                    <w:autoSpaceDE/>
                    <w:autoSpaceDN/>
                    <w:bidi w:val="0"/>
                    <w:adjustRightInd/>
                    <w:snapToGrid/>
                    <w:jc w:val="center"/>
                    <w:textAlignment w:val="auto"/>
                    <w:rPr>
                      <w:rFonts w:hint="default" w:eastAsia="黑体"/>
                      <w:color w:val="auto"/>
                      <w:sz w:val="21"/>
                      <w:szCs w:val="21"/>
                      <w:lang w:val="en-US" w:eastAsia="zh-CN"/>
                    </w:rPr>
                  </w:pPr>
                  <w:r>
                    <w:rPr>
                      <w:rFonts w:hint="eastAsia" w:eastAsia="黑体"/>
                      <w:color w:val="auto"/>
                      <w:sz w:val="21"/>
                      <w:szCs w:val="21"/>
                      <w:lang w:val="en-US" w:eastAsia="zh-CN"/>
                    </w:rPr>
                    <w:t>危险废物贮存间</w:t>
                  </w:r>
                </w:p>
              </w:tc>
            </w:tr>
          </w:tbl>
          <w:p w14:paraId="42503693">
            <w:pPr>
              <w:pStyle w:val="15"/>
              <w:jc w:val="center"/>
              <w:rPr>
                <w:rFonts w:hint="eastAsia" w:ascii="Times New Roman" w:hAnsi="Times New Roman" w:eastAsia="宋体" w:cs="Times New Roman"/>
                <w:b/>
                <w:color w:val="auto"/>
                <w:kern w:val="21"/>
                <w:sz w:val="24"/>
                <w:szCs w:val="24"/>
                <w:lang w:val="en-US" w:eastAsia="zh-CN" w:bidi="ar-SA"/>
              </w:rPr>
            </w:pPr>
            <w:r>
              <w:rPr>
                <w:rFonts w:hint="eastAsia" w:ascii="Times New Roman" w:hAnsi="Times New Roman" w:eastAsia="宋体" w:cs="Times New Roman"/>
                <w:b/>
                <w:color w:val="auto"/>
                <w:kern w:val="21"/>
                <w:sz w:val="24"/>
                <w:szCs w:val="24"/>
                <w:lang w:val="en-US" w:eastAsia="zh-CN" w:bidi="ar-SA"/>
              </w:rPr>
              <w:t xml:space="preserve">图2-12 </w:t>
            </w:r>
            <w:r>
              <w:rPr>
                <w:rFonts w:hint="default" w:ascii="Times New Roman" w:hAnsi="Times New Roman" w:eastAsia="宋体" w:cs="Times New Roman"/>
                <w:b/>
                <w:color w:val="auto"/>
                <w:kern w:val="21"/>
                <w:sz w:val="24"/>
                <w:szCs w:val="24"/>
                <w:lang w:val="en-US" w:eastAsia="zh-CN" w:bidi="ar-SA"/>
              </w:rPr>
              <w:t xml:space="preserve"> </w:t>
            </w:r>
            <w:r>
              <w:rPr>
                <w:rFonts w:hint="eastAsia" w:ascii="Times New Roman" w:hAnsi="Times New Roman" w:eastAsia="宋体" w:cs="Times New Roman"/>
                <w:b/>
                <w:color w:val="auto"/>
                <w:kern w:val="21"/>
                <w:sz w:val="24"/>
                <w:szCs w:val="24"/>
                <w:lang w:val="en-US" w:eastAsia="zh-CN" w:bidi="ar-SA"/>
              </w:rPr>
              <w:t>现有工程环保设施照片</w:t>
            </w:r>
          </w:p>
          <w:p w14:paraId="44E85E02">
            <w:pPr>
              <w:pStyle w:val="3"/>
              <w:numPr>
                <w:ilvl w:val="0"/>
                <w:numId w:val="0"/>
              </w:numPr>
              <w:spacing w:before="240" w:beforeLines="100" w:after="120" w:afterLines="5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2.8现有工程环保措施落实情况</w:t>
            </w:r>
          </w:p>
          <w:p w14:paraId="4AC7BA09">
            <w:pPr>
              <w:pStyle w:val="165"/>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表2-22 现有工程环保措施落实情况一览表</w:t>
            </w:r>
          </w:p>
          <w:tbl>
            <w:tblPr>
              <w:tblStyle w:val="35"/>
              <w:tblW w:w="864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95"/>
              <w:gridCol w:w="3610"/>
              <w:gridCol w:w="644"/>
            </w:tblGrid>
            <w:tr w14:paraId="7C70E1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5" w:type="dxa"/>
                  <w:noWrap w:val="0"/>
                  <w:vAlign w:val="center"/>
                </w:tcPr>
                <w:p w14:paraId="706044D6">
                  <w:pPr>
                    <w:jc w:val="center"/>
                    <w:rPr>
                      <w:b/>
                      <w:bCs/>
                      <w:color w:val="auto"/>
                      <w:sz w:val="18"/>
                      <w:szCs w:val="18"/>
                    </w:rPr>
                  </w:pPr>
                  <w:r>
                    <w:rPr>
                      <w:rFonts w:hAnsi="宋体"/>
                      <w:b/>
                      <w:bCs/>
                      <w:color w:val="auto"/>
                      <w:sz w:val="18"/>
                      <w:szCs w:val="18"/>
                    </w:rPr>
                    <w:t>环评及批复要求</w:t>
                  </w:r>
                </w:p>
              </w:tc>
              <w:tc>
                <w:tcPr>
                  <w:tcW w:w="3610" w:type="dxa"/>
                  <w:noWrap w:val="0"/>
                  <w:vAlign w:val="center"/>
                </w:tcPr>
                <w:p w14:paraId="5AFEDD13">
                  <w:pPr>
                    <w:spacing w:line="240" w:lineRule="auto"/>
                    <w:jc w:val="center"/>
                    <w:rPr>
                      <w:b/>
                      <w:bCs/>
                      <w:color w:val="auto"/>
                      <w:sz w:val="18"/>
                      <w:szCs w:val="18"/>
                    </w:rPr>
                  </w:pPr>
                  <w:r>
                    <w:rPr>
                      <w:rFonts w:hAnsi="宋体"/>
                      <w:b/>
                      <w:bCs/>
                      <w:color w:val="auto"/>
                      <w:sz w:val="18"/>
                      <w:szCs w:val="18"/>
                    </w:rPr>
                    <w:t>落实情况</w:t>
                  </w:r>
                </w:p>
              </w:tc>
              <w:tc>
                <w:tcPr>
                  <w:tcW w:w="644" w:type="dxa"/>
                  <w:noWrap w:val="0"/>
                  <w:vAlign w:val="center"/>
                </w:tcPr>
                <w:p w14:paraId="717E4083">
                  <w:pPr>
                    <w:jc w:val="center"/>
                    <w:rPr>
                      <w:b/>
                      <w:bCs/>
                      <w:color w:val="auto"/>
                      <w:sz w:val="18"/>
                      <w:szCs w:val="18"/>
                    </w:rPr>
                  </w:pPr>
                  <w:r>
                    <w:rPr>
                      <w:rFonts w:hAnsi="宋体"/>
                      <w:b/>
                      <w:bCs/>
                      <w:color w:val="auto"/>
                      <w:sz w:val="18"/>
                      <w:szCs w:val="18"/>
                    </w:rPr>
                    <w:t>结论</w:t>
                  </w:r>
                </w:p>
              </w:tc>
            </w:tr>
            <w:tr w14:paraId="190708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15" w:hRule="atLeast"/>
                <w:jc w:val="center"/>
              </w:trPr>
              <w:tc>
                <w:tcPr>
                  <w:tcW w:w="4395" w:type="dxa"/>
                  <w:noWrap w:val="0"/>
                  <w:vAlign w:val="center"/>
                </w:tcPr>
                <w:p w14:paraId="126F5317">
                  <w:pPr>
                    <w:pStyle w:val="136"/>
                    <w:spacing w:line="240" w:lineRule="auto"/>
                    <w:ind w:left="-63" w:leftChars="-30" w:right="-63" w:rightChars="-30"/>
                    <w:jc w:val="left"/>
                    <w:rPr>
                      <w:b/>
                      <w:bCs/>
                      <w:color w:val="auto"/>
                      <w:sz w:val="18"/>
                      <w:szCs w:val="18"/>
                      <w:lang w:val="en-US" w:eastAsia="zh-CN"/>
                    </w:rPr>
                  </w:pPr>
                  <w:r>
                    <w:rPr>
                      <w:rFonts w:hint="eastAsia"/>
                      <w:color w:val="auto"/>
                      <w:sz w:val="18"/>
                      <w:szCs w:val="18"/>
                      <w:lang w:val="zh-CN"/>
                    </w:rPr>
                    <w:t>雨、污水应实行分流。冷却水循环使用，不外排；生活污水经化粪池预处理达标后和清洗废水经沉淀处理达标后，通过市政污水管网排入福清黎阳水务有限公司所属福清市融元污水处理厂统一处理；雨水排入市政雨水管网。</w:t>
                  </w:r>
                </w:p>
              </w:tc>
              <w:tc>
                <w:tcPr>
                  <w:tcW w:w="3610" w:type="dxa"/>
                  <w:noWrap w:val="0"/>
                  <w:vAlign w:val="center"/>
                </w:tcPr>
                <w:p w14:paraId="2934F714">
                  <w:pPr>
                    <w:pStyle w:val="136"/>
                    <w:spacing w:line="240" w:lineRule="auto"/>
                    <w:ind w:left="-63" w:leftChars="-30" w:right="-63" w:rightChars="-30"/>
                    <w:jc w:val="left"/>
                    <w:rPr>
                      <w:rFonts w:hint="eastAsia" w:eastAsia="宋体"/>
                      <w:b/>
                      <w:bCs/>
                      <w:color w:val="auto"/>
                      <w:sz w:val="18"/>
                      <w:szCs w:val="18"/>
                      <w:lang w:eastAsia="zh-CN"/>
                    </w:rPr>
                  </w:pPr>
                  <w:r>
                    <w:rPr>
                      <w:rFonts w:hint="eastAsia" w:eastAsia="宋体"/>
                      <w:color w:val="auto"/>
                      <w:sz w:val="18"/>
                      <w:szCs w:val="18"/>
                    </w:rPr>
                    <w:t>已落实，厂区内雨污分流，冷却水循环使用，不外排；生活污水和清洗废水处理达标后排入福清市融元污水处理厂统一处理；雨水排入市政雨水管网。</w:t>
                  </w:r>
                </w:p>
              </w:tc>
              <w:tc>
                <w:tcPr>
                  <w:tcW w:w="644" w:type="dxa"/>
                  <w:noWrap w:val="0"/>
                  <w:vAlign w:val="center"/>
                </w:tcPr>
                <w:p w14:paraId="0D39EAE5">
                  <w:pPr>
                    <w:jc w:val="center"/>
                    <w:rPr>
                      <w:b/>
                      <w:bCs/>
                      <w:color w:val="auto"/>
                      <w:sz w:val="18"/>
                      <w:szCs w:val="18"/>
                    </w:rPr>
                  </w:pPr>
                  <w:r>
                    <w:rPr>
                      <w:rFonts w:hAnsi="宋体"/>
                      <w:color w:val="auto"/>
                      <w:sz w:val="18"/>
                      <w:szCs w:val="18"/>
                    </w:rPr>
                    <w:t>符合</w:t>
                  </w:r>
                </w:p>
              </w:tc>
            </w:tr>
            <w:tr w14:paraId="6E74EB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5" w:type="dxa"/>
                  <w:noWrap w:val="0"/>
                  <w:vAlign w:val="center"/>
                </w:tcPr>
                <w:p w14:paraId="023BDA84">
                  <w:pPr>
                    <w:pStyle w:val="136"/>
                    <w:spacing w:line="240" w:lineRule="auto"/>
                    <w:ind w:left="-63" w:leftChars="-30" w:right="-63" w:rightChars="-30"/>
                    <w:jc w:val="left"/>
                    <w:rPr>
                      <w:color w:val="auto"/>
                      <w:sz w:val="18"/>
                      <w:szCs w:val="18"/>
                      <w:lang w:val="en-US" w:eastAsia="zh-CN"/>
                    </w:rPr>
                  </w:pPr>
                  <w:r>
                    <w:rPr>
                      <w:rFonts w:hint="eastAsia"/>
                      <w:color w:val="auto"/>
                      <w:sz w:val="18"/>
                      <w:szCs w:val="18"/>
                      <w:lang w:val="zh-CN"/>
                    </w:rPr>
                    <w:t>本项目生产过程中产生的工艺废气应按照《报告表》提出的治理措施进行处理和排放。注塑废气采用“集气罩+二级活性炭吸附装装置”处理达标后，通过</w:t>
                  </w:r>
                  <w:r>
                    <w:rPr>
                      <w:rFonts w:hint="eastAsia"/>
                      <w:color w:val="auto"/>
                      <w:sz w:val="18"/>
                      <w:szCs w:val="18"/>
                      <w:lang w:val="en-US" w:eastAsia="zh-CN"/>
                    </w:rPr>
                    <w:t>2</w:t>
                  </w:r>
                  <w:r>
                    <w:rPr>
                      <w:rFonts w:hint="eastAsia"/>
                      <w:color w:val="auto"/>
                      <w:sz w:val="18"/>
                      <w:szCs w:val="18"/>
                      <w:lang w:val="zh-CN"/>
                    </w:rPr>
                    <w:t>5米高排气筒(DA001)排放；严格落实《报告表》提出的工艺废气无组织排放防范措施，确保厂区内挥发性有机物无组织排放达到限值要求。</w:t>
                  </w:r>
                </w:p>
              </w:tc>
              <w:tc>
                <w:tcPr>
                  <w:tcW w:w="3610" w:type="dxa"/>
                  <w:noWrap w:val="0"/>
                  <w:vAlign w:val="center"/>
                </w:tcPr>
                <w:p w14:paraId="7197CF15">
                  <w:pPr>
                    <w:pStyle w:val="136"/>
                    <w:spacing w:line="240" w:lineRule="auto"/>
                    <w:ind w:left="-63" w:leftChars="-30" w:right="-63" w:rightChars="-30"/>
                    <w:jc w:val="left"/>
                    <w:rPr>
                      <w:rFonts w:hint="default" w:eastAsia="宋体"/>
                      <w:color w:val="auto"/>
                      <w:sz w:val="18"/>
                      <w:szCs w:val="18"/>
                      <w:lang w:val="en-US" w:eastAsia="zh-CN"/>
                    </w:rPr>
                  </w:pPr>
                  <w:r>
                    <w:rPr>
                      <w:rFonts w:hint="eastAsia" w:eastAsia="宋体"/>
                      <w:color w:val="auto"/>
                      <w:sz w:val="18"/>
                      <w:szCs w:val="18"/>
                    </w:rPr>
                    <w:t>已落实，生产过程产生的注塑废气经集气罩收集，再经</w:t>
                  </w:r>
                  <w:r>
                    <w:rPr>
                      <w:rFonts w:hint="eastAsia"/>
                      <w:color w:val="auto"/>
                      <w:sz w:val="18"/>
                      <w:szCs w:val="18"/>
                      <w:lang w:val="en-US" w:eastAsia="zh-CN"/>
                    </w:rPr>
                    <w:t>UV光氧+</w:t>
                  </w:r>
                  <w:r>
                    <w:rPr>
                      <w:rFonts w:hint="eastAsia" w:eastAsia="宋体"/>
                      <w:color w:val="auto"/>
                      <w:sz w:val="18"/>
                      <w:szCs w:val="18"/>
                    </w:rPr>
                    <w:t>活性炭吸附装置处理达标后由</w:t>
                  </w:r>
                  <w:r>
                    <w:rPr>
                      <w:rFonts w:hint="eastAsia"/>
                      <w:color w:val="auto"/>
                      <w:sz w:val="18"/>
                      <w:szCs w:val="18"/>
                      <w:lang w:val="en-US" w:eastAsia="zh-CN"/>
                    </w:rPr>
                    <w:t>2</w:t>
                  </w:r>
                  <w:r>
                    <w:rPr>
                      <w:rFonts w:hint="eastAsia" w:eastAsia="宋体"/>
                      <w:color w:val="auto"/>
                      <w:sz w:val="18"/>
                      <w:szCs w:val="18"/>
                    </w:rPr>
                    <w:t>5m排气筒排放。</w:t>
                  </w:r>
                </w:p>
              </w:tc>
              <w:tc>
                <w:tcPr>
                  <w:tcW w:w="644" w:type="dxa"/>
                  <w:noWrap w:val="0"/>
                  <w:vAlign w:val="center"/>
                </w:tcPr>
                <w:p w14:paraId="287D7C36">
                  <w:pPr>
                    <w:jc w:val="center"/>
                    <w:rPr>
                      <w:color w:val="auto"/>
                      <w:sz w:val="18"/>
                      <w:szCs w:val="18"/>
                    </w:rPr>
                  </w:pPr>
                  <w:r>
                    <w:rPr>
                      <w:rFonts w:hint="eastAsia" w:hAnsi="宋体"/>
                      <w:color w:val="auto"/>
                      <w:sz w:val="18"/>
                      <w:szCs w:val="18"/>
                      <w:highlight w:val="none"/>
                      <w:lang w:val="en-US" w:eastAsia="zh-CN"/>
                    </w:rPr>
                    <w:t>不</w:t>
                  </w:r>
                  <w:r>
                    <w:rPr>
                      <w:rFonts w:hAnsi="宋体"/>
                      <w:color w:val="auto"/>
                      <w:sz w:val="18"/>
                      <w:szCs w:val="18"/>
                      <w:highlight w:val="none"/>
                    </w:rPr>
                    <w:t>符合</w:t>
                  </w:r>
                </w:p>
              </w:tc>
            </w:tr>
            <w:tr w14:paraId="1E4A33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5" w:type="dxa"/>
                  <w:noWrap w:val="0"/>
                  <w:vAlign w:val="center"/>
                </w:tcPr>
                <w:p w14:paraId="41C40FF3">
                  <w:pPr>
                    <w:pStyle w:val="136"/>
                    <w:spacing w:line="240" w:lineRule="auto"/>
                    <w:ind w:left="-63" w:leftChars="-30" w:right="-63" w:rightChars="-30"/>
                    <w:jc w:val="left"/>
                    <w:rPr>
                      <w:color w:val="auto"/>
                      <w:sz w:val="18"/>
                      <w:szCs w:val="18"/>
                    </w:rPr>
                  </w:pPr>
                  <w:r>
                    <w:rPr>
                      <w:rFonts w:hint="eastAsia"/>
                      <w:color w:val="auto"/>
                      <w:sz w:val="18"/>
                      <w:szCs w:val="18"/>
                      <w:lang w:val="zh-CN"/>
                    </w:rPr>
                    <w:t>应选用低噪声型设备，并采取隔音、减震等处理，厂界噪声应达标。</w:t>
                  </w:r>
                </w:p>
              </w:tc>
              <w:tc>
                <w:tcPr>
                  <w:tcW w:w="3610" w:type="dxa"/>
                  <w:noWrap w:val="0"/>
                  <w:vAlign w:val="center"/>
                </w:tcPr>
                <w:p w14:paraId="41C4C068">
                  <w:pPr>
                    <w:pStyle w:val="136"/>
                    <w:spacing w:line="240" w:lineRule="auto"/>
                    <w:ind w:left="-63" w:leftChars="-30" w:right="-63" w:rightChars="-30"/>
                    <w:jc w:val="left"/>
                    <w:rPr>
                      <w:color w:val="auto"/>
                      <w:sz w:val="18"/>
                      <w:szCs w:val="18"/>
                    </w:rPr>
                  </w:pPr>
                  <w:r>
                    <w:rPr>
                      <w:rFonts w:hint="eastAsia" w:eastAsia="宋体"/>
                      <w:color w:val="auto"/>
                      <w:sz w:val="18"/>
                      <w:szCs w:val="18"/>
                    </w:rPr>
                    <w:t>已落实，车间选用低噪声型设备，并采取隔音、减震等处理，厂界噪声达标。</w:t>
                  </w:r>
                </w:p>
              </w:tc>
              <w:tc>
                <w:tcPr>
                  <w:tcW w:w="644" w:type="dxa"/>
                  <w:noWrap w:val="0"/>
                  <w:vAlign w:val="center"/>
                </w:tcPr>
                <w:p w14:paraId="491ADE8E">
                  <w:pPr>
                    <w:jc w:val="center"/>
                    <w:rPr>
                      <w:color w:val="auto"/>
                      <w:sz w:val="18"/>
                      <w:szCs w:val="18"/>
                    </w:rPr>
                  </w:pPr>
                  <w:r>
                    <w:rPr>
                      <w:rFonts w:hAnsi="宋体"/>
                      <w:color w:val="auto"/>
                      <w:sz w:val="18"/>
                      <w:szCs w:val="18"/>
                    </w:rPr>
                    <w:t>符合</w:t>
                  </w:r>
                </w:p>
              </w:tc>
            </w:tr>
            <w:tr w14:paraId="16CD0F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5" w:type="dxa"/>
                  <w:noWrap w:val="0"/>
                  <w:vAlign w:val="center"/>
                </w:tcPr>
                <w:p w14:paraId="53DAC2CD">
                  <w:pPr>
                    <w:pStyle w:val="87"/>
                    <w:spacing w:line="240" w:lineRule="auto"/>
                    <w:jc w:val="left"/>
                    <w:rPr>
                      <w:color w:val="auto"/>
                      <w:sz w:val="18"/>
                      <w:szCs w:val="18"/>
                    </w:rPr>
                  </w:pPr>
                  <w:r>
                    <w:rPr>
                      <w:rFonts w:hint="eastAsia" w:cs="Times New Roman"/>
                      <w:color w:val="auto"/>
                      <w:sz w:val="18"/>
                      <w:szCs w:val="18"/>
                    </w:rPr>
                    <w:t>固体废物应分类管理。不合格品及边角料、废包装材料等一般工业固体废物应全部外运综合利用；废活性炭等危险废物应严格按照《危险废物贮存污染控制标准》(GB 18597-2023)设置危险废物贮存场所并设立危险废物标识，委托有相应处置资质单位统一处置，跨省转移危险废物需经生态环境部门许可同意，省内转移危险废物应执行危险废物转移联单制度并向生态环境部门备案。生活垃圾委托环卫部门及时清理外运。</w:t>
                  </w:r>
                </w:p>
              </w:tc>
              <w:tc>
                <w:tcPr>
                  <w:tcW w:w="3610" w:type="dxa"/>
                  <w:noWrap w:val="0"/>
                  <w:vAlign w:val="center"/>
                </w:tcPr>
                <w:p w14:paraId="7F9FF42E">
                  <w:pPr>
                    <w:pStyle w:val="34"/>
                    <w:adjustRightInd w:val="0"/>
                    <w:snapToGrid w:val="0"/>
                    <w:spacing w:after="0" w:line="240" w:lineRule="auto"/>
                    <w:ind w:left="0" w:leftChars="0" w:firstLine="0" w:firstLineChars="0"/>
                    <w:jc w:val="left"/>
                    <w:rPr>
                      <w:rFonts w:hint="default"/>
                      <w:color w:val="auto"/>
                      <w:sz w:val="18"/>
                      <w:szCs w:val="18"/>
                      <w:lang w:val="en-US" w:eastAsia="zh-CN"/>
                    </w:rPr>
                  </w:pPr>
                  <w:r>
                    <w:rPr>
                      <w:rFonts w:hint="eastAsia"/>
                      <w:color w:val="auto"/>
                      <w:spacing w:val="6"/>
                      <w:sz w:val="18"/>
                      <w:szCs w:val="18"/>
                      <w:lang w:val="en-US" w:eastAsia="zh-CN"/>
                    </w:rPr>
                    <w:t>生产过程中不合格品及边角料和废过滤棉暂存于一般固废暂存间，后由钜鸿百纳委托的固废处置单位代为处置；生活垃圾经收集后暂存三锋汽配生活垃圾站，由三锋汽配委托的生活垃圾处置单位代为处置；处理废气后的废活性炭暂存于危险废物贮存间，后委托的福建深投海峡环保科技有限公司处置</w:t>
                  </w:r>
                </w:p>
              </w:tc>
              <w:tc>
                <w:tcPr>
                  <w:tcW w:w="644" w:type="dxa"/>
                  <w:noWrap w:val="0"/>
                  <w:vAlign w:val="center"/>
                </w:tcPr>
                <w:p w14:paraId="0827C203">
                  <w:pPr>
                    <w:jc w:val="center"/>
                    <w:rPr>
                      <w:color w:val="auto"/>
                      <w:sz w:val="18"/>
                      <w:szCs w:val="18"/>
                    </w:rPr>
                  </w:pPr>
                  <w:r>
                    <w:rPr>
                      <w:rFonts w:hAnsi="宋体"/>
                      <w:color w:val="auto"/>
                      <w:sz w:val="18"/>
                      <w:szCs w:val="18"/>
                    </w:rPr>
                    <w:t>符合</w:t>
                  </w:r>
                </w:p>
              </w:tc>
            </w:tr>
          </w:tbl>
          <w:p w14:paraId="5A67B47E">
            <w:pPr>
              <w:pStyle w:val="3"/>
              <w:numPr>
                <w:ilvl w:val="0"/>
                <w:numId w:val="0"/>
              </w:numPr>
              <w:spacing w:before="240" w:beforeLines="100" w:after="120" w:afterLines="5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2.9环保投诉、污染纠纷及处罚情况</w:t>
            </w:r>
          </w:p>
          <w:p w14:paraId="7DB7FBB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根据环评现状调查及走访情况，企业近年来无环保投诉、环境污染纠纷问题。</w:t>
            </w:r>
          </w:p>
          <w:p w14:paraId="79514A76">
            <w:pPr>
              <w:pStyle w:val="3"/>
              <w:numPr>
                <w:ilvl w:val="0"/>
                <w:numId w:val="0"/>
              </w:numPr>
              <w:spacing w:before="240" w:beforeLines="100" w:after="120" w:afterLines="50"/>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2.10存在的环保问题及拟采取的整改方案</w:t>
            </w:r>
          </w:p>
          <w:p w14:paraId="5447F4DF">
            <w:pPr>
              <w:spacing w:line="360" w:lineRule="auto"/>
              <w:ind w:firstLine="480" w:firstLineChars="200"/>
              <w:rPr>
                <w:color w:val="auto"/>
                <w:kern w:val="0"/>
                <w:sz w:val="24"/>
                <w:szCs w:val="24"/>
              </w:rPr>
            </w:pPr>
            <w:r>
              <w:rPr>
                <w:rFonts w:hint="eastAsia"/>
                <w:color w:val="auto"/>
                <w:kern w:val="0"/>
                <w:sz w:val="24"/>
                <w:szCs w:val="24"/>
              </w:rPr>
              <w:t>经现场调查，现有工程</w:t>
            </w:r>
            <w:r>
              <w:rPr>
                <w:rFonts w:hint="eastAsia"/>
                <w:color w:val="auto"/>
                <w:kern w:val="0"/>
                <w:sz w:val="24"/>
                <w:szCs w:val="24"/>
                <w:lang w:val="en-US" w:eastAsia="zh-CN"/>
              </w:rPr>
              <w:t>基本落实环评报告及批复提出的环保措施，</w:t>
            </w:r>
            <w:r>
              <w:rPr>
                <w:rFonts w:hint="eastAsia"/>
                <w:color w:val="auto"/>
                <w:kern w:val="0"/>
                <w:sz w:val="24"/>
                <w:szCs w:val="24"/>
              </w:rPr>
              <w:t>存在的环保问题及整改措施如下。</w:t>
            </w:r>
          </w:p>
          <w:p w14:paraId="77FB5CAE">
            <w:pPr>
              <w:pStyle w:val="165"/>
              <w:ind w:firstLine="480"/>
              <w:rPr>
                <w:rFonts w:hint="eastAsia" w:ascii="Times New Roman" w:hAnsi="Times New Roman" w:cs="Times New Roman"/>
                <w:color w:val="auto"/>
                <w:lang w:val="zh-CN" w:eastAsia="zh-CN"/>
              </w:rPr>
            </w:pPr>
            <w:r>
              <w:rPr>
                <w:rFonts w:hint="eastAsia" w:ascii="Times New Roman" w:hAnsi="Times New Roman" w:cs="Times New Roman"/>
                <w:color w:val="auto"/>
                <w:lang w:val="en-US" w:eastAsia="zh-CN"/>
              </w:rPr>
              <w:t>表2-23  现有项目环保问题及“以新带老”措施一览表</w:t>
            </w:r>
          </w:p>
          <w:tbl>
            <w:tblPr>
              <w:tblStyle w:val="35"/>
              <w:tblW w:w="859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534"/>
              <w:gridCol w:w="2469"/>
              <w:gridCol w:w="2403"/>
              <w:gridCol w:w="1493"/>
            </w:tblGrid>
            <w:tr w14:paraId="35E06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tcBorders>
                    <w:tl2br w:val="nil"/>
                    <w:tr2bl w:val="nil"/>
                  </w:tcBorders>
                  <w:noWrap w:val="0"/>
                  <w:vAlign w:val="center"/>
                </w:tcPr>
                <w:p w14:paraId="46011639">
                  <w:pPr>
                    <w:widowControl/>
                    <w:jc w:val="center"/>
                    <w:rPr>
                      <w:b/>
                      <w:bCs/>
                      <w:color w:val="auto"/>
                      <w:kern w:val="0"/>
                      <w:sz w:val="18"/>
                      <w:szCs w:val="18"/>
                      <w:highlight w:val="none"/>
                    </w:rPr>
                  </w:pPr>
                  <w:r>
                    <w:rPr>
                      <w:b/>
                      <w:bCs/>
                      <w:color w:val="auto"/>
                      <w:kern w:val="0"/>
                      <w:sz w:val="18"/>
                      <w:szCs w:val="18"/>
                      <w:highlight w:val="none"/>
                    </w:rPr>
                    <w:t>项目</w:t>
                  </w:r>
                </w:p>
              </w:tc>
              <w:tc>
                <w:tcPr>
                  <w:tcW w:w="1534" w:type="dxa"/>
                  <w:tcBorders>
                    <w:tl2br w:val="nil"/>
                    <w:tr2bl w:val="nil"/>
                  </w:tcBorders>
                  <w:noWrap w:val="0"/>
                  <w:vAlign w:val="center"/>
                </w:tcPr>
                <w:p w14:paraId="4273FFB1">
                  <w:pPr>
                    <w:widowControl/>
                    <w:jc w:val="center"/>
                    <w:rPr>
                      <w:b/>
                      <w:bCs/>
                      <w:color w:val="auto"/>
                      <w:kern w:val="0"/>
                      <w:sz w:val="18"/>
                      <w:szCs w:val="18"/>
                      <w:highlight w:val="none"/>
                    </w:rPr>
                  </w:pPr>
                  <w:r>
                    <w:rPr>
                      <w:b/>
                      <w:bCs/>
                      <w:color w:val="auto"/>
                      <w:kern w:val="0"/>
                      <w:sz w:val="18"/>
                      <w:szCs w:val="18"/>
                      <w:highlight w:val="none"/>
                    </w:rPr>
                    <w:t>现状情况</w:t>
                  </w:r>
                </w:p>
              </w:tc>
              <w:tc>
                <w:tcPr>
                  <w:tcW w:w="2469" w:type="dxa"/>
                  <w:tcBorders>
                    <w:tl2br w:val="nil"/>
                    <w:tr2bl w:val="nil"/>
                  </w:tcBorders>
                  <w:noWrap w:val="0"/>
                  <w:vAlign w:val="center"/>
                </w:tcPr>
                <w:p w14:paraId="7887E87A">
                  <w:pPr>
                    <w:widowControl/>
                    <w:jc w:val="center"/>
                    <w:rPr>
                      <w:b/>
                      <w:bCs/>
                      <w:color w:val="auto"/>
                      <w:kern w:val="0"/>
                      <w:sz w:val="18"/>
                      <w:szCs w:val="18"/>
                      <w:highlight w:val="none"/>
                    </w:rPr>
                  </w:pPr>
                  <w:r>
                    <w:rPr>
                      <w:b/>
                      <w:bCs/>
                      <w:color w:val="auto"/>
                      <w:kern w:val="0"/>
                      <w:sz w:val="18"/>
                      <w:szCs w:val="18"/>
                      <w:highlight w:val="none"/>
                    </w:rPr>
                    <w:t>存在问题</w:t>
                  </w:r>
                </w:p>
              </w:tc>
              <w:tc>
                <w:tcPr>
                  <w:tcW w:w="2403" w:type="dxa"/>
                  <w:tcBorders>
                    <w:tl2br w:val="nil"/>
                    <w:tr2bl w:val="nil"/>
                  </w:tcBorders>
                  <w:noWrap w:val="0"/>
                  <w:vAlign w:val="center"/>
                </w:tcPr>
                <w:p w14:paraId="2567EEF5">
                  <w:pPr>
                    <w:widowControl/>
                    <w:jc w:val="center"/>
                    <w:rPr>
                      <w:b/>
                      <w:bCs/>
                      <w:color w:val="auto"/>
                      <w:kern w:val="0"/>
                      <w:sz w:val="18"/>
                      <w:szCs w:val="18"/>
                      <w:highlight w:val="none"/>
                    </w:rPr>
                  </w:pPr>
                  <w:r>
                    <w:rPr>
                      <w:b/>
                      <w:bCs/>
                      <w:color w:val="auto"/>
                      <w:kern w:val="0"/>
                      <w:sz w:val="18"/>
                      <w:szCs w:val="18"/>
                      <w:highlight w:val="none"/>
                    </w:rPr>
                    <w:t>通过“以新带老”整改措施</w:t>
                  </w:r>
                </w:p>
              </w:tc>
              <w:tc>
                <w:tcPr>
                  <w:tcW w:w="1493" w:type="dxa"/>
                  <w:tcBorders>
                    <w:tl2br w:val="nil"/>
                    <w:tr2bl w:val="nil"/>
                  </w:tcBorders>
                  <w:noWrap w:val="0"/>
                  <w:vAlign w:val="center"/>
                </w:tcPr>
                <w:p w14:paraId="1BBE2018">
                  <w:pPr>
                    <w:widowControl/>
                    <w:jc w:val="center"/>
                    <w:rPr>
                      <w:rFonts w:hint="default" w:eastAsia="宋体"/>
                      <w:b/>
                      <w:bCs/>
                      <w:color w:val="auto"/>
                      <w:kern w:val="0"/>
                      <w:sz w:val="18"/>
                      <w:szCs w:val="18"/>
                      <w:highlight w:val="none"/>
                      <w:lang w:val="en-US" w:eastAsia="zh-CN"/>
                    </w:rPr>
                  </w:pPr>
                  <w:r>
                    <w:rPr>
                      <w:rFonts w:hint="eastAsia"/>
                      <w:b/>
                      <w:bCs/>
                      <w:color w:val="auto"/>
                      <w:kern w:val="0"/>
                      <w:sz w:val="18"/>
                      <w:szCs w:val="18"/>
                      <w:highlight w:val="none"/>
                      <w:lang w:val="en-US" w:eastAsia="zh-CN"/>
                    </w:rPr>
                    <w:t>整改时限</w:t>
                  </w:r>
                </w:p>
              </w:tc>
            </w:tr>
            <w:tr w14:paraId="185B5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tcBorders>
                    <w:tl2br w:val="nil"/>
                    <w:tr2bl w:val="nil"/>
                  </w:tcBorders>
                  <w:noWrap w:val="0"/>
                  <w:vAlign w:val="center"/>
                </w:tcPr>
                <w:p w14:paraId="187DA5F0">
                  <w:pPr>
                    <w:widowControl/>
                    <w:jc w:val="center"/>
                    <w:rPr>
                      <w:color w:val="auto"/>
                      <w:kern w:val="0"/>
                      <w:sz w:val="18"/>
                      <w:szCs w:val="18"/>
                      <w:highlight w:val="none"/>
                    </w:rPr>
                  </w:pPr>
                  <w:r>
                    <w:rPr>
                      <w:color w:val="auto"/>
                      <w:kern w:val="0"/>
                      <w:sz w:val="18"/>
                      <w:szCs w:val="18"/>
                      <w:highlight w:val="none"/>
                    </w:rPr>
                    <w:t>废气</w:t>
                  </w:r>
                </w:p>
              </w:tc>
              <w:tc>
                <w:tcPr>
                  <w:tcW w:w="1534" w:type="dxa"/>
                  <w:tcBorders>
                    <w:tl2br w:val="nil"/>
                    <w:tr2bl w:val="nil"/>
                  </w:tcBorders>
                  <w:noWrap w:val="0"/>
                  <w:vAlign w:val="center"/>
                </w:tcPr>
                <w:p w14:paraId="7CFD1F78">
                  <w:pPr>
                    <w:widowControl/>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注塑废气采用“UV+活性炭吸附装置”处理</w:t>
                  </w:r>
                </w:p>
              </w:tc>
              <w:tc>
                <w:tcPr>
                  <w:tcW w:w="2469" w:type="dxa"/>
                  <w:tcBorders>
                    <w:tl2br w:val="nil"/>
                    <w:tr2bl w:val="nil"/>
                  </w:tcBorders>
                  <w:noWrap w:val="0"/>
                  <w:vAlign w:val="center"/>
                </w:tcPr>
                <w:p w14:paraId="278598EE">
                  <w:pPr>
                    <w:widowControl/>
                    <w:jc w:val="center"/>
                    <w:rPr>
                      <w:color w:val="auto"/>
                      <w:kern w:val="0"/>
                      <w:sz w:val="18"/>
                      <w:szCs w:val="18"/>
                      <w:highlight w:val="none"/>
                    </w:rPr>
                  </w:pPr>
                  <w:r>
                    <w:rPr>
                      <w:rFonts w:hint="eastAsia"/>
                      <w:color w:val="auto"/>
                      <w:sz w:val="18"/>
                      <w:szCs w:val="18"/>
                      <w:lang w:val="en-US" w:eastAsia="zh-CN"/>
                    </w:rPr>
                    <w:t>原环评批复要求采用“二级活性炭吸附装置”处理注塑废气，实际采用“UV光氧+活性炭吸附装置”处理，对非甲烷总烃的去除效率约为52.8%，去除效率较低</w:t>
                  </w:r>
                </w:p>
              </w:tc>
              <w:tc>
                <w:tcPr>
                  <w:tcW w:w="2403" w:type="dxa"/>
                  <w:tcBorders>
                    <w:tl2br w:val="nil"/>
                    <w:tr2bl w:val="nil"/>
                  </w:tcBorders>
                  <w:noWrap w:val="0"/>
                  <w:vAlign w:val="center"/>
                </w:tcPr>
                <w:p w14:paraId="101327D9">
                  <w:pPr>
                    <w:widowControl/>
                    <w:jc w:val="center"/>
                    <w:rPr>
                      <w:rFonts w:hint="eastAsia" w:eastAsia="宋体"/>
                      <w:color w:val="auto"/>
                      <w:kern w:val="0"/>
                      <w:sz w:val="18"/>
                      <w:szCs w:val="18"/>
                      <w:highlight w:val="none"/>
                      <w:lang w:eastAsia="zh-CN"/>
                    </w:rPr>
                  </w:pPr>
                  <w:r>
                    <w:rPr>
                      <w:rFonts w:hint="eastAsia"/>
                      <w:color w:val="auto"/>
                      <w:kern w:val="0"/>
                      <w:sz w:val="18"/>
                      <w:szCs w:val="18"/>
                      <w:highlight w:val="none"/>
                      <w:lang w:val="en-US" w:eastAsia="zh-CN"/>
                    </w:rPr>
                    <w:t>改为采用“二级活性炭吸附装置”处理</w:t>
                  </w:r>
                </w:p>
              </w:tc>
              <w:tc>
                <w:tcPr>
                  <w:tcW w:w="1493" w:type="dxa"/>
                  <w:tcBorders>
                    <w:tl2br w:val="nil"/>
                    <w:tr2bl w:val="nil"/>
                  </w:tcBorders>
                  <w:noWrap w:val="0"/>
                  <w:vAlign w:val="center"/>
                </w:tcPr>
                <w:p w14:paraId="6C690C2A">
                  <w:pPr>
                    <w:widowControl/>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2026.02.31前</w:t>
                  </w:r>
                </w:p>
              </w:tc>
            </w:tr>
            <w:tr w14:paraId="4EC1D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3" w:type="dxa"/>
                  <w:tcBorders>
                    <w:tl2br w:val="nil"/>
                    <w:tr2bl w:val="nil"/>
                  </w:tcBorders>
                  <w:shd w:val="clear" w:color="auto" w:fill="auto"/>
                  <w:noWrap w:val="0"/>
                  <w:vAlign w:val="center"/>
                </w:tcPr>
                <w:p w14:paraId="4FD0ADEB">
                  <w:pPr>
                    <w:widowControl/>
                    <w:jc w:val="center"/>
                    <w:rPr>
                      <w:rFonts w:ascii="Times New Roman" w:hAnsi="Times New Roman" w:eastAsia="宋体" w:cs="Times New Roman"/>
                      <w:color w:val="auto"/>
                      <w:kern w:val="0"/>
                      <w:sz w:val="18"/>
                      <w:szCs w:val="18"/>
                      <w:highlight w:val="none"/>
                      <w:lang w:val="en-US" w:eastAsia="zh-CN" w:bidi="ar-SA"/>
                    </w:rPr>
                  </w:pPr>
                  <w:r>
                    <w:rPr>
                      <w:rFonts w:hint="eastAsia"/>
                      <w:color w:val="auto"/>
                      <w:kern w:val="0"/>
                      <w:sz w:val="18"/>
                      <w:szCs w:val="18"/>
                      <w:highlight w:val="none"/>
                    </w:rPr>
                    <w:t>危险废物</w:t>
                  </w:r>
                </w:p>
              </w:tc>
              <w:tc>
                <w:tcPr>
                  <w:tcW w:w="1534" w:type="dxa"/>
                  <w:tcBorders>
                    <w:tl2br w:val="nil"/>
                    <w:tr2bl w:val="nil"/>
                  </w:tcBorders>
                  <w:shd w:val="clear" w:color="auto" w:fill="auto"/>
                  <w:noWrap w:val="0"/>
                  <w:vAlign w:val="center"/>
                </w:tcPr>
                <w:p w14:paraId="5B8B3632">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危险废物贮存间</w:t>
                  </w:r>
                  <w:r>
                    <w:rPr>
                      <w:rFonts w:hint="eastAsia" w:ascii="Times New Roman" w:hAnsi="Times New Roman" w:eastAsia="宋体"/>
                      <w:color w:val="auto"/>
                      <w:sz w:val="18"/>
                      <w:szCs w:val="18"/>
                      <w:highlight w:val="none"/>
                      <w:lang w:val="en-US" w:eastAsia="zh-CN"/>
                    </w:rPr>
                    <w:t>约5m</w:t>
                  </w:r>
                  <w:r>
                    <w:rPr>
                      <w:rFonts w:hint="eastAsia" w:ascii="Times New Roman" w:hAnsi="Times New Roman" w:eastAsia="宋体"/>
                      <w:color w:val="auto"/>
                      <w:sz w:val="18"/>
                      <w:szCs w:val="18"/>
                      <w:highlight w:val="none"/>
                      <w:vertAlign w:val="superscript"/>
                      <w:lang w:val="en-US" w:eastAsia="zh-CN"/>
                    </w:rPr>
                    <w:t>2</w:t>
                  </w:r>
                  <w:r>
                    <w:rPr>
                      <w:rFonts w:hint="eastAsia"/>
                      <w:color w:val="auto"/>
                      <w:sz w:val="18"/>
                      <w:szCs w:val="18"/>
                      <w:highlight w:val="none"/>
                      <w:vertAlign w:val="baseline"/>
                      <w:lang w:val="en-US" w:eastAsia="zh-CN"/>
                    </w:rPr>
                    <w:t>，已签订危险废物委托处置合同，合同期限至2026年3月11日，目前尚无转运记录</w:t>
                  </w:r>
                </w:p>
              </w:tc>
              <w:tc>
                <w:tcPr>
                  <w:tcW w:w="2469" w:type="dxa"/>
                  <w:tcBorders>
                    <w:tl2br w:val="nil"/>
                    <w:tr2bl w:val="nil"/>
                  </w:tcBorders>
                  <w:shd w:val="clear" w:color="auto" w:fill="auto"/>
                  <w:noWrap w:val="0"/>
                  <w:vAlign w:val="center"/>
                </w:tcPr>
                <w:p w14:paraId="75DA041D">
                  <w:pPr>
                    <w:widowControl/>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现有工程危险废物贮存间地面未防渗，内存危险废物未粘贴标识</w:t>
                  </w:r>
                  <w:r>
                    <w:rPr>
                      <w:rFonts w:hint="eastAsia" w:hAnsi="宋体"/>
                      <w:color w:val="auto"/>
                      <w:sz w:val="18"/>
                      <w:szCs w:val="18"/>
                      <w:highlight w:val="none"/>
                      <w:lang w:val="en-US" w:eastAsia="zh-CN"/>
                    </w:rPr>
                    <w:t>。</w:t>
                  </w:r>
                  <w:r>
                    <w:rPr>
                      <w:rFonts w:hint="eastAsia" w:ascii="Times New Roman" w:hAnsi="Times New Roman" w:eastAsia="宋体"/>
                      <w:color w:val="auto"/>
                      <w:sz w:val="18"/>
                      <w:szCs w:val="18"/>
                      <w:highlight w:val="none"/>
                      <w:vertAlign w:val="baseline"/>
                      <w:lang w:val="en-US" w:eastAsia="zh-CN"/>
                    </w:rPr>
                    <w:t>废活性炭</w:t>
                  </w:r>
                  <w:r>
                    <w:rPr>
                      <w:rFonts w:hint="eastAsia"/>
                      <w:color w:val="auto"/>
                      <w:sz w:val="18"/>
                      <w:szCs w:val="18"/>
                      <w:highlight w:val="none"/>
                      <w:vertAlign w:val="baseline"/>
                      <w:lang w:val="en-US" w:eastAsia="zh-CN"/>
                    </w:rPr>
                    <w:t>暂存在危险废物贮存间内</w:t>
                  </w:r>
                  <w:r>
                    <w:rPr>
                      <w:rFonts w:hint="eastAsia" w:ascii="Times New Roman" w:hAnsi="Times New Roman" w:eastAsia="宋体"/>
                      <w:color w:val="auto"/>
                      <w:sz w:val="18"/>
                      <w:szCs w:val="18"/>
                      <w:highlight w:val="none"/>
                      <w:vertAlign w:val="baseline"/>
                      <w:lang w:val="en-US" w:eastAsia="zh-CN"/>
                    </w:rPr>
                    <w:t>，尚未转运</w:t>
                  </w:r>
                </w:p>
              </w:tc>
              <w:tc>
                <w:tcPr>
                  <w:tcW w:w="2403" w:type="dxa"/>
                  <w:tcBorders>
                    <w:tl2br w:val="nil"/>
                    <w:tr2bl w:val="nil"/>
                  </w:tcBorders>
                  <w:shd w:val="clear" w:color="auto" w:fill="auto"/>
                  <w:noWrap w:val="0"/>
                  <w:vAlign w:val="center"/>
                </w:tcPr>
                <w:p w14:paraId="374B3809">
                  <w:pPr>
                    <w:widowControl/>
                    <w:jc w:val="center"/>
                    <w:rPr>
                      <w:rFonts w:hint="eastAsia" w:ascii="Times New Roman" w:hAnsi="Times New Roman" w:eastAsia="宋体" w:cs="Times New Roman"/>
                      <w:color w:val="auto"/>
                      <w:kern w:val="0"/>
                      <w:sz w:val="18"/>
                      <w:szCs w:val="18"/>
                      <w:highlight w:val="none"/>
                      <w:lang w:val="en-US" w:eastAsia="zh-CN" w:bidi="ar-SA"/>
                    </w:rPr>
                  </w:pPr>
                  <w:r>
                    <w:rPr>
                      <w:rFonts w:hint="eastAsia"/>
                      <w:color w:val="auto"/>
                      <w:kern w:val="0"/>
                      <w:sz w:val="18"/>
                      <w:szCs w:val="18"/>
                      <w:highlight w:val="none"/>
                      <w:lang w:val="en-US" w:eastAsia="zh-CN"/>
                    </w:rPr>
                    <w:t>危险废物</w:t>
                  </w:r>
                  <w:r>
                    <w:rPr>
                      <w:rFonts w:hint="eastAsia" w:cs="Times New Roman"/>
                      <w:color w:val="auto"/>
                      <w:sz w:val="18"/>
                      <w:szCs w:val="18"/>
                      <w:highlight w:val="none"/>
                      <w:lang w:val="en-US" w:eastAsia="zh-CN"/>
                    </w:rPr>
                    <w:t>贮存间面积</w:t>
                  </w:r>
                  <w:r>
                    <w:rPr>
                      <w:rFonts w:hint="eastAsia"/>
                      <w:color w:val="auto"/>
                      <w:kern w:val="0"/>
                      <w:sz w:val="18"/>
                      <w:szCs w:val="18"/>
                      <w:highlight w:val="none"/>
                      <w:lang w:val="en-US" w:eastAsia="zh-CN"/>
                    </w:rPr>
                    <w:t>不满足扩建后全厂危险废物的贮存要求，因此通过本次扩建重新规范建设</w:t>
                  </w:r>
                  <w:r>
                    <w:rPr>
                      <w:rFonts w:hint="eastAsia"/>
                      <w:color w:val="auto"/>
                      <w:kern w:val="0"/>
                      <w:sz w:val="18"/>
                      <w:szCs w:val="18"/>
                      <w:highlight w:val="none"/>
                    </w:rPr>
                    <w:t>一间</w:t>
                  </w:r>
                  <w:r>
                    <w:rPr>
                      <w:rFonts w:hint="eastAsia"/>
                      <w:color w:val="auto"/>
                      <w:kern w:val="0"/>
                      <w:sz w:val="18"/>
                      <w:szCs w:val="18"/>
                      <w:highlight w:val="none"/>
                      <w:lang w:eastAsia="zh-CN"/>
                    </w:rPr>
                    <w:t>危险废物贮存间</w:t>
                  </w:r>
                  <w:r>
                    <w:rPr>
                      <w:color w:val="auto"/>
                      <w:kern w:val="0"/>
                      <w:sz w:val="18"/>
                      <w:szCs w:val="18"/>
                      <w:highlight w:val="none"/>
                    </w:rPr>
                    <w:t>（张贴危险废物标识，地面采取防渗措施等）</w:t>
                  </w:r>
                  <w:r>
                    <w:rPr>
                      <w:rFonts w:hint="eastAsia"/>
                      <w:color w:val="auto"/>
                      <w:kern w:val="0"/>
                      <w:sz w:val="18"/>
                      <w:szCs w:val="18"/>
                      <w:highlight w:val="none"/>
                      <w:lang w:eastAsia="zh-CN"/>
                    </w:rPr>
                    <w:t>，</w:t>
                  </w:r>
                  <w:r>
                    <w:rPr>
                      <w:rFonts w:hint="eastAsia"/>
                      <w:color w:val="auto"/>
                      <w:kern w:val="0"/>
                      <w:sz w:val="18"/>
                      <w:szCs w:val="18"/>
                      <w:highlight w:val="none"/>
                    </w:rPr>
                    <w:t>面积</w:t>
                  </w:r>
                  <w:r>
                    <w:rPr>
                      <w:rFonts w:hint="eastAsia"/>
                      <w:color w:val="auto"/>
                      <w:kern w:val="0"/>
                      <w:sz w:val="18"/>
                      <w:szCs w:val="18"/>
                      <w:highlight w:val="none"/>
                      <w:lang w:val="en-US" w:eastAsia="zh-CN"/>
                    </w:rPr>
                    <w:t>25</w:t>
                  </w:r>
                  <w:r>
                    <w:rPr>
                      <w:rFonts w:hint="eastAsia"/>
                      <w:color w:val="auto"/>
                      <w:kern w:val="0"/>
                      <w:sz w:val="18"/>
                      <w:szCs w:val="18"/>
                      <w:highlight w:val="none"/>
                    </w:rPr>
                    <w:t>m</w:t>
                  </w:r>
                  <w:r>
                    <w:rPr>
                      <w:rFonts w:hint="eastAsia"/>
                      <w:color w:val="auto"/>
                      <w:kern w:val="0"/>
                      <w:sz w:val="18"/>
                      <w:szCs w:val="18"/>
                      <w:highlight w:val="none"/>
                      <w:vertAlign w:val="superscript"/>
                    </w:rPr>
                    <w:t>2</w:t>
                  </w:r>
                  <w:r>
                    <w:rPr>
                      <w:color w:val="auto"/>
                      <w:kern w:val="0"/>
                      <w:sz w:val="18"/>
                      <w:szCs w:val="18"/>
                      <w:highlight w:val="none"/>
                    </w:rPr>
                    <w:t>；</w:t>
                  </w:r>
                  <w:r>
                    <w:rPr>
                      <w:rFonts w:hint="eastAsia"/>
                      <w:color w:val="auto"/>
                      <w:kern w:val="0"/>
                      <w:sz w:val="18"/>
                      <w:szCs w:val="18"/>
                      <w:highlight w:val="none"/>
                      <w:lang w:val="en-US" w:eastAsia="zh-CN"/>
                    </w:rPr>
                    <w:t>废活性炭</w:t>
                  </w:r>
                  <w:r>
                    <w:rPr>
                      <w:color w:val="auto"/>
                      <w:kern w:val="0"/>
                      <w:sz w:val="18"/>
                      <w:szCs w:val="18"/>
                      <w:highlight w:val="none"/>
                    </w:rPr>
                    <w:t>及时</w:t>
                  </w:r>
                  <w:r>
                    <w:rPr>
                      <w:rFonts w:hint="eastAsia"/>
                      <w:color w:val="auto"/>
                      <w:kern w:val="0"/>
                      <w:sz w:val="18"/>
                      <w:szCs w:val="18"/>
                      <w:highlight w:val="none"/>
                      <w:lang w:val="en-US" w:eastAsia="zh-CN"/>
                    </w:rPr>
                    <w:t>委托</w:t>
                  </w:r>
                  <w:r>
                    <w:rPr>
                      <w:color w:val="auto"/>
                      <w:kern w:val="0"/>
                      <w:sz w:val="18"/>
                      <w:szCs w:val="18"/>
                      <w:highlight w:val="none"/>
                    </w:rPr>
                    <w:t>有资质单位</w:t>
                  </w:r>
                  <w:r>
                    <w:rPr>
                      <w:rFonts w:hint="eastAsia"/>
                      <w:color w:val="auto"/>
                      <w:kern w:val="0"/>
                      <w:sz w:val="18"/>
                      <w:szCs w:val="18"/>
                      <w:highlight w:val="none"/>
                      <w:lang w:val="en-US" w:eastAsia="zh-CN"/>
                    </w:rPr>
                    <w:t>转运处置</w:t>
                  </w:r>
                </w:p>
              </w:tc>
              <w:tc>
                <w:tcPr>
                  <w:tcW w:w="1493" w:type="dxa"/>
                  <w:tcBorders>
                    <w:tl2br w:val="nil"/>
                    <w:tr2bl w:val="nil"/>
                  </w:tcBorders>
                  <w:shd w:val="clear" w:color="auto" w:fill="auto"/>
                  <w:noWrap w:val="0"/>
                  <w:vAlign w:val="center"/>
                </w:tcPr>
                <w:p w14:paraId="5A1A4AF1">
                  <w:pPr>
                    <w:widowControl/>
                    <w:jc w:val="center"/>
                    <w:rPr>
                      <w:rFonts w:hint="eastAsia"/>
                      <w:color w:val="auto"/>
                      <w:sz w:val="18"/>
                      <w:szCs w:val="18"/>
                      <w:highlight w:val="none"/>
                      <w:vertAlign w:val="baseline"/>
                      <w:lang w:val="en-US" w:eastAsia="zh-CN"/>
                    </w:rPr>
                  </w:pPr>
                  <w:r>
                    <w:rPr>
                      <w:rFonts w:hint="eastAsia" w:ascii="Times New Roman" w:hAnsi="Times New Roman" w:eastAsia="宋体"/>
                      <w:color w:val="auto"/>
                      <w:sz w:val="18"/>
                      <w:szCs w:val="18"/>
                      <w:highlight w:val="none"/>
                      <w:vertAlign w:val="baseline"/>
                      <w:lang w:val="en-US" w:eastAsia="zh-CN"/>
                    </w:rPr>
                    <w:t>废活性炭</w:t>
                  </w:r>
                  <w:r>
                    <w:rPr>
                      <w:rFonts w:hint="eastAsia"/>
                      <w:color w:val="auto"/>
                      <w:sz w:val="18"/>
                      <w:szCs w:val="18"/>
                      <w:highlight w:val="none"/>
                      <w:vertAlign w:val="baseline"/>
                      <w:lang w:val="en-US" w:eastAsia="zh-CN"/>
                    </w:rPr>
                    <w:t>暂存期不超过一年，建议2026年3月前转运一次；</w:t>
                  </w:r>
                </w:p>
                <w:p w14:paraId="6C35D637">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eastAsia"/>
                      <w:color w:val="auto"/>
                      <w:sz w:val="18"/>
                      <w:szCs w:val="18"/>
                      <w:highlight w:val="none"/>
                      <w:vertAlign w:val="baseline"/>
                      <w:lang w:val="en-US" w:eastAsia="zh-CN"/>
                    </w:rPr>
                    <w:t>危险废物贮存间重建</w:t>
                  </w:r>
                  <w:r>
                    <w:rPr>
                      <w:rFonts w:hint="eastAsia"/>
                      <w:color w:val="auto"/>
                      <w:kern w:val="0"/>
                      <w:sz w:val="18"/>
                      <w:szCs w:val="18"/>
                      <w:highlight w:val="none"/>
                      <w:lang w:val="en-US" w:eastAsia="zh-CN"/>
                    </w:rPr>
                    <w:t>纳入本次扩建工程</w:t>
                  </w:r>
                </w:p>
              </w:tc>
            </w:tr>
          </w:tbl>
          <w:p w14:paraId="7D2B1155">
            <w:pPr>
              <w:spacing w:line="360" w:lineRule="auto"/>
              <w:ind w:firstLine="480" w:firstLineChars="200"/>
              <w:rPr>
                <w:rFonts w:hint="eastAsia" w:ascii="Times New Roman" w:hAnsi="Times New Roman" w:eastAsia="宋体" w:cs="Times New Roman"/>
                <w:color w:val="auto"/>
                <w:sz w:val="24"/>
                <w:szCs w:val="24"/>
                <w:lang w:val="en-US" w:eastAsia="zh-CN"/>
              </w:rPr>
            </w:pPr>
          </w:p>
        </w:tc>
      </w:tr>
    </w:tbl>
    <w:p w14:paraId="07A613D0">
      <w:pPr>
        <w:pStyle w:val="2"/>
        <w:rPr>
          <w:color w:val="auto"/>
        </w:rPr>
        <w:sectPr>
          <w:pgSz w:w="11906" w:h="16838"/>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14:paraId="77530CDC">
      <w:pPr>
        <w:pStyle w:val="2"/>
        <w:jc w:val="center"/>
        <w:rPr>
          <w:color w:val="auto"/>
        </w:rPr>
      </w:pPr>
      <w:bookmarkStart w:id="16" w:name="_Toc13386"/>
      <w:bookmarkStart w:id="17" w:name="_Toc24491"/>
      <w:r>
        <w:rPr>
          <w:color w:val="auto"/>
        </w:rPr>
        <w:t>三、区域环境质量现状、环境保护目标及评价标准</w:t>
      </w:r>
      <w:bookmarkEnd w:id="16"/>
      <w:bookmarkEnd w:id="17"/>
    </w:p>
    <w:tbl>
      <w:tblPr>
        <w:tblStyle w:val="35"/>
        <w:tblW w:w="91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30"/>
      </w:tblGrid>
      <w:tr w14:paraId="618C9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800" w:type="dxa"/>
            <w:noWrap w:val="0"/>
            <w:vAlign w:val="center"/>
          </w:tcPr>
          <w:p w14:paraId="52348A80">
            <w:pPr>
              <w:adjustRightInd w:val="0"/>
              <w:snapToGrid w:val="0"/>
              <w:jc w:val="center"/>
              <w:rPr>
                <w:color w:val="auto"/>
                <w:kern w:val="0"/>
                <w:szCs w:val="21"/>
              </w:rPr>
            </w:pPr>
            <w:r>
              <w:rPr>
                <w:color w:val="auto"/>
                <w:kern w:val="0"/>
                <w:szCs w:val="21"/>
              </w:rPr>
              <w:t>区域</w:t>
            </w:r>
          </w:p>
          <w:p w14:paraId="7B477698">
            <w:pPr>
              <w:adjustRightInd w:val="0"/>
              <w:snapToGrid w:val="0"/>
              <w:jc w:val="center"/>
              <w:rPr>
                <w:color w:val="auto"/>
                <w:kern w:val="0"/>
                <w:szCs w:val="21"/>
              </w:rPr>
            </w:pPr>
            <w:r>
              <w:rPr>
                <w:color w:val="auto"/>
                <w:kern w:val="0"/>
                <w:szCs w:val="21"/>
              </w:rPr>
              <w:t>环境</w:t>
            </w:r>
          </w:p>
          <w:p w14:paraId="524CAEF8">
            <w:pPr>
              <w:adjustRightInd w:val="0"/>
              <w:snapToGrid w:val="0"/>
              <w:jc w:val="center"/>
              <w:rPr>
                <w:color w:val="auto"/>
                <w:kern w:val="0"/>
                <w:szCs w:val="21"/>
              </w:rPr>
            </w:pPr>
            <w:r>
              <w:rPr>
                <w:color w:val="auto"/>
                <w:kern w:val="0"/>
                <w:szCs w:val="21"/>
              </w:rPr>
              <w:t>质量</w:t>
            </w:r>
          </w:p>
          <w:p w14:paraId="2F9551D3">
            <w:pPr>
              <w:adjustRightInd w:val="0"/>
              <w:snapToGrid w:val="0"/>
              <w:jc w:val="center"/>
              <w:rPr>
                <w:color w:val="auto"/>
                <w:kern w:val="0"/>
                <w:szCs w:val="21"/>
              </w:rPr>
            </w:pPr>
            <w:r>
              <w:rPr>
                <w:color w:val="auto"/>
                <w:kern w:val="0"/>
                <w:szCs w:val="21"/>
              </w:rPr>
              <w:t>现状</w:t>
            </w:r>
          </w:p>
        </w:tc>
        <w:tc>
          <w:tcPr>
            <w:tcW w:w="8378" w:type="dxa"/>
            <w:noWrap w:val="0"/>
            <w:vAlign w:val="center"/>
          </w:tcPr>
          <w:p w14:paraId="16A5EED1">
            <w:pPr>
              <w:pStyle w:val="3"/>
              <w:numPr>
                <w:ilvl w:val="0"/>
                <w:numId w:val="0"/>
              </w:numPr>
              <w:rPr>
                <w:color w:val="auto"/>
              </w:rPr>
            </w:pPr>
            <w:r>
              <w:rPr>
                <w:color w:val="auto"/>
              </w:rPr>
              <w:t>3.1大气环境质量现状</w:t>
            </w:r>
          </w:p>
          <w:p w14:paraId="076B6794">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3.1.1环境空气质量功能区划</w:t>
            </w:r>
          </w:p>
          <w:p w14:paraId="27577393">
            <w:pPr>
              <w:spacing w:line="360" w:lineRule="auto"/>
              <w:ind w:firstLine="480" w:firstLineChars="200"/>
              <w:rPr>
                <w:color w:val="auto"/>
                <w:sz w:val="24"/>
              </w:rPr>
            </w:pPr>
            <w:bookmarkStart w:id="18" w:name="_Toc339964236"/>
            <w:bookmarkStart w:id="19" w:name="_Toc338850492"/>
            <w:r>
              <w:rPr>
                <w:color w:val="auto"/>
                <w:sz w:val="24"/>
              </w:rPr>
              <w:t>根据福州市人民政府榕政综[2014]30号文件正式批准实施《福州市环境空气质量功能区划(报批稿)》的规定，项目所在区域环境空气功能规划为二类区，环境空气质量执行《环境空气质量标准》(GB3095-20</w:t>
            </w:r>
            <w:r>
              <w:rPr>
                <w:rFonts w:hint="eastAsia"/>
                <w:color w:val="auto"/>
                <w:sz w:val="24"/>
                <w:lang w:val="en-US" w:eastAsia="zh-CN"/>
              </w:rPr>
              <w:t>26</w:t>
            </w:r>
            <w:r>
              <w:rPr>
                <w:color w:val="auto"/>
                <w:sz w:val="24"/>
              </w:rPr>
              <w:t>)</w:t>
            </w:r>
            <w:r>
              <w:rPr>
                <w:rFonts w:hint="eastAsia"/>
                <w:color w:val="auto"/>
                <w:sz w:val="24"/>
                <w:lang w:eastAsia="zh-CN"/>
              </w:rPr>
              <w:t>过渡阶段浓度限制</w:t>
            </w:r>
            <w:r>
              <w:rPr>
                <w:color w:val="auto"/>
                <w:sz w:val="24"/>
              </w:rPr>
              <w:t>中的二级标准</w:t>
            </w:r>
            <w:r>
              <w:rPr>
                <w:rFonts w:hint="eastAsia"/>
                <w:color w:val="auto"/>
                <w:sz w:val="24"/>
              </w:rPr>
              <w:t>，</w:t>
            </w:r>
            <w:r>
              <w:rPr>
                <w:color w:val="auto"/>
                <w:sz w:val="24"/>
              </w:rPr>
              <w:t>详见表3-1。</w:t>
            </w:r>
          </w:p>
          <w:bookmarkEnd w:id="18"/>
          <w:bookmarkEnd w:id="19"/>
          <w:p w14:paraId="0844ED58">
            <w:pPr>
              <w:spacing w:before="120" w:beforeLines="50"/>
              <w:jc w:val="center"/>
              <w:rPr>
                <w:rFonts w:eastAsia="黑体"/>
                <w:color w:val="auto"/>
                <w:sz w:val="24"/>
              </w:rPr>
            </w:pPr>
            <w:r>
              <w:rPr>
                <w:rFonts w:eastAsia="黑体"/>
                <w:color w:val="auto"/>
                <w:sz w:val="24"/>
              </w:rPr>
              <w:t>表3-1  环境空气标准一览表</w:t>
            </w:r>
          </w:p>
          <w:tbl>
            <w:tblPr>
              <w:tblStyle w:val="35"/>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601"/>
              <w:gridCol w:w="2180"/>
              <w:gridCol w:w="1678"/>
              <w:gridCol w:w="3153"/>
            </w:tblGrid>
            <w:tr w14:paraId="58B383C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noWrap w:val="0"/>
                  <w:vAlign w:val="center"/>
                </w:tcPr>
                <w:p w14:paraId="550D991B">
                  <w:pPr>
                    <w:adjustRightInd w:val="0"/>
                    <w:snapToGrid w:val="0"/>
                    <w:jc w:val="center"/>
                    <w:rPr>
                      <w:b/>
                      <w:bCs/>
                      <w:color w:val="auto"/>
                      <w:szCs w:val="21"/>
                    </w:rPr>
                  </w:pPr>
                  <w:r>
                    <w:rPr>
                      <w:b/>
                      <w:bCs/>
                      <w:color w:val="auto"/>
                      <w:szCs w:val="21"/>
                    </w:rPr>
                    <w:t>污染物名称</w:t>
                  </w:r>
                </w:p>
              </w:tc>
              <w:tc>
                <w:tcPr>
                  <w:tcW w:w="1265" w:type="pct"/>
                  <w:noWrap w:val="0"/>
                  <w:vAlign w:val="center"/>
                </w:tcPr>
                <w:p w14:paraId="020FA554">
                  <w:pPr>
                    <w:adjustRightInd w:val="0"/>
                    <w:snapToGrid w:val="0"/>
                    <w:jc w:val="center"/>
                    <w:rPr>
                      <w:b/>
                      <w:bCs/>
                      <w:color w:val="auto"/>
                      <w:szCs w:val="21"/>
                    </w:rPr>
                  </w:pPr>
                  <w:r>
                    <w:rPr>
                      <w:b/>
                      <w:bCs/>
                      <w:color w:val="auto"/>
                      <w:szCs w:val="21"/>
                    </w:rPr>
                    <w:t>取值时间</w:t>
                  </w:r>
                </w:p>
              </w:tc>
              <w:tc>
                <w:tcPr>
                  <w:tcW w:w="974" w:type="pct"/>
                  <w:noWrap w:val="0"/>
                  <w:vAlign w:val="center"/>
                </w:tcPr>
                <w:p w14:paraId="73673B66">
                  <w:pPr>
                    <w:adjustRightInd w:val="0"/>
                    <w:snapToGrid w:val="0"/>
                    <w:jc w:val="center"/>
                    <w:rPr>
                      <w:b/>
                      <w:bCs/>
                      <w:color w:val="auto"/>
                      <w:szCs w:val="21"/>
                    </w:rPr>
                  </w:pPr>
                  <w:r>
                    <w:rPr>
                      <w:b/>
                      <w:bCs/>
                      <w:color w:val="auto"/>
                      <w:szCs w:val="21"/>
                    </w:rPr>
                    <w:t>浓度限值</w:t>
                  </w:r>
                </w:p>
              </w:tc>
              <w:tc>
                <w:tcPr>
                  <w:tcW w:w="1830" w:type="pct"/>
                  <w:noWrap w:val="0"/>
                  <w:vAlign w:val="center"/>
                </w:tcPr>
                <w:p w14:paraId="0A85C961">
                  <w:pPr>
                    <w:adjustRightInd w:val="0"/>
                    <w:snapToGrid w:val="0"/>
                    <w:jc w:val="center"/>
                    <w:rPr>
                      <w:b/>
                      <w:bCs/>
                      <w:color w:val="auto"/>
                      <w:szCs w:val="21"/>
                    </w:rPr>
                  </w:pPr>
                  <w:r>
                    <w:rPr>
                      <w:b/>
                      <w:bCs/>
                      <w:color w:val="auto"/>
                      <w:szCs w:val="21"/>
                    </w:rPr>
                    <w:t>标准来源</w:t>
                  </w:r>
                </w:p>
              </w:tc>
            </w:tr>
            <w:tr w14:paraId="59798E7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480C4DE6">
                  <w:pPr>
                    <w:adjustRightInd w:val="0"/>
                    <w:snapToGrid w:val="0"/>
                    <w:jc w:val="center"/>
                    <w:rPr>
                      <w:color w:val="auto"/>
                      <w:szCs w:val="21"/>
                    </w:rPr>
                  </w:pPr>
                  <w:r>
                    <w:rPr>
                      <w:color w:val="auto"/>
                      <w:szCs w:val="21"/>
                    </w:rPr>
                    <w:t>PM</w:t>
                  </w:r>
                  <w:r>
                    <w:rPr>
                      <w:color w:val="auto"/>
                      <w:szCs w:val="21"/>
                      <w:vertAlign w:val="subscript"/>
                    </w:rPr>
                    <w:t>10</w:t>
                  </w:r>
                </w:p>
              </w:tc>
              <w:tc>
                <w:tcPr>
                  <w:tcW w:w="1265" w:type="pct"/>
                  <w:noWrap w:val="0"/>
                  <w:vAlign w:val="center"/>
                </w:tcPr>
                <w:p w14:paraId="77946E0B">
                  <w:pPr>
                    <w:adjustRightInd w:val="0"/>
                    <w:snapToGrid w:val="0"/>
                    <w:jc w:val="center"/>
                    <w:rPr>
                      <w:color w:val="auto"/>
                      <w:szCs w:val="21"/>
                    </w:rPr>
                  </w:pPr>
                  <w:r>
                    <w:rPr>
                      <w:color w:val="auto"/>
                      <w:szCs w:val="21"/>
                    </w:rPr>
                    <w:t>年平均</w:t>
                  </w:r>
                </w:p>
              </w:tc>
              <w:tc>
                <w:tcPr>
                  <w:tcW w:w="974" w:type="pct"/>
                  <w:noWrap w:val="0"/>
                  <w:vAlign w:val="center"/>
                </w:tcPr>
                <w:p w14:paraId="0BF9BDC0">
                  <w:pPr>
                    <w:adjustRightInd w:val="0"/>
                    <w:snapToGrid w:val="0"/>
                    <w:jc w:val="center"/>
                    <w:rPr>
                      <w:color w:val="auto"/>
                      <w:szCs w:val="21"/>
                    </w:rPr>
                  </w:pPr>
                  <w:r>
                    <w:rPr>
                      <w:rFonts w:hint="eastAsia"/>
                      <w:color w:val="auto"/>
                      <w:szCs w:val="21"/>
                      <w:lang w:val="en-US" w:eastAsia="zh-CN"/>
                    </w:rPr>
                    <w:t>6</w:t>
                  </w:r>
                  <w:r>
                    <w:rPr>
                      <w:color w:val="auto"/>
                      <w:szCs w:val="21"/>
                    </w:rPr>
                    <w:t>0μg/m</w:t>
                  </w:r>
                  <w:r>
                    <w:rPr>
                      <w:color w:val="auto"/>
                      <w:szCs w:val="21"/>
                      <w:vertAlign w:val="superscript"/>
                    </w:rPr>
                    <w:t>3</w:t>
                  </w:r>
                </w:p>
              </w:tc>
              <w:tc>
                <w:tcPr>
                  <w:tcW w:w="1830" w:type="pct"/>
                  <w:vMerge w:val="restart"/>
                  <w:noWrap w:val="0"/>
                  <w:vAlign w:val="center"/>
                </w:tcPr>
                <w:p w14:paraId="76B57090">
                  <w:pPr>
                    <w:adjustRightInd w:val="0"/>
                    <w:snapToGrid w:val="0"/>
                    <w:jc w:val="center"/>
                    <w:rPr>
                      <w:color w:val="auto"/>
                      <w:szCs w:val="21"/>
                    </w:rPr>
                  </w:pPr>
                  <w:r>
                    <w:rPr>
                      <w:rFonts w:hint="eastAsia"/>
                      <w:color w:val="auto"/>
                      <w:szCs w:val="21"/>
                    </w:rPr>
                    <w:t>《环境空气质量标准》(GB3095-2026)过渡阶段浓度限制中的二级标准</w:t>
                  </w:r>
                </w:p>
              </w:tc>
            </w:tr>
            <w:tr w14:paraId="3692EE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4C4219D1">
                  <w:pPr>
                    <w:adjustRightInd w:val="0"/>
                    <w:snapToGrid w:val="0"/>
                    <w:jc w:val="center"/>
                    <w:rPr>
                      <w:color w:val="auto"/>
                      <w:szCs w:val="21"/>
                    </w:rPr>
                  </w:pPr>
                </w:p>
              </w:tc>
              <w:tc>
                <w:tcPr>
                  <w:tcW w:w="1265" w:type="pct"/>
                  <w:noWrap w:val="0"/>
                  <w:vAlign w:val="center"/>
                </w:tcPr>
                <w:p w14:paraId="220F50AA">
                  <w:pPr>
                    <w:adjustRightInd w:val="0"/>
                    <w:snapToGrid w:val="0"/>
                    <w:jc w:val="center"/>
                    <w:rPr>
                      <w:color w:val="auto"/>
                      <w:szCs w:val="21"/>
                    </w:rPr>
                  </w:pPr>
                  <w:r>
                    <w:rPr>
                      <w:color w:val="auto"/>
                      <w:szCs w:val="21"/>
                    </w:rPr>
                    <w:t>24小时平均</w:t>
                  </w:r>
                </w:p>
              </w:tc>
              <w:tc>
                <w:tcPr>
                  <w:tcW w:w="974" w:type="pct"/>
                  <w:noWrap w:val="0"/>
                  <w:vAlign w:val="center"/>
                </w:tcPr>
                <w:p w14:paraId="19B4E930">
                  <w:pPr>
                    <w:adjustRightInd w:val="0"/>
                    <w:snapToGrid w:val="0"/>
                    <w:jc w:val="center"/>
                    <w:rPr>
                      <w:color w:val="auto"/>
                      <w:szCs w:val="21"/>
                    </w:rPr>
                  </w:pPr>
                  <w:r>
                    <w:rPr>
                      <w:rFonts w:hint="eastAsia"/>
                      <w:color w:val="auto"/>
                      <w:szCs w:val="21"/>
                      <w:lang w:val="en-US" w:eastAsia="zh-CN"/>
                    </w:rPr>
                    <w:t>120</w:t>
                  </w:r>
                  <w:r>
                    <w:rPr>
                      <w:color w:val="auto"/>
                      <w:szCs w:val="21"/>
                    </w:rPr>
                    <w:t>μg/m</w:t>
                  </w:r>
                  <w:r>
                    <w:rPr>
                      <w:color w:val="auto"/>
                      <w:szCs w:val="21"/>
                      <w:vertAlign w:val="superscript"/>
                    </w:rPr>
                    <w:t>3</w:t>
                  </w:r>
                </w:p>
              </w:tc>
              <w:tc>
                <w:tcPr>
                  <w:tcW w:w="1830" w:type="pct"/>
                  <w:vMerge w:val="continue"/>
                  <w:noWrap w:val="0"/>
                  <w:vAlign w:val="center"/>
                </w:tcPr>
                <w:p w14:paraId="58B9666D">
                  <w:pPr>
                    <w:adjustRightInd w:val="0"/>
                    <w:snapToGrid w:val="0"/>
                    <w:jc w:val="center"/>
                    <w:rPr>
                      <w:color w:val="auto"/>
                      <w:szCs w:val="21"/>
                    </w:rPr>
                  </w:pPr>
                </w:p>
              </w:tc>
            </w:tr>
            <w:tr w14:paraId="3B2F56D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47E0CCBA">
                  <w:pPr>
                    <w:adjustRightInd w:val="0"/>
                    <w:snapToGrid w:val="0"/>
                    <w:jc w:val="center"/>
                    <w:rPr>
                      <w:color w:val="auto"/>
                      <w:szCs w:val="21"/>
                    </w:rPr>
                  </w:pPr>
                  <w:r>
                    <w:rPr>
                      <w:color w:val="auto"/>
                      <w:szCs w:val="21"/>
                    </w:rPr>
                    <w:t>PM</w:t>
                  </w:r>
                  <w:r>
                    <w:rPr>
                      <w:color w:val="auto"/>
                      <w:szCs w:val="21"/>
                      <w:vertAlign w:val="subscript"/>
                    </w:rPr>
                    <w:t>2.5</w:t>
                  </w:r>
                </w:p>
              </w:tc>
              <w:tc>
                <w:tcPr>
                  <w:tcW w:w="1265" w:type="pct"/>
                  <w:noWrap w:val="0"/>
                  <w:vAlign w:val="center"/>
                </w:tcPr>
                <w:p w14:paraId="024A3BE0">
                  <w:pPr>
                    <w:adjustRightInd w:val="0"/>
                    <w:snapToGrid w:val="0"/>
                    <w:jc w:val="center"/>
                    <w:rPr>
                      <w:color w:val="auto"/>
                      <w:szCs w:val="21"/>
                    </w:rPr>
                  </w:pPr>
                  <w:r>
                    <w:rPr>
                      <w:color w:val="auto"/>
                      <w:szCs w:val="21"/>
                    </w:rPr>
                    <w:t>年平均</w:t>
                  </w:r>
                </w:p>
              </w:tc>
              <w:tc>
                <w:tcPr>
                  <w:tcW w:w="974" w:type="pct"/>
                  <w:noWrap w:val="0"/>
                  <w:vAlign w:val="center"/>
                </w:tcPr>
                <w:p w14:paraId="70C6E8E9">
                  <w:pPr>
                    <w:adjustRightInd w:val="0"/>
                    <w:snapToGrid w:val="0"/>
                    <w:jc w:val="center"/>
                    <w:rPr>
                      <w:color w:val="auto"/>
                      <w:szCs w:val="21"/>
                    </w:rPr>
                  </w:pPr>
                  <w:r>
                    <w:rPr>
                      <w:rFonts w:hint="eastAsia"/>
                      <w:color w:val="auto"/>
                      <w:szCs w:val="21"/>
                      <w:lang w:val="en-US" w:eastAsia="zh-CN"/>
                    </w:rPr>
                    <w:t>30</w:t>
                  </w:r>
                  <w:r>
                    <w:rPr>
                      <w:color w:val="auto"/>
                      <w:szCs w:val="21"/>
                    </w:rPr>
                    <w:t>μg/m</w:t>
                  </w:r>
                  <w:r>
                    <w:rPr>
                      <w:color w:val="auto"/>
                      <w:szCs w:val="21"/>
                      <w:vertAlign w:val="superscript"/>
                    </w:rPr>
                    <w:t>3</w:t>
                  </w:r>
                </w:p>
              </w:tc>
              <w:tc>
                <w:tcPr>
                  <w:tcW w:w="1830" w:type="pct"/>
                  <w:vMerge w:val="continue"/>
                  <w:noWrap w:val="0"/>
                  <w:vAlign w:val="center"/>
                </w:tcPr>
                <w:p w14:paraId="5F27D2E3">
                  <w:pPr>
                    <w:adjustRightInd w:val="0"/>
                    <w:snapToGrid w:val="0"/>
                    <w:jc w:val="center"/>
                    <w:rPr>
                      <w:color w:val="auto"/>
                      <w:szCs w:val="21"/>
                    </w:rPr>
                  </w:pPr>
                </w:p>
              </w:tc>
            </w:tr>
            <w:tr w14:paraId="76405C9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2992E4E9">
                  <w:pPr>
                    <w:adjustRightInd w:val="0"/>
                    <w:snapToGrid w:val="0"/>
                    <w:jc w:val="center"/>
                    <w:rPr>
                      <w:color w:val="auto"/>
                      <w:szCs w:val="21"/>
                    </w:rPr>
                  </w:pPr>
                </w:p>
              </w:tc>
              <w:tc>
                <w:tcPr>
                  <w:tcW w:w="1265" w:type="pct"/>
                  <w:noWrap w:val="0"/>
                  <w:vAlign w:val="center"/>
                </w:tcPr>
                <w:p w14:paraId="499F0AB7">
                  <w:pPr>
                    <w:adjustRightInd w:val="0"/>
                    <w:snapToGrid w:val="0"/>
                    <w:jc w:val="center"/>
                    <w:rPr>
                      <w:color w:val="auto"/>
                      <w:szCs w:val="21"/>
                    </w:rPr>
                  </w:pPr>
                  <w:r>
                    <w:rPr>
                      <w:color w:val="auto"/>
                      <w:szCs w:val="21"/>
                    </w:rPr>
                    <w:t>24小时平均</w:t>
                  </w:r>
                </w:p>
              </w:tc>
              <w:tc>
                <w:tcPr>
                  <w:tcW w:w="974" w:type="pct"/>
                  <w:noWrap w:val="0"/>
                  <w:vAlign w:val="center"/>
                </w:tcPr>
                <w:p w14:paraId="5E6B07C8">
                  <w:pPr>
                    <w:adjustRightInd w:val="0"/>
                    <w:snapToGrid w:val="0"/>
                    <w:jc w:val="center"/>
                    <w:rPr>
                      <w:color w:val="auto"/>
                      <w:szCs w:val="21"/>
                    </w:rPr>
                  </w:pPr>
                  <w:r>
                    <w:rPr>
                      <w:rFonts w:hint="eastAsia"/>
                      <w:color w:val="auto"/>
                      <w:szCs w:val="21"/>
                      <w:lang w:val="en-US" w:eastAsia="zh-CN"/>
                    </w:rPr>
                    <w:t>60</w:t>
                  </w:r>
                  <w:r>
                    <w:rPr>
                      <w:color w:val="auto"/>
                      <w:szCs w:val="21"/>
                    </w:rPr>
                    <w:t>μg/m</w:t>
                  </w:r>
                  <w:r>
                    <w:rPr>
                      <w:color w:val="auto"/>
                      <w:szCs w:val="21"/>
                      <w:vertAlign w:val="superscript"/>
                    </w:rPr>
                    <w:t>3</w:t>
                  </w:r>
                </w:p>
              </w:tc>
              <w:tc>
                <w:tcPr>
                  <w:tcW w:w="1830" w:type="pct"/>
                  <w:vMerge w:val="continue"/>
                  <w:noWrap w:val="0"/>
                  <w:vAlign w:val="center"/>
                </w:tcPr>
                <w:p w14:paraId="56142DDB">
                  <w:pPr>
                    <w:adjustRightInd w:val="0"/>
                    <w:snapToGrid w:val="0"/>
                    <w:jc w:val="center"/>
                    <w:rPr>
                      <w:color w:val="auto"/>
                      <w:szCs w:val="21"/>
                    </w:rPr>
                  </w:pPr>
                </w:p>
              </w:tc>
            </w:tr>
            <w:tr w14:paraId="00CF523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71E4FF1D">
                  <w:pPr>
                    <w:adjustRightInd w:val="0"/>
                    <w:snapToGrid w:val="0"/>
                    <w:jc w:val="center"/>
                    <w:rPr>
                      <w:color w:val="auto"/>
                      <w:szCs w:val="21"/>
                    </w:rPr>
                  </w:pPr>
                  <w:r>
                    <w:rPr>
                      <w:color w:val="auto"/>
                      <w:szCs w:val="21"/>
                    </w:rPr>
                    <w:t>SO</w:t>
                  </w:r>
                  <w:r>
                    <w:rPr>
                      <w:color w:val="auto"/>
                      <w:szCs w:val="21"/>
                      <w:vertAlign w:val="subscript"/>
                    </w:rPr>
                    <w:t>2</w:t>
                  </w:r>
                </w:p>
              </w:tc>
              <w:tc>
                <w:tcPr>
                  <w:tcW w:w="1265" w:type="pct"/>
                  <w:noWrap w:val="0"/>
                  <w:vAlign w:val="center"/>
                </w:tcPr>
                <w:p w14:paraId="63F4F42E">
                  <w:pPr>
                    <w:adjustRightInd w:val="0"/>
                    <w:snapToGrid w:val="0"/>
                    <w:jc w:val="center"/>
                    <w:rPr>
                      <w:color w:val="auto"/>
                      <w:szCs w:val="21"/>
                    </w:rPr>
                  </w:pPr>
                  <w:r>
                    <w:rPr>
                      <w:color w:val="auto"/>
                      <w:szCs w:val="21"/>
                    </w:rPr>
                    <w:t>年平均</w:t>
                  </w:r>
                </w:p>
              </w:tc>
              <w:tc>
                <w:tcPr>
                  <w:tcW w:w="974" w:type="pct"/>
                  <w:noWrap w:val="0"/>
                  <w:vAlign w:val="center"/>
                </w:tcPr>
                <w:p w14:paraId="0C80D04A">
                  <w:pPr>
                    <w:adjustRightInd w:val="0"/>
                    <w:snapToGrid w:val="0"/>
                    <w:jc w:val="center"/>
                    <w:rPr>
                      <w:color w:val="auto"/>
                      <w:szCs w:val="21"/>
                    </w:rPr>
                  </w:pPr>
                  <w:r>
                    <w:rPr>
                      <w:color w:val="auto"/>
                      <w:szCs w:val="21"/>
                    </w:rPr>
                    <w:t>60μg/m</w:t>
                  </w:r>
                  <w:r>
                    <w:rPr>
                      <w:color w:val="auto"/>
                      <w:szCs w:val="21"/>
                      <w:vertAlign w:val="superscript"/>
                    </w:rPr>
                    <w:t>3</w:t>
                  </w:r>
                </w:p>
              </w:tc>
              <w:tc>
                <w:tcPr>
                  <w:tcW w:w="1830" w:type="pct"/>
                  <w:vMerge w:val="continue"/>
                  <w:noWrap w:val="0"/>
                  <w:vAlign w:val="center"/>
                </w:tcPr>
                <w:p w14:paraId="09896D7E">
                  <w:pPr>
                    <w:adjustRightInd w:val="0"/>
                    <w:snapToGrid w:val="0"/>
                    <w:jc w:val="center"/>
                    <w:rPr>
                      <w:color w:val="auto"/>
                      <w:szCs w:val="21"/>
                    </w:rPr>
                  </w:pPr>
                </w:p>
              </w:tc>
            </w:tr>
            <w:tr w14:paraId="57EA76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71376E03">
                  <w:pPr>
                    <w:adjustRightInd w:val="0"/>
                    <w:snapToGrid w:val="0"/>
                    <w:jc w:val="center"/>
                    <w:rPr>
                      <w:color w:val="auto"/>
                      <w:szCs w:val="21"/>
                    </w:rPr>
                  </w:pPr>
                </w:p>
              </w:tc>
              <w:tc>
                <w:tcPr>
                  <w:tcW w:w="1265" w:type="pct"/>
                  <w:noWrap w:val="0"/>
                  <w:vAlign w:val="center"/>
                </w:tcPr>
                <w:p w14:paraId="5ADFCC73">
                  <w:pPr>
                    <w:adjustRightInd w:val="0"/>
                    <w:snapToGrid w:val="0"/>
                    <w:jc w:val="center"/>
                    <w:rPr>
                      <w:color w:val="auto"/>
                      <w:szCs w:val="21"/>
                    </w:rPr>
                  </w:pPr>
                  <w:r>
                    <w:rPr>
                      <w:color w:val="auto"/>
                      <w:szCs w:val="21"/>
                    </w:rPr>
                    <w:t>24小时平均</w:t>
                  </w:r>
                </w:p>
              </w:tc>
              <w:tc>
                <w:tcPr>
                  <w:tcW w:w="974" w:type="pct"/>
                  <w:noWrap w:val="0"/>
                  <w:vAlign w:val="center"/>
                </w:tcPr>
                <w:p w14:paraId="38CED7D6">
                  <w:pPr>
                    <w:adjustRightInd w:val="0"/>
                    <w:snapToGrid w:val="0"/>
                    <w:jc w:val="center"/>
                    <w:rPr>
                      <w:color w:val="auto"/>
                      <w:szCs w:val="21"/>
                    </w:rPr>
                  </w:pPr>
                  <w:r>
                    <w:rPr>
                      <w:color w:val="auto"/>
                      <w:szCs w:val="21"/>
                    </w:rPr>
                    <w:t>150μg/m</w:t>
                  </w:r>
                  <w:r>
                    <w:rPr>
                      <w:color w:val="auto"/>
                      <w:szCs w:val="21"/>
                      <w:vertAlign w:val="superscript"/>
                    </w:rPr>
                    <w:t>3</w:t>
                  </w:r>
                </w:p>
              </w:tc>
              <w:tc>
                <w:tcPr>
                  <w:tcW w:w="1830" w:type="pct"/>
                  <w:vMerge w:val="continue"/>
                  <w:noWrap w:val="0"/>
                  <w:vAlign w:val="center"/>
                </w:tcPr>
                <w:p w14:paraId="7D3642D2">
                  <w:pPr>
                    <w:adjustRightInd w:val="0"/>
                    <w:snapToGrid w:val="0"/>
                    <w:jc w:val="center"/>
                    <w:rPr>
                      <w:color w:val="auto"/>
                      <w:szCs w:val="21"/>
                    </w:rPr>
                  </w:pPr>
                </w:p>
              </w:tc>
            </w:tr>
            <w:tr w14:paraId="7BF1F9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48CB895D">
                  <w:pPr>
                    <w:adjustRightInd w:val="0"/>
                    <w:snapToGrid w:val="0"/>
                    <w:jc w:val="center"/>
                    <w:rPr>
                      <w:color w:val="auto"/>
                      <w:szCs w:val="21"/>
                    </w:rPr>
                  </w:pPr>
                </w:p>
              </w:tc>
              <w:tc>
                <w:tcPr>
                  <w:tcW w:w="1265" w:type="pct"/>
                  <w:noWrap w:val="0"/>
                  <w:vAlign w:val="center"/>
                </w:tcPr>
                <w:p w14:paraId="4C42DB5D">
                  <w:pPr>
                    <w:adjustRightInd w:val="0"/>
                    <w:snapToGrid w:val="0"/>
                    <w:jc w:val="center"/>
                    <w:rPr>
                      <w:color w:val="auto"/>
                      <w:szCs w:val="21"/>
                    </w:rPr>
                  </w:pPr>
                  <w:r>
                    <w:rPr>
                      <w:color w:val="auto"/>
                      <w:szCs w:val="21"/>
                    </w:rPr>
                    <w:t>1小时平均</w:t>
                  </w:r>
                </w:p>
              </w:tc>
              <w:tc>
                <w:tcPr>
                  <w:tcW w:w="974" w:type="pct"/>
                  <w:noWrap w:val="0"/>
                  <w:vAlign w:val="center"/>
                </w:tcPr>
                <w:p w14:paraId="0A99B0A3">
                  <w:pPr>
                    <w:adjustRightInd w:val="0"/>
                    <w:snapToGrid w:val="0"/>
                    <w:jc w:val="center"/>
                    <w:rPr>
                      <w:color w:val="auto"/>
                      <w:szCs w:val="21"/>
                    </w:rPr>
                  </w:pPr>
                  <w:r>
                    <w:rPr>
                      <w:rFonts w:hint="eastAsia"/>
                      <w:color w:val="auto"/>
                      <w:szCs w:val="21"/>
                    </w:rPr>
                    <w:t>500</w:t>
                  </w:r>
                  <w:r>
                    <w:rPr>
                      <w:color w:val="auto"/>
                      <w:szCs w:val="21"/>
                    </w:rPr>
                    <w:t>μg/m</w:t>
                  </w:r>
                  <w:r>
                    <w:rPr>
                      <w:color w:val="auto"/>
                      <w:szCs w:val="21"/>
                      <w:vertAlign w:val="superscript"/>
                    </w:rPr>
                    <w:t>3</w:t>
                  </w:r>
                </w:p>
              </w:tc>
              <w:tc>
                <w:tcPr>
                  <w:tcW w:w="1830" w:type="pct"/>
                  <w:vMerge w:val="continue"/>
                  <w:noWrap w:val="0"/>
                  <w:vAlign w:val="center"/>
                </w:tcPr>
                <w:p w14:paraId="2080135A">
                  <w:pPr>
                    <w:adjustRightInd w:val="0"/>
                    <w:snapToGrid w:val="0"/>
                    <w:jc w:val="center"/>
                    <w:rPr>
                      <w:color w:val="auto"/>
                      <w:szCs w:val="21"/>
                    </w:rPr>
                  </w:pPr>
                </w:p>
              </w:tc>
            </w:tr>
            <w:tr w14:paraId="79A4A3F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7843757D">
                  <w:pPr>
                    <w:adjustRightInd w:val="0"/>
                    <w:snapToGrid w:val="0"/>
                    <w:jc w:val="center"/>
                    <w:rPr>
                      <w:color w:val="auto"/>
                      <w:szCs w:val="21"/>
                    </w:rPr>
                  </w:pPr>
                  <w:r>
                    <w:rPr>
                      <w:color w:val="auto"/>
                      <w:szCs w:val="21"/>
                    </w:rPr>
                    <w:t>NO</w:t>
                  </w:r>
                  <w:r>
                    <w:rPr>
                      <w:color w:val="auto"/>
                      <w:szCs w:val="21"/>
                      <w:vertAlign w:val="subscript"/>
                    </w:rPr>
                    <w:t>2</w:t>
                  </w:r>
                </w:p>
              </w:tc>
              <w:tc>
                <w:tcPr>
                  <w:tcW w:w="1265" w:type="pct"/>
                  <w:noWrap w:val="0"/>
                  <w:vAlign w:val="center"/>
                </w:tcPr>
                <w:p w14:paraId="370D9F8A">
                  <w:pPr>
                    <w:adjustRightInd w:val="0"/>
                    <w:snapToGrid w:val="0"/>
                    <w:jc w:val="center"/>
                    <w:rPr>
                      <w:color w:val="auto"/>
                      <w:szCs w:val="21"/>
                    </w:rPr>
                  </w:pPr>
                  <w:r>
                    <w:rPr>
                      <w:color w:val="auto"/>
                      <w:szCs w:val="21"/>
                    </w:rPr>
                    <w:t>年平均</w:t>
                  </w:r>
                </w:p>
              </w:tc>
              <w:tc>
                <w:tcPr>
                  <w:tcW w:w="974" w:type="pct"/>
                  <w:noWrap w:val="0"/>
                  <w:vAlign w:val="center"/>
                </w:tcPr>
                <w:p w14:paraId="1EEE1241">
                  <w:pPr>
                    <w:adjustRightInd w:val="0"/>
                    <w:snapToGrid w:val="0"/>
                    <w:jc w:val="center"/>
                    <w:rPr>
                      <w:color w:val="auto"/>
                      <w:szCs w:val="21"/>
                    </w:rPr>
                  </w:pPr>
                  <w:r>
                    <w:rPr>
                      <w:color w:val="auto"/>
                      <w:szCs w:val="21"/>
                    </w:rPr>
                    <w:t>40μg/m</w:t>
                  </w:r>
                  <w:r>
                    <w:rPr>
                      <w:color w:val="auto"/>
                      <w:szCs w:val="21"/>
                      <w:vertAlign w:val="superscript"/>
                    </w:rPr>
                    <w:t>3</w:t>
                  </w:r>
                </w:p>
              </w:tc>
              <w:tc>
                <w:tcPr>
                  <w:tcW w:w="1830" w:type="pct"/>
                  <w:vMerge w:val="continue"/>
                  <w:noWrap w:val="0"/>
                  <w:vAlign w:val="center"/>
                </w:tcPr>
                <w:p w14:paraId="024ECA6F">
                  <w:pPr>
                    <w:adjustRightInd w:val="0"/>
                    <w:snapToGrid w:val="0"/>
                    <w:jc w:val="center"/>
                    <w:rPr>
                      <w:color w:val="auto"/>
                      <w:szCs w:val="21"/>
                    </w:rPr>
                  </w:pPr>
                </w:p>
              </w:tc>
            </w:tr>
            <w:tr w14:paraId="0D3FCC3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72C4314F">
                  <w:pPr>
                    <w:adjustRightInd w:val="0"/>
                    <w:snapToGrid w:val="0"/>
                    <w:jc w:val="center"/>
                    <w:rPr>
                      <w:color w:val="auto"/>
                      <w:szCs w:val="21"/>
                    </w:rPr>
                  </w:pPr>
                </w:p>
              </w:tc>
              <w:tc>
                <w:tcPr>
                  <w:tcW w:w="1265" w:type="pct"/>
                  <w:noWrap w:val="0"/>
                  <w:vAlign w:val="center"/>
                </w:tcPr>
                <w:p w14:paraId="0202CC72">
                  <w:pPr>
                    <w:adjustRightInd w:val="0"/>
                    <w:snapToGrid w:val="0"/>
                    <w:jc w:val="center"/>
                    <w:rPr>
                      <w:color w:val="auto"/>
                      <w:szCs w:val="21"/>
                    </w:rPr>
                  </w:pPr>
                  <w:r>
                    <w:rPr>
                      <w:color w:val="auto"/>
                      <w:szCs w:val="21"/>
                    </w:rPr>
                    <w:t>24小时平均</w:t>
                  </w:r>
                </w:p>
              </w:tc>
              <w:tc>
                <w:tcPr>
                  <w:tcW w:w="974" w:type="pct"/>
                  <w:noWrap w:val="0"/>
                  <w:vAlign w:val="center"/>
                </w:tcPr>
                <w:p w14:paraId="3218E5BB">
                  <w:pPr>
                    <w:adjustRightInd w:val="0"/>
                    <w:snapToGrid w:val="0"/>
                    <w:jc w:val="center"/>
                    <w:rPr>
                      <w:color w:val="auto"/>
                      <w:szCs w:val="21"/>
                    </w:rPr>
                  </w:pPr>
                  <w:r>
                    <w:rPr>
                      <w:color w:val="auto"/>
                      <w:szCs w:val="21"/>
                    </w:rPr>
                    <w:t>80μg/m</w:t>
                  </w:r>
                  <w:r>
                    <w:rPr>
                      <w:color w:val="auto"/>
                      <w:szCs w:val="21"/>
                      <w:vertAlign w:val="superscript"/>
                    </w:rPr>
                    <w:t>3</w:t>
                  </w:r>
                </w:p>
              </w:tc>
              <w:tc>
                <w:tcPr>
                  <w:tcW w:w="1830" w:type="pct"/>
                  <w:vMerge w:val="continue"/>
                  <w:noWrap w:val="0"/>
                  <w:vAlign w:val="center"/>
                </w:tcPr>
                <w:p w14:paraId="6088AB24">
                  <w:pPr>
                    <w:adjustRightInd w:val="0"/>
                    <w:snapToGrid w:val="0"/>
                    <w:jc w:val="center"/>
                    <w:rPr>
                      <w:color w:val="auto"/>
                      <w:szCs w:val="21"/>
                    </w:rPr>
                  </w:pPr>
                </w:p>
              </w:tc>
            </w:tr>
            <w:tr w14:paraId="7EEC50A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23FCC7C5">
                  <w:pPr>
                    <w:adjustRightInd w:val="0"/>
                    <w:snapToGrid w:val="0"/>
                    <w:jc w:val="center"/>
                    <w:rPr>
                      <w:color w:val="auto"/>
                      <w:szCs w:val="21"/>
                    </w:rPr>
                  </w:pPr>
                </w:p>
              </w:tc>
              <w:tc>
                <w:tcPr>
                  <w:tcW w:w="1265" w:type="pct"/>
                  <w:noWrap w:val="0"/>
                  <w:vAlign w:val="center"/>
                </w:tcPr>
                <w:p w14:paraId="3DBAB347">
                  <w:pPr>
                    <w:adjustRightInd w:val="0"/>
                    <w:snapToGrid w:val="0"/>
                    <w:jc w:val="center"/>
                    <w:rPr>
                      <w:color w:val="auto"/>
                      <w:szCs w:val="21"/>
                    </w:rPr>
                  </w:pPr>
                  <w:r>
                    <w:rPr>
                      <w:color w:val="auto"/>
                      <w:szCs w:val="21"/>
                    </w:rPr>
                    <w:t>1小时平均</w:t>
                  </w:r>
                </w:p>
              </w:tc>
              <w:tc>
                <w:tcPr>
                  <w:tcW w:w="974" w:type="pct"/>
                  <w:noWrap w:val="0"/>
                  <w:vAlign w:val="center"/>
                </w:tcPr>
                <w:p w14:paraId="45CDE4E3">
                  <w:pPr>
                    <w:adjustRightInd w:val="0"/>
                    <w:snapToGrid w:val="0"/>
                    <w:jc w:val="center"/>
                    <w:rPr>
                      <w:color w:val="auto"/>
                      <w:szCs w:val="21"/>
                    </w:rPr>
                  </w:pPr>
                  <w:r>
                    <w:rPr>
                      <w:color w:val="auto"/>
                      <w:szCs w:val="21"/>
                    </w:rPr>
                    <w:t>200μg/m</w:t>
                  </w:r>
                  <w:r>
                    <w:rPr>
                      <w:color w:val="auto"/>
                      <w:szCs w:val="21"/>
                      <w:vertAlign w:val="superscript"/>
                    </w:rPr>
                    <w:t>3</w:t>
                  </w:r>
                </w:p>
              </w:tc>
              <w:tc>
                <w:tcPr>
                  <w:tcW w:w="1830" w:type="pct"/>
                  <w:vMerge w:val="continue"/>
                  <w:noWrap w:val="0"/>
                  <w:vAlign w:val="center"/>
                </w:tcPr>
                <w:p w14:paraId="72FBB77F">
                  <w:pPr>
                    <w:adjustRightInd w:val="0"/>
                    <w:snapToGrid w:val="0"/>
                    <w:jc w:val="center"/>
                    <w:rPr>
                      <w:color w:val="auto"/>
                      <w:szCs w:val="21"/>
                    </w:rPr>
                  </w:pPr>
                </w:p>
              </w:tc>
            </w:tr>
            <w:tr w14:paraId="3EEF239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4EC08A66">
                  <w:pPr>
                    <w:autoSpaceDN w:val="0"/>
                    <w:adjustRightInd w:val="0"/>
                    <w:snapToGrid w:val="0"/>
                    <w:jc w:val="center"/>
                    <w:textAlignment w:val="center"/>
                    <w:rPr>
                      <w:color w:val="auto"/>
                      <w:szCs w:val="21"/>
                    </w:rPr>
                  </w:pPr>
                  <w:r>
                    <w:rPr>
                      <w:color w:val="auto"/>
                      <w:szCs w:val="21"/>
                      <w:lang w:bidi="ar"/>
                    </w:rPr>
                    <w:t>CO</w:t>
                  </w:r>
                </w:p>
              </w:tc>
              <w:tc>
                <w:tcPr>
                  <w:tcW w:w="1265" w:type="pct"/>
                  <w:noWrap w:val="0"/>
                  <w:vAlign w:val="center"/>
                </w:tcPr>
                <w:p w14:paraId="621ABBE8">
                  <w:pPr>
                    <w:autoSpaceDN w:val="0"/>
                    <w:adjustRightInd w:val="0"/>
                    <w:snapToGrid w:val="0"/>
                    <w:jc w:val="center"/>
                    <w:textAlignment w:val="center"/>
                    <w:rPr>
                      <w:color w:val="auto"/>
                      <w:szCs w:val="21"/>
                    </w:rPr>
                  </w:pPr>
                  <w:r>
                    <w:rPr>
                      <w:color w:val="auto"/>
                      <w:szCs w:val="21"/>
                    </w:rPr>
                    <w:t>24小时平均</w:t>
                  </w:r>
                </w:p>
              </w:tc>
              <w:tc>
                <w:tcPr>
                  <w:tcW w:w="974" w:type="pct"/>
                  <w:noWrap w:val="0"/>
                  <w:vAlign w:val="center"/>
                </w:tcPr>
                <w:p w14:paraId="74D8A32F">
                  <w:pPr>
                    <w:autoSpaceDN w:val="0"/>
                    <w:adjustRightInd w:val="0"/>
                    <w:snapToGrid w:val="0"/>
                    <w:jc w:val="center"/>
                    <w:textAlignment w:val="center"/>
                    <w:rPr>
                      <w:color w:val="auto"/>
                      <w:szCs w:val="21"/>
                    </w:rPr>
                  </w:pPr>
                  <w:r>
                    <w:rPr>
                      <w:color w:val="auto"/>
                      <w:szCs w:val="21"/>
                      <w:lang w:bidi="ar"/>
                    </w:rPr>
                    <w:t>4mg/m</w:t>
                  </w:r>
                  <w:r>
                    <w:rPr>
                      <w:color w:val="auto"/>
                      <w:szCs w:val="21"/>
                      <w:vertAlign w:val="superscript"/>
                      <w:lang w:bidi="ar"/>
                    </w:rPr>
                    <w:t>3</w:t>
                  </w:r>
                </w:p>
              </w:tc>
              <w:tc>
                <w:tcPr>
                  <w:tcW w:w="1830" w:type="pct"/>
                  <w:vMerge w:val="continue"/>
                  <w:noWrap w:val="0"/>
                  <w:vAlign w:val="center"/>
                </w:tcPr>
                <w:p w14:paraId="6418E803">
                  <w:pPr>
                    <w:adjustRightInd w:val="0"/>
                    <w:snapToGrid w:val="0"/>
                    <w:jc w:val="center"/>
                    <w:rPr>
                      <w:color w:val="auto"/>
                      <w:szCs w:val="21"/>
                    </w:rPr>
                  </w:pPr>
                </w:p>
              </w:tc>
            </w:tr>
            <w:tr w14:paraId="0F2EFE5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6AB44DD3">
                  <w:pPr>
                    <w:adjustRightInd w:val="0"/>
                    <w:snapToGrid w:val="0"/>
                    <w:rPr>
                      <w:color w:val="auto"/>
                      <w:szCs w:val="21"/>
                    </w:rPr>
                  </w:pPr>
                </w:p>
              </w:tc>
              <w:tc>
                <w:tcPr>
                  <w:tcW w:w="1265" w:type="pct"/>
                  <w:noWrap w:val="0"/>
                  <w:vAlign w:val="center"/>
                </w:tcPr>
                <w:p w14:paraId="22EAAB47">
                  <w:pPr>
                    <w:autoSpaceDN w:val="0"/>
                    <w:adjustRightInd w:val="0"/>
                    <w:snapToGrid w:val="0"/>
                    <w:jc w:val="center"/>
                    <w:textAlignment w:val="center"/>
                    <w:rPr>
                      <w:color w:val="auto"/>
                      <w:szCs w:val="21"/>
                    </w:rPr>
                  </w:pPr>
                  <w:r>
                    <w:rPr>
                      <w:color w:val="auto"/>
                      <w:szCs w:val="21"/>
                      <w:lang w:bidi="ar"/>
                    </w:rPr>
                    <w:t>1小时平均</w:t>
                  </w:r>
                </w:p>
              </w:tc>
              <w:tc>
                <w:tcPr>
                  <w:tcW w:w="974" w:type="pct"/>
                  <w:noWrap w:val="0"/>
                  <w:vAlign w:val="center"/>
                </w:tcPr>
                <w:p w14:paraId="5AF2D5A4">
                  <w:pPr>
                    <w:autoSpaceDN w:val="0"/>
                    <w:adjustRightInd w:val="0"/>
                    <w:snapToGrid w:val="0"/>
                    <w:jc w:val="center"/>
                    <w:textAlignment w:val="center"/>
                    <w:rPr>
                      <w:color w:val="auto"/>
                      <w:szCs w:val="21"/>
                    </w:rPr>
                  </w:pPr>
                  <w:r>
                    <w:rPr>
                      <w:color w:val="auto"/>
                      <w:szCs w:val="21"/>
                      <w:lang w:bidi="ar"/>
                    </w:rPr>
                    <w:t>10mg/m</w:t>
                  </w:r>
                  <w:r>
                    <w:rPr>
                      <w:color w:val="auto"/>
                      <w:szCs w:val="21"/>
                      <w:vertAlign w:val="superscript"/>
                      <w:lang w:bidi="ar"/>
                    </w:rPr>
                    <w:t>3</w:t>
                  </w:r>
                </w:p>
              </w:tc>
              <w:tc>
                <w:tcPr>
                  <w:tcW w:w="1830" w:type="pct"/>
                  <w:vMerge w:val="continue"/>
                  <w:noWrap w:val="0"/>
                  <w:vAlign w:val="center"/>
                </w:tcPr>
                <w:p w14:paraId="304FF7AF">
                  <w:pPr>
                    <w:adjustRightInd w:val="0"/>
                    <w:snapToGrid w:val="0"/>
                    <w:jc w:val="center"/>
                    <w:rPr>
                      <w:color w:val="auto"/>
                      <w:szCs w:val="21"/>
                    </w:rPr>
                  </w:pPr>
                </w:p>
              </w:tc>
            </w:tr>
            <w:tr w14:paraId="53C766A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7E770448">
                  <w:pPr>
                    <w:autoSpaceDN w:val="0"/>
                    <w:adjustRightInd w:val="0"/>
                    <w:snapToGrid w:val="0"/>
                    <w:jc w:val="center"/>
                    <w:textAlignment w:val="center"/>
                    <w:rPr>
                      <w:color w:val="auto"/>
                      <w:szCs w:val="21"/>
                    </w:rPr>
                  </w:pPr>
                  <w:r>
                    <w:rPr>
                      <w:color w:val="auto"/>
                      <w:szCs w:val="21"/>
                      <w:lang w:bidi="ar"/>
                    </w:rPr>
                    <w:t>O</w:t>
                  </w:r>
                  <w:r>
                    <w:rPr>
                      <w:color w:val="auto"/>
                      <w:szCs w:val="21"/>
                      <w:vertAlign w:val="subscript"/>
                      <w:lang w:bidi="ar"/>
                    </w:rPr>
                    <w:t>3</w:t>
                  </w:r>
                </w:p>
              </w:tc>
              <w:tc>
                <w:tcPr>
                  <w:tcW w:w="1265" w:type="pct"/>
                  <w:noWrap w:val="0"/>
                  <w:vAlign w:val="center"/>
                </w:tcPr>
                <w:p w14:paraId="0FA5A5E3">
                  <w:pPr>
                    <w:autoSpaceDN w:val="0"/>
                    <w:adjustRightInd w:val="0"/>
                    <w:snapToGrid w:val="0"/>
                    <w:jc w:val="center"/>
                    <w:textAlignment w:val="center"/>
                    <w:rPr>
                      <w:color w:val="auto"/>
                      <w:szCs w:val="21"/>
                    </w:rPr>
                  </w:pPr>
                  <w:r>
                    <w:rPr>
                      <w:color w:val="auto"/>
                      <w:szCs w:val="21"/>
                      <w:lang w:bidi="ar"/>
                    </w:rPr>
                    <w:t>日最大8小时平均</w:t>
                  </w:r>
                </w:p>
              </w:tc>
              <w:tc>
                <w:tcPr>
                  <w:tcW w:w="974" w:type="pct"/>
                  <w:noWrap w:val="0"/>
                  <w:vAlign w:val="center"/>
                </w:tcPr>
                <w:p w14:paraId="6F93A76D">
                  <w:pPr>
                    <w:autoSpaceDN w:val="0"/>
                    <w:adjustRightInd w:val="0"/>
                    <w:snapToGrid w:val="0"/>
                    <w:jc w:val="center"/>
                    <w:textAlignment w:val="center"/>
                    <w:rPr>
                      <w:color w:val="auto"/>
                      <w:szCs w:val="21"/>
                    </w:rPr>
                  </w:pPr>
                  <w:r>
                    <w:rPr>
                      <w:color w:val="auto"/>
                      <w:szCs w:val="21"/>
                      <w:lang w:bidi="ar"/>
                    </w:rPr>
                    <w:t>160</w:t>
                  </w:r>
                  <w:r>
                    <w:rPr>
                      <w:color w:val="auto"/>
                      <w:szCs w:val="21"/>
                    </w:rPr>
                    <w:t>μg/m</w:t>
                  </w:r>
                  <w:r>
                    <w:rPr>
                      <w:color w:val="auto"/>
                      <w:szCs w:val="21"/>
                      <w:vertAlign w:val="superscript"/>
                    </w:rPr>
                    <w:t>3</w:t>
                  </w:r>
                </w:p>
              </w:tc>
              <w:tc>
                <w:tcPr>
                  <w:tcW w:w="1830" w:type="pct"/>
                  <w:vMerge w:val="continue"/>
                  <w:noWrap w:val="0"/>
                  <w:vAlign w:val="center"/>
                </w:tcPr>
                <w:p w14:paraId="65C09331">
                  <w:pPr>
                    <w:adjustRightInd w:val="0"/>
                    <w:snapToGrid w:val="0"/>
                    <w:jc w:val="center"/>
                    <w:rPr>
                      <w:color w:val="auto"/>
                      <w:szCs w:val="21"/>
                    </w:rPr>
                  </w:pPr>
                </w:p>
              </w:tc>
            </w:tr>
            <w:tr w14:paraId="107958E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62DC707A">
                  <w:pPr>
                    <w:adjustRightInd w:val="0"/>
                    <w:snapToGrid w:val="0"/>
                    <w:rPr>
                      <w:color w:val="auto"/>
                      <w:szCs w:val="21"/>
                    </w:rPr>
                  </w:pPr>
                </w:p>
              </w:tc>
              <w:tc>
                <w:tcPr>
                  <w:tcW w:w="1265" w:type="pct"/>
                  <w:noWrap w:val="0"/>
                  <w:vAlign w:val="center"/>
                </w:tcPr>
                <w:p w14:paraId="051A7983">
                  <w:pPr>
                    <w:autoSpaceDN w:val="0"/>
                    <w:adjustRightInd w:val="0"/>
                    <w:snapToGrid w:val="0"/>
                    <w:jc w:val="center"/>
                    <w:textAlignment w:val="center"/>
                    <w:rPr>
                      <w:color w:val="auto"/>
                      <w:szCs w:val="21"/>
                    </w:rPr>
                  </w:pPr>
                  <w:r>
                    <w:rPr>
                      <w:color w:val="auto"/>
                      <w:szCs w:val="21"/>
                      <w:lang w:bidi="ar"/>
                    </w:rPr>
                    <w:t>1小时平均</w:t>
                  </w:r>
                </w:p>
              </w:tc>
              <w:tc>
                <w:tcPr>
                  <w:tcW w:w="974" w:type="pct"/>
                  <w:noWrap w:val="0"/>
                  <w:vAlign w:val="center"/>
                </w:tcPr>
                <w:p w14:paraId="75BD07FD">
                  <w:pPr>
                    <w:autoSpaceDN w:val="0"/>
                    <w:adjustRightInd w:val="0"/>
                    <w:snapToGrid w:val="0"/>
                    <w:jc w:val="center"/>
                    <w:textAlignment w:val="center"/>
                    <w:rPr>
                      <w:color w:val="auto"/>
                      <w:szCs w:val="21"/>
                    </w:rPr>
                  </w:pPr>
                  <w:r>
                    <w:rPr>
                      <w:color w:val="auto"/>
                      <w:szCs w:val="21"/>
                      <w:lang w:bidi="ar"/>
                    </w:rPr>
                    <w:t>200</w:t>
                  </w:r>
                  <w:r>
                    <w:rPr>
                      <w:color w:val="auto"/>
                      <w:szCs w:val="21"/>
                    </w:rPr>
                    <w:t>μg/m</w:t>
                  </w:r>
                  <w:r>
                    <w:rPr>
                      <w:color w:val="auto"/>
                      <w:szCs w:val="21"/>
                      <w:vertAlign w:val="superscript"/>
                    </w:rPr>
                    <w:t>3</w:t>
                  </w:r>
                </w:p>
              </w:tc>
              <w:tc>
                <w:tcPr>
                  <w:tcW w:w="1830" w:type="pct"/>
                  <w:vMerge w:val="continue"/>
                  <w:noWrap w:val="0"/>
                  <w:vAlign w:val="center"/>
                </w:tcPr>
                <w:p w14:paraId="3CA12896">
                  <w:pPr>
                    <w:adjustRightInd w:val="0"/>
                    <w:snapToGrid w:val="0"/>
                    <w:jc w:val="center"/>
                    <w:rPr>
                      <w:color w:val="auto"/>
                      <w:szCs w:val="21"/>
                    </w:rPr>
                  </w:pPr>
                </w:p>
              </w:tc>
            </w:tr>
            <w:tr w14:paraId="77B2AC5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restart"/>
                  <w:noWrap w:val="0"/>
                  <w:vAlign w:val="center"/>
                </w:tcPr>
                <w:p w14:paraId="79C49361">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eastAsia" w:ascii="Times New Roman" w:hAnsi="Times New Roman" w:eastAsia="宋体" w:cs="Times New Roman"/>
                      <w:color w:val="auto"/>
                      <w:sz w:val="21"/>
                      <w:szCs w:val="21"/>
                      <w:highlight w:val="none"/>
                      <w:lang w:val="en-US" w:eastAsia="zh-CN"/>
                    </w:rPr>
                    <w:t>TSP</w:t>
                  </w:r>
                </w:p>
              </w:tc>
              <w:tc>
                <w:tcPr>
                  <w:tcW w:w="1265" w:type="pct"/>
                  <w:noWrap w:val="0"/>
                  <w:vAlign w:val="center"/>
                </w:tcPr>
                <w:p w14:paraId="1BD8851A">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年平均</w:t>
                  </w:r>
                </w:p>
              </w:tc>
              <w:tc>
                <w:tcPr>
                  <w:tcW w:w="974" w:type="pct"/>
                  <w:noWrap w:val="0"/>
                  <w:vAlign w:val="center"/>
                </w:tcPr>
                <w:p w14:paraId="30674ADB">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200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830" w:type="pct"/>
                  <w:vMerge w:val="continue"/>
                  <w:noWrap w:val="0"/>
                  <w:vAlign w:val="center"/>
                </w:tcPr>
                <w:p w14:paraId="533D145A">
                  <w:pPr>
                    <w:adjustRightInd w:val="0"/>
                    <w:snapToGrid w:val="0"/>
                    <w:jc w:val="center"/>
                    <w:rPr>
                      <w:color w:val="auto"/>
                      <w:szCs w:val="21"/>
                    </w:rPr>
                  </w:pPr>
                </w:p>
              </w:tc>
            </w:tr>
            <w:tr w14:paraId="1AD0A2B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vMerge w:val="continue"/>
                  <w:noWrap w:val="0"/>
                  <w:vAlign w:val="center"/>
                </w:tcPr>
                <w:p w14:paraId="69404447">
                  <w:pPr>
                    <w:keepNext w:val="0"/>
                    <w:keepLines w:val="0"/>
                    <w:pageBreakBefore w:val="0"/>
                    <w:widowControl w:val="0"/>
                    <w:kinsoku/>
                    <w:wordWrap/>
                    <w:overflowPunct/>
                    <w:topLinePunct w:val="0"/>
                    <w:autoSpaceDE/>
                    <w:bidi w:val="0"/>
                    <w:adjustRightInd w:val="0"/>
                    <w:snapToGrid w:val="0"/>
                    <w:spacing w:line="340" w:lineRule="exact"/>
                    <w:ind w:firstLine="0" w:firstLineChars="0"/>
                    <w:rPr>
                      <w:color w:val="auto"/>
                      <w:szCs w:val="21"/>
                    </w:rPr>
                  </w:pPr>
                </w:p>
              </w:tc>
              <w:tc>
                <w:tcPr>
                  <w:tcW w:w="1265" w:type="pct"/>
                  <w:noWrap w:val="0"/>
                  <w:vAlign w:val="center"/>
                </w:tcPr>
                <w:p w14:paraId="61B6B60B">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default" w:ascii="Times New Roman" w:hAnsi="Times New Roman" w:eastAsia="宋体" w:cs="Times New Roman"/>
                      <w:color w:val="auto"/>
                      <w:sz w:val="21"/>
                      <w:szCs w:val="21"/>
                      <w:highlight w:val="none"/>
                    </w:rPr>
                    <w:t>24小时平均</w:t>
                  </w:r>
                </w:p>
              </w:tc>
              <w:tc>
                <w:tcPr>
                  <w:tcW w:w="974" w:type="pct"/>
                  <w:noWrap w:val="0"/>
                  <w:vAlign w:val="center"/>
                </w:tcPr>
                <w:p w14:paraId="2D7E3304">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340" w:lineRule="exact"/>
                    <w:ind w:left="0" w:leftChars="0" w:right="0" w:rightChars="0" w:firstLine="0" w:firstLineChars="0"/>
                    <w:jc w:val="center"/>
                    <w:textAlignment w:val="center"/>
                    <w:rPr>
                      <w:color w:val="auto"/>
                      <w:szCs w:val="21"/>
                      <w:lang w:bidi="ar"/>
                    </w:rPr>
                  </w:pPr>
                  <w:r>
                    <w:rPr>
                      <w:rFonts w:hint="eastAsia" w:ascii="Times New Roman" w:hAnsi="Times New Roman" w:eastAsia="宋体"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00</w:t>
                  </w: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830" w:type="pct"/>
                  <w:vMerge w:val="continue"/>
                  <w:noWrap w:val="0"/>
                  <w:vAlign w:val="center"/>
                </w:tcPr>
                <w:p w14:paraId="69EA5797">
                  <w:pPr>
                    <w:adjustRightInd w:val="0"/>
                    <w:snapToGrid w:val="0"/>
                    <w:jc w:val="center"/>
                    <w:rPr>
                      <w:color w:val="auto"/>
                      <w:szCs w:val="21"/>
                    </w:rPr>
                  </w:pPr>
                </w:p>
              </w:tc>
            </w:tr>
            <w:tr w14:paraId="2EF4D4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29" w:type="pct"/>
                  <w:noWrap w:val="0"/>
                  <w:vAlign w:val="center"/>
                </w:tcPr>
                <w:p w14:paraId="1BE73492">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default" w:ascii="Times New Roman" w:hAnsi="Times New Roman" w:eastAsia="宋体" w:cs="Times New Roman"/>
                      <w:color w:val="auto"/>
                      <w:sz w:val="21"/>
                      <w:szCs w:val="21"/>
                      <w:highlight w:val="none"/>
                      <w:lang w:eastAsia="zh-CN"/>
                    </w:rPr>
                    <w:t>非甲烷总烃</w:t>
                  </w:r>
                </w:p>
              </w:tc>
              <w:tc>
                <w:tcPr>
                  <w:tcW w:w="1265" w:type="pct"/>
                  <w:noWrap w:val="0"/>
                  <w:vAlign w:val="center"/>
                </w:tcPr>
                <w:p w14:paraId="571C7097">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lang w:bidi="ar"/>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小时均值</w:t>
                  </w:r>
                </w:p>
              </w:tc>
              <w:tc>
                <w:tcPr>
                  <w:tcW w:w="974" w:type="pct"/>
                  <w:noWrap w:val="0"/>
                  <w:vAlign w:val="center"/>
                </w:tcPr>
                <w:p w14:paraId="44D88F13">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lang w:bidi="ar"/>
                    </w:rPr>
                  </w:pPr>
                  <w:r>
                    <w:rPr>
                      <w:rFonts w:hint="default" w:ascii="Times New Roman" w:hAnsi="Times New Roman" w:cs="Times New Roman"/>
                      <w:color w:val="auto"/>
                      <w:sz w:val="21"/>
                      <w:szCs w:val="21"/>
                      <w:highlight w:val="none"/>
                    </w:rPr>
                    <w:t>2.0mg/m</w:t>
                  </w:r>
                  <w:r>
                    <w:rPr>
                      <w:rFonts w:hint="default" w:ascii="Times New Roman" w:hAnsi="Times New Roman" w:cs="Times New Roman"/>
                      <w:color w:val="auto"/>
                      <w:sz w:val="21"/>
                      <w:szCs w:val="21"/>
                      <w:highlight w:val="none"/>
                      <w:vertAlign w:val="superscript"/>
                    </w:rPr>
                    <w:t>3</w:t>
                  </w:r>
                </w:p>
              </w:tc>
              <w:tc>
                <w:tcPr>
                  <w:tcW w:w="1830" w:type="pct"/>
                  <w:noWrap w:val="0"/>
                  <w:vAlign w:val="center"/>
                </w:tcPr>
                <w:p w14:paraId="7B6B344C">
                  <w:pPr>
                    <w:keepNext w:val="0"/>
                    <w:keepLines w:val="0"/>
                    <w:pageBreakBefore w:val="0"/>
                    <w:widowControl w:val="0"/>
                    <w:kinsoku/>
                    <w:wordWrap/>
                    <w:overflowPunct/>
                    <w:topLinePunct w:val="0"/>
                    <w:autoSpaceDE/>
                    <w:bidi w:val="0"/>
                    <w:adjustRightInd w:val="0"/>
                    <w:snapToGrid w:val="0"/>
                    <w:spacing w:line="340" w:lineRule="exact"/>
                    <w:ind w:firstLine="0" w:firstLineChars="0"/>
                    <w:jc w:val="center"/>
                    <w:rPr>
                      <w:color w:val="auto"/>
                      <w:szCs w:val="21"/>
                    </w:rPr>
                  </w:pPr>
                  <w:r>
                    <w:rPr>
                      <w:rFonts w:hint="default" w:ascii="Times New Roman" w:hAnsi="Times New Roman" w:cs="Times New Roman"/>
                      <w:color w:val="auto"/>
                      <w:sz w:val="21"/>
                      <w:szCs w:val="21"/>
                      <w:highlight w:val="none"/>
                    </w:rPr>
                    <w:t>《大气污染物综合排放标准详解》(GB16297-1996)</w:t>
                  </w:r>
                </w:p>
              </w:tc>
            </w:tr>
          </w:tbl>
          <w:p w14:paraId="09D3108B">
            <w:pPr>
              <w:pStyle w:val="4"/>
              <w:bidi w:val="0"/>
              <w:rPr>
                <w:rFonts w:hint="default"/>
                <w:color w:val="auto"/>
              </w:rPr>
            </w:pPr>
            <w:r>
              <w:rPr>
                <w:rFonts w:hint="default"/>
                <w:color w:val="auto"/>
              </w:rPr>
              <w:t>3.1.2区域大气环境质量现状</w:t>
            </w:r>
          </w:p>
          <w:p w14:paraId="06A714A1">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color w:val="auto"/>
                <w:sz w:val="24"/>
              </w:rPr>
              <w:t>城市达标区域判断</w:t>
            </w:r>
          </w:p>
          <w:p w14:paraId="029C16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0"/>
                <w:sz w:val="24"/>
                <w:lang w:val="en-US" w:eastAsia="zh-CN"/>
              </w:rPr>
            </w:pPr>
            <w:r>
              <w:rPr>
                <w:rFonts w:hint="default" w:ascii="Times New Roman" w:hAnsi="Times New Roman" w:eastAsia="宋体" w:cs="Times New Roman"/>
                <w:color w:val="auto"/>
                <w:sz w:val="24"/>
                <w:szCs w:val="24"/>
              </w:rPr>
              <w:t>城市环境</w:t>
            </w:r>
            <w:r>
              <w:rPr>
                <w:rFonts w:hint="default" w:ascii="Times New Roman" w:hAnsi="Times New Roman" w:eastAsia="宋体" w:cs="Times New Roman"/>
                <w:color w:val="auto"/>
                <w:sz w:val="24"/>
              </w:rPr>
              <w:t>空气</w:t>
            </w:r>
            <w:r>
              <w:rPr>
                <w:rFonts w:hint="default" w:ascii="Times New Roman" w:hAnsi="Times New Roman" w:eastAsia="宋体" w:cs="Times New Roman"/>
                <w:color w:val="auto"/>
                <w:sz w:val="24"/>
                <w:szCs w:val="24"/>
              </w:rPr>
              <w:t>质量达标情况评价指标为SO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lang w:val="en-US" w:eastAsia="zh-CN"/>
              </w:rPr>
              <w:t>六项污染物全部达标即为城市环境空气质量达标。根据福州市福清生态环境局发布的2025年1月至2025年12月空气质量月报数据</w:t>
            </w:r>
            <w:r>
              <w:rPr>
                <w:rFonts w:hint="eastAsia" w:cs="Times New Roman"/>
                <w:color w:val="auto"/>
                <w:kern w:val="0"/>
                <w:sz w:val="24"/>
                <w:lang w:val="en-US" w:eastAsia="zh-CN"/>
              </w:rPr>
              <w:t>。</w:t>
            </w:r>
          </w:p>
          <w:p w14:paraId="2AB318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kern w:val="0"/>
                <w:sz w:val="24"/>
                <w:lang w:val="en-US" w:eastAsia="zh-CN"/>
              </w:rPr>
            </w:pPr>
          </w:p>
          <w:p w14:paraId="027A1AA2">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zh-CN" w:eastAsia="zh-CN"/>
              </w:rPr>
            </w:pPr>
            <w:r>
              <w:rPr>
                <w:rFonts w:hint="default" w:ascii="Times New Roman" w:hAnsi="Times New Roman" w:eastAsia="黑体" w:cs="Times New Roman"/>
                <w:color w:val="auto"/>
                <w:kern w:val="2"/>
                <w:lang w:val="zh-CN" w:eastAsia="zh-CN"/>
              </w:rPr>
              <w:t>表3-</w:t>
            </w:r>
            <w:r>
              <w:rPr>
                <w:rFonts w:hint="eastAsia" w:ascii="Times New Roman" w:hAnsi="Times New Roman" w:eastAsia="黑体" w:cs="Times New Roman"/>
                <w:color w:val="auto"/>
                <w:kern w:val="2"/>
                <w:lang w:val="en-US" w:eastAsia="zh-CN"/>
              </w:rPr>
              <w:t xml:space="preserve">2  </w:t>
            </w:r>
            <w:r>
              <w:rPr>
                <w:rFonts w:hint="eastAsia" w:ascii="Times New Roman" w:hAnsi="Times New Roman" w:eastAsia="黑体" w:cs="Times New Roman"/>
                <w:color w:val="auto"/>
                <w:kern w:val="2"/>
                <w:lang w:val="zh-CN" w:eastAsia="zh-CN"/>
              </w:rPr>
              <w:t>福清市2025年1月份～2025年12月份环境空气质量统计</w:t>
            </w:r>
          </w:p>
          <w:tbl>
            <w:tblPr>
              <w:tblStyle w:val="159"/>
              <w:tblW w:w="86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142"/>
              <w:gridCol w:w="1142"/>
              <w:gridCol w:w="1142"/>
              <w:gridCol w:w="1578"/>
              <w:gridCol w:w="1090"/>
              <w:gridCol w:w="1147"/>
            </w:tblGrid>
            <w:tr w14:paraId="6E003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179CA54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时间</w:t>
                  </w:r>
                </w:p>
              </w:tc>
              <w:tc>
                <w:tcPr>
                  <w:tcW w:w="1142" w:type="dxa"/>
                  <w:vAlign w:val="center"/>
                </w:tcPr>
                <w:p w14:paraId="5F8417B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p>
                <w:p w14:paraId="347E400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2" w:type="dxa"/>
                  <w:vAlign w:val="center"/>
                </w:tcPr>
                <w:p w14:paraId="2E323F9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2</w:t>
                  </w:r>
                </w:p>
                <w:p w14:paraId="487B5B8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2" w:type="dxa"/>
                  <w:vAlign w:val="center"/>
                </w:tcPr>
                <w:p w14:paraId="2554D59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10</w:t>
                  </w:r>
                </w:p>
                <w:p w14:paraId="7DAAB22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578" w:type="dxa"/>
                  <w:vAlign w:val="center"/>
                </w:tcPr>
                <w:p w14:paraId="12C383F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2.5</w:t>
                  </w: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090" w:type="dxa"/>
                  <w:vAlign w:val="center"/>
                </w:tcPr>
                <w:p w14:paraId="13DDA13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w:t>
                  </w:r>
                </w:p>
                <w:p w14:paraId="564A5E6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c>
                <w:tcPr>
                  <w:tcW w:w="1147" w:type="dxa"/>
                  <w:vAlign w:val="center"/>
                </w:tcPr>
                <w:p w14:paraId="6DC2F25B">
                  <w:pPr>
                    <w:widowControl w:val="0"/>
                    <w:topLinePunct/>
                    <w:spacing w:after="0" w:line="240" w:lineRule="auto"/>
                    <w:jc w:val="center"/>
                    <w:rPr>
                      <w:rFonts w:ascii="Times New Roman" w:hAnsi="Times New Roman" w:eastAsia="宋体" w:cs="Times New Roman"/>
                      <w:color w:val="auto"/>
                      <w:sz w:val="21"/>
                      <w:szCs w:val="21"/>
                      <w:vertAlign w:val="subscript"/>
                    </w:rPr>
                  </w:pP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3</w:t>
                  </w:r>
                </w:p>
                <w:p w14:paraId="5E3FB6D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（mg/m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w:t>
                  </w:r>
                </w:p>
              </w:tc>
            </w:tr>
            <w:tr w14:paraId="42211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29C2E4D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年1月</w:t>
                  </w:r>
                </w:p>
              </w:tc>
              <w:tc>
                <w:tcPr>
                  <w:tcW w:w="1142" w:type="dxa"/>
                  <w:vAlign w:val="center"/>
                </w:tcPr>
                <w:p w14:paraId="32B4344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0.003</w:t>
                  </w:r>
                </w:p>
              </w:tc>
              <w:tc>
                <w:tcPr>
                  <w:tcW w:w="1142" w:type="dxa"/>
                  <w:vAlign w:val="center"/>
                </w:tcPr>
                <w:p w14:paraId="65522AF0">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11</w:t>
                  </w:r>
                </w:p>
              </w:tc>
              <w:tc>
                <w:tcPr>
                  <w:tcW w:w="1142" w:type="dxa"/>
                  <w:vAlign w:val="center"/>
                </w:tcPr>
                <w:p w14:paraId="1CDCF5D7">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0.04</w:t>
                  </w:r>
                  <w:r>
                    <w:rPr>
                      <w:rFonts w:hint="eastAsia" w:cs="Times New Roman"/>
                      <w:color w:val="auto"/>
                      <w:sz w:val="21"/>
                      <w:szCs w:val="21"/>
                      <w:lang w:val="en-US" w:eastAsia="zh-CN"/>
                    </w:rPr>
                    <w:t>3</w:t>
                  </w:r>
                </w:p>
              </w:tc>
              <w:tc>
                <w:tcPr>
                  <w:tcW w:w="1578" w:type="dxa"/>
                  <w:vAlign w:val="center"/>
                </w:tcPr>
                <w:p w14:paraId="4C6EE717">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23</w:t>
                  </w:r>
                </w:p>
              </w:tc>
              <w:tc>
                <w:tcPr>
                  <w:tcW w:w="1090" w:type="dxa"/>
                  <w:vAlign w:val="center"/>
                </w:tcPr>
                <w:p w14:paraId="6B6EC3C5">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61309D38">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w:t>
                  </w:r>
                  <w:r>
                    <w:rPr>
                      <w:rFonts w:hint="eastAsia" w:cs="Times New Roman"/>
                      <w:color w:val="auto"/>
                      <w:sz w:val="21"/>
                      <w:szCs w:val="21"/>
                      <w:lang w:val="en-US" w:eastAsia="zh-CN"/>
                    </w:rPr>
                    <w:t>09</w:t>
                  </w:r>
                </w:p>
              </w:tc>
            </w:tr>
            <w:tr w14:paraId="21658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6D433D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年2月</w:t>
                  </w:r>
                </w:p>
              </w:tc>
              <w:tc>
                <w:tcPr>
                  <w:tcW w:w="1142" w:type="dxa"/>
                  <w:vAlign w:val="center"/>
                </w:tcPr>
                <w:p w14:paraId="3DE6DFF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2</w:t>
                  </w:r>
                </w:p>
              </w:tc>
              <w:tc>
                <w:tcPr>
                  <w:tcW w:w="1142" w:type="dxa"/>
                  <w:vAlign w:val="center"/>
                </w:tcPr>
                <w:p w14:paraId="354B5AA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11</w:t>
                  </w:r>
                </w:p>
              </w:tc>
              <w:tc>
                <w:tcPr>
                  <w:tcW w:w="1142" w:type="dxa"/>
                  <w:vAlign w:val="center"/>
                </w:tcPr>
                <w:p w14:paraId="6B873AAF">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w:t>
                  </w:r>
                  <w:r>
                    <w:rPr>
                      <w:rFonts w:hint="eastAsia" w:cs="Times New Roman"/>
                      <w:color w:val="auto"/>
                      <w:sz w:val="21"/>
                      <w:szCs w:val="21"/>
                      <w:lang w:val="en-US" w:eastAsia="zh-CN"/>
                    </w:rPr>
                    <w:t>34</w:t>
                  </w:r>
                </w:p>
              </w:tc>
              <w:tc>
                <w:tcPr>
                  <w:tcW w:w="1578" w:type="dxa"/>
                  <w:vAlign w:val="center"/>
                </w:tcPr>
                <w:p w14:paraId="7CEEF4C8">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w:t>
                  </w:r>
                  <w:r>
                    <w:rPr>
                      <w:rFonts w:hint="eastAsia" w:cs="Times New Roman"/>
                      <w:color w:val="auto"/>
                      <w:sz w:val="21"/>
                      <w:szCs w:val="21"/>
                      <w:lang w:val="en-US" w:eastAsia="zh-CN"/>
                    </w:rPr>
                    <w:t>4</w:t>
                  </w:r>
                </w:p>
              </w:tc>
              <w:tc>
                <w:tcPr>
                  <w:tcW w:w="1090" w:type="dxa"/>
                  <w:vAlign w:val="center"/>
                </w:tcPr>
                <w:p w14:paraId="63F94984">
                  <w:pPr>
                    <w:widowControl w:val="0"/>
                    <w:topLinePunct/>
                    <w:spacing w:after="0" w:line="240" w:lineRule="auto"/>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0.6</w:t>
                  </w:r>
                </w:p>
              </w:tc>
              <w:tc>
                <w:tcPr>
                  <w:tcW w:w="1147" w:type="dxa"/>
                  <w:vAlign w:val="center"/>
                </w:tcPr>
                <w:p w14:paraId="2ECC43DE">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091</w:t>
                  </w:r>
                </w:p>
              </w:tc>
            </w:tr>
            <w:tr w14:paraId="69408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01134ED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年3月</w:t>
                  </w:r>
                </w:p>
              </w:tc>
              <w:tc>
                <w:tcPr>
                  <w:tcW w:w="1142" w:type="dxa"/>
                  <w:vAlign w:val="center"/>
                </w:tcPr>
                <w:p w14:paraId="59E0B81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43A2340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09</w:t>
                  </w:r>
                </w:p>
              </w:tc>
              <w:tc>
                <w:tcPr>
                  <w:tcW w:w="1142" w:type="dxa"/>
                  <w:vAlign w:val="center"/>
                </w:tcPr>
                <w:p w14:paraId="2CED92B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35</w:t>
                  </w:r>
                </w:p>
              </w:tc>
              <w:tc>
                <w:tcPr>
                  <w:tcW w:w="1578" w:type="dxa"/>
                  <w:vAlign w:val="center"/>
                </w:tcPr>
                <w:p w14:paraId="4102DEC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17</w:t>
                  </w:r>
                </w:p>
              </w:tc>
              <w:tc>
                <w:tcPr>
                  <w:tcW w:w="1090" w:type="dxa"/>
                  <w:vAlign w:val="center"/>
                </w:tcPr>
                <w:p w14:paraId="31E8A4FD">
                  <w:pPr>
                    <w:widowControl w:val="0"/>
                    <w:topLinePunct/>
                    <w:spacing w:after="0" w:line="240" w:lineRule="auto"/>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0.8</w:t>
                  </w:r>
                </w:p>
              </w:tc>
              <w:tc>
                <w:tcPr>
                  <w:tcW w:w="1147" w:type="dxa"/>
                  <w:vAlign w:val="center"/>
                </w:tcPr>
                <w:p w14:paraId="3178A40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1</w:t>
                  </w:r>
                  <w:r>
                    <w:rPr>
                      <w:rFonts w:hint="eastAsia" w:cs="Times New Roman"/>
                      <w:color w:val="auto"/>
                      <w:sz w:val="21"/>
                      <w:szCs w:val="21"/>
                      <w:lang w:val="en-US" w:eastAsia="zh-CN"/>
                    </w:rPr>
                    <w:t>33</w:t>
                  </w:r>
                </w:p>
              </w:tc>
            </w:tr>
            <w:tr w14:paraId="4BE08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7C860A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年4月</w:t>
                  </w:r>
                </w:p>
              </w:tc>
              <w:tc>
                <w:tcPr>
                  <w:tcW w:w="1142" w:type="dxa"/>
                  <w:vAlign w:val="center"/>
                </w:tcPr>
                <w:p w14:paraId="33F3231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2</w:t>
                  </w:r>
                </w:p>
              </w:tc>
              <w:tc>
                <w:tcPr>
                  <w:tcW w:w="1142" w:type="dxa"/>
                  <w:vAlign w:val="center"/>
                </w:tcPr>
                <w:p w14:paraId="14BE4A6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5</w:t>
                  </w:r>
                </w:p>
              </w:tc>
              <w:tc>
                <w:tcPr>
                  <w:tcW w:w="1142" w:type="dxa"/>
                  <w:vAlign w:val="center"/>
                </w:tcPr>
                <w:p w14:paraId="46A3015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0.04</w:t>
                  </w:r>
                  <w:r>
                    <w:rPr>
                      <w:rFonts w:hint="eastAsia" w:cs="Times New Roman"/>
                      <w:color w:val="auto"/>
                      <w:sz w:val="21"/>
                      <w:szCs w:val="21"/>
                      <w:lang w:val="en-US" w:eastAsia="zh-CN"/>
                    </w:rPr>
                    <w:t>5</w:t>
                  </w:r>
                </w:p>
              </w:tc>
              <w:tc>
                <w:tcPr>
                  <w:tcW w:w="1578" w:type="dxa"/>
                  <w:vAlign w:val="center"/>
                </w:tcPr>
                <w:p w14:paraId="35CE132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cs="Times New Roman"/>
                      <w:color w:val="auto"/>
                      <w:sz w:val="21"/>
                      <w:szCs w:val="21"/>
                      <w:lang w:val="en-US" w:eastAsia="zh-CN"/>
                    </w:rPr>
                    <w:t>4</w:t>
                  </w:r>
                </w:p>
              </w:tc>
              <w:tc>
                <w:tcPr>
                  <w:tcW w:w="1090" w:type="dxa"/>
                  <w:vAlign w:val="center"/>
                </w:tcPr>
                <w:p w14:paraId="4C7EAD6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8</w:t>
                  </w:r>
                </w:p>
              </w:tc>
              <w:tc>
                <w:tcPr>
                  <w:tcW w:w="1147" w:type="dxa"/>
                  <w:vAlign w:val="center"/>
                </w:tcPr>
                <w:p w14:paraId="5110174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44</w:t>
                  </w:r>
                </w:p>
              </w:tc>
            </w:tr>
            <w:tr w14:paraId="6A6B4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2DAF6EE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年5月</w:t>
                  </w:r>
                </w:p>
              </w:tc>
              <w:tc>
                <w:tcPr>
                  <w:tcW w:w="1142" w:type="dxa"/>
                  <w:vAlign w:val="center"/>
                </w:tcPr>
                <w:p w14:paraId="6591725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56013E3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1</w:t>
                  </w:r>
                </w:p>
              </w:tc>
              <w:tc>
                <w:tcPr>
                  <w:tcW w:w="1142" w:type="dxa"/>
                  <w:vAlign w:val="center"/>
                </w:tcPr>
                <w:p w14:paraId="3E33A14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34</w:t>
                  </w:r>
                </w:p>
              </w:tc>
              <w:tc>
                <w:tcPr>
                  <w:tcW w:w="1578" w:type="dxa"/>
                  <w:vAlign w:val="center"/>
                </w:tcPr>
                <w:p w14:paraId="5F23288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20</w:t>
                  </w:r>
                </w:p>
              </w:tc>
              <w:tc>
                <w:tcPr>
                  <w:tcW w:w="1090" w:type="dxa"/>
                  <w:vAlign w:val="center"/>
                </w:tcPr>
                <w:p w14:paraId="0ADA8D4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7</w:t>
                  </w:r>
                </w:p>
              </w:tc>
              <w:tc>
                <w:tcPr>
                  <w:tcW w:w="1147" w:type="dxa"/>
                  <w:vAlign w:val="center"/>
                </w:tcPr>
                <w:p w14:paraId="675E723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44</w:t>
                  </w:r>
                </w:p>
              </w:tc>
            </w:tr>
            <w:tr w14:paraId="276FB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8318BB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年6月</w:t>
                  </w:r>
                </w:p>
              </w:tc>
              <w:tc>
                <w:tcPr>
                  <w:tcW w:w="1142" w:type="dxa"/>
                  <w:vAlign w:val="center"/>
                </w:tcPr>
                <w:p w14:paraId="5B4EFBC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1C511B5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07</w:t>
                  </w:r>
                </w:p>
              </w:tc>
              <w:tc>
                <w:tcPr>
                  <w:tcW w:w="1142" w:type="dxa"/>
                  <w:vAlign w:val="center"/>
                </w:tcPr>
                <w:p w14:paraId="4FDEC73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ascii="Times New Roman" w:hAnsi="Times New Roman" w:eastAsia="宋体" w:cs="Times New Roman"/>
                      <w:color w:val="auto"/>
                      <w:sz w:val="21"/>
                      <w:szCs w:val="21"/>
                    </w:rPr>
                    <w:t>2</w:t>
                  </w:r>
                </w:p>
              </w:tc>
              <w:tc>
                <w:tcPr>
                  <w:tcW w:w="1578" w:type="dxa"/>
                  <w:vAlign w:val="center"/>
                </w:tcPr>
                <w:p w14:paraId="52EC69A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11</w:t>
                  </w:r>
                </w:p>
              </w:tc>
              <w:tc>
                <w:tcPr>
                  <w:tcW w:w="1090" w:type="dxa"/>
                  <w:vAlign w:val="center"/>
                </w:tcPr>
                <w:p w14:paraId="3D1F8EC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0.6</w:t>
                  </w:r>
                </w:p>
              </w:tc>
              <w:tc>
                <w:tcPr>
                  <w:tcW w:w="1147" w:type="dxa"/>
                  <w:vAlign w:val="center"/>
                </w:tcPr>
                <w:p w14:paraId="428C1EC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20</w:t>
                  </w:r>
                </w:p>
              </w:tc>
            </w:tr>
            <w:tr w14:paraId="2356E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6A6C9B4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年7月</w:t>
                  </w:r>
                </w:p>
              </w:tc>
              <w:tc>
                <w:tcPr>
                  <w:tcW w:w="1142" w:type="dxa"/>
                  <w:vAlign w:val="center"/>
                </w:tcPr>
                <w:p w14:paraId="005F11D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44B5124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0.008</w:t>
                  </w:r>
                </w:p>
              </w:tc>
              <w:tc>
                <w:tcPr>
                  <w:tcW w:w="1142" w:type="dxa"/>
                  <w:vAlign w:val="center"/>
                </w:tcPr>
                <w:p w14:paraId="245CA6C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020</w:t>
                  </w:r>
                </w:p>
              </w:tc>
              <w:tc>
                <w:tcPr>
                  <w:tcW w:w="1578" w:type="dxa"/>
                  <w:vAlign w:val="center"/>
                </w:tcPr>
                <w:p w14:paraId="6A35D49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08</w:t>
                  </w:r>
                </w:p>
              </w:tc>
              <w:tc>
                <w:tcPr>
                  <w:tcW w:w="1090" w:type="dxa"/>
                  <w:vAlign w:val="center"/>
                </w:tcPr>
                <w:p w14:paraId="71142B5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4</w:t>
                  </w:r>
                </w:p>
              </w:tc>
              <w:tc>
                <w:tcPr>
                  <w:tcW w:w="1147" w:type="dxa"/>
                  <w:vAlign w:val="center"/>
                </w:tcPr>
                <w:p w14:paraId="4B9BB941">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4</w:t>
                  </w:r>
                </w:p>
              </w:tc>
            </w:tr>
            <w:tr w14:paraId="49D82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3CDC730">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年8月</w:t>
                  </w:r>
                </w:p>
              </w:tc>
              <w:tc>
                <w:tcPr>
                  <w:tcW w:w="1142" w:type="dxa"/>
                  <w:vAlign w:val="center"/>
                </w:tcPr>
                <w:p w14:paraId="00710B3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3175CD7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rPr>
                    <w:t>09</w:t>
                  </w:r>
                </w:p>
              </w:tc>
              <w:tc>
                <w:tcPr>
                  <w:tcW w:w="1142" w:type="dxa"/>
                  <w:vAlign w:val="center"/>
                </w:tcPr>
                <w:p w14:paraId="477E944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21</w:t>
                  </w:r>
                </w:p>
              </w:tc>
              <w:tc>
                <w:tcPr>
                  <w:tcW w:w="1578" w:type="dxa"/>
                  <w:vAlign w:val="center"/>
                </w:tcPr>
                <w:p w14:paraId="3DBE19D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09</w:t>
                  </w:r>
                </w:p>
              </w:tc>
              <w:tc>
                <w:tcPr>
                  <w:tcW w:w="1090" w:type="dxa"/>
                  <w:vAlign w:val="center"/>
                </w:tcPr>
                <w:p w14:paraId="327E67AD">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4</w:t>
                  </w:r>
                </w:p>
              </w:tc>
              <w:tc>
                <w:tcPr>
                  <w:tcW w:w="1147" w:type="dxa"/>
                  <w:vAlign w:val="center"/>
                </w:tcPr>
                <w:p w14:paraId="1DB8DA4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01</w:t>
                  </w:r>
                </w:p>
              </w:tc>
            </w:tr>
            <w:tr w14:paraId="082A4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6B74E3A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年9月</w:t>
                  </w:r>
                </w:p>
              </w:tc>
              <w:tc>
                <w:tcPr>
                  <w:tcW w:w="1142" w:type="dxa"/>
                  <w:vAlign w:val="center"/>
                </w:tcPr>
                <w:p w14:paraId="11FAB62C">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0.002</w:t>
                  </w:r>
                </w:p>
              </w:tc>
              <w:tc>
                <w:tcPr>
                  <w:tcW w:w="1142" w:type="dxa"/>
                  <w:vAlign w:val="center"/>
                </w:tcPr>
                <w:p w14:paraId="09F3693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8</w:t>
                  </w:r>
                </w:p>
              </w:tc>
              <w:tc>
                <w:tcPr>
                  <w:tcW w:w="1142" w:type="dxa"/>
                  <w:vAlign w:val="center"/>
                </w:tcPr>
                <w:p w14:paraId="57DD15D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19</w:t>
                  </w:r>
                </w:p>
              </w:tc>
              <w:tc>
                <w:tcPr>
                  <w:tcW w:w="1578" w:type="dxa"/>
                  <w:vAlign w:val="center"/>
                </w:tcPr>
                <w:p w14:paraId="42E1F81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ascii="Times New Roman" w:hAnsi="Times New Roman" w:eastAsia="宋体" w:cs="Times New Roman"/>
                      <w:color w:val="auto"/>
                      <w:sz w:val="21"/>
                      <w:szCs w:val="21"/>
                    </w:rPr>
                    <w:t>0</w:t>
                  </w:r>
                </w:p>
              </w:tc>
              <w:tc>
                <w:tcPr>
                  <w:tcW w:w="1090" w:type="dxa"/>
                  <w:vAlign w:val="center"/>
                </w:tcPr>
                <w:p w14:paraId="7E7478A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2C3D86F6">
                  <w:pPr>
                    <w:widowControl w:val="0"/>
                    <w:topLinePunct/>
                    <w:spacing w:after="0"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w:t>
                  </w:r>
                  <w:r>
                    <w:rPr>
                      <w:rFonts w:hint="eastAsia" w:cs="Times New Roman"/>
                      <w:color w:val="auto"/>
                      <w:sz w:val="21"/>
                      <w:szCs w:val="21"/>
                      <w:lang w:val="en-US" w:eastAsia="zh-CN"/>
                    </w:rPr>
                    <w:t>111</w:t>
                  </w:r>
                </w:p>
              </w:tc>
            </w:tr>
            <w:tr w14:paraId="53C61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C77FD4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年10月</w:t>
                  </w:r>
                </w:p>
              </w:tc>
              <w:tc>
                <w:tcPr>
                  <w:tcW w:w="1142" w:type="dxa"/>
                  <w:vAlign w:val="center"/>
                </w:tcPr>
                <w:p w14:paraId="637F7AF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0F71988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8</w:t>
                  </w:r>
                </w:p>
              </w:tc>
              <w:tc>
                <w:tcPr>
                  <w:tcW w:w="1142" w:type="dxa"/>
                  <w:vAlign w:val="center"/>
                </w:tcPr>
                <w:p w14:paraId="159239A9">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0.02</w:t>
                  </w:r>
                  <w:r>
                    <w:rPr>
                      <w:rFonts w:hint="eastAsia" w:cs="Times New Roman"/>
                      <w:color w:val="auto"/>
                      <w:sz w:val="21"/>
                      <w:szCs w:val="21"/>
                      <w:lang w:val="en-US" w:eastAsia="zh-CN"/>
                    </w:rPr>
                    <w:t>3</w:t>
                  </w:r>
                </w:p>
              </w:tc>
              <w:tc>
                <w:tcPr>
                  <w:tcW w:w="1578" w:type="dxa"/>
                  <w:vAlign w:val="center"/>
                </w:tcPr>
                <w:p w14:paraId="64E4E776">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1</w:t>
                  </w:r>
                </w:p>
              </w:tc>
              <w:tc>
                <w:tcPr>
                  <w:tcW w:w="1090" w:type="dxa"/>
                  <w:vAlign w:val="center"/>
                </w:tcPr>
                <w:p w14:paraId="1F259B2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23B87FF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12</w:t>
                  </w:r>
                </w:p>
              </w:tc>
            </w:tr>
            <w:tr w14:paraId="3E3E6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C692FB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年11月</w:t>
                  </w:r>
                </w:p>
              </w:tc>
              <w:tc>
                <w:tcPr>
                  <w:tcW w:w="1142" w:type="dxa"/>
                  <w:vAlign w:val="center"/>
                </w:tcPr>
                <w:p w14:paraId="67B9E5F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4</w:t>
                  </w:r>
                </w:p>
              </w:tc>
              <w:tc>
                <w:tcPr>
                  <w:tcW w:w="1142" w:type="dxa"/>
                  <w:vAlign w:val="center"/>
                </w:tcPr>
                <w:p w14:paraId="241B891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10</w:t>
                  </w:r>
                </w:p>
              </w:tc>
              <w:tc>
                <w:tcPr>
                  <w:tcW w:w="1142" w:type="dxa"/>
                  <w:vAlign w:val="center"/>
                </w:tcPr>
                <w:p w14:paraId="6319D428">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35</w:t>
                  </w:r>
                </w:p>
              </w:tc>
              <w:tc>
                <w:tcPr>
                  <w:tcW w:w="1578" w:type="dxa"/>
                  <w:vAlign w:val="center"/>
                </w:tcPr>
                <w:p w14:paraId="36B3630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6</w:t>
                  </w:r>
                </w:p>
              </w:tc>
              <w:tc>
                <w:tcPr>
                  <w:tcW w:w="1090" w:type="dxa"/>
                  <w:vAlign w:val="center"/>
                </w:tcPr>
                <w:p w14:paraId="4C2FCF57">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cs="Times New Roman"/>
                      <w:color w:val="auto"/>
                      <w:sz w:val="21"/>
                      <w:szCs w:val="21"/>
                      <w:lang w:val="en-US" w:eastAsia="zh-CN"/>
                    </w:rPr>
                    <w:t>6</w:t>
                  </w:r>
                </w:p>
              </w:tc>
              <w:tc>
                <w:tcPr>
                  <w:tcW w:w="1147" w:type="dxa"/>
                  <w:vAlign w:val="center"/>
                </w:tcPr>
                <w:p w14:paraId="018385D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21</w:t>
                  </w:r>
                </w:p>
              </w:tc>
            </w:tr>
            <w:tr w14:paraId="6E14A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BCC0B3B">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w:t>
                  </w:r>
                  <w:r>
                    <w:rPr>
                      <w:rFonts w:hint="eastAsia" w:cs="Times New Roman"/>
                      <w:color w:val="auto"/>
                      <w:sz w:val="21"/>
                      <w:szCs w:val="21"/>
                      <w:lang w:val="en-US" w:eastAsia="zh-CN"/>
                    </w:rPr>
                    <w:t>5</w:t>
                  </w:r>
                  <w:r>
                    <w:rPr>
                      <w:rFonts w:ascii="Times New Roman" w:hAnsi="Times New Roman" w:eastAsia="宋体" w:cs="Times New Roman"/>
                      <w:color w:val="auto"/>
                      <w:sz w:val="21"/>
                      <w:szCs w:val="21"/>
                    </w:rPr>
                    <w:t>年12月</w:t>
                  </w:r>
                </w:p>
              </w:tc>
              <w:tc>
                <w:tcPr>
                  <w:tcW w:w="1142" w:type="dxa"/>
                  <w:vAlign w:val="center"/>
                </w:tcPr>
                <w:p w14:paraId="00AF2204">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0.00</w:t>
                  </w:r>
                  <w:r>
                    <w:rPr>
                      <w:rFonts w:hint="eastAsia" w:cs="Times New Roman"/>
                      <w:color w:val="auto"/>
                      <w:sz w:val="21"/>
                      <w:szCs w:val="21"/>
                      <w:lang w:val="en-US" w:eastAsia="zh-CN"/>
                    </w:rPr>
                    <w:t>3</w:t>
                  </w:r>
                </w:p>
              </w:tc>
              <w:tc>
                <w:tcPr>
                  <w:tcW w:w="1142" w:type="dxa"/>
                  <w:vAlign w:val="center"/>
                </w:tcPr>
                <w:p w14:paraId="3AD047B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0.01</w:t>
                  </w:r>
                  <w:r>
                    <w:rPr>
                      <w:rFonts w:hint="eastAsia" w:cs="Times New Roman"/>
                      <w:color w:val="auto"/>
                      <w:sz w:val="21"/>
                      <w:szCs w:val="21"/>
                      <w:lang w:val="en-US" w:eastAsia="zh-CN"/>
                    </w:rPr>
                    <w:t>5</w:t>
                  </w:r>
                </w:p>
              </w:tc>
              <w:tc>
                <w:tcPr>
                  <w:tcW w:w="1142" w:type="dxa"/>
                  <w:vAlign w:val="center"/>
                </w:tcPr>
                <w:p w14:paraId="4DF8C3E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w:t>
                  </w:r>
                  <w:r>
                    <w:rPr>
                      <w:rFonts w:hint="eastAsia" w:ascii="Times New Roman" w:hAnsi="Times New Roman" w:eastAsia="宋体" w:cs="Times New Roman"/>
                      <w:color w:val="auto"/>
                      <w:sz w:val="21"/>
                      <w:szCs w:val="21"/>
                    </w:rPr>
                    <w:t>6</w:t>
                  </w:r>
                </w:p>
              </w:tc>
              <w:tc>
                <w:tcPr>
                  <w:tcW w:w="1578" w:type="dxa"/>
                  <w:vAlign w:val="center"/>
                </w:tcPr>
                <w:p w14:paraId="3C01117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20</w:t>
                  </w:r>
                </w:p>
              </w:tc>
              <w:tc>
                <w:tcPr>
                  <w:tcW w:w="1090" w:type="dxa"/>
                  <w:vAlign w:val="center"/>
                </w:tcPr>
                <w:p w14:paraId="77A938A3">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rPr>
                    <w:t>6</w:t>
                  </w:r>
                </w:p>
              </w:tc>
              <w:tc>
                <w:tcPr>
                  <w:tcW w:w="1147" w:type="dxa"/>
                  <w:vAlign w:val="center"/>
                </w:tcPr>
                <w:p w14:paraId="77998FC2">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rPr>
                    <w:t>4</w:t>
                  </w:r>
                </w:p>
              </w:tc>
            </w:tr>
            <w:tr w14:paraId="685F4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4D8B9A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二级标准</w:t>
                  </w:r>
                </w:p>
              </w:tc>
              <w:tc>
                <w:tcPr>
                  <w:tcW w:w="1142" w:type="dxa"/>
                  <w:vAlign w:val="center"/>
                </w:tcPr>
                <w:p w14:paraId="4B93CCD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0.06</w:t>
                  </w:r>
                </w:p>
              </w:tc>
              <w:tc>
                <w:tcPr>
                  <w:tcW w:w="1142" w:type="dxa"/>
                  <w:vAlign w:val="center"/>
                </w:tcPr>
                <w:p w14:paraId="084BB9BF">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0.04</w:t>
                  </w:r>
                </w:p>
              </w:tc>
              <w:tc>
                <w:tcPr>
                  <w:tcW w:w="1142" w:type="dxa"/>
                  <w:vAlign w:val="center"/>
                </w:tcPr>
                <w:p w14:paraId="0EA77C54">
                  <w:pPr>
                    <w:widowControl w:val="0"/>
                    <w:topLinePunct/>
                    <w:spacing w:after="0"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0.0</w:t>
                  </w:r>
                  <w:r>
                    <w:rPr>
                      <w:rFonts w:hint="eastAsia" w:cs="Times New Roman"/>
                      <w:color w:val="auto"/>
                      <w:sz w:val="21"/>
                      <w:szCs w:val="21"/>
                      <w:lang w:val="en-US" w:eastAsia="zh-CN"/>
                    </w:rPr>
                    <w:t>6</w:t>
                  </w:r>
                </w:p>
              </w:tc>
              <w:tc>
                <w:tcPr>
                  <w:tcW w:w="1578" w:type="dxa"/>
                  <w:vAlign w:val="center"/>
                </w:tcPr>
                <w:p w14:paraId="0B6D30A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0.03</w:t>
                  </w:r>
                </w:p>
              </w:tc>
              <w:tc>
                <w:tcPr>
                  <w:tcW w:w="1090" w:type="dxa"/>
                  <w:vAlign w:val="center"/>
                </w:tcPr>
                <w:p w14:paraId="7BDF553E">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1147" w:type="dxa"/>
                  <w:vAlign w:val="center"/>
                </w:tcPr>
                <w:p w14:paraId="1D36481D">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0.16</w:t>
                  </w:r>
                </w:p>
              </w:tc>
            </w:tr>
            <w:tr w14:paraId="0D9A7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B5E589A">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备注</w:t>
                  </w:r>
                </w:p>
              </w:tc>
              <w:tc>
                <w:tcPr>
                  <w:tcW w:w="7241" w:type="dxa"/>
                  <w:gridSpan w:val="6"/>
                  <w:vAlign w:val="center"/>
                </w:tcPr>
                <w:p w14:paraId="5B488605">
                  <w:pPr>
                    <w:widowControl w:val="0"/>
                    <w:topLinePunct/>
                    <w:spacing w:after="0"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*CO为日均值第95百分位数，O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为日最大8小时值第90百分位数。</w:t>
                  </w:r>
                </w:p>
              </w:tc>
            </w:tr>
          </w:tbl>
          <w:p w14:paraId="3EA20F4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eastAsia="宋体"/>
                <w:color w:val="auto"/>
                <w:sz w:val="24"/>
                <w:lang w:val="en-US" w:eastAsia="zh-CN"/>
              </w:rPr>
            </w:pPr>
            <w:r>
              <w:rPr>
                <w:rFonts w:hint="default" w:ascii="Times New Roman" w:hAnsi="Times New Roman" w:eastAsia="宋体" w:cs="Times New Roman"/>
                <w:color w:val="auto"/>
                <w:sz w:val="24"/>
                <w:szCs w:val="24"/>
                <w:highlight w:val="none"/>
                <w:lang w:val="en-US" w:eastAsia="zh-CN"/>
              </w:rPr>
              <w:t>由上表可知，</w:t>
            </w:r>
            <w:r>
              <w:rPr>
                <w:rFonts w:hint="eastAsia" w:ascii="Times New Roman" w:hAnsi="Times New Roman" w:eastAsia="宋体" w:cs="Times New Roman"/>
                <w:color w:val="auto"/>
                <w:sz w:val="24"/>
                <w:szCs w:val="24"/>
                <w:highlight w:val="none"/>
                <w:lang w:val="en-US" w:eastAsia="zh-CN"/>
              </w:rPr>
              <w:t>福州市</w:t>
            </w:r>
            <w:r>
              <w:rPr>
                <w:rFonts w:hint="eastAsia"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年1月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12月份</w:t>
            </w:r>
            <w:r>
              <w:rPr>
                <w:rFonts w:hint="default" w:ascii="Times New Roman" w:hAnsi="Times New Roman" w:eastAsia="宋体" w:cs="Times New Roman"/>
                <w:color w:val="auto"/>
                <w:kern w:val="0"/>
                <w:sz w:val="24"/>
                <w:lang w:val="en-US" w:eastAsia="zh-CN"/>
              </w:rPr>
              <w:t>空气环境中SO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、NO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、PM</w:t>
            </w:r>
            <w:r>
              <w:rPr>
                <w:rFonts w:hint="default" w:ascii="Times New Roman" w:hAnsi="Times New Roman" w:eastAsia="宋体" w:cs="Times New Roman"/>
                <w:color w:val="auto"/>
                <w:kern w:val="0"/>
                <w:sz w:val="24"/>
                <w:vertAlign w:val="subscript"/>
                <w:lang w:val="en-US" w:eastAsia="zh-CN"/>
              </w:rPr>
              <w:t>10</w:t>
            </w:r>
            <w:r>
              <w:rPr>
                <w:rFonts w:hint="default" w:ascii="Times New Roman" w:hAnsi="Times New Roman" w:eastAsia="宋体" w:cs="Times New Roman"/>
                <w:color w:val="auto"/>
                <w:kern w:val="0"/>
                <w:sz w:val="24"/>
                <w:lang w:val="en-US" w:eastAsia="zh-CN"/>
              </w:rPr>
              <w:t>和PM</w:t>
            </w:r>
            <w:r>
              <w:rPr>
                <w:rFonts w:hint="default" w:ascii="Times New Roman" w:hAnsi="Times New Roman" w:eastAsia="宋体" w:cs="Times New Roman"/>
                <w:color w:val="auto"/>
                <w:kern w:val="0"/>
                <w:sz w:val="24"/>
                <w:vertAlign w:val="subscript"/>
                <w:lang w:val="en-US" w:eastAsia="zh-CN"/>
              </w:rPr>
              <w:t>2.5</w:t>
            </w:r>
            <w:r>
              <w:rPr>
                <w:rFonts w:hint="default" w:ascii="Times New Roman" w:hAnsi="Times New Roman" w:eastAsia="宋体" w:cs="Times New Roman"/>
                <w:color w:val="auto"/>
                <w:kern w:val="0"/>
                <w:sz w:val="24"/>
                <w:lang w:val="en-US" w:eastAsia="zh-CN"/>
              </w:rPr>
              <w:t>均未超过国家二级标准，CO日均值第95百分数和O</w:t>
            </w:r>
            <w:r>
              <w:rPr>
                <w:rFonts w:hint="default" w:ascii="Times New Roman" w:hAnsi="Times New Roman" w:eastAsia="宋体" w:cs="Times New Roman"/>
                <w:color w:val="auto"/>
                <w:kern w:val="0"/>
                <w:sz w:val="24"/>
                <w:vertAlign w:val="subscript"/>
                <w:lang w:val="en-US" w:eastAsia="zh-CN"/>
              </w:rPr>
              <w:t>3</w:t>
            </w:r>
            <w:r>
              <w:rPr>
                <w:rFonts w:hint="default" w:ascii="Times New Roman" w:hAnsi="Times New Roman" w:eastAsia="宋体" w:cs="Times New Roman"/>
                <w:color w:val="auto"/>
                <w:kern w:val="0"/>
                <w:sz w:val="24"/>
                <w:lang w:val="en-US" w:eastAsia="zh-CN"/>
              </w:rPr>
              <w:t>最大8小时值第90百分数未超过国家二级标准。</w:t>
            </w:r>
            <w:r>
              <w:rPr>
                <w:rFonts w:hint="eastAsia"/>
                <w:color w:val="auto"/>
                <w:sz w:val="24"/>
              </w:rPr>
              <w:t>因此，项目所在区域属于大气环境达标区。</w:t>
            </w:r>
          </w:p>
          <w:p w14:paraId="364231D1">
            <w:pPr>
              <w:numPr>
                <w:ilvl w:val="0"/>
                <w:numId w:val="0"/>
              </w:numPr>
              <w:adjustRightInd w:val="0"/>
              <w:snapToGrid w:val="0"/>
              <w:spacing w:line="360" w:lineRule="auto"/>
              <w:ind w:firstLine="480" w:firstLineChars="200"/>
              <w:rPr>
                <w:color w:val="auto"/>
                <w:sz w:val="24"/>
              </w:rPr>
            </w:pPr>
            <w:r>
              <w:rPr>
                <w:rFonts w:ascii="Times New Roman" w:hAnsi="Times New Roman" w:eastAsia="宋体" w:cs="Times New Roman"/>
                <w:color w:val="auto"/>
                <w:kern w:val="2"/>
                <w:sz w:val="24"/>
                <w:szCs w:val="24"/>
                <w:lang w:val="en-US" w:eastAsia="zh-CN" w:bidi="ar-SA"/>
              </w:rPr>
              <w:t>（2）</w:t>
            </w:r>
            <w:r>
              <w:rPr>
                <w:color w:val="auto"/>
                <w:sz w:val="24"/>
              </w:rPr>
              <w:t>其他污染因子</w:t>
            </w:r>
          </w:p>
          <w:p w14:paraId="373400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2"/>
                <w:highlight w:val="yellow"/>
                <w:lang w:val="en-US" w:eastAsia="zh-CN"/>
              </w:rPr>
            </w:pPr>
            <w:r>
              <w:rPr>
                <w:rFonts w:hint="default" w:ascii="Times New Roman" w:hAnsi="Times New Roman" w:eastAsia="宋体" w:cs="Times New Roman"/>
                <w:b w:val="0"/>
                <w:bCs w:val="0"/>
                <w:color w:val="auto"/>
                <w:sz w:val="24"/>
                <w:szCs w:val="22"/>
                <w:highlight w:val="none"/>
                <w:lang w:val="en-US" w:eastAsia="zh-CN"/>
              </w:rPr>
              <w:t>为了解本项目特征污染因子TSP在区域的环境空气质量现状</w:t>
            </w:r>
            <w:r>
              <w:rPr>
                <w:rFonts w:hint="eastAsia" w:ascii="Times New Roman" w:hAnsi="Times New Roman" w:eastAsia="宋体" w:cs="Times New Roman"/>
                <w:b w:val="0"/>
                <w:bCs w:val="0"/>
                <w:color w:val="auto"/>
                <w:sz w:val="24"/>
                <w:szCs w:val="22"/>
                <w:highlight w:val="none"/>
                <w:lang w:val="en-US" w:eastAsia="zh-CN"/>
              </w:rPr>
              <w:t>，建设单位委托</w:t>
            </w:r>
            <w:r>
              <w:rPr>
                <w:rFonts w:hint="eastAsia" w:cs="Times New Roman"/>
                <w:color w:val="auto"/>
                <w:sz w:val="24"/>
                <w:szCs w:val="22"/>
                <w:highlight w:val="none"/>
                <w:lang w:val="en-US" w:eastAsia="zh-CN"/>
              </w:rPr>
              <w:t>福建华远检测</w:t>
            </w:r>
            <w:r>
              <w:rPr>
                <w:rFonts w:hint="eastAsia" w:ascii="Times New Roman" w:hAnsi="Times New Roman" w:eastAsia="宋体" w:cs="Times New Roman"/>
                <w:color w:val="auto"/>
                <w:sz w:val="24"/>
                <w:szCs w:val="22"/>
                <w:highlight w:val="none"/>
              </w:rPr>
              <w:t>有限公司</w:t>
            </w:r>
            <w:r>
              <w:rPr>
                <w:rFonts w:hint="eastAsia" w:ascii="Times New Roman" w:hAnsi="Times New Roman" w:eastAsia="宋体" w:cs="Times New Roman"/>
                <w:b w:val="0"/>
                <w:bCs w:val="0"/>
                <w:color w:val="auto"/>
                <w:sz w:val="24"/>
                <w:szCs w:val="22"/>
                <w:highlight w:val="none"/>
                <w:lang w:val="en-US" w:eastAsia="zh-CN"/>
              </w:rPr>
              <w:t>于2025年</w:t>
            </w:r>
            <w:r>
              <w:rPr>
                <w:rFonts w:hint="eastAsia" w:cs="Times New Roman"/>
                <w:b w:val="0"/>
                <w:bCs w:val="0"/>
                <w:color w:val="auto"/>
                <w:sz w:val="24"/>
                <w:szCs w:val="22"/>
                <w:highlight w:val="none"/>
                <w:lang w:val="en-US" w:eastAsia="zh-CN"/>
              </w:rPr>
              <w:t>9</w:t>
            </w:r>
            <w:r>
              <w:rPr>
                <w:rFonts w:hint="eastAsia" w:ascii="Times New Roman" w:hAnsi="Times New Roman" w:eastAsia="宋体" w:cs="Times New Roman"/>
                <w:b w:val="0"/>
                <w:bCs w:val="0"/>
                <w:color w:val="auto"/>
                <w:sz w:val="24"/>
                <w:szCs w:val="22"/>
                <w:highlight w:val="none"/>
                <w:lang w:val="en-US" w:eastAsia="zh-CN"/>
              </w:rPr>
              <w:t>月</w:t>
            </w:r>
            <w:r>
              <w:rPr>
                <w:rFonts w:hint="eastAsia" w:cs="Times New Roman"/>
                <w:b w:val="0"/>
                <w:bCs w:val="0"/>
                <w:color w:val="auto"/>
                <w:sz w:val="24"/>
                <w:szCs w:val="22"/>
                <w:highlight w:val="none"/>
                <w:lang w:val="en-US" w:eastAsia="zh-CN"/>
              </w:rPr>
              <w:t>15</w:t>
            </w:r>
            <w:r>
              <w:rPr>
                <w:rFonts w:hint="eastAsia" w:ascii="Times New Roman" w:hAnsi="Times New Roman" w:eastAsia="宋体" w:cs="Times New Roman"/>
                <w:b w:val="0"/>
                <w:bCs w:val="0"/>
                <w:color w:val="auto"/>
                <w:sz w:val="24"/>
                <w:szCs w:val="22"/>
                <w:highlight w:val="none"/>
                <w:lang w:val="en-US" w:eastAsia="zh-CN"/>
              </w:rPr>
              <w:t>日～</w:t>
            </w:r>
            <w:r>
              <w:rPr>
                <w:rFonts w:hint="eastAsia" w:cs="Times New Roman"/>
                <w:b w:val="0"/>
                <w:bCs w:val="0"/>
                <w:color w:val="auto"/>
                <w:sz w:val="24"/>
                <w:szCs w:val="22"/>
                <w:highlight w:val="none"/>
                <w:lang w:val="en-US" w:eastAsia="zh-CN"/>
              </w:rPr>
              <w:t>18</w:t>
            </w:r>
            <w:r>
              <w:rPr>
                <w:rFonts w:hint="eastAsia" w:ascii="Times New Roman" w:hAnsi="Times New Roman" w:eastAsia="宋体" w:cs="Times New Roman"/>
                <w:b w:val="0"/>
                <w:bCs w:val="0"/>
                <w:color w:val="auto"/>
                <w:sz w:val="24"/>
                <w:szCs w:val="22"/>
                <w:highlight w:val="none"/>
                <w:lang w:val="en-US" w:eastAsia="zh-CN"/>
              </w:rPr>
              <w:t>日</w:t>
            </w:r>
            <w:r>
              <w:rPr>
                <w:rFonts w:hint="default" w:ascii="Times New Roman" w:hAnsi="Times New Roman" w:eastAsia="宋体" w:cs="Times New Roman"/>
                <w:b w:val="0"/>
                <w:bCs w:val="0"/>
                <w:color w:val="auto"/>
                <w:sz w:val="24"/>
                <w:szCs w:val="22"/>
                <w:highlight w:val="none"/>
                <w:lang w:val="en-US" w:eastAsia="zh-CN"/>
              </w:rPr>
              <w:t>在企业附近敏感点</w:t>
            </w:r>
            <w:r>
              <w:rPr>
                <w:rFonts w:hint="eastAsia" w:cs="Times New Roman"/>
                <w:color w:val="auto"/>
                <w:sz w:val="24"/>
                <w:szCs w:val="22"/>
                <w:highlight w:val="none"/>
                <w:lang w:val="en-US" w:eastAsia="zh-CN"/>
              </w:rPr>
              <w:t>珠山村</w:t>
            </w:r>
            <w:r>
              <w:rPr>
                <w:rFonts w:hint="eastAsia" w:ascii="Times New Roman" w:hAnsi="Times New Roman" w:eastAsia="宋体" w:cs="Times New Roman"/>
                <w:color w:val="auto"/>
                <w:sz w:val="24"/>
                <w:szCs w:val="22"/>
                <w:highlight w:val="none"/>
              </w:rPr>
              <w:t>进行了布点</w:t>
            </w:r>
            <w:r>
              <w:rPr>
                <w:rFonts w:hint="default" w:ascii="Times New Roman" w:hAnsi="Times New Roman" w:eastAsia="宋体" w:cs="Times New Roman"/>
                <w:b w:val="0"/>
                <w:bCs w:val="0"/>
                <w:color w:val="auto"/>
                <w:sz w:val="24"/>
                <w:szCs w:val="22"/>
                <w:highlight w:val="none"/>
                <w:lang w:val="en-US" w:eastAsia="zh-CN"/>
              </w:rPr>
              <w:t>、采样监测</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检测报告编号：</w:t>
            </w:r>
            <w:r>
              <w:rPr>
                <w:rFonts w:hint="eastAsia" w:cs="Times New Roman"/>
                <w:color w:val="auto"/>
                <w:sz w:val="24"/>
                <w:szCs w:val="22"/>
                <w:highlight w:val="none"/>
                <w:lang w:val="en-US" w:eastAsia="zh-CN"/>
              </w:rPr>
              <w:t>HYJC</w:t>
            </w:r>
            <w:r>
              <w:rPr>
                <w:rFonts w:hint="default" w:ascii="Times New Roman" w:hAnsi="Times New Roman" w:eastAsia="宋体" w:cs="Times New Roman"/>
                <w:color w:val="auto"/>
                <w:sz w:val="24"/>
                <w:szCs w:val="22"/>
                <w:highlight w:val="none"/>
              </w:rPr>
              <w:t>250</w:t>
            </w:r>
            <w:r>
              <w:rPr>
                <w:rFonts w:hint="eastAsia" w:cs="Times New Roman"/>
                <w:color w:val="auto"/>
                <w:sz w:val="24"/>
                <w:szCs w:val="22"/>
                <w:highlight w:val="none"/>
                <w:lang w:val="en-US" w:eastAsia="zh-CN"/>
              </w:rPr>
              <w:t>9</w:t>
            </w:r>
            <w:r>
              <w:rPr>
                <w:rFonts w:hint="eastAsia" w:ascii="Times New Roman" w:hAnsi="Times New Roman" w:eastAsia="宋体" w:cs="Times New Roman"/>
                <w:color w:val="auto"/>
                <w:sz w:val="24"/>
                <w:szCs w:val="22"/>
                <w:highlight w:val="none"/>
                <w:lang w:val="en-US" w:eastAsia="zh-CN"/>
              </w:rPr>
              <w:t>1</w:t>
            </w:r>
            <w:r>
              <w:rPr>
                <w:rFonts w:hint="eastAsia" w:cs="Times New Roman"/>
                <w:color w:val="auto"/>
                <w:sz w:val="24"/>
                <w:szCs w:val="22"/>
                <w:highlight w:val="none"/>
                <w:lang w:val="en-US" w:eastAsia="zh-CN"/>
              </w:rPr>
              <w:t>1001</w:t>
            </w:r>
            <w:r>
              <w:rPr>
                <w:rFonts w:hint="default" w:ascii="Times New Roman" w:hAnsi="Times New Roman" w:eastAsia="宋体" w:cs="Times New Roman"/>
                <w:b w:val="0"/>
                <w:bCs w:val="0"/>
                <w:color w:val="auto"/>
                <w:sz w:val="24"/>
                <w:szCs w:val="22"/>
                <w:highlight w:val="none"/>
                <w:lang w:val="en-US" w:eastAsia="zh-CN"/>
              </w:rPr>
              <w:t>）</w:t>
            </w:r>
            <w:r>
              <w:rPr>
                <w:rFonts w:hint="eastAsia" w:ascii="Times New Roman" w:hAnsi="Times New Roman" w:eastAsia="宋体"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监测点位于本项目</w:t>
            </w:r>
            <w:r>
              <w:rPr>
                <w:rFonts w:hint="eastAsia" w:ascii="Times New Roman" w:hAnsi="Times New Roman" w:eastAsia="宋体" w:cs="Times New Roman"/>
                <w:b w:val="0"/>
                <w:bCs w:val="0"/>
                <w:color w:val="auto"/>
                <w:sz w:val="24"/>
                <w:szCs w:val="22"/>
                <w:highlight w:val="none"/>
                <w:lang w:val="en-US" w:eastAsia="zh-CN"/>
              </w:rPr>
              <w:t>厂区西</w:t>
            </w:r>
            <w:r>
              <w:rPr>
                <w:rFonts w:hint="eastAsia" w:cs="Times New Roman"/>
                <w:b w:val="0"/>
                <w:bCs w:val="0"/>
                <w:color w:val="auto"/>
                <w:sz w:val="24"/>
                <w:szCs w:val="22"/>
                <w:highlight w:val="none"/>
                <w:lang w:val="en-US" w:eastAsia="zh-CN"/>
              </w:rPr>
              <w:t>南</w:t>
            </w:r>
            <w:r>
              <w:rPr>
                <w:rFonts w:hint="eastAsia" w:ascii="Times New Roman" w:hAnsi="Times New Roman" w:eastAsia="宋体" w:cs="Times New Roman"/>
                <w:b w:val="0"/>
                <w:bCs w:val="0"/>
                <w:color w:val="auto"/>
                <w:sz w:val="24"/>
                <w:szCs w:val="22"/>
                <w:highlight w:val="none"/>
                <w:lang w:val="en-US" w:eastAsia="zh-CN"/>
              </w:rPr>
              <w:t>侧约</w:t>
            </w:r>
            <w:r>
              <w:rPr>
                <w:rFonts w:hint="eastAsia" w:cs="Times New Roman"/>
                <w:b w:val="0"/>
                <w:bCs w:val="0"/>
                <w:color w:val="auto"/>
                <w:sz w:val="24"/>
                <w:szCs w:val="22"/>
                <w:highlight w:val="none"/>
                <w:lang w:val="en-US" w:eastAsia="zh-CN"/>
              </w:rPr>
              <w:t>580</w:t>
            </w:r>
            <w:r>
              <w:rPr>
                <w:rFonts w:hint="eastAsia" w:ascii="Times New Roman" w:hAnsi="Times New Roman" w:eastAsia="宋体" w:cs="Times New Roman"/>
                <w:b w:val="0"/>
                <w:bCs w:val="0"/>
                <w:color w:val="auto"/>
                <w:sz w:val="24"/>
                <w:szCs w:val="22"/>
                <w:highlight w:val="none"/>
                <w:lang w:val="en-US" w:eastAsia="zh-CN"/>
              </w:rPr>
              <w:t>m</w:t>
            </w:r>
            <w:r>
              <w:rPr>
                <w:rFonts w:hint="default" w:ascii="Times New Roman" w:hAnsi="Times New Roman" w:eastAsia="宋体" w:cs="Times New Roman"/>
                <w:b w:val="0"/>
                <w:bCs w:val="0"/>
                <w:color w:val="auto"/>
                <w:sz w:val="24"/>
                <w:szCs w:val="22"/>
                <w:highlight w:val="none"/>
                <w:lang w:val="en-US" w:eastAsia="zh-CN"/>
              </w:rPr>
              <w:t>。</w:t>
            </w:r>
            <w:r>
              <w:rPr>
                <w:rFonts w:hint="eastAsia" w:cs="Times New Roman"/>
                <w:color w:val="auto"/>
                <w:sz w:val="24"/>
                <w:szCs w:val="22"/>
                <w:highlight w:val="none"/>
                <w:lang w:val="en-US" w:eastAsia="zh-CN"/>
              </w:rPr>
              <w:t>珠山村</w:t>
            </w:r>
            <w:r>
              <w:rPr>
                <w:rFonts w:hint="default" w:ascii="Times New Roman" w:hAnsi="Times New Roman" w:eastAsia="宋体" w:cs="Times New Roman"/>
                <w:b w:val="0"/>
                <w:bCs w:val="0"/>
                <w:color w:val="auto"/>
                <w:sz w:val="24"/>
                <w:szCs w:val="22"/>
                <w:highlight w:val="none"/>
                <w:lang w:val="en-US" w:eastAsia="zh-CN"/>
              </w:rPr>
              <w:t>TSP监测结果见表3-</w:t>
            </w:r>
            <w:r>
              <w:rPr>
                <w:rFonts w:hint="eastAsia" w:cs="Times New Roman"/>
                <w:b w:val="0"/>
                <w:bCs w:val="0"/>
                <w:color w:val="auto"/>
                <w:sz w:val="24"/>
                <w:szCs w:val="22"/>
                <w:highlight w:val="none"/>
                <w:lang w:val="en-US" w:eastAsia="zh-CN"/>
              </w:rPr>
              <w:t>3</w:t>
            </w:r>
            <w:r>
              <w:rPr>
                <w:rFonts w:hint="default" w:ascii="Times New Roman" w:hAnsi="Times New Roman" w:eastAsia="宋体" w:cs="Times New Roman"/>
                <w:b w:val="0"/>
                <w:bCs w:val="0"/>
                <w:color w:val="auto"/>
                <w:sz w:val="24"/>
                <w:szCs w:val="22"/>
                <w:highlight w:val="none"/>
                <w:lang w:val="en-US" w:eastAsia="zh-CN"/>
              </w:rPr>
              <w:t>，监测点位置见</w:t>
            </w:r>
            <w:r>
              <w:rPr>
                <w:rFonts w:hint="eastAsia" w:ascii="Times New Roman" w:hAnsi="Times New Roman" w:eastAsia="宋体" w:cs="Times New Roman"/>
                <w:b w:val="0"/>
                <w:bCs w:val="0"/>
                <w:color w:val="auto"/>
                <w:sz w:val="24"/>
                <w:szCs w:val="22"/>
                <w:highlight w:val="none"/>
                <w:lang w:val="en-US" w:eastAsia="zh-CN"/>
              </w:rPr>
              <w:t>附图</w:t>
            </w:r>
            <w:r>
              <w:rPr>
                <w:rFonts w:hint="eastAsia" w:cs="Times New Roman"/>
                <w:b w:val="0"/>
                <w:bCs w:val="0"/>
                <w:color w:val="auto"/>
                <w:sz w:val="24"/>
                <w:szCs w:val="22"/>
                <w:highlight w:val="none"/>
                <w:lang w:val="en-US" w:eastAsia="zh-CN"/>
              </w:rPr>
              <w:t>7</w:t>
            </w:r>
            <w:r>
              <w:rPr>
                <w:rFonts w:hint="eastAsia" w:ascii="Times New Roman" w:hAnsi="Times New Roman" w:eastAsia="宋体" w:cs="Times New Roman"/>
                <w:b w:val="0"/>
                <w:bCs w:val="0"/>
                <w:color w:val="auto"/>
                <w:sz w:val="24"/>
                <w:szCs w:val="22"/>
                <w:highlight w:val="none"/>
                <w:lang w:val="en-US" w:eastAsia="zh-CN"/>
              </w:rPr>
              <w:t>，监测报告见附件</w:t>
            </w:r>
            <w:r>
              <w:rPr>
                <w:rFonts w:hint="eastAsia" w:cs="Times New Roman"/>
                <w:b w:val="0"/>
                <w:bCs w:val="0"/>
                <w:color w:val="auto"/>
                <w:sz w:val="24"/>
                <w:szCs w:val="22"/>
                <w:highlight w:val="none"/>
                <w:lang w:val="en-US" w:eastAsia="zh-CN"/>
              </w:rPr>
              <w:t>十</w:t>
            </w:r>
            <w:r>
              <w:rPr>
                <w:rFonts w:hint="eastAsia" w:ascii="Times New Roman" w:hAnsi="Times New Roman" w:eastAsia="宋体" w:cs="Times New Roman"/>
                <w:b w:val="0"/>
                <w:bCs w:val="0"/>
                <w:color w:val="auto"/>
                <w:sz w:val="24"/>
                <w:szCs w:val="22"/>
                <w:highlight w:val="none"/>
                <w:lang w:val="en-US" w:eastAsia="zh-CN"/>
              </w:rPr>
              <w:t>。</w:t>
            </w:r>
          </w:p>
          <w:p w14:paraId="66D87607">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表3-3 项目区域TSP环境监测数据</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1544"/>
              <w:gridCol w:w="2591"/>
              <w:gridCol w:w="2305"/>
            </w:tblGrid>
            <w:tr w14:paraId="5503F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tcBorders>
                    <w:tl2br w:val="nil"/>
                    <w:tr2bl w:val="nil"/>
                  </w:tcBorders>
                  <w:noWrap w:val="0"/>
                  <w:vAlign w:val="center"/>
                </w:tcPr>
                <w:p w14:paraId="4BBADC1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896" w:type="pct"/>
                  <w:tcBorders>
                    <w:tl2br w:val="nil"/>
                    <w:tr2bl w:val="nil"/>
                  </w:tcBorders>
                  <w:noWrap w:val="0"/>
                  <w:vAlign w:val="center"/>
                </w:tcPr>
                <w:p w14:paraId="44F3153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监测项目</w:t>
                  </w:r>
                </w:p>
              </w:tc>
              <w:tc>
                <w:tcPr>
                  <w:tcW w:w="1504" w:type="pct"/>
                  <w:tcBorders>
                    <w:tl2br w:val="nil"/>
                    <w:tr2bl w:val="nil"/>
                  </w:tcBorders>
                  <w:noWrap w:val="0"/>
                  <w:vAlign w:val="center"/>
                </w:tcPr>
                <w:p w14:paraId="4850BC2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采样日期</w:t>
                  </w:r>
                </w:p>
              </w:tc>
              <w:tc>
                <w:tcPr>
                  <w:tcW w:w="1338" w:type="pct"/>
                  <w:tcBorders>
                    <w:tl2br w:val="nil"/>
                    <w:tr2bl w:val="nil"/>
                  </w:tcBorders>
                  <w:noWrap w:val="0"/>
                  <w:vAlign w:val="center"/>
                </w:tcPr>
                <w:p w14:paraId="64D0989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监测结果（</w:t>
                  </w:r>
                  <w:r>
                    <w:rPr>
                      <w:rFonts w:hint="eastAsia" w:ascii="Times New Roman" w:hAnsi="Times New Roman" w:eastAsia="宋体" w:cs="Times New Roman"/>
                      <w:b/>
                      <w:bCs/>
                      <w:color w:val="auto"/>
                      <w:sz w:val="21"/>
                      <w:szCs w:val="21"/>
                      <w:vertAlign w:val="baseline"/>
                      <w:lang w:val="en-US" w:eastAsia="zh-CN"/>
                    </w:rPr>
                    <w:t>m</w:t>
                  </w:r>
                  <w:r>
                    <w:rPr>
                      <w:rFonts w:hint="default" w:ascii="Times New Roman" w:hAnsi="Times New Roman" w:eastAsia="宋体" w:cs="Times New Roman"/>
                      <w:b/>
                      <w:bCs/>
                      <w:color w:val="auto"/>
                      <w:sz w:val="21"/>
                      <w:szCs w:val="21"/>
                      <w:vertAlign w:val="baseline"/>
                      <w:lang w:val="en-US" w:eastAsia="zh-CN"/>
                    </w:rPr>
                    <w:t>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r>
            <w:tr w14:paraId="122D9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vMerge w:val="restart"/>
                  <w:tcBorders>
                    <w:tl2br w:val="nil"/>
                    <w:tr2bl w:val="nil"/>
                  </w:tcBorders>
                  <w:noWrap w:val="0"/>
                  <w:vAlign w:val="center"/>
                </w:tcPr>
                <w:p w14:paraId="6CDD127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sz w:val="21"/>
                      <w:szCs w:val="21"/>
                      <w:highlight w:val="none"/>
                      <w:lang w:val="en-US" w:eastAsia="zh-CN"/>
                    </w:rPr>
                    <w:t>珠山村</w:t>
                  </w:r>
                </w:p>
              </w:tc>
              <w:tc>
                <w:tcPr>
                  <w:tcW w:w="896" w:type="pct"/>
                  <w:vMerge w:val="restart"/>
                  <w:tcBorders>
                    <w:tl2br w:val="nil"/>
                    <w:tr2bl w:val="nil"/>
                  </w:tcBorders>
                  <w:noWrap w:val="0"/>
                  <w:vAlign w:val="center"/>
                </w:tcPr>
                <w:p w14:paraId="34F0983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TSP</w:t>
                  </w:r>
                </w:p>
              </w:tc>
              <w:tc>
                <w:tcPr>
                  <w:tcW w:w="1504" w:type="pct"/>
                  <w:tcBorders>
                    <w:tl2br w:val="nil"/>
                    <w:tr2bl w:val="nil"/>
                  </w:tcBorders>
                  <w:noWrap w:val="0"/>
                  <w:vAlign w:val="center"/>
                </w:tcPr>
                <w:p w14:paraId="3093F48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年</w:t>
                  </w:r>
                  <w:r>
                    <w:rPr>
                      <w:rFonts w:hint="eastAsia" w:cs="Times New Roman"/>
                      <w:b w:val="0"/>
                      <w:bCs w:val="0"/>
                      <w:color w:val="auto"/>
                      <w:sz w:val="21"/>
                      <w:szCs w:val="21"/>
                      <w:vertAlign w:val="baseline"/>
                      <w:lang w:val="en-US" w:eastAsia="zh-CN"/>
                    </w:rPr>
                    <w:t>9</w:t>
                  </w:r>
                  <w:r>
                    <w:rPr>
                      <w:rFonts w:hint="default" w:ascii="Times New Roman" w:hAnsi="Times New Roman" w:eastAsia="宋体" w:cs="Times New Roman"/>
                      <w:b w:val="0"/>
                      <w:bCs w:val="0"/>
                      <w:color w:val="auto"/>
                      <w:sz w:val="21"/>
                      <w:szCs w:val="21"/>
                      <w:vertAlign w:val="baseline"/>
                      <w:lang w:val="en-US" w:eastAsia="zh-CN"/>
                    </w:rPr>
                    <w:t>月</w:t>
                  </w:r>
                  <w:r>
                    <w:rPr>
                      <w:rFonts w:hint="eastAsia" w:cs="Times New Roman"/>
                      <w:b w:val="0"/>
                      <w:bCs w:val="0"/>
                      <w:color w:val="auto"/>
                      <w:sz w:val="21"/>
                      <w:szCs w:val="21"/>
                      <w:vertAlign w:val="baseline"/>
                      <w:lang w:val="en-US" w:eastAsia="zh-CN"/>
                    </w:rPr>
                    <w:t>15</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16</w:t>
                  </w:r>
                  <w:r>
                    <w:rPr>
                      <w:rFonts w:hint="default" w:ascii="Times New Roman" w:hAnsi="Times New Roman" w:eastAsia="宋体" w:cs="Times New Roman"/>
                      <w:b w:val="0"/>
                      <w:bCs w:val="0"/>
                      <w:color w:val="auto"/>
                      <w:sz w:val="21"/>
                      <w:szCs w:val="21"/>
                      <w:vertAlign w:val="baseline"/>
                      <w:lang w:val="en-US" w:eastAsia="zh-CN"/>
                    </w:rPr>
                    <w:t>日</w:t>
                  </w:r>
                </w:p>
              </w:tc>
              <w:tc>
                <w:tcPr>
                  <w:tcW w:w="1338" w:type="pct"/>
                  <w:tcBorders>
                    <w:tl2br w:val="nil"/>
                    <w:tr2bl w:val="nil"/>
                  </w:tcBorders>
                  <w:noWrap w:val="0"/>
                  <w:vAlign w:val="center"/>
                </w:tcPr>
                <w:p w14:paraId="62B9C47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2ADAB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vMerge w:val="continue"/>
                  <w:tcBorders>
                    <w:tl2br w:val="nil"/>
                    <w:tr2bl w:val="nil"/>
                  </w:tcBorders>
                  <w:noWrap w:val="0"/>
                  <w:vAlign w:val="center"/>
                </w:tcPr>
                <w:p w14:paraId="3907A3D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96" w:type="pct"/>
                  <w:vMerge w:val="continue"/>
                  <w:tcBorders>
                    <w:tl2br w:val="nil"/>
                    <w:tr2bl w:val="nil"/>
                  </w:tcBorders>
                  <w:noWrap w:val="0"/>
                  <w:vAlign w:val="center"/>
                </w:tcPr>
                <w:p w14:paraId="080C9C7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04" w:type="pct"/>
                  <w:tcBorders>
                    <w:tl2br w:val="nil"/>
                    <w:tr2bl w:val="nil"/>
                  </w:tcBorders>
                  <w:noWrap w:val="0"/>
                  <w:vAlign w:val="center"/>
                </w:tcPr>
                <w:p w14:paraId="68FD92B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年</w:t>
                  </w:r>
                  <w:r>
                    <w:rPr>
                      <w:rFonts w:hint="eastAsia" w:cs="Times New Roman"/>
                      <w:b w:val="0"/>
                      <w:bCs w:val="0"/>
                      <w:color w:val="auto"/>
                      <w:sz w:val="21"/>
                      <w:szCs w:val="21"/>
                      <w:vertAlign w:val="baseline"/>
                      <w:lang w:val="en-US" w:eastAsia="zh-CN"/>
                    </w:rPr>
                    <w:t>9</w:t>
                  </w:r>
                  <w:r>
                    <w:rPr>
                      <w:rFonts w:hint="default" w:ascii="Times New Roman" w:hAnsi="Times New Roman" w:eastAsia="宋体" w:cs="Times New Roman"/>
                      <w:b w:val="0"/>
                      <w:bCs w:val="0"/>
                      <w:color w:val="auto"/>
                      <w:sz w:val="21"/>
                      <w:szCs w:val="21"/>
                      <w:vertAlign w:val="baseline"/>
                      <w:lang w:val="en-US" w:eastAsia="zh-CN"/>
                    </w:rPr>
                    <w:t>月</w:t>
                  </w:r>
                  <w:r>
                    <w:rPr>
                      <w:rFonts w:hint="eastAsia" w:ascii="Times New Roman" w:hAnsi="Times New Roman" w:eastAsia="宋体" w:cs="Times New Roman"/>
                      <w:b w:val="0"/>
                      <w:bCs w:val="0"/>
                      <w:color w:val="auto"/>
                      <w:sz w:val="21"/>
                      <w:szCs w:val="21"/>
                      <w:vertAlign w:val="baseline"/>
                      <w:lang w:val="en-US" w:eastAsia="zh-CN"/>
                    </w:rPr>
                    <w:t>16～17</w:t>
                  </w:r>
                  <w:r>
                    <w:rPr>
                      <w:rFonts w:hint="default" w:ascii="Times New Roman" w:hAnsi="Times New Roman" w:eastAsia="宋体" w:cs="Times New Roman"/>
                      <w:b w:val="0"/>
                      <w:bCs w:val="0"/>
                      <w:color w:val="auto"/>
                      <w:sz w:val="21"/>
                      <w:szCs w:val="21"/>
                      <w:vertAlign w:val="baseline"/>
                      <w:lang w:val="en-US" w:eastAsia="zh-CN"/>
                    </w:rPr>
                    <w:t>日</w:t>
                  </w:r>
                </w:p>
              </w:tc>
              <w:tc>
                <w:tcPr>
                  <w:tcW w:w="1338" w:type="pct"/>
                  <w:tcBorders>
                    <w:tl2br w:val="nil"/>
                    <w:tr2bl w:val="nil"/>
                  </w:tcBorders>
                  <w:noWrap w:val="0"/>
                  <w:vAlign w:val="center"/>
                </w:tcPr>
                <w:p w14:paraId="473F9B1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14A34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0" w:type="pct"/>
                  <w:vMerge w:val="continue"/>
                  <w:tcBorders>
                    <w:tl2br w:val="nil"/>
                    <w:tr2bl w:val="nil"/>
                  </w:tcBorders>
                  <w:noWrap w:val="0"/>
                  <w:vAlign w:val="center"/>
                </w:tcPr>
                <w:p w14:paraId="75E9A66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896" w:type="pct"/>
                  <w:vMerge w:val="continue"/>
                  <w:tcBorders>
                    <w:tl2br w:val="nil"/>
                    <w:tr2bl w:val="nil"/>
                  </w:tcBorders>
                  <w:noWrap w:val="0"/>
                  <w:vAlign w:val="center"/>
                </w:tcPr>
                <w:p w14:paraId="7A3E5E9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04" w:type="pct"/>
                  <w:tcBorders>
                    <w:tl2br w:val="nil"/>
                    <w:tr2bl w:val="nil"/>
                  </w:tcBorders>
                  <w:noWrap w:val="0"/>
                  <w:vAlign w:val="center"/>
                </w:tcPr>
                <w:p w14:paraId="54BA65D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2024年</w:t>
                  </w:r>
                  <w:r>
                    <w:rPr>
                      <w:rFonts w:hint="eastAsia" w:cs="Times New Roman"/>
                      <w:b w:val="0"/>
                      <w:bCs w:val="0"/>
                      <w:color w:val="auto"/>
                      <w:sz w:val="21"/>
                      <w:szCs w:val="21"/>
                      <w:vertAlign w:val="baseline"/>
                      <w:lang w:val="en-US" w:eastAsia="zh-CN"/>
                    </w:rPr>
                    <w:t>9</w:t>
                  </w:r>
                  <w:r>
                    <w:rPr>
                      <w:rFonts w:hint="default" w:ascii="Times New Roman" w:hAnsi="Times New Roman" w:eastAsia="宋体" w:cs="Times New Roman"/>
                      <w:b w:val="0"/>
                      <w:bCs w:val="0"/>
                      <w:color w:val="auto"/>
                      <w:sz w:val="21"/>
                      <w:szCs w:val="21"/>
                      <w:vertAlign w:val="baseline"/>
                      <w:lang w:val="en-US" w:eastAsia="zh-CN"/>
                    </w:rPr>
                    <w:t>月</w:t>
                  </w:r>
                  <w:r>
                    <w:rPr>
                      <w:rFonts w:hint="eastAsia" w:cs="Times New Roman"/>
                      <w:b w:val="0"/>
                      <w:bCs w:val="0"/>
                      <w:color w:val="auto"/>
                      <w:sz w:val="21"/>
                      <w:szCs w:val="21"/>
                      <w:vertAlign w:val="baseline"/>
                      <w:lang w:val="en-US" w:eastAsia="zh-CN"/>
                    </w:rPr>
                    <w:t>17</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18</w:t>
                  </w:r>
                  <w:r>
                    <w:rPr>
                      <w:rFonts w:hint="default" w:ascii="Times New Roman" w:hAnsi="Times New Roman" w:eastAsia="宋体" w:cs="Times New Roman"/>
                      <w:b w:val="0"/>
                      <w:bCs w:val="0"/>
                      <w:color w:val="auto"/>
                      <w:sz w:val="21"/>
                      <w:szCs w:val="21"/>
                      <w:vertAlign w:val="baseline"/>
                      <w:lang w:val="en-US" w:eastAsia="zh-CN"/>
                    </w:rPr>
                    <w:t>日</w:t>
                  </w:r>
                </w:p>
              </w:tc>
              <w:tc>
                <w:tcPr>
                  <w:tcW w:w="1338" w:type="pct"/>
                  <w:tcBorders>
                    <w:tl2br w:val="nil"/>
                    <w:tr2bl w:val="nil"/>
                  </w:tcBorders>
                  <w:noWrap w:val="0"/>
                  <w:vAlign w:val="center"/>
                </w:tcPr>
                <w:p w14:paraId="4E50D69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bl>
          <w:p w14:paraId="3234B39C">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根据上表监测结果可知，项目所在区域</w:t>
            </w:r>
            <w:r>
              <w:rPr>
                <w:rFonts w:hint="eastAsia" w:cs="Times New Roman"/>
                <w:color w:val="auto"/>
                <w:sz w:val="24"/>
                <w:szCs w:val="22"/>
                <w:lang w:val="en-US" w:eastAsia="zh-CN"/>
              </w:rPr>
              <w:t>珠山村</w:t>
            </w:r>
            <w:r>
              <w:rPr>
                <w:rFonts w:hint="eastAsia" w:ascii="Times New Roman" w:hAnsi="Times New Roman" w:eastAsia="宋体" w:cs="Times New Roman"/>
                <w:color w:val="auto"/>
                <w:sz w:val="24"/>
                <w:szCs w:val="22"/>
                <w:lang w:val="en-US" w:eastAsia="zh-CN"/>
              </w:rPr>
              <w:t>TSP的24小时平均浓度值符合《环境空气质量标准》(GB3095-2026)过渡阶段浓度限制中的二级标准，即≤0.3mg/m</w:t>
            </w:r>
            <w:r>
              <w:rPr>
                <w:rFonts w:hint="eastAsia" w:ascii="Times New Roman" w:hAnsi="Times New Roman" w:eastAsia="宋体" w:cs="Times New Roman"/>
                <w:color w:val="auto"/>
                <w:sz w:val="24"/>
                <w:szCs w:val="22"/>
                <w:vertAlign w:val="superscript"/>
                <w:lang w:val="en-US" w:eastAsia="zh-CN"/>
              </w:rPr>
              <w:t>3</w:t>
            </w:r>
            <w:r>
              <w:rPr>
                <w:rFonts w:hint="eastAsia" w:ascii="Times New Roman" w:hAnsi="Times New Roman" w:eastAsia="宋体" w:cs="Times New Roman"/>
                <w:color w:val="auto"/>
                <w:sz w:val="24"/>
                <w:szCs w:val="22"/>
                <w:vertAlign w:val="baseline"/>
                <w:lang w:val="en-US" w:eastAsia="zh-CN"/>
              </w:rPr>
              <w:t>，环境质量现状良好</w:t>
            </w:r>
            <w:r>
              <w:rPr>
                <w:rFonts w:hint="eastAsia" w:ascii="Times New Roman" w:hAnsi="Times New Roman" w:eastAsia="宋体" w:cs="Times New Roman"/>
                <w:color w:val="auto"/>
                <w:sz w:val="24"/>
                <w:szCs w:val="22"/>
                <w:lang w:val="en-US" w:eastAsia="zh-CN"/>
              </w:rPr>
              <w:t>。</w:t>
            </w:r>
          </w:p>
          <w:p w14:paraId="21CEB003">
            <w:pPr>
              <w:adjustRightInd w:val="0"/>
              <w:snapToGrid w:val="0"/>
              <w:spacing w:line="360" w:lineRule="auto"/>
              <w:rPr>
                <w:rFonts w:hint="eastAsia"/>
                <w:color w:val="auto"/>
                <w:sz w:val="24"/>
                <w:lang w:eastAsia="zh-CN"/>
              </w:rPr>
            </w:pPr>
          </w:p>
          <w:p w14:paraId="6E2B1B78">
            <w:pPr>
              <w:adjustRightInd w:val="0"/>
              <w:snapToGrid w:val="0"/>
              <w:spacing w:line="360" w:lineRule="auto"/>
              <w:ind w:firstLine="480" w:firstLineChars="200"/>
              <w:rPr>
                <w:rFonts w:ascii="Times New Roman" w:hAnsi="Times New Roman" w:eastAsia="宋体" w:cs="Times New Roman"/>
                <w:color w:val="auto"/>
                <w:sz w:val="24"/>
                <w:szCs w:val="22"/>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s="Times New Roman"/>
                <w:color w:val="auto"/>
                <w:sz w:val="24"/>
                <w:szCs w:val="22"/>
                <w:lang w:val="en-US" w:eastAsia="zh-CN"/>
              </w:rPr>
              <w:t>补充监测</w:t>
            </w:r>
            <w:r>
              <w:rPr>
                <w:rFonts w:ascii="Times New Roman" w:hAnsi="Times New Roman" w:eastAsia="宋体" w:cs="Times New Roman"/>
                <w:color w:val="auto"/>
                <w:sz w:val="24"/>
                <w:szCs w:val="22"/>
              </w:rPr>
              <w:t>的有效性分析</w:t>
            </w:r>
          </w:p>
          <w:p w14:paraId="69128D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lang w:eastAsia="zh-CN"/>
              </w:rPr>
              <w:t>根据《建设项目环境影响报告表编制技术指南</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污染影响类</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试行</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环办环评〔2020〕33号</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eastAsia="zh-CN"/>
              </w:rPr>
              <w:t>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auto"/>
                <w:sz w:val="24"/>
                <w:szCs w:val="22"/>
                <w:lang w:eastAsia="zh-CN"/>
              </w:rPr>
              <w:t>，无相关数据的选择当季主导风向下风向1个点位补充不少于3天的监测数据</w:t>
            </w:r>
            <w:r>
              <w:rPr>
                <w:rFonts w:hint="default" w:ascii="Times New Roman" w:hAnsi="Times New Roman" w:eastAsia="宋体" w:cs="Times New Roman"/>
                <w:color w:val="auto"/>
                <w:sz w:val="24"/>
                <w:szCs w:val="22"/>
                <w:lang w:eastAsia="zh-CN"/>
              </w:rPr>
              <w:t>”。</w:t>
            </w:r>
          </w:p>
          <w:p w14:paraId="55DE7B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szCs w:val="22"/>
                <w:lang w:eastAsia="zh-CN"/>
              </w:rPr>
              <w:t>本评价常规污染因子选取</w:t>
            </w:r>
            <w:r>
              <w:rPr>
                <w:rFonts w:hint="eastAsia" w:ascii="Times New Roman" w:hAnsi="Times New Roman" w:eastAsia="宋体" w:cs="Times New Roman"/>
                <w:color w:val="auto"/>
                <w:sz w:val="24"/>
                <w:szCs w:val="22"/>
                <w:lang w:val="en-US" w:eastAsia="zh-CN"/>
              </w:rPr>
              <w:t>福州市</w:t>
            </w:r>
            <w:r>
              <w:rPr>
                <w:rFonts w:hint="eastAsia" w:cs="Times New Roman"/>
                <w:color w:val="auto"/>
                <w:sz w:val="24"/>
                <w:szCs w:val="22"/>
                <w:highlight w:val="none"/>
                <w:lang w:val="en-US" w:eastAsia="zh-CN"/>
              </w:rPr>
              <w:t>福清市</w:t>
            </w:r>
            <w:r>
              <w:rPr>
                <w:rFonts w:hint="eastAsia" w:ascii="Times New Roman" w:hAnsi="Times New Roman" w:eastAsia="宋体" w:cs="Times New Roman"/>
                <w:color w:val="auto"/>
                <w:sz w:val="24"/>
                <w:szCs w:val="22"/>
                <w:highlight w:val="none"/>
                <w:lang w:val="en-US" w:eastAsia="zh-CN"/>
              </w:rPr>
              <w:t>人民</w:t>
            </w:r>
            <w:r>
              <w:rPr>
                <w:rFonts w:hint="eastAsia" w:ascii="Times New Roman" w:hAnsi="Times New Roman" w:eastAsia="宋体" w:cs="Times New Roman"/>
                <w:color w:val="auto"/>
                <w:sz w:val="24"/>
                <w:szCs w:val="22"/>
                <w:lang w:val="en-US" w:eastAsia="zh-CN"/>
              </w:rPr>
              <w:t>政府</w:t>
            </w:r>
            <w:r>
              <w:rPr>
                <w:rFonts w:hint="default" w:ascii="Times New Roman" w:hAnsi="Times New Roman" w:eastAsia="宋体" w:cs="Times New Roman"/>
                <w:color w:val="auto"/>
                <w:sz w:val="24"/>
                <w:szCs w:val="22"/>
                <w:lang w:eastAsia="zh-CN"/>
              </w:rPr>
              <w:t>发布的环境空气质量现状信息，特征污染因子TSP</w:t>
            </w:r>
            <w:r>
              <w:rPr>
                <w:rFonts w:hint="eastAsia" w:cs="Times New Roman"/>
                <w:color w:val="auto"/>
                <w:sz w:val="24"/>
                <w:szCs w:val="22"/>
                <w:lang w:val="en-US" w:eastAsia="zh-CN"/>
              </w:rPr>
              <w:t>在当季主导风向下风向580m珠山村布点</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监测时间</w:t>
            </w:r>
            <w:r>
              <w:rPr>
                <w:rFonts w:hint="eastAsia" w:ascii="Times New Roman" w:hAnsi="Times New Roman" w:eastAsia="宋体" w:cs="Times New Roman"/>
                <w:color w:val="auto"/>
                <w:sz w:val="24"/>
                <w:szCs w:val="22"/>
                <w:lang w:eastAsia="zh-CN"/>
              </w:rPr>
              <w:t>3天，</w:t>
            </w:r>
            <w:r>
              <w:rPr>
                <w:rFonts w:hint="default" w:ascii="Times New Roman" w:hAnsi="Times New Roman" w:eastAsia="宋体" w:cs="Times New Roman"/>
                <w:color w:val="auto"/>
                <w:sz w:val="24"/>
                <w:szCs w:val="22"/>
                <w:lang w:eastAsia="zh-CN"/>
              </w:rPr>
              <w:t>符合《建设项目环境影响报告表编制技术指南（污染影响类）（试行）》（环办环评〔2020〕33号）的要求。</w:t>
            </w:r>
            <w:r>
              <w:rPr>
                <w:rFonts w:hint="default" w:ascii="Times New Roman" w:hAnsi="Times New Roman" w:eastAsia="宋体" w:cs="Times New Roman"/>
                <w:color w:val="auto"/>
                <w:sz w:val="24"/>
                <w:szCs w:val="22"/>
              </w:rPr>
              <w:t>本项目排放的其他污染物为非甲烷总烃</w:t>
            </w:r>
            <w:r>
              <w:rPr>
                <w:rFonts w:hint="eastAsia" w:cs="Times New Roman"/>
                <w:color w:val="auto"/>
                <w:sz w:val="24"/>
                <w:szCs w:val="22"/>
                <w:lang w:eastAsia="zh-CN"/>
              </w:rPr>
              <w:t>、</w:t>
            </w:r>
            <w:r>
              <w:rPr>
                <w:rFonts w:hint="eastAsia" w:cs="Times New Roman"/>
                <w:color w:val="auto"/>
                <w:sz w:val="24"/>
                <w:szCs w:val="22"/>
                <w:lang w:val="en-US" w:eastAsia="zh-CN"/>
              </w:rPr>
              <w:t>甲苯、苯系物</w:t>
            </w:r>
            <w:r>
              <w:rPr>
                <w:rFonts w:hint="eastAsia"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不属于《环境空气质量标准》</w:t>
            </w:r>
            <w:r>
              <w:rPr>
                <w:rFonts w:hint="eastAsia" w:cs="Times New Roman"/>
                <w:color w:val="auto"/>
                <w:sz w:val="24"/>
                <w:szCs w:val="22"/>
                <w:lang w:eastAsia="zh-CN"/>
              </w:rPr>
              <w:t>（</w:t>
            </w:r>
            <w:r>
              <w:rPr>
                <w:rFonts w:hint="default" w:ascii="Times New Roman" w:hAnsi="Times New Roman" w:eastAsia="宋体" w:cs="Times New Roman"/>
                <w:color w:val="auto"/>
                <w:sz w:val="24"/>
                <w:szCs w:val="22"/>
              </w:rPr>
              <w:t>GB3095-2012</w:t>
            </w:r>
            <w:r>
              <w:rPr>
                <w:rFonts w:hint="eastAsia" w:cs="Times New Roman"/>
                <w:color w:val="auto"/>
                <w:sz w:val="24"/>
                <w:szCs w:val="22"/>
                <w:lang w:eastAsia="zh-CN"/>
              </w:rPr>
              <w:t>）</w:t>
            </w:r>
            <w:r>
              <w:rPr>
                <w:rFonts w:hint="default" w:ascii="Times New Roman" w:hAnsi="Times New Roman" w:eastAsia="宋体" w:cs="Times New Roman"/>
                <w:color w:val="auto"/>
                <w:sz w:val="24"/>
                <w:szCs w:val="22"/>
              </w:rPr>
              <w:t>和地方的环境空气质量中有标准限值要求的污染物，因此，不对</w:t>
            </w:r>
            <w:r>
              <w:rPr>
                <w:rFonts w:hint="eastAsia" w:cs="Times New Roman"/>
                <w:color w:val="auto"/>
                <w:sz w:val="24"/>
                <w:szCs w:val="22"/>
                <w:lang w:val="en-US" w:eastAsia="zh-CN"/>
              </w:rPr>
              <w:t>其</w:t>
            </w:r>
            <w:r>
              <w:rPr>
                <w:rFonts w:hint="default" w:ascii="Times New Roman" w:hAnsi="Times New Roman" w:eastAsia="宋体" w:cs="Times New Roman"/>
                <w:color w:val="auto"/>
                <w:sz w:val="24"/>
                <w:szCs w:val="22"/>
              </w:rPr>
              <w:t>进行现状检测评价。</w:t>
            </w:r>
          </w:p>
          <w:p w14:paraId="719E7BB1">
            <w:pPr>
              <w:pStyle w:val="3"/>
              <w:numPr>
                <w:ilvl w:val="0"/>
                <w:numId w:val="0"/>
              </w:numPr>
              <w:rPr>
                <w:rFonts w:ascii="Times New Roman" w:hAnsi="Times New Roman" w:cs="Times New Roman"/>
                <w:color w:val="auto"/>
              </w:rPr>
            </w:pPr>
            <w:r>
              <w:rPr>
                <w:color w:val="auto"/>
              </w:rPr>
              <w:t>3.2水环境质量现状</w:t>
            </w:r>
          </w:p>
          <w:p w14:paraId="336BE22C">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3.2.1水</w:t>
            </w:r>
            <w:r>
              <w:rPr>
                <w:rFonts w:hint="default" w:ascii="Times New Roman" w:hAnsi="Times New Roman" w:eastAsia="宋体" w:cs="Times New Roman"/>
                <w:b/>
                <w:bCs/>
                <w:color w:val="auto"/>
                <w:sz w:val="24"/>
                <w:lang w:eastAsia="zh-CN"/>
              </w:rPr>
              <w:t>环境功能</w:t>
            </w:r>
            <w:r>
              <w:rPr>
                <w:rFonts w:hint="default" w:ascii="Times New Roman" w:hAnsi="Times New Roman" w:eastAsia="宋体" w:cs="Times New Roman"/>
                <w:b/>
                <w:bCs/>
                <w:color w:val="auto"/>
                <w:sz w:val="24"/>
              </w:rPr>
              <w:t>区划</w:t>
            </w:r>
          </w:p>
          <w:p w14:paraId="3E7D8E7A">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cs="Times New Roman"/>
                <w:color w:val="auto"/>
                <w:sz w:val="24"/>
              </w:rPr>
              <w:t>项目周边水体为</w:t>
            </w:r>
            <w:r>
              <w:rPr>
                <w:rFonts w:hint="default" w:ascii="Times New Roman" w:hAnsi="Times New Roman" w:cs="Times New Roman"/>
                <w:color w:val="auto"/>
                <w:sz w:val="24"/>
                <w:lang w:eastAsia="zh-CN"/>
              </w:rPr>
              <w:t>龙江，</w:t>
            </w:r>
            <w:r>
              <w:rPr>
                <w:rFonts w:hint="default" w:ascii="Times New Roman" w:hAnsi="Times New Roman" w:cs="Times New Roman"/>
                <w:color w:val="auto"/>
                <w:sz w:val="24"/>
                <w:lang w:val="en-US" w:eastAsia="zh-CN"/>
              </w:rPr>
              <w:t>处于龙江“东张水库坝址至大斜龙江桥断面”</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根据福建省人民政府闽政文</w:t>
            </w:r>
            <w:r>
              <w:rPr>
                <w:rFonts w:hint="default" w:ascii="Times New Roman" w:hAnsi="Times New Roman" w:cs="Times New Roman"/>
                <w:color w:val="auto"/>
                <w:sz w:val="24"/>
                <w:lang w:val="en-US" w:eastAsia="zh-CN"/>
              </w:rPr>
              <w:t>[2006]133号批准《福州市地表水环境区划定方案》</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“东张水库坝址至大斜龙江桥断面”</w:t>
            </w:r>
            <w:r>
              <w:rPr>
                <w:rFonts w:hint="default" w:ascii="Times New Roman" w:hAnsi="Times New Roman" w:cs="Times New Roman"/>
                <w:color w:val="auto"/>
                <w:sz w:val="24"/>
                <w:lang w:eastAsia="zh-CN"/>
              </w:rPr>
              <w:t>水体主要功能为工业用水、农业用水，环境功能类别为</w:t>
            </w:r>
            <w:r>
              <w:rPr>
                <w:rFonts w:hint="default" w:ascii="Times New Roman" w:hAnsi="Times New Roman" w:cs="Times New Roman"/>
                <w:color w:val="auto"/>
                <w:sz w:val="24"/>
                <w:lang w:val="en-US" w:eastAsia="zh-CN"/>
              </w:rPr>
              <w:t>Ⅳ类，</w:t>
            </w:r>
            <w:r>
              <w:rPr>
                <w:rFonts w:hint="default" w:ascii="Times New Roman" w:hAnsi="Times New Roman" w:cs="Times New Roman"/>
                <w:color w:val="auto"/>
                <w:sz w:val="24"/>
              </w:rPr>
              <w:t>水质执行《地表水环境质量标准》(GB3838-2002)</w:t>
            </w:r>
            <w:r>
              <w:rPr>
                <w:rFonts w:hint="default" w:ascii="Times New Roman" w:hAnsi="Times New Roman" w:cs="Times New Roman"/>
                <w:color w:val="auto"/>
                <w:sz w:val="24"/>
                <w:lang w:val="en-US" w:eastAsia="zh-CN"/>
              </w:rPr>
              <w:t>Ⅳ</w:t>
            </w:r>
            <w:r>
              <w:rPr>
                <w:rFonts w:hint="default" w:ascii="Times New Roman" w:hAnsi="Times New Roman" w:cs="Times New Roman"/>
                <w:color w:val="auto"/>
                <w:sz w:val="24"/>
              </w:rPr>
              <w:t>类标准，具体详见表3-</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w:t>
            </w:r>
          </w:p>
          <w:p w14:paraId="1833A6C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本项目废水</w:t>
            </w:r>
            <w:r>
              <w:rPr>
                <w:rFonts w:hint="default" w:ascii="Times New Roman" w:hAnsi="Times New Roman" w:eastAsia="宋体" w:cs="Times New Roman"/>
                <w:bCs/>
                <w:color w:val="auto"/>
                <w:sz w:val="24"/>
                <w:lang w:val="en-US" w:eastAsia="zh-CN"/>
              </w:rPr>
              <w:t>达标排入市政污水管网，</w:t>
            </w:r>
            <w:r>
              <w:rPr>
                <w:rFonts w:hint="default" w:ascii="Times New Roman" w:hAnsi="Times New Roman" w:eastAsia="宋体" w:cs="Times New Roman"/>
                <w:color w:val="auto"/>
                <w:sz w:val="24"/>
                <w:lang w:val="en-US" w:eastAsia="zh-CN"/>
              </w:rPr>
              <w:t>经</w:t>
            </w:r>
            <w:r>
              <w:rPr>
                <w:rFonts w:hint="default" w:ascii="Times New Roman" w:hAnsi="Times New Roman" w:eastAsia="宋体" w:cs="Times New Roman"/>
                <w:color w:val="auto"/>
                <w:sz w:val="24"/>
              </w:rPr>
              <w:t>福清市融元污水处理厂处理，福清市融元污水处理厂尾水排入龙江，处于龙江“大斜龙江桥至龙江入海口”断面。根据</w:t>
            </w:r>
            <w:r>
              <w:rPr>
                <w:rFonts w:hint="eastAsia"/>
                <w:color w:val="auto"/>
                <w:sz w:val="24"/>
                <w:lang w:eastAsia="zh-CN"/>
              </w:rPr>
              <w:t>福建省人民政府闽政文</w:t>
            </w:r>
            <w:r>
              <w:rPr>
                <w:rFonts w:hint="eastAsia"/>
                <w:color w:val="auto"/>
                <w:sz w:val="24"/>
                <w:lang w:val="en-US" w:eastAsia="zh-CN"/>
              </w:rPr>
              <w:t>[2006]133号批准《福州市地表水环境区划定方案》</w:t>
            </w:r>
            <w:r>
              <w:rPr>
                <w:rFonts w:hint="default" w:ascii="Times New Roman" w:hAnsi="Times New Roman" w:eastAsia="宋体" w:cs="Times New Roman"/>
                <w:color w:val="auto"/>
                <w:sz w:val="24"/>
              </w:rPr>
              <w:t>，项目纳污水域所处龙江“大斜龙江桥至龙江入海口”断面，该断面功能排序为景观、工业用水，水质保护目标为V类，水质均执行《地表水环境质量标准》(GB3838-2002)中V类标准，水质执行《地表水环境质量标准》(GB3838-2002)中Ⅴ类水质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具体详见表3-</w:t>
            </w:r>
            <w:r>
              <w:rPr>
                <w:rFonts w:hint="default" w:ascii="Times New Roman" w:hAnsi="Times New Roman" w:eastAsia="宋体" w:cs="Times New Roman"/>
                <w:color w:val="auto"/>
                <w:sz w:val="24"/>
                <w:lang w:eastAsia="zh-CN"/>
              </w:rPr>
              <w:t>4</w:t>
            </w:r>
            <w:r>
              <w:rPr>
                <w:rFonts w:hint="default" w:ascii="Times New Roman" w:hAnsi="Times New Roman" w:eastAsia="宋体" w:cs="Times New Roman"/>
                <w:color w:val="auto"/>
                <w:sz w:val="24"/>
              </w:rPr>
              <w:t>。</w:t>
            </w:r>
          </w:p>
          <w:p w14:paraId="7CD3E779">
            <w:pPr>
              <w:spacing w:before="120" w:beforeLines="50"/>
              <w:jc w:val="center"/>
              <w:rPr>
                <w:rFonts w:eastAsia="黑体"/>
                <w:color w:val="auto"/>
                <w:sz w:val="24"/>
              </w:rPr>
            </w:pPr>
          </w:p>
          <w:p w14:paraId="33450755">
            <w:pPr>
              <w:spacing w:before="120" w:beforeLines="50"/>
              <w:jc w:val="center"/>
              <w:rPr>
                <w:rFonts w:eastAsia="黑体"/>
                <w:color w:val="auto"/>
                <w:sz w:val="24"/>
              </w:rPr>
            </w:pPr>
          </w:p>
          <w:p w14:paraId="0DCEF50E">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eastAsia="zh-CN"/>
              </w:rPr>
              <w:t>4</w:t>
            </w:r>
            <w:r>
              <w:rPr>
                <w:rFonts w:eastAsia="黑体"/>
                <w:color w:val="auto"/>
                <w:sz w:val="24"/>
              </w:rPr>
              <w:t xml:space="preserve"> 地表水环境质量标准(GB3838-2002)(摘录) 单位：mg/L</w:t>
            </w:r>
            <w:r>
              <w:rPr>
                <w:rFonts w:hint="eastAsia" w:eastAsia="黑体"/>
                <w:color w:val="auto"/>
                <w:sz w:val="24"/>
              </w:rPr>
              <w:t>(pH除外)</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28" w:type="dxa"/>
                <w:bottom w:w="0" w:type="dxa"/>
                <w:right w:w="28" w:type="dxa"/>
              </w:tblCellMar>
            </w:tblPr>
            <w:tblGrid>
              <w:gridCol w:w="1004"/>
              <w:gridCol w:w="2808"/>
              <w:gridCol w:w="1197"/>
              <w:gridCol w:w="1197"/>
              <w:gridCol w:w="1198"/>
              <w:gridCol w:w="1207"/>
            </w:tblGrid>
            <w:tr w14:paraId="6485330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72B143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序号</w:t>
                  </w:r>
                </w:p>
              </w:tc>
              <w:tc>
                <w:tcPr>
                  <w:tcW w:w="1630" w:type="pct"/>
                  <w:shd w:val="clear" w:color="auto" w:fill="auto"/>
                  <w:noWrap w:val="0"/>
                  <w:vAlign w:val="center"/>
                </w:tcPr>
                <w:p w14:paraId="15207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项目</w:t>
                  </w:r>
                </w:p>
              </w:tc>
              <w:tc>
                <w:tcPr>
                  <w:tcW w:w="695" w:type="pct"/>
                  <w:shd w:val="clear" w:color="auto" w:fill="auto"/>
                  <w:noWrap w:val="0"/>
                  <w:vAlign w:val="center"/>
                </w:tcPr>
                <w:p w14:paraId="35949B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Ⅱ类</w:t>
                  </w:r>
                </w:p>
              </w:tc>
              <w:tc>
                <w:tcPr>
                  <w:tcW w:w="695" w:type="pct"/>
                  <w:shd w:val="clear" w:color="auto" w:fill="FFFFFF" w:themeFill="background1"/>
                  <w:noWrap w:val="0"/>
                  <w:vAlign w:val="center"/>
                </w:tcPr>
                <w:p w14:paraId="233248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Ⅲ类</w:t>
                  </w:r>
                </w:p>
              </w:tc>
              <w:tc>
                <w:tcPr>
                  <w:tcW w:w="695" w:type="pct"/>
                  <w:shd w:val="clear" w:color="auto" w:fill="7F7F7F" w:themeFill="text1" w:themeFillTint="7F"/>
                  <w:noWrap w:val="0"/>
                  <w:vAlign w:val="center"/>
                </w:tcPr>
                <w:p w14:paraId="3C37DA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Ⅳ类</w:t>
                  </w:r>
                </w:p>
              </w:tc>
              <w:tc>
                <w:tcPr>
                  <w:tcW w:w="699" w:type="pct"/>
                  <w:shd w:val="clear" w:color="auto" w:fill="7F7F7F" w:themeFill="text1" w:themeFillTint="7F"/>
                  <w:noWrap w:val="0"/>
                  <w:vAlign w:val="center"/>
                </w:tcPr>
                <w:p w14:paraId="509322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rPr>
                  </w:pPr>
                  <w:r>
                    <w:rPr>
                      <w:b/>
                      <w:bCs/>
                      <w:color w:val="auto"/>
                    </w:rPr>
                    <w:t>Ⅴ类</w:t>
                  </w:r>
                </w:p>
              </w:tc>
            </w:tr>
            <w:tr w14:paraId="623BB5D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788135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1</w:t>
                  </w:r>
                </w:p>
              </w:tc>
              <w:tc>
                <w:tcPr>
                  <w:tcW w:w="1630" w:type="pct"/>
                  <w:shd w:val="clear" w:color="auto" w:fill="auto"/>
                  <w:noWrap w:val="0"/>
                  <w:vAlign w:val="center"/>
                </w:tcPr>
                <w:p w14:paraId="43327609">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pH(无量纲)</w:t>
                  </w:r>
                </w:p>
              </w:tc>
              <w:tc>
                <w:tcPr>
                  <w:tcW w:w="2785" w:type="pct"/>
                  <w:gridSpan w:val="4"/>
                  <w:shd w:val="clear" w:color="auto" w:fill="7F7F7F" w:themeFill="text1" w:themeFillTint="7F"/>
                  <w:noWrap w:val="0"/>
                  <w:vAlign w:val="center"/>
                </w:tcPr>
                <w:p w14:paraId="7B2C50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6～9</w:t>
                  </w:r>
                </w:p>
              </w:tc>
            </w:tr>
            <w:tr w14:paraId="10177FC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25CD7F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2</w:t>
                  </w:r>
                </w:p>
              </w:tc>
              <w:tc>
                <w:tcPr>
                  <w:tcW w:w="1630" w:type="pct"/>
                  <w:shd w:val="clear" w:color="auto" w:fill="auto"/>
                  <w:noWrap w:val="0"/>
                  <w:vAlign w:val="center"/>
                </w:tcPr>
                <w:p w14:paraId="7CCEC9E8">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溶解氧(DO)≥</w:t>
                  </w:r>
                </w:p>
              </w:tc>
              <w:tc>
                <w:tcPr>
                  <w:tcW w:w="695" w:type="pct"/>
                  <w:shd w:val="clear" w:color="auto" w:fill="auto"/>
                  <w:noWrap w:val="0"/>
                  <w:vAlign w:val="center"/>
                </w:tcPr>
                <w:p w14:paraId="694BA0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695" w:type="pct"/>
                  <w:shd w:val="clear" w:color="auto" w:fill="FFFFFF" w:themeFill="background1"/>
                  <w:noWrap w:val="0"/>
                  <w:vAlign w:val="center"/>
                </w:tcPr>
                <w:p w14:paraId="5E4257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5</w:t>
                  </w:r>
                </w:p>
              </w:tc>
              <w:tc>
                <w:tcPr>
                  <w:tcW w:w="695" w:type="pct"/>
                  <w:shd w:val="clear" w:color="auto" w:fill="7F7F7F" w:themeFill="text1" w:themeFillTint="7F"/>
                  <w:noWrap w:val="0"/>
                  <w:vAlign w:val="center"/>
                </w:tcPr>
                <w:p w14:paraId="65099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w:t>
                  </w:r>
                </w:p>
              </w:tc>
              <w:tc>
                <w:tcPr>
                  <w:tcW w:w="699" w:type="pct"/>
                  <w:shd w:val="clear" w:color="auto" w:fill="7F7F7F" w:themeFill="text1" w:themeFillTint="7F"/>
                  <w:noWrap w:val="0"/>
                  <w:vAlign w:val="center"/>
                </w:tcPr>
                <w:p w14:paraId="1D11B3D4">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2</w:t>
                  </w:r>
                </w:p>
              </w:tc>
            </w:tr>
            <w:tr w14:paraId="704EA35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71F754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w:t>
                  </w:r>
                </w:p>
              </w:tc>
              <w:tc>
                <w:tcPr>
                  <w:tcW w:w="1630" w:type="pct"/>
                  <w:shd w:val="clear" w:color="auto" w:fill="auto"/>
                  <w:noWrap w:val="0"/>
                  <w:vAlign w:val="center"/>
                </w:tcPr>
                <w:p w14:paraId="00243EB8">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高锰酸盐指数≤</w:t>
                  </w:r>
                </w:p>
              </w:tc>
              <w:tc>
                <w:tcPr>
                  <w:tcW w:w="695" w:type="pct"/>
                  <w:shd w:val="clear" w:color="auto" w:fill="auto"/>
                  <w:noWrap w:val="0"/>
                  <w:vAlign w:val="center"/>
                </w:tcPr>
                <w:p w14:paraId="05CAD5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4</w:t>
                  </w:r>
                </w:p>
              </w:tc>
              <w:tc>
                <w:tcPr>
                  <w:tcW w:w="695" w:type="pct"/>
                  <w:shd w:val="clear" w:color="auto" w:fill="FFFFFF" w:themeFill="background1"/>
                  <w:noWrap w:val="0"/>
                  <w:vAlign w:val="center"/>
                </w:tcPr>
                <w:p w14:paraId="2242BB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695" w:type="pct"/>
                  <w:shd w:val="clear" w:color="auto" w:fill="7F7F7F" w:themeFill="text1" w:themeFillTint="7F"/>
                  <w:noWrap w:val="0"/>
                  <w:vAlign w:val="center"/>
                </w:tcPr>
                <w:p w14:paraId="6F297E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10</w:t>
                  </w:r>
                </w:p>
              </w:tc>
              <w:tc>
                <w:tcPr>
                  <w:tcW w:w="699" w:type="pct"/>
                  <w:shd w:val="clear" w:color="auto" w:fill="7F7F7F" w:themeFill="text1" w:themeFillTint="7F"/>
                  <w:noWrap w:val="0"/>
                  <w:vAlign w:val="center"/>
                </w:tcPr>
                <w:p w14:paraId="2755EF7D">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15</w:t>
                  </w:r>
                </w:p>
              </w:tc>
            </w:tr>
            <w:tr w14:paraId="3DC88A6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4C4501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4</w:t>
                  </w:r>
                </w:p>
              </w:tc>
              <w:tc>
                <w:tcPr>
                  <w:tcW w:w="1630" w:type="pct"/>
                  <w:shd w:val="clear" w:color="auto" w:fill="auto"/>
                  <w:noWrap w:val="0"/>
                  <w:vAlign w:val="center"/>
                </w:tcPr>
                <w:p w14:paraId="5703D8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五日生化需氧量(BOD</w:t>
                  </w:r>
                  <w:r>
                    <w:rPr>
                      <w:color w:val="auto"/>
                      <w:vertAlign w:val="subscript"/>
                    </w:rPr>
                    <w:t>5</w:t>
                  </w:r>
                  <w:r>
                    <w:rPr>
                      <w:color w:val="auto"/>
                    </w:rPr>
                    <w:t>)≤</w:t>
                  </w:r>
                </w:p>
              </w:tc>
              <w:tc>
                <w:tcPr>
                  <w:tcW w:w="695" w:type="pct"/>
                  <w:shd w:val="clear" w:color="auto" w:fill="auto"/>
                  <w:noWrap w:val="0"/>
                  <w:vAlign w:val="center"/>
                </w:tcPr>
                <w:p w14:paraId="37B51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w:t>
                  </w:r>
                </w:p>
              </w:tc>
              <w:tc>
                <w:tcPr>
                  <w:tcW w:w="695" w:type="pct"/>
                  <w:shd w:val="clear" w:color="auto" w:fill="FFFFFF" w:themeFill="background1"/>
                  <w:noWrap w:val="0"/>
                  <w:vAlign w:val="center"/>
                </w:tcPr>
                <w:p w14:paraId="20847C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4</w:t>
                  </w:r>
                </w:p>
              </w:tc>
              <w:tc>
                <w:tcPr>
                  <w:tcW w:w="695" w:type="pct"/>
                  <w:shd w:val="clear" w:color="auto" w:fill="7F7F7F" w:themeFill="text1" w:themeFillTint="7F"/>
                  <w:noWrap w:val="0"/>
                  <w:vAlign w:val="center"/>
                </w:tcPr>
                <w:p w14:paraId="31C235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699" w:type="pct"/>
                  <w:shd w:val="clear" w:color="auto" w:fill="7F7F7F" w:themeFill="text1" w:themeFillTint="7F"/>
                  <w:noWrap w:val="0"/>
                  <w:vAlign w:val="center"/>
                </w:tcPr>
                <w:p w14:paraId="4A4CC16F">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10</w:t>
                  </w:r>
                </w:p>
              </w:tc>
            </w:tr>
            <w:tr w14:paraId="0C4B6C9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727295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5</w:t>
                  </w:r>
                </w:p>
              </w:tc>
              <w:tc>
                <w:tcPr>
                  <w:tcW w:w="1630" w:type="pct"/>
                  <w:shd w:val="clear" w:color="auto" w:fill="auto"/>
                  <w:noWrap w:val="0"/>
                  <w:vAlign w:val="center"/>
                </w:tcPr>
                <w:p w14:paraId="4175D6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化学需氧量(COD)≤</w:t>
                  </w:r>
                </w:p>
              </w:tc>
              <w:tc>
                <w:tcPr>
                  <w:tcW w:w="695" w:type="pct"/>
                  <w:shd w:val="clear" w:color="auto" w:fill="auto"/>
                  <w:noWrap w:val="0"/>
                  <w:vAlign w:val="center"/>
                </w:tcPr>
                <w:p w14:paraId="73FD84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15</w:t>
                  </w:r>
                </w:p>
              </w:tc>
              <w:tc>
                <w:tcPr>
                  <w:tcW w:w="695" w:type="pct"/>
                  <w:shd w:val="clear" w:color="auto" w:fill="FFFFFF" w:themeFill="background1"/>
                  <w:noWrap w:val="0"/>
                  <w:vAlign w:val="center"/>
                </w:tcPr>
                <w:p w14:paraId="6C2901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20</w:t>
                  </w:r>
                </w:p>
              </w:tc>
              <w:tc>
                <w:tcPr>
                  <w:tcW w:w="695" w:type="pct"/>
                  <w:shd w:val="clear" w:color="auto" w:fill="7F7F7F" w:themeFill="text1" w:themeFillTint="7F"/>
                  <w:noWrap w:val="0"/>
                  <w:vAlign w:val="center"/>
                </w:tcPr>
                <w:p w14:paraId="02B5BC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30</w:t>
                  </w:r>
                </w:p>
              </w:tc>
              <w:tc>
                <w:tcPr>
                  <w:tcW w:w="699" w:type="pct"/>
                  <w:shd w:val="clear" w:color="auto" w:fill="7F7F7F" w:themeFill="text1" w:themeFillTint="7F"/>
                  <w:noWrap w:val="0"/>
                  <w:vAlign w:val="center"/>
                </w:tcPr>
                <w:p w14:paraId="4F425388">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40</w:t>
                  </w:r>
                </w:p>
              </w:tc>
            </w:tr>
            <w:tr w14:paraId="12791F4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04D9C5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6</w:t>
                  </w:r>
                </w:p>
              </w:tc>
              <w:tc>
                <w:tcPr>
                  <w:tcW w:w="1630" w:type="pct"/>
                  <w:shd w:val="clear" w:color="auto" w:fill="auto"/>
                  <w:noWrap w:val="0"/>
                  <w:vAlign w:val="center"/>
                </w:tcPr>
                <w:p w14:paraId="1AF991A5">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氨氮(NH</w:t>
                  </w:r>
                  <w:r>
                    <w:rPr>
                      <w:color w:val="auto"/>
                      <w:vertAlign w:val="subscript"/>
                    </w:rPr>
                    <w:t>3</w:t>
                  </w:r>
                  <w:r>
                    <w:rPr>
                      <w:color w:val="auto"/>
                    </w:rPr>
                    <w:t>-N)≤</w:t>
                  </w:r>
                </w:p>
              </w:tc>
              <w:tc>
                <w:tcPr>
                  <w:tcW w:w="695" w:type="pct"/>
                  <w:shd w:val="clear" w:color="auto" w:fill="auto"/>
                  <w:noWrap w:val="0"/>
                  <w:vAlign w:val="center"/>
                </w:tcPr>
                <w:p w14:paraId="2E947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0.5</w:t>
                  </w:r>
                </w:p>
              </w:tc>
              <w:tc>
                <w:tcPr>
                  <w:tcW w:w="695" w:type="pct"/>
                  <w:shd w:val="clear" w:color="auto" w:fill="FFFFFF" w:themeFill="background1"/>
                  <w:noWrap w:val="0"/>
                  <w:vAlign w:val="center"/>
                </w:tcPr>
                <w:p w14:paraId="0112E9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1.0</w:t>
                  </w:r>
                </w:p>
              </w:tc>
              <w:tc>
                <w:tcPr>
                  <w:tcW w:w="695" w:type="pct"/>
                  <w:shd w:val="clear" w:color="auto" w:fill="7F7F7F" w:themeFill="text1" w:themeFillTint="7F"/>
                  <w:noWrap w:val="0"/>
                  <w:vAlign w:val="center"/>
                </w:tcPr>
                <w:p w14:paraId="0E154F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1.5</w:t>
                  </w:r>
                </w:p>
              </w:tc>
              <w:tc>
                <w:tcPr>
                  <w:tcW w:w="699" w:type="pct"/>
                  <w:shd w:val="clear" w:color="auto" w:fill="7F7F7F" w:themeFill="text1" w:themeFillTint="7F"/>
                  <w:noWrap w:val="0"/>
                  <w:vAlign w:val="center"/>
                </w:tcPr>
                <w:p w14:paraId="3E1848B2">
                  <w:pPr>
                    <w:pStyle w:val="86"/>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r>
                    <w:rPr>
                      <w:color w:val="auto"/>
                    </w:rPr>
                    <w:t>2.0</w:t>
                  </w:r>
                </w:p>
              </w:tc>
            </w:tr>
            <w:tr w14:paraId="4866DF7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cantSplit/>
                <w:trHeight w:val="340" w:hRule="atLeast"/>
                <w:jc w:val="center"/>
              </w:trPr>
              <w:tc>
                <w:tcPr>
                  <w:tcW w:w="583" w:type="pct"/>
                  <w:shd w:val="clear" w:color="auto" w:fill="auto"/>
                  <w:noWrap w:val="0"/>
                  <w:vAlign w:val="center"/>
                </w:tcPr>
                <w:p w14:paraId="04D7E9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color w:val="auto"/>
                      <w:lang w:val="en-US" w:eastAsia="zh-CN"/>
                    </w:rPr>
                    <w:t>7</w:t>
                  </w:r>
                </w:p>
              </w:tc>
              <w:tc>
                <w:tcPr>
                  <w:tcW w:w="1630" w:type="pct"/>
                  <w:shd w:val="clear" w:color="auto" w:fill="auto"/>
                  <w:noWrap w:val="0"/>
                  <w:vAlign w:val="center"/>
                </w:tcPr>
                <w:p w14:paraId="761DB628">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TP</w:t>
                  </w:r>
                  <w:r>
                    <w:rPr>
                      <w:color w:val="auto"/>
                    </w:rPr>
                    <w:t xml:space="preserve"> ≤</w:t>
                  </w:r>
                </w:p>
              </w:tc>
              <w:tc>
                <w:tcPr>
                  <w:tcW w:w="695" w:type="pct"/>
                  <w:shd w:val="clear" w:color="auto" w:fill="auto"/>
                  <w:noWrap w:val="0"/>
                  <w:vAlign w:val="center"/>
                </w:tcPr>
                <w:p w14:paraId="189903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0.1</w:t>
                  </w:r>
                </w:p>
              </w:tc>
              <w:tc>
                <w:tcPr>
                  <w:tcW w:w="695" w:type="pct"/>
                  <w:shd w:val="clear" w:color="auto" w:fill="FFFFFF" w:themeFill="background1"/>
                  <w:noWrap w:val="0"/>
                  <w:vAlign w:val="center"/>
                </w:tcPr>
                <w:p w14:paraId="09228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0.2</w:t>
                  </w:r>
                </w:p>
              </w:tc>
              <w:tc>
                <w:tcPr>
                  <w:tcW w:w="695" w:type="pct"/>
                  <w:shd w:val="clear" w:color="auto" w:fill="7F7F7F" w:themeFill="text1" w:themeFillTint="7F"/>
                  <w:noWrap w:val="0"/>
                  <w:vAlign w:val="center"/>
                </w:tcPr>
                <w:p w14:paraId="57742A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0.3</w:t>
                  </w:r>
                </w:p>
              </w:tc>
              <w:tc>
                <w:tcPr>
                  <w:tcW w:w="699" w:type="pct"/>
                  <w:shd w:val="clear" w:color="auto" w:fill="7F7F7F" w:themeFill="text1" w:themeFillTint="7F"/>
                  <w:noWrap w:val="0"/>
                  <w:vAlign w:val="center"/>
                </w:tcPr>
                <w:p w14:paraId="6D232379">
                  <w:pPr>
                    <w:pStyle w:val="8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lang w:val="en-US" w:eastAsia="zh-CN"/>
                    </w:rPr>
                  </w:pPr>
                  <w:r>
                    <w:rPr>
                      <w:rFonts w:hint="eastAsia"/>
                      <w:color w:val="auto"/>
                      <w:lang w:val="en-US" w:eastAsia="zh-CN"/>
                    </w:rPr>
                    <w:t>0.4</w:t>
                  </w:r>
                </w:p>
              </w:tc>
            </w:tr>
          </w:tbl>
          <w:p w14:paraId="411E0C0C">
            <w:pPr>
              <w:adjustRightInd w:val="0"/>
              <w:snapToGrid w:val="0"/>
              <w:spacing w:before="120" w:beforeLines="50" w:line="360" w:lineRule="auto"/>
              <w:rPr>
                <w:b/>
                <w:bCs/>
                <w:color w:val="auto"/>
                <w:kern w:val="0"/>
                <w:sz w:val="24"/>
              </w:rPr>
            </w:pPr>
            <w:r>
              <w:rPr>
                <w:rFonts w:hint="default" w:ascii="Times New Roman" w:hAnsi="Times New Roman" w:eastAsia="宋体" w:cs="Times New Roman"/>
                <w:b/>
                <w:bCs/>
                <w:color w:val="auto"/>
                <w:kern w:val="2"/>
                <w:sz w:val="24"/>
              </w:rPr>
              <w:t>3.2.2水环境质量现状</w:t>
            </w:r>
          </w:p>
          <w:p w14:paraId="0B895933">
            <w:pPr>
              <w:pStyle w:val="130"/>
              <w:numPr>
                <w:ilvl w:val="0"/>
                <w:numId w:val="0"/>
              </w:numPr>
              <w:ind w:left="480"/>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color w:val="auto"/>
                <w:lang w:eastAsia="zh-CN"/>
              </w:rPr>
              <w:t>（</w:t>
            </w:r>
            <w:r>
              <w:rPr>
                <w:rFonts w:hint="eastAsia" w:ascii="Times New Roman" w:hAnsi="Times New Roman" w:eastAsia="宋体" w:cs="Times New Roman"/>
                <w:b w:val="0"/>
                <w:bCs w:val="0"/>
                <w:color w:val="auto"/>
                <w:lang w:val="en-US" w:eastAsia="zh-CN"/>
              </w:rPr>
              <w:t>1</w:t>
            </w:r>
            <w:r>
              <w:rPr>
                <w:rFonts w:hint="eastAsia" w:ascii="Times New Roman" w:hAnsi="Times New Roman" w:eastAsia="宋体" w:cs="Times New Roman"/>
                <w:b w:val="0"/>
                <w:bCs w:val="0"/>
                <w:color w:val="auto"/>
                <w:lang w:eastAsia="zh-CN"/>
              </w:rPr>
              <w:t>）地表水</w:t>
            </w:r>
            <w:r>
              <w:rPr>
                <w:rFonts w:hint="default" w:ascii="Times New Roman" w:hAnsi="Times New Roman" w:eastAsia="宋体" w:cs="Times New Roman"/>
                <w:b w:val="0"/>
                <w:bCs w:val="0"/>
                <w:color w:val="auto"/>
              </w:rPr>
              <w:t>水质现状调查</w:t>
            </w:r>
          </w:p>
          <w:p w14:paraId="29014A8E">
            <w:pPr>
              <w:autoSpaceDE/>
              <w:autoSpaceDN/>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2"/>
                <w:highlight w:val="none"/>
                <w:lang w:val="en-US" w:eastAsia="zh-CN"/>
              </w:rPr>
              <w:t>为了解建设项目区域水环境质量现状，本评价引用</w:t>
            </w:r>
            <w:r>
              <w:rPr>
                <w:rFonts w:hint="default" w:ascii="Times New Roman" w:hAnsi="Times New Roman" w:cs="Times New Roman"/>
                <w:color w:val="auto"/>
                <w:sz w:val="24"/>
                <w:szCs w:val="22"/>
                <w:highlight w:val="none"/>
                <w:lang w:val="en-US" w:eastAsia="zh-CN"/>
              </w:rPr>
              <w:t>福建省生态环境厅</w:t>
            </w:r>
            <w:r>
              <w:rPr>
                <w:rFonts w:hint="default" w:ascii="Times New Roman" w:hAnsi="Times New Roman" w:eastAsia="宋体" w:cs="Times New Roman"/>
                <w:color w:val="auto"/>
                <w:sz w:val="24"/>
                <w:szCs w:val="22"/>
                <w:highlight w:val="none"/>
                <w:lang w:val="en-US" w:eastAsia="zh-CN"/>
              </w:rPr>
              <w:t>发布的《福建省流域水环境质量状况 （2025年1-12月）》：2025年1-12月，全省主要流域总体水质为优，国控断面Ⅰ～Ⅲ类水质比例100％,Ⅰ～Ⅱ类水质比例84.8％；国控及省控断面Ⅰ～Ⅲ类水质比例100％，其中Ⅰ～Ⅱ类水质比例83.5％，各类水质比例如下：Ⅰ类占4.5％，Ⅱ类占78.9％，Ⅲ类占16.5％，无Ⅳ类、Ⅴ类和劣Ⅴ类水。</w:t>
            </w:r>
            <w:r>
              <w:rPr>
                <w:rFonts w:hint="default" w:ascii="Times New Roman" w:hAnsi="Times New Roman" w:cs="Times New Roman"/>
                <w:color w:val="auto"/>
                <w:sz w:val="24"/>
                <w:szCs w:val="22"/>
                <w:highlight w:val="none"/>
                <w:lang w:val="en-US" w:eastAsia="zh-CN"/>
              </w:rPr>
              <w:t>断面水质均达</w:t>
            </w:r>
            <w:r>
              <w:rPr>
                <w:rFonts w:hint="default" w:ascii="Times New Roman" w:hAnsi="Times New Roman" w:eastAsia="宋体" w:cs="Times New Roman"/>
                <w:color w:val="auto"/>
                <w:sz w:val="24"/>
                <w:szCs w:val="22"/>
                <w:highlight w:val="none"/>
                <w:lang w:val="en-US" w:eastAsia="zh-CN"/>
              </w:rPr>
              <w:t>Ⅴ类以上水质标准。</w:t>
            </w:r>
          </w:p>
          <w:p w14:paraId="1BFDD6F7">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本项目生活污水经化粪池处理后，排入市政污水管网，纳入</w:t>
            </w:r>
            <w:r>
              <w:rPr>
                <w:rFonts w:hint="eastAsia" w:cs="Times New Roman"/>
                <w:color w:val="auto"/>
                <w:sz w:val="24"/>
                <w:szCs w:val="24"/>
                <w:highlight w:val="none"/>
                <w:lang w:eastAsia="zh-CN"/>
              </w:rPr>
              <w:t>福清市融元污水处理厂</w:t>
            </w:r>
            <w:r>
              <w:rPr>
                <w:rFonts w:hint="eastAsia" w:ascii="Times New Roman" w:hAnsi="Times New Roman" w:eastAsia="宋体" w:cs="Times New Roman"/>
                <w:color w:val="auto"/>
                <w:sz w:val="24"/>
                <w:szCs w:val="24"/>
                <w:highlight w:val="none"/>
                <w:lang w:eastAsia="zh-CN"/>
              </w:rPr>
              <w:t>集中处理，不直接排入周边地表水体，几乎不会改变周边水环境质量现状。</w:t>
            </w:r>
          </w:p>
          <w:p w14:paraId="4A1B2C2F">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引用资料的有效性分析</w:t>
            </w:r>
          </w:p>
          <w:p w14:paraId="45223287">
            <w:pPr>
              <w:autoSpaceDE w:val="0"/>
              <w:autoSpaceDN w:val="0"/>
              <w:spacing w:line="360" w:lineRule="auto"/>
              <w:ind w:firstLine="480" w:firstLineChars="200"/>
              <w:textAlignment w:val="bottom"/>
              <w:rPr>
                <w:rFonts w:ascii="Times New Roman" w:hAnsi="Times New Roman" w:eastAsia="宋体"/>
                <w:color w:val="auto"/>
                <w:sz w:val="24"/>
              </w:rPr>
            </w:pPr>
            <w:r>
              <w:rPr>
                <w:rFonts w:hint="default" w:ascii="Times New Roman" w:hAnsi="Times New Roman" w:eastAsia="宋体" w:cs="Times New Roman"/>
                <w:color w:val="auto"/>
                <w:sz w:val="24"/>
                <w:szCs w:val="24"/>
                <w:highlight w:val="none"/>
              </w:rPr>
              <w:t>根据《建设项目环境影响报告表编制技术指南</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污染影响类</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试行</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环办环评〔2020〕33号</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本次</w:t>
            </w:r>
            <w:r>
              <w:rPr>
                <w:rFonts w:ascii="Times New Roman" w:hAnsi="Times New Roman" w:eastAsia="宋体"/>
                <w:color w:val="auto"/>
                <w:sz w:val="24"/>
              </w:rPr>
              <w:t>评价选取</w:t>
            </w:r>
            <w:r>
              <w:rPr>
                <w:rFonts w:hint="eastAsia" w:ascii="Times New Roman" w:hAnsi="Times New Roman" w:eastAsia="宋体"/>
                <w:color w:val="auto"/>
                <w:sz w:val="24"/>
                <w:lang w:val="en-US" w:eastAsia="zh-CN"/>
              </w:rPr>
              <w:t>福建省生态环境厅</w:t>
            </w:r>
            <w:r>
              <w:rPr>
                <w:rFonts w:hint="eastAsia" w:ascii="Times New Roman" w:hAnsi="Times New Roman" w:eastAsia="宋体"/>
                <w:color w:val="auto"/>
                <w:sz w:val="24"/>
                <w:szCs w:val="22"/>
                <w:lang w:val="en-US" w:eastAsia="zh-CN"/>
              </w:rPr>
              <w:t>发布的</w:t>
            </w:r>
            <w:r>
              <w:rPr>
                <w:rFonts w:ascii="Times New Roman" w:hAnsi="Times New Roman" w:eastAsia="宋体"/>
                <w:color w:val="auto"/>
                <w:sz w:val="24"/>
              </w:rPr>
              <w:t>水环境</w:t>
            </w:r>
            <w:r>
              <w:rPr>
                <w:rFonts w:hint="eastAsia" w:ascii="Times New Roman" w:hAnsi="Times New Roman" w:eastAsia="宋体"/>
                <w:color w:val="auto"/>
                <w:sz w:val="24"/>
                <w:lang w:val="en-US" w:eastAsia="zh-CN"/>
              </w:rPr>
              <w:t>质量状况</w:t>
            </w:r>
            <w:r>
              <w:rPr>
                <w:rFonts w:ascii="Times New Roman" w:hAnsi="Times New Roman" w:eastAsia="宋体"/>
                <w:color w:val="auto"/>
                <w:sz w:val="24"/>
              </w:rPr>
              <w:t>，符合《建设项目环境影响报告表编制技术指南</w:t>
            </w:r>
            <w:r>
              <w:rPr>
                <w:rFonts w:hint="eastAsia" w:ascii="Times New Roman" w:hAnsi="Times New Roman" w:eastAsia="宋体"/>
                <w:color w:val="auto"/>
                <w:sz w:val="24"/>
              </w:rPr>
              <w:t>(</w:t>
            </w:r>
            <w:r>
              <w:rPr>
                <w:rFonts w:ascii="Times New Roman" w:hAnsi="Times New Roman" w:eastAsia="宋体"/>
                <w:color w:val="auto"/>
                <w:sz w:val="24"/>
              </w:rPr>
              <w:t>污染影响类</w:t>
            </w:r>
            <w:r>
              <w:rPr>
                <w:rFonts w:hint="eastAsia" w:ascii="Times New Roman" w:hAnsi="Times New Roman" w:eastAsia="宋体"/>
                <w:color w:val="auto"/>
                <w:sz w:val="24"/>
              </w:rPr>
              <w:t>)(</w:t>
            </w:r>
            <w:r>
              <w:rPr>
                <w:rFonts w:ascii="Times New Roman" w:hAnsi="Times New Roman" w:eastAsia="宋体"/>
                <w:color w:val="auto"/>
                <w:sz w:val="24"/>
              </w:rPr>
              <w:t>试行</w:t>
            </w:r>
            <w:r>
              <w:rPr>
                <w:rFonts w:hint="eastAsia" w:ascii="Times New Roman" w:hAnsi="Times New Roman" w:eastAsia="宋体"/>
                <w:color w:val="auto"/>
                <w:sz w:val="24"/>
              </w:rPr>
              <w:t>)</w:t>
            </w:r>
            <w:r>
              <w:rPr>
                <w:rFonts w:ascii="Times New Roman" w:hAnsi="Times New Roman" w:eastAsia="宋体"/>
                <w:color w:val="auto"/>
                <w:sz w:val="24"/>
              </w:rPr>
              <w:t>》</w:t>
            </w:r>
            <w:r>
              <w:rPr>
                <w:rFonts w:hint="eastAsia" w:ascii="Times New Roman" w:hAnsi="Times New Roman" w:eastAsia="宋体"/>
                <w:color w:val="auto"/>
                <w:sz w:val="24"/>
              </w:rPr>
              <w:t>(</w:t>
            </w:r>
            <w:r>
              <w:rPr>
                <w:rFonts w:ascii="Times New Roman" w:hAnsi="Times New Roman" w:eastAsia="宋体"/>
                <w:color w:val="auto"/>
                <w:sz w:val="24"/>
              </w:rPr>
              <w:t>环办环评〔2020〕33号</w:t>
            </w:r>
            <w:r>
              <w:rPr>
                <w:rFonts w:hint="eastAsia" w:ascii="Times New Roman" w:hAnsi="Times New Roman" w:eastAsia="宋体"/>
                <w:color w:val="auto"/>
                <w:sz w:val="24"/>
              </w:rPr>
              <w:t>)的</w:t>
            </w:r>
            <w:r>
              <w:rPr>
                <w:rFonts w:ascii="Times New Roman" w:hAnsi="Times New Roman" w:eastAsia="宋体"/>
                <w:color w:val="auto"/>
                <w:sz w:val="24"/>
              </w:rPr>
              <w:t>要求。</w:t>
            </w:r>
          </w:p>
          <w:p w14:paraId="12BA578B">
            <w:pPr>
              <w:pStyle w:val="3"/>
              <w:numPr>
                <w:ilvl w:val="0"/>
                <w:numId w:val="0"/>
              </w:numPr>
              <w:rPr>
                <w:rFonts w:hint="default" w:ascii="Times New Roman" w:hAnsi="Times New Roman" w:eastAsia="宋体" w:cs="Times New Roman"/>
                <w:b/>
                <w:color w:val="auto"/>
                <w:szCs w:val="28"/>
              </w:rPr>
            </w:pPr>
            <w:r>
              <w:rPr>
                <w:rFonts w:hint="default"/>
                <w:color w:val="auto"/>
              </w:rPr>
              <w:t>3.3声环境质量现状</w:t>
            </w:r>
          </w:p>
          <w:p w14:paraId="2A43A95A">
            <w:pPr>
              <w:pStyle w:val="4"/>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3.3.1声环境功能区</w:t>
            </w:r>
          </w:p>
          <w:p w14:paraId="527519B4">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highlight w:val="none"/>
                <w:lang w:eastAsia="zh-CN"/>
              </w:rPr>
              <w:t>本项目位于福清融侨经济技术开发区（租赁福建三锋汽配开发有限公司标准厂房五一至三层、标准厂房四一层），根据《福清融侨经济技术开发区总体规划(2018-2035年)环境影响报告书》，工业用地和物流仓储用地为3类声环境功能区，环境噪声执行《声环境质量标准》(GB3096-2008)中的3类区标准，</w:t>
            </w:r>
            <w:r>
              <w:rPr>
                <w:rFonts w:hint="eastAsia" w:ascii="Times New Roman" w:hAnsi="Times New Roman" w:eastAsia="宋体"/>
                <w:color w:val="auto"/>
                <w:sz w:val="24"/>
                <w:lang w:eastAsia="zh-CN"/>
              </w:rPr>
              <w:t>其中</w:t>
            </w:r>
            <w:r>
              <w:rPr>
                <w:rFonts w:hint="eastAsia" w:ascii="Times New Roman" w:hAnsi="Times New Roman" w:eastAsia="宋体" w:cs="Times New Roman"/>
                <w:color w:val="auto"/>
                <w:sz w:val="24"/>
                <w:lang w:eastAsia="zh-CN"/>
              </w:rPr>
              <w:t>具体</w:t>
            </w:r>
            <w:r>
              <w:rPr>
                <w:rFonts w:ascii="Times New Roman" w:hAnsi="Times New Roman" w:eastAsia="宋体" w:cs="Times New Roman"/>
                <w:color w:val="auto"/>
                <w:sz w:val="24"/>
              </w:rPr>
              <w:t>详见表3-</w:t>
            </w:r>
            <w:r>
              <w:rPr>
                <w:rFonts w:hint="eastAsia" w:cs="Times New Roman"/>
                <w:color w:val="auto"/>
                <w:sz w:val="24"/>
                <w:lang w:val="en-US" w:eastAsia="zh-CN"/>
              </w:rPr>
              <w:t>5</w:t>
            </w:r>
            <w:r>
              <w:rPr>
                <w:rFonts w:ascii="Times New Roman" w:hAnsi="Times New Roman" w:eastAsia="宋体" w:cs="Times New Roman"/>
                <w:color w:val="auto"/>
                <w:sz w:val="24"/>
              </w:rPr>
              <w:t>。</w:t>
            </w:r>
          </w:p>
          <w:p w14:paraId="120FF62A">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表3-5  《声环境质量标准》(GB3096-2008)(摘录)</w:t>
            </w:r>
          </w:p>
          <w:tbl>
            <w:tblPr>
              <w:tblStyle w:val="3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845"/>
              <w:gridCol w:w="5287"/>
              <w:gridCol w:w="1139"/>
              <w:gridCol w:w="1340"/>
            </w:tblGrid>
            <w:tr w14:paraId="53221BBC">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491" w:type="pct"/>
                  <w:vMerge w:val="restart"/>
                  <w:tcBorders>
                    <w:tl2br w:val="nil"/>
                    <w:tr2bl w:val="nil"/>
                  </w:tcBorders>
                  <w:noWrap w:val="0"/>
                  <w:vAlign w:val="center"/>
                </w:tcPr>
                <w:p w14:paraId="4E547BED">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标准类别</w:t>
                  </w:r>
                </w:p>
              </w:tc>
              <w:tc>
                <w:tcPr>
                  <w:tcW w:w="3069" w:type="pct"/>
                  <w:vMerge w:val="restart"/>
                  <w:tcBorders>
                    <w:tl2br w:val="nil"/>
                    <w:tr2bl w:val="nil"/>
                  </w:tcBorders>
                  <w:noWrap w:val="0"/>
                  <w:vAlign w:val="center"/>
                </w:tcPr>
                <w:p w14:paraId="5D763038">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适用区域</w:t>
                  </w:r>
                </w:p>
              </w:tc>
              <w:tc>
                <w:tcPr>
                  <w:tcW w:w="1439" w:type="pct"/>
                  <w:gridSpan w:val="2"/>
                  <w:tcBorders>
                    <w:tl2br w:val="nil"/>
                    <w:tr2bl w:val="nil"/>
                  </w:tcBorders>
                  <w:noWrap w:val="0"/>
                  <w:vAlign w:val="center"/>
                </w:tcPr>
                <w:p w14:paraId="25BD6749">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等效声级L</w:t>
                  </w:r>
                  <w:r>
                    <w:rPr>
                      <w:rFonts w:ascii="Times New Roman" w:hAnsi="Times New Roman" w:eastAsia="宋体"/>
                      <w:b/>
                      <w:bCs/>
                      <w:snapToGrid w:val="0"/>
                      <w:color w:val="auto"/>
                      <w:kern w:val="18"/>
                      <w:vertAlign w:val="subscript"/>
                    </w:rPr>
                    <w:t>eq</w:t>
                  </w:r>
                  <w:r>
                    <w:rPr>
                      <w:rFonts w:ascii="Times New Roman" w:hAnsi="Times New Roman" w:eastAsia="宋体"/>
                      <w:b/>
                      <w:bCs/>
                      <w:snapToGrid w:val="0"/>
                      <w:color w:val="auto"/>
                      <w:kern w:val="18"/>
                    </w:rPr>
                    <w:t>(dB(A))</w:t>
                  </w:r>
                </w:p>
              </w:tc>
            </w:tr>
            <w:tr w14:paraId="389930E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232" w:hRule="atLeast"/>
                <w:jc w:val="center"/>
              </w:trPr>
              <w:tc>
                <w:tcPr>
                  <w:tcW w:w="491" w:type="pct"/>
                  <w:vMerge w:val="continue"/>
                  <w:tcBorders>
                    <w:tl2br w:val="nil"/>
                    <w:tr2bl w:val="nil"/>
                  </w:tcBorders>
                  <w:noWrap w:val="0"/>
                  <w:vAlign w:val="center"/>
                </w:tcPr>
                <w:p w14:paraId="390D3E61">
                  <w:pPr>
                    <w:pStyle w:val="86"/>
                    <w:spacing w:line="340" w:lineRule="exact"/>
                    <w:rPr>
                      <w:rFonts w:ascii="Times New Roman" w:hAnsi="Times New Roman" w:eastAsia="宋体"/>
                      <w:b/>
                      <w:bCs/>
                      <w:snapToGrid w:val="0"/>
                      <w:color w:val="auto"/>
                      <w:kern w:val="18"/>
                    </w:rPr>
                  </w:pPr>
                </w:p>
              </w:tc>
              <w:tc>
                <w:tcPr>
                  <w:tcW w:w="3069" w:type="pct"/>
                  <w:vMerge w:val="continue"/>
                  <w:tcBorders>
                    <w:tl2br w:val="nil"/>
                    <w:tr2bl w:val="nil"/>
                  </w:tcBorders>
                  <w:noWrap w:val="0"/>
                  <w:vAlign w:val="center"/>
                </w:tcPr>
                <w:p w14:paraId="28E3EBE9">
                  <w:pPr>
                    <w:pStyle w:val="86"/>
                    <w:spacing w:line="340" w:lineRule="exact"/>
                    <w:rPr>
                      <w:rFonts w:ascii="Times New Roman" w:hAnsi="Times New Roman" w:eastAsia="宋体"/>
                      <w:b/>
                      <w:bCs/>
                      <w:snapToGrid w:val="0"/>
                      <w:color w:val="auto"/>
                      <w:kern w:val="18"/>
                    </w:rPr>
                  </w:pPr>
                </w:p>
              </w:tc>
              <w:tc>
                <w:tcPr>
                  <w:tcW w:w="661" w:type="pct"/>
                  <w:tcBorders>
                    <w:tl2br w:val="nil"/>
                    <w:tr2bl w:val="nil"/>
                  </w:tcBorders>
                  <w:noWrap w:val="0"/>
                  <w:vAlign w:val="center"/>
                </w:tcPr>
                <w:p w14:paraId="4D06C612">
                  <w:pPr>
                    <w:pStyle w:val="86"/>
                    <w:spacing w:line="340" w:lineRule="exact"/>
                    <w:rPr>
                      <w:rFonts w:ascii="Times New Roman" w:hAnsi="Times New Roman" w:eastAsia="宋体"/>
                      <w:b/>
                      <w:bCs/>
                      <w:snapToGrid w:val="0"/>
                      <w:color w:val="auto"/>
                      <w:kern w:val="18"/>
                    </w:rPr>
                  </w:pPr>
                  <w:r>
                    <w:rPr>
                      <w:rFonts w:ascii="Times New Roman" w:hAnsi="Times New Roman" w:eastAsia="宋体"/>
                      <w:b/>
                      <w:bCs/>
                      <w:snapToGrid w:val="0"/>
                      <w:color w:val="auto"/>
                      <w:kern w:val="18"/>
                    </w:rPr>
                    <w:t>昼间</w:t>
                  </w:r>
                </w:p>
              </w:tc>
              <w:tc>
                <w:tcPr>
                  <w:tcW w:w="777" w:type="pct"/>
                  <w:tcBorders>
                    <w:tl2br w:val="nil"/>
                    <w:tr2bl w:val="nil"/>
                  </w:tcBorders>
                  <w:noWrap w:val="0"/>
                  <w:vAlign w:val="center"/>
                </w:tcPr>
                <w:p w14:paraId="2CD91E25">
                  <w:pPr>
                    <w:pStyle w:val="86"/>
                    <w:spacing w:line="340" w:lineRule="exact"/>
                    <w:rPr>
                      <w:rFonts w:hint="eastAsia" w:ascii="Times New Roman" w:hAnsi="Times New Roman" w:eastAsia="宋体"/>
                      <w:b/>
                      <w:bCs/>
                      <w:snapToGrid w:val="0"/>
                      <w:color w:val="auto"/>
                      <w:kern w:val="18"/>
                    </w:rPr>
                  </w:pPr>
                  <w:r>
                    <w:rPr>
                      <w:rFonts w:hint="eastAsia" w:ascii="Times New Roman" w:hAnsi="Times New Roman" w:eastAsia="宋体"/>
                      <w:b/>
                      <w:bCs/>
                      <w:snapToGrid w:val="0"/>
                      <w:color w:val="auto"/>
                      <w:kern w:val="18"/>
                    </w:rPr>
                    <w:t>夜间</w:t>
                  </w:r>
                </w:p>
              </w:tc>
            </w:tr>
            <w:tr w14:paraId="00C7A999">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491" w:type="pct"/>
                  <w:tcBorders>
                    <w:tl2br w:val="nil"/>
                    <w:tr2bl w:val="nil"/>
                  </w:tcBorders>
                  <w:noWrap w:val="0"/>
                  <w:vAlign w:val="center"/>
                </w:tcPr>
                <w:p w14:paraId="2A36C4B7">
                  <w:pPr>
                    <w:pStyle w:val="86"/>
                    <w:spacing w:line="340" w:lineRule="exact"/>
                    <w:ind w:firstLine="0" w:firstLineChars="0"/>
                    <w:rPr>
                      <w:rFonts w:hint="default" w:ascii="Times New Roman" w:hAnsi="Times New Roman" w:eastAsia="宋体"/>
                      <w:snapToGrid w:val="0"/>
                      <w:color w:val="auto"/>
                      <w:kern w:val="18"/>
                      <w:lang w:val="en-US" w:eastAsia="zh-CN"/>
                    </w:rPr>
                  </w:pPr>
                  <w:r>
                    <w:rPr>
                      <w:rFonts w:hint="eastAsia" w:ascii="Times New Roman" w:hAnsi="Times New Roman" w:eastAsia="宋体"/>
                      <w:snapToGrid w:val="0"/>
                      <w:color w:val="auto"/>
                      <w:kern w:val="18"/>
                      <w:lang w:val="en-US" w:eastAsia="zh-CN"/>
                    </w:rPr>
                    <w:t>3</w:t>
                  </w:r>
                </w:p>
              </w:tc>
              <w:tc>
                <w:tcPr>
                  <w:tcW w:w="3069" w:type="pct"/>
                  <w:tcBorders>
                    <w:tl2br w:val="nil"/>
                    <w:tr2bl w:val="nil"/>
                  </w:tcBorders>
                  <w:noWrap w:val="0"/>
                  <w:vAlign w:val="center"/>
                </w:tcPr>
                <w:p w14:paraId="364609D7">
                  <w:pPr>
                    <w:pStyle w:val="86"/>
                    <w:spacing w:line="340" w:lineRule="exact"/>
                    <w:ind w:firstLine="0" w:firstLineChars="0"/>
                    <w:rPr>
                      <w:rFonts w:ascii="Times New Roman" w:hAnsi="Times New Roman" w:eastAsia="宋体"/>
                      <w:snapToGrid w:val="0"/>
                      <w:color w:val="auto"/>
                      <w:kern w:val="18"/>
                    </w:rPr>
                  </w:pPr>
                  <w:r>
                    <w:rPr>
                      <w:rFonts w:hint="eastAsia" w:ascii="Times New Roman" w:hAnsi="Times New Roman" w:eastAsia="宋体"/>
                      <w:snapToGrid w:val="0"/>
                      <w:color w:val="auto"/>
                      <w:kern w:val="18"/>
                      <w:szCs w:val="21"/>
                    </w:rPr>
                    <w:t>指以工业生产、仓储物流为主要功能，需要防止工业噪声对周围环境产生严重影响的区域</w:t>
                  </w:r>
                </w:p>
              </w:tc>
              <w:tc>
                <w:tcPr>
                  <w:tcW w:w="661" w:type="pct"/>
                  <w:tcBorders>
                    <w:tl2br w:val="nil"/>
                    <w:tr2bl w:val="nil"/>
                  </w:tcBorders>
                  <w:noWrap w:val="0"/>
                  <w:vAlign w:val="center"/>
                </w:tcPr>
                <w:p w14:paraId="6B30131E">
                  <w:pPr>
                    <w:pStyle w:val="86"/>
                    <w:spacing w:line="340" w:lineRule="exact"/>
                    <w:ind w:firstLine="0" w:firstLineChars="0"/>
                    <w:rPr>
                      <w:rFonts w:hint="default" w:ascii="Times New Roman" w:hAnsi="Times New Roman" w:eastAsia="宋体"/>
                      <w:snapToGrid w:val="0"/>
                      <w:color w:val="auto"/>
                      <w:kern w:val="18"/>
                      <w:lang w:val="en-US" w:eastAsia="zh-CN"/>
                    </w:rPr>
                  </w:pPr>
                  <w:r>
                    <w:rPr>
                      <w:rFonts w:ascii="Times New Roman" w:hAnsi="Times New Roman" w:eastAsia="宋体"/>
                      <w:snapToGrid w:val="0"/>
                      <w:color w:val="auto"/>
                      <w:kern w:val="18"/>
                      <w:szCs w:val="21"/>
                    </w:rPr>
                    <w:t>≤</w:t>
                  </w:r>
                  <w:r>
                    <w:rPr>
                      <w:rFonts w:hint="eastAsia" w:ascii="Times New Roman" w:hAnsi="Times New Roman" w:eastAsia="宋体"/>
                      <w:snapToGrid w:val="0"/>
                      <w:color w:val="auto"/>
                      <w:kern w:val="18"/>
                      <w:szCs w:val="21"/>
                      <w:lang w:val="en-US" w:eastAsia="zh-CN"/>
                    </w:rPr>
                    <w:t>65</w:t>
                  </w:r>
                </w:p>
              </w:tc>
              <w:tc>
                <w:tcPr>
                  <w:tcW w:w="777" w:type="pct"/>
                  <w:tcBorders>
                    <w:tl2br w:val="nil"/>
                    <w:tr2bl w:val="nil"/>
                  </w:tcBorders>
                  <w:noWrap w:val="0"/>
                  <w:vAlign w:val="center"/>
                </w:tcPr>
                <w:p w14:paraId="42112E83">
                  <w:pPr>
                    <w:pStyle w:val="86"/>
                    <w:spacing w:line="340" w:lineRule="exact"/>
                    <w:ind w:firstLine="0" w:firstLineChars="0"/>
                    <w:rPr>
                      <w:rFonts w:hint="eastAsia" w:ascii="Times New Roman" w:hAnsi="Times New Roman" w:eastAsia="宋体"/>
                      <w:snapToGrid w:val="0"/>
                      <w:color w:val="auto"/>
                      <w:kern w:val="18"/>
                      <w:lang w:val="en-US" w:eastAsia="zh-CN"/>
                    </w:rPr>
                  </w:pPr>
                  <w:r>
                    <w:rPr>
                      <w:rFonts w:ascii="Times New Roman" w:hAnsi="Times New Roman" w:eastAsia="宋体"/>
                      <w:snapToGrid w:val="0"/>
                      <w:color w:val="auto"/>
                      <w:kern w:val="18"/>
                      <w:szCs w:val="21"/>
                    </w:rPr>
                    <w:t>≤</w:t>
                  </w:r>
                  <w:r>
                    <w:rPr>
                      <w:rFonts w:hint="eastAsia" w:ascii="Times New Roman" w:hAnsi="Times New Roman" w:eastAsia="宋体"/>
                      <w:snapToGrid w:val="0"/>
                      <w:color w:val="auto"/>
                      <w:kern w:val="18"/>
                    </w:rPr>
                    <w:t>5</w:t>
                  </w:r>
                  <w:r>
                    <w:rPr>
                      <w:rFonts w:hint="eastAsia" w:ascii="Times New Roman" w:hAnsi="Times New Roman" w:eastAsia="宋体"/>
                      <w:snapToGrid w:val="0"/>
                      <w:color w:val="auto"/>
                      <w:kern w:val="18"/>
                      <w:lang w:val="en-US" w:eastAsia="zh-CN"/>
                    </w:rPr>
                    <w:t>5</w:t>
                  </w:r>
                </w:p>
              </w:tc>
            </w:tr>
          </w:tbl>
          <w:p w14:paraId="45877474">
            <w:pPr>
              <w:pStyle w:val="4"/>
              <w:spacing w:line="360" w:lineRule="auto"/>
              <w:rPr>
                <w:rFonts w:hint="default"/>
                <w:b/>
                <w:bCs/>
                <w:color w:val="auto"/>
                <w:sz w:val="24"/>
              </w:rPr>
            </w:pPr>
            <w:r>
              <w:rPr>
                <w:rFonts w:hint="default"/>
                <w:b/>
                <w:bCs/>
                <w:color w:val="auto"/>
                <w:sz w:val="24"/>
              </w:rPr>
              <w:t>3.3.2声环境质量现状</w:t>
            </w:r>
          </w:p>
          <w:p w14:paraId="14D7CB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微软雅黑"/>
                <w:b w:val="0"/>
                <w:bCs w:val="0"/>
                <w:i w:val="0"/>
                <w:iCs w:val="0"/>
                <w:caps w:val="0"/>
                <w:color w:val="auto"/>
                <w:spacing w:val="0"/>
                <w:sz w:val="39"/>
                <w:szCs w:val="39"/>
                <w:lang w:val="en-US" w:eastAsia="zh-CN"/>
              </w:rPr>
            </w:pPr>
            <w:r>
              <w:rPr>
                <w:rFonts w:hint="default" w:ascii="Times New Roman" w:hAnsi="Times New Roman" w:eastAsia="宋体" w:cs="Times New Roman"/>
                <w:color w:val="auto"/>
                <w:sz w:val="24"/>
                <w:szCs w:val="22"/>
                <w:highlight w:val="none"/>
                <w:lang w:val="zh-CN" w:eastAsia="zh-CN"/>
              </w:rPr>
              <w:t>根据《建设项目环境影响报告表编制技术指南</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污染影响类</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试行</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环办环评〔2020〕33号</w:t>
            </w:r>
            <w:r>
              <w:rPr>
                <w:rFonts w:hint="eastAsia" w:ascii="Times New Roman" w:hAnsi="Times New Roman" w:eastAsia="宋体"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zh-CN" w:eastAsia="zh-CN"/>
              </w:rPr>
              <w:t>的要求</w:t>
            </w:r>
            <w:r>
              <w:rPr>
                <w:rFonts w:hint="eastAsia" w:ascii="Times New Roman" w:hAnsi="Times New Roman" w:eastAsia="宋体" w:cs="Times New Roman"/>
                <w:color w:val="auto"/>
                <w:sz w:val="24"/>
                <w:szCs w:val="22"/>
                <w:highlight w:val="none"/>
                <w:lang w:val="zh-CN" w:eastAsia="zh-CN"/>
              </w:rPr>
              <w:t>：厂界外周边50米范围内存在声环境保护目标的建设项目，应监测保护目标声环境质量现状并评价达标情况。</w:t>
            </w:r>
            <w:r>
              <w:rPr>
                <w:rFonts w:hint="eastAsia" w:ascii="Times New Roman" w:hAnsi="Times New Roman" w:eastAsia="宋体" w:cs="Times New Roman"/>
                <w:b/>
                <w:bCs/>
                <w:color w:val="auto"/>
                <w:sz w:val="24"/>
                <w:szCs w:val="22"/>
                <w:highlight w:val="none"/>
                <w:lang w:val="en-US" w:eastAsia="zh-CN"/>
              </w:rPr>
              <w:t>根据环境影响评价网（</w:t>
            </w:r>
            <w:r>
              <w:rPr>
                <w:rFonts w:hint="default" w:ascii="Times New Roman" w:hAnsi="Times New Roman" w:eastAsia="宋体" w:cs="Times New Roman"/>
                <w:b/>
                <w:bCs/>
                <w:color w:val="auto"/>
                <w:sz w:val="24"/>
                <w:szCs w:val="22"/>
                <w:highlight w:val="none"/>
                <w:lang w:val="zh-CN" w:eastAsia="zh-CN"/>
              </w:rPr>
              <w:t>生态环境部环境工程评估中心</w:t>
            </w:r>
            <w:r>
              <w:rPr>
                <w:rFonts w:hint="eastAsia" w:ascii="Times New Roman" w:hAnsi="Times New Roman" w:eastAsia="宋体" w:cs="Times New Roman"/>
                <w:b/>
                <w:bCs/>
                <w:color w:val="auto"/>
                <w:sz w:val="24"/>
                <w:szCs w:val="22"/>
                <w:highlight w:val="none"/>
                <w:lang w:val="zh-CN" w:eastAsia="zh-CN"/>
              </w:rPr>
              <w:t>）</w:t>
            </w:r>
            <w:r>
              <w:rPr>
                <w:rFonts w:hint="eastAsia" w:ascii="Times New Roman" w:hAnsi="Times New Roman" w:eastAsia="宋体" w:cs="Times New Roman"/>
                <w:b/>
                <w:bCs/>
                <w:color w:val="auto"/>
                <w:sz w:val="24"/>
                <w:szCs w:val="22"/>
                <w:highlight w:val="none"/>
                <w:lang w:val="en-US" w:eastAsia="zh-CN"/>
              </w:rPr>
              <w:t>关于</w:t>
            </w:r>
            <w:r>
              <w:rPr>
                <w:rFonts w:hint="eastAsia" w:ascii="Times New Roman" w:hAnsi="Times New Roman" w:eastAsia="宋体" w:cs="Times New Roman"/>
                <w:b/>
                <w:bCs/>
                <w:color w:val="auto"/>
                <w:sz w:val="24"/>
                <w:szCs w:val="22"/>
                <w:highlight w:val="none"/>
                <w:lang w:val="zh-CN" w:eastAsia="zh-CN"/>
              </w:rPr>
              <w:t>《建设项目环境影响报告表》内容、格式及编制技术指南常见问题解答，</w:t>
            </w:r>
            <w:r>
              <w:rPr>
                <w:rFonts w:hint="eastAsia" w:ascii="Times New Roman" w:hAnsi="Times New Roman" w:eastAsia="宋体" w:cs="Times New Roman"/>
                <w:color w:val="auto"/>
                <w:sz w:val="24"/>
                <w:szCs w:val="22"/>
                <w:highlight w:val="none"/>
                <w:lang w:val="zh-CN" w:eastAsia="zh-CN"/>
              </w:rPr>
              <w:t>厂界外周边</w:t>
            </w:r>
            <w:r>
              <w:rPr>
                <w:rFonts w:hint="eastAsia" w:ascii="Times New Roman" w:hAnsi="Times New Roman" w:eastAsia="宋体" w:cs="Times New Roman"/>
                <w:color w:val="auto"/>
                <w:sz w:val="24"/>
                <w:szCs w:val="22"/>
                <w:highlight w:val="none"/>
                <w:lang w:val="en-US" w:eastAsia="zh-CN"/>
              </w:rPr>
              <w:t>50</w:t>
            </w:r>
            <w:r>
              <w:rPr>
                <w:rFonts w:hint="eastAsia" w:ascii="Times New Roman" w:hAnsi="Times New Roman" w:eastAsia="宋体" w:cs="Times New Roman"/>
                <w:color w:val="auto"/>
                <w:sz w:val="24"/>
                <w:szCs w:val="22"/>
                <w:highlight w:val="none"/>
                <w:lang w:val="zh-CN" w:eastAsia="zh-CN"/>
              </w:rPr>
              <w:t>米范围内存在声环境保护目标的建设项目，应监测声环境质量现状，监测点位为声环境保护目标处。</w:t>
            </w:r>
            <w:r>
              <w:rPr>
                <w:rFonts w:hint="eastAsia" w:ascii="Times New Roman" w:hAnsi="Times New Roman" w:eastAsia="宋体" w:cs="Times New Roman"/>
                <w:b/>
                <w:bCs/>
                <w:color w:val="auto"/>
                <w:sz w:val="24"/>
                <w:szCs w:val="22"/>
                <w:highlight w:val="none"/>
                <w:lang w:val="zh-CN" w:eastAsia="zh-CN"/>
              </w:rPr>
              <w:t>厂界外周边</w:t>
            </w:r>
            <w:r>
              <w:rPr>
                <w:rFonts w:hint="eastAsia" w:ascii="Times New Roman" w:hAnsi="Times New Roman" w:eastAsia="宋体" w:cs="Times New Roman"/>
                <w:b/>
                <w:bCs/>
                <w:color w:val="auto"/>
                <w:sz w:val="24"/>
                <w:szCs w:val="22"/>
                <w:highlight w:val="none"/>
                <w:lang w:val="en-US" w:eastAsia="zh-CN"/>
              </w:rPr>
              <w:t>50</w:t>
            </w:r>
            <w:r>
              <w:rPr>
                <w:rFonts w:hint="eastAsia" w:ascii="Times New Roman" w:hAnsi="Times New Roman" w:eastAsia="宋体" w:cs="Times New Roman"/>
                <w:b/>
                <w:bCs/>
                <w:color w:val="auto"/>
                <w:sz w:val="24"/>
                <w:szCs w:val="22"/>
                <w:highlight w:val="none"/>
                <w:lang w:val="zh-CN" w:eastAsia="zh-CN"/>
              </w:rPr>
              <w:t>米范围内无声环境保护目标的建设项目，不再要求提供声环境质量现状监测数据。</w:t>
            </w:r>
            <w:r>
              <w:rPr>
                <w:rFonts w:hint="eastAsia" w:ascii="Times New Roman" w:hAnsi="Times New Roman" w:eastAsia="宋体" w:cs="Times New Roman"/>
                <w:color w:val="auto"/>
                <w:sz w:val="24"/>
                <w:szCs w:val="22"/>
                <w:highlight w:val="none"/>
                <w:lang w:val="en-US" w:eastAsia="zh-CN"/>
              </w:rPr>
              <w:t>根据现场调查，项目厂界外50m范围内无声环境保护目标，因此，本评价不进行</w:t>
            </w:r>
            <w:r>
              <w:rPr>
                <w:rFonts w:hint="eastAsia" w:ascii="Times New Roman" w:hAnsi="Times New Roman" w:eastAsia="宋体" w:cs="Times New Roman"/>
                <w:color w:val="auto"/>
                <w:sz w:val="24"/>
                <w:szCs w:val="22"/>
                <w:highlight w:val="none"/>
                <w:lang w:val="zh-CN" w:eastAsia="zh-CN"/>
              </w:rPr>
              <w:t>声环境质量现状监测。</w:t>
            </w:r>
          </w:p>
          <w:p w14:paraId="7DDFEBD9">
            <w:pPr>
              <w:pStyle w:val="3"/>
              <w:numPr>
                <w:ilvl w:val="0"/>
                <w:numId w:val="0"/>
              </w:numPr>
              <w:bidi w:val="0"/>
              <w:ind w:leftChars="0"/>
              <w:rPr>
                <w:color w:val="auto"/>
              </w:rPr>
            </w:pPr>
            <w:r>
              <w:rPr>
                <w:color w:val="auto"/>
              </w:rPr>
              <w:t>3.4 生态环境现状调查</w:t>
            </w:r>
          </w:p>
          <w:p w14:paraId="53578375">
            <w:pPr>
              <w:spacing w:before="120" w:beforeLines="50" w:line="360" w:lineRule="auto"/>
              <w:ind w:firstLine="480" w:firstLineChars="200"/>
              <w:rPr>
                <w:color w:val="auto"/>
                <w:sz w:val="24"/>
                <w:szCs w:val="22"/>
                <w:lang w:val="zh-CN"/>
              </w:rPr>
            </w:pPr>
            <w:r>
              <w:rPr>
                <w:color w:val="auto"/>
                <w:sz w:val="24"/>
              </w:rPr>
              <w:t>本项目</w:t>
            </w:r>
            <w:r>
              <w:rPr>
                <w:rFonts w:hint="eastAsia"/>
                <w:color w:val="auto"/>
                <w:sz w:val="24"/>
              </w:rPr>
              <w:t>位于福清融侨经济技术开发区（租赁福建三锋汽配开发有限公司标准厂房五一至三层、标准厂房四一层），不新增用地</w:t>
            </w:r>
            <w:r>
              <w:rPr>
                <w:color w:val="auto"/>
                <w:sz w:val="24"/>
              </w:rPr>
              <w:t>；</w:t>
            </w:r>
            <w:r>
              <w:rPr>
                <w:color w:val="auto"/>
                <w:kern w:val="0"/>
                <w:sz w:val="24"/>
              </w:rPr>
              <w:t>根据调查，</w:t>
            </w:r>
            <w:r>
              <w:rPr>
                <w:color w:val="auto"/>
                <w:sz w:val="24"/>
                <w:lang w:val="zh-CN"/>
              </w:rPr>
              <w:t>项目用地</w:t>
            </w:r>
            <w:r>
              <w:rPr>
                <w:color w:val="auto"/>
                <w:sz w:val="24"/>
                <w:szCs w:val="22"/>
                <w:lang w:val="zh-CN"/>
              </w:rPr>
              <w:t>周边为</w:t>
            </w:r>
            <w:r>
              <w:rPr>
                <w:rFonts w:hint="eastAsia"/>
                <w:color w:val="auto"/>
                <w:sz w:val="24"/>
                <w:szCs w:val="22"/>
                <w:lang w:val="zh-CN"/>
              </w:rPr>
              <w:t>以</w:t>
            </w:r>
            <w:r>
              <w:rPr>
                <w:color w:val="auto"/>
                <w:sz w:val="24"/>
                <w:szCs w:val="22"/>
                <w:lang w:val="zh-CN"/>
              </w:rPr>
              <w:t>城市道路、其他</w:t>
            </w:r>
            <w:r>
              <w:rPr>
                <w:rFonts w:hint="eastAsia"/>
                <w:color w:val="auto"/>
                <w:sz w:val="24"/>
                <w:szCs w:val="22"/>
                <w:lang w:val="zh-CN"/>
              </w:rPr>
              <w:t>工业</w:t>
            </w:r>
            <w:r>
              <w:rPr>
                <w:color w:val="auto"/>
                <w:sz w:val="24"/>
                <w:szCs w:val="22"/>
                <w:lang w:val="zh-CN"/>
              </w:rPr>
              <w:t>企业等</w:t>
            </w:r>
            <w:r>
              <w:rPr>
                <w:rFonts w:hint="eastAsia"/>
                <w:color w:val="auto"/>
                <w:sz w:val="24"/>
                <w:szCs w:val="22"/>
                <w:lang w:val="zh-CN"/>
              </w:rPr>
              <w:t>为主</w:t>
            </w:r>
            <w:r>
              <w:rPr>
                <w:color w:val="auto"/>
                <w:sz w:val="24"/>
                <w:szCs w:val="22"/>
                <w:lang w:val="zh-CN"/>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50306E5F">
            <w:pPr>
              <w:pStyle w:val="3"/>
              <w:numPr>
                <w:ilvl w:val="0"/>
                <w:numId w:val="0"/>
              </w:numPr>
              <w:bidi w:val="0"/>
              <w:ind w:leftChars="0"/>
              <w:rPr>
                <w:color w:val="auto"/>
              </w:rPr>
            </w:pPr>
            <w:r>
              <w:rPr>
                <w:color w:val="auto"/>
              </w:rPr>
              <w:t>3.5地下水、土壤环境质量现状</w:t>
            </w:r>
          </w:p>
          <w:p w14:paraId="4DC5C311">
            <w:pPr>
              <w:adjustRightInd w:val="0"/>
              <w:snapToGrid w:val="0"/>
              <w:spacing w:line="360" w:lineRule="auto"/>
              <w:ind w:firstLine="480" w:firstLineChars="200"/>
              <w:rPr>
                <w:rFonts w:hint="eastAsia"/>
                <w:color w:val="auto"/>
                <w:kern w:val="0"/>
                <w:sz w:val="24"/>
              </w:rPr>
            </w:pPr>
            <w:r>
              <w:rPr>
                <w:color w:val="auto"/>
                <w:kern w:val="0"/>
                <w:sz w:val="24"/>
              </w:rPr>
              <w:t>根据《建设项目环境影响报告表编制技术指南</w:t>
            </w:r>
            <w:r>
              <w:rPr>
                <w:rFonts w:hint="eastAsia"/>
                <w:color w:val="auto"/>
                <w:kern w:val="0"/>
                <w:sz w:val="24"/>
              </w:rPr>
              <w:t>(</w:t>
            </w:r>
            <w:r>
              <w:rPr>
                <w:color w:val="auto"/>
                <w:kern w:val="0"/>
                <w:sz w:val="24"/>
              </w:rPr>
              <w:t>污染影响类</w:t>
            </w:r>
            <w:r>
              <w:rPr>
                <w:rFonts w:hint="eastAsia"/>
                <w:color w:val="auto"/>
                <w:kern w:val="0"/>
                <w:sz w:val="24"/>
              </w:rPr>
              <w:t>)（</w:t>
            </w:r>
            <w:r>
              <w:rPr>
                <w:color w:val="auto"/>
                <w:kern w:val="0"/>
                <w:sz w:val="24"/>
              </w:rPr>
              <w:t>试行</w:t>
            </w:r>
            <w:r>
              <w:rPr>
                <w:rFonts w:hint="eastAsia"/>
                <w:color w:val="auto"/>
                <w:kern w:val="0"/>
                <w:sz w:val="24"/>
              </w:rPr>
              <w:t>)</w:t>
            </w:r>
            <w:r>
              <w:rPr>
                <w:color w:val="auto"/>
                <w:kern w:val="0"/>
                <w:sz w:val="24"/>
              </w:rPr>
              <w:t>》</w:t>
            </w:r>
            <w:r>
              <w:rPr>
                <w:rFonts w:hint="eastAsia"/>
                <w:color w:val="auto"/>
                <w:kern w:val="0"/>
                <w:sz w:val="24"/>
              </w:rPr>
              <w:t>(</w:t>
            </w:r>
            <w:r>
              <w:rPr>
                <w:color w:val="auto"/>
                <w:kern w:val="0"/>
                <w:sz w:val="24"/>
              </w:rPr>
              <w:t>环办环评〔2020〕33号</w:t>
            </w:r>
            <w:r>
              <w:rPr>
                <w:rFonts w:hint="eastAsia"/>
                <w:color w:val="auto"/>
                <w:kern w:val="0"/>
                <w:sz w:val="24"/>
              </w:rPr>
              <w:t>)规定，“原则上不开展环境质量现状调查。建设项目存在土壤、地下水环境污染途径的，应结合污染源、保护目标分布情况开展现状调查以留作背景值。</w:t>
            </w:r>
          </w:p>
          <w:p w14:paraId="050DFAE8">
            <w:pPr>
              <w:spacing w:line="360" w:lineRule="auto"/>
              <w:ind w:firstLine="480" w:firstLineChars="200"/>
              <w:rPr>
                <w:rFonts w:hint="eastAsia"/>
                <w:color w:val="auto"/>
                <w:sz w:val="24"/>
              </w:rPr>
            </w:pPr>
            <w:r>
              <w:rPr>
                <w:color w:val="auto"/>
                <w:sz w:val="24"/>
              </w:rPr>
              <w:t>根据</w:t>
            </w:r>
            <w:r>
              <w:rPr>
                <w:rFonts w:hint="eastAsia"/>
                <w:color w:val="auto"/>
                <w:sz w:val="24"/>
              </w:rPr>
              <w:t>现场勘查</w:t>
            </w:r>
            <w:r>
              <w:rPr>
                <w:color w:val="auto"/>
                <w:sz w:val="24"/>
              </w:rPr>
              <w:t>，</w:t>
            </w:r>
            <w:r>
              <w:rPr>
                <w:rFonts w:hint="eastAsia"/>
                <w:color w:val="auto"/>
                <w:sz w:val="24"/>
                <w:szCs w:val="22"/>
                <w:lang w:val="zh-CN"/>
              </w:rPr>
              <w:t>以</w:t>
            </w:r>
            <w:r>
              <w:rPr>
                <w:color w:val="auto"/>
                <w:sz w:val="24"/>
                <w:szCs w:val="22"/>
                <w:lang w:val="zh-CN"/>
              </w:rPr>
              <w:t>城市道路、其他</w:t>
            </w:r>
            <w:r>
              <w:rPr>
                <w:rFonts w:hint="eastAsia"/>
                <w:color w:val="auto"/>
                <w:sz w:val="24"/>
                <w:szCs w:val="22"/>
                <w:lang w:val="zh-CN"/>
              </w:rPr>
              <w:t>工业</w:t>
            </w:r>
            <w:r>
              <w:rPr>
                <w:color w:val="auto"/>
                <w:sz w:val="24"/>
                <w:szCs w:val="22"/>
                <w:lang w:val="zh-CN"/>
              </w:rPr>
              <w:t>企业等</w:t>
            </w:r>
            <w:r>
              <w:rPr>
                <w:rFonts w:hint="eastAsia"/>
                <w:color w:val="auto"/>
                <w:sz w:val="24"/>
                <w:szCs w:val="22"/>
                <w:lang w:val="zh-CN"/>
              </w:rPr>
              <w:t>为主</w:t>
            </w:r>
            <w:r>
              <w:rPr>
                <w:color w:val="auto"/>
                <w:sz w:val="24"/>
              </w:rPr>
              <w:t>；</w:t>
            </w:r>
            <w:r>
              <w:rPr>
                <w:rFonts w:hint="eastAsia"/>
                <w:color w:val="auto"/>
                <w:sz w:val="24"/>
              </w:rPr>
              <w:t>项目周边地下水、土壤环境相对不敏感，项目建成后，厂区车间地面全部硬化，生产过程不排放持久性污染物及重金属等污染物，严格按照要求对项目进行分区防渗防治后，项目对地下水、土壤环境影响很小，基本不存在土壤、地下水环境污染途径，因此，本评价不对项目地下水、土壤环境质量进行补充监测。</w:t>
            </w:r>
          </w:p>
        </w:tc>
      </w:tr>
      <w:tr w14:paraId="3B664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800" w:type="dxa"/>
            <w:noWrap w:val="0"/>
            <w:vAlign w:val="center"/>
          </w:tcPr>
          <w:p w14:paraId="402235D1">
            <w:pPr>
              <w:adjustRightInd w:val="0"/>
              <w:snapToGrid w:val="0"/>
              <w:jc w:val="center"/>
              <w:rPr>
                <w:color w:val="auto"/>
                <w:kern w:val="0"/>
                <w:szCs w:val="21"/>
              </w:rPr>
            </w:pPr>
            <w:r>
              <w:rPr>
                <w:color w:val="auto"/>
                <w:kern w:val="0"/>
                <w:szCs w:val="21"/>
              </w:rPr>
              <w:t>环境</w:t>
            </w:r>
          </w:p>
          <w:p w14:paraId="68087F31">
            <w:pPr>
              <w:adjustRightInd w:val="0"/>
              <w:snapToGrid w:val="0"/>
              <w:jc w:val="center"/>
              <w:rPr>
                <w:color w:val="auto"/>
                <w:kern w:val="0"/>
                <w:szCs w:val="21"/>
              </w:rPr>
            </w:pPr>
            <w:r>
              <w:rPr>
                <w:color w:val="auto"/>
                <w:kern w:val="0"/>
                <w:szCs w:val="21"/>
              </w:rPr>
              <w:t>保护</w:t>
            </w:r>
          </w:p>
          <w:p w14:paraId="4709AEEF">
            <w:pPr>
              <w:adjustRightInd w:val="0"/>
              <w:snapToGrid w:val="0"/>
              <w:jc w:val="center"/>
              <w:rPr>
                <w:color w:val="auto"/>
                <w:kern w:val="0"/>
                <w:szCs w:val="21"/>
              </w:rPr>
            </w:pPr>
            <w:r>
              <w:rPr>
                <w:color w:val="auto"/>
                <w:kern w:val="0"/>
                <w:szCs w:val="21"/>
              </w:rPr>
              <w:t>目标</w:t>
            </w:r>
          </w:p>
        </w:tc>
        <w:tc>
          <w:tcPr>
            <w:tcW w:w="8378" w:type="dxa"/>
            <w:noWrap w:val="0"/>
            <w:vAlign w:val="center"/>
          </w:tcPr>
          <w:p w14:paraId="189D5183">
            <w:pPr>
              <w:pStyle w:val="3"/>
              <w:numPr>
                <w:ilvl w:val="0"/>
                <w:numId w:val="0"/>
              </w:numPr>
              <w:bidi w:val="0"/>
              <w:ind w:leftChars="0"/>
              <w:rPr>
                <w:color w:val="auto"/>
              </w:rPr>
            </w:pPr>
            <w:r>
              <w:rPr>
                <w:color w:val="auto"/>
              </w:rPr>
              <w:t>3.</w:t>
            </w:r>
            <w:r>
              <w:rPr>
                <w:rFonts w:hint="eastAsia"/>
                <w:color w:val="auto"/>
              </w:rPr>
              <w:t>6</w:t>
            </w:r>
            <w:r>
              <w:rPr>
                <w:color w:val="auto"/>
              </w:rPr>
              <w:t xml:space="preserve"> 环境保护目标</w:t>
            </w:r>
          </w:p>
          <w:p w14:paraId="668044F4">
            <w:pPr>
              <w:pStyle w:val="4"/>
              <w:bidi w:val="0"/>
              <w:spacing w:line="360" w:lineRule="auto"/>
              <w:rPr>
                <w:b/>
                <w:bCs/>
                <w:color w:val="auto"/>
                <w:sz w:val="24"/>
                <w:szCs w:val="24"/>
              </w:rPr>
            </w:pPr>
            <w:r>
              <w:rPr>
                <w:b/>
                <w:bCs/>
                <w:color w:val="auto"/>
                <w:sz w:val="24"/>
                <w:szCs w:val="24"/>
              </w:rPr>
              <w:t>3.</w:t>
            </w:r>
            <w:r>
              <w:rPr>
                <w:rFonts w:hint="eastAsia"/>
                <w:b/>
                <w:bCs/>
                <w:color w:val="auto"/>
                <w:sz w:val="24"/>
                <w:szCs w:val="24"/>
              </w:rPr>
              <w:t>6</w:t>
            </w:r>
            <w:r>
              <w:rPr>
                <w:b/>
                <w:bCs/>
                <w:color w:val="auto"/>
                <w:sz w:val="24"/>
                <w:szCs w:val="24"/>
              </w:rPr>
              <w:t>.1 大气环境、地表水环境、声环境</w:t>
            </w:r>
          </w:p>
          <w:p w14:paraId="1151A938">
            <w:pPr>
              <w:adjustRightInd w:val="0"/>
              <w:snapToGrid w:val="0"/>
              <w:spacing w:line="360" w:lineRule="auto"/>
              <w:ind w:firstLine="480" w:firstLineChars="200"/>
              <w:rPr>
                <w:color w:val="auto"/>
                <w:kern w:val="0"/>
                <w:sz w:val="24"/>
              </w:rPr>
            </w:pPr>
            <w:r>
              <w:rPr>
                <w:color w:val="auto"/>
                <w:kern w:val="0"/>
                <w:sz w:val="24"/>
              </w:rPr>
              <w:t>根据《建设项目环境影响报告表编制技术指南(污染影响类)(试行)》(环办环评〔2020〕33号)要求以及对项目周边环境的调查，项目大气环境</w:t>
            </w:r>
            <w:r>
              <w:rPr>
                <w:rFonts w:hint="eastAsia"/>
                <w:color w:val="auto"/>
                <w:kern w:val="0"/>
                <w:sz w:val="24"/>
              </w:rPr>
              <w:t>(厂界外500m)</w:t>
            </w:r>
            <w:r>
              <w:rPr>
                <w:color w:val="auto"/>
                <w:kern w:val="0"/>
                <w:sz w:val="24"/>
              </w:rPr>
              <w:t>、地表水环境、声环境</w:t>
            </w:r>
            <w:r>
              <w:rPr>
                <w:rFonts w:hint="eastAsia"/>
                <w:color w:val="auto"/>
                <w:kern w:val="0"/>
                <w:sz w:val="24"/>
              </w:rPr>
              <w:t>(厂界外50m)、地下水环境(厂界外500m)等环境保护目标</w:t>
            </w:r>
            <w:r>
              <w:rPr>
                <w:color w:val="auto"/>
                <w:kern w:val="0"/>
                <w:sz w:val="24"/>
              </w:rPr>
              <w:t>见表</w:t>
            </w:r>
            <w:r>
              <w:rPr>
                <w:rFonts w:hint="eastAsia"/>
                <w:color w:val="auto"/>
                <w:kern w:val="0"/>
                <w:sz w:val="24"/>
              </w:rPr>
              <w:t>3-</w:t>
            </w:r>
            <w:r>
              <w:rPr>
                <w:rFonts w:hint="eastAsia"/>
                <w:color w:val="auto"/>
                <w:kern w:val="0"/>
                <w:sz w:val="24"/>
                <w:lang w:val="en-US" w:eastAsia="zh-CN"/>
              </w:rPr>
              <w:t>7</w:t>
            </w:r>
            <w:r>
              <w:rPr>
                <w:color w:val="auto"/>
                <w:kern w:val="0"/>
                <w:sz w:val="24"/>
              </w:rPr>
              <w:t>和附图</w:t>
            </w:r>
            <w:r>
              <w:rPr>
                <w:rFonts w:hint="eastAsia"/>
                <w:color w:val="auto"/>
                <w:kern w:val="0"/>
                <w:sz w:val="24"/>
              </w:rPr>
              <w:t>2</w:t>
            </w:r>
            <w:r>
              <w:rPr>
                <w:color w:val="auto"/>
                <w:kern w:val="0"/>
                <w:sz w:val="24"/>
              </w:rPr>
              <w:t>。</w:t>
            </w:r>
          </w:p>
          <w:p w14:paraId="08469EAD">
            <w:pPr>
              <w:adjustRightInd w:val="0"/>
              <w:snapToGrid w:val="0"/>
              <w:spacing w:before="120" w:beforeLines="50"/>
              <w:jc w:val="center"/>
              <w:rPr>
                <w:rFonts w:eastAsia="黑体"/>
                <w:color w:val="auto"/>
                <w:kern w:val="0"/>
                <w:sz w:val="24"/>
              </w:rPr>
            </w:pPr>
            <w:r>
              <w:rPr>
                <w:rFonts w:eastAsia="黑体"/>
                <w:color w:val="auto"/>
                <w:kern w:val="0"/>
                <w:sz w:val="24"/>
              </w:rPr>
              <w:t>表</w:t>
            </w:r>
            <w:r>
              <w:rPr>
                <w:rFonts w:hint="eastAsia" w:eastAsia="黑体"/>
                <w:color w:val="auto"/>
                <w:kern w:val="0"/>
                <w:sz w:val="24"/>
              </w:rPr>
              <w:t>3-</w:t>
            </w:r>
            <w:r>
              <w:rPr>
                <w:rFonts w:hint="eastAsia" w:eastAsia="黑体"/>
                <w:color w:val="auto"/>
                <w:kern w:val="0"/>
                <w:sz w:val="24"/>
                <w:lang w:val="en-US" w:eastAsia="zh-CN"/>
              </w:rPr>
              <w:t>6</w:t>
            </w:r>
            <w:r>
              <w:rPr>
                <w:rFonts w:hint="eastAsia" w:eastAsia="黑体"/>
                <w:color w:val="auto"/>
                <w:kern w:val="0"/>
                <w:sz w:val="24"/>
              </w:rPr>
              <w:t xml:space="preserve"> </w:t>
            </w:r>
            <w:r>
              <w:rPr>
                <w:rFonts w:eastAsia="黑体"/>
                <w:color w:val="auto"/>
                <w:kern w:val="0"/>
                <w:sz w:val="24"/>
              </w:rPr>
              <w:t>环境保护目标一览表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216"/>
              <w:gridCol w:w="1759"/>
              <w:gridCol w:w="1650"/>
              <w:gridCol w:w="2913"/>
            </w:tblGrid>
            <w:tr w14:paraId="37529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noWrap w:val="0"/>
                  <w:vAlign w:val="center"/>
                </w:tcPr>
                <w:p w14:paraId="40F2A553">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w:t>
                  </w:r>
                </w:p>
                <w:p w14:paraId="0854D7DE">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要素</w:t>
                  </w:r>
                </w:p>
              </w:tc>
              <w:tc>
                <w:tcPr>
                  <w:tcW w:w="706" w:type="pct"/>
                  <w:noWrap w:val="0"/>
                  <w:vAlign w:val="center"/>
                </w:tcPr>
                <w:p w14:paraId="74BF722C">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环境保护对象名称</w:t>
                  </w:r>
                </w:p>
              </w:tc>
              <w:tc>
                <w:tcPr>
                  <w:tcW w:w="1021" w:type="pct"/>
                  <w:noWrap w:val="0"/>
                  <w:vAlign w:val="center"/>
                </w:tcPr>
                <w:p w14:paraId="18DBD6C5">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相对项目的方位和最近距离</w:t>
                  </w:r>
                </w:p>
              </w:tc>
              <w:tc>
                <w:tcPr>
                  <w:tcW w:w="958" w:type="pct"/>
                  <w:noWrap w:val="0"/>
                  <w:vAlign w:val="center"/>
                </w:tcPr>
                <w:p w14:paraId="3E2E46A1">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目标规模</w:t>
                  </w:r>
                </w:p>
              </w:tc>
              <w:tc>
                <w:tcPr>
                  <w:tcW w:w="1690" w:type="pct"/>
                  <w:noWrap w:val="0"/>
                  <w:vAlign w:val="center"/>
                </w:tcPr>
                <w:p w14:paraId="05BDD09D">
                  <w:pPr>
                    <w:adjustRightInd w:val="0"/>
                    <w:snapToGrid w:val="0"/>
                    <w:spacing w:line="3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环境功能</w:t>
                  </w:r>
                </w:p>
              </w:tc>
            </w:tr>
            <w:tr w14:paraId="6E4B4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noWrap w:val="0"/>
                  <w:vAlign w:val="center"/>
                </w:tcPr>
                <w:p w14:paraId="1A025D88">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w:t>
                  </w:r>
                </w:p>
                <w:p w14:paraId="47F01C4F">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空气</w:t>
                  </w:r>
                </w:p>
              </w:tc>
              <w:tc>
                <w:tcPr>
                  <w:tcW w:w="706" w:type="pct"/>
                  <w:noWrap w:val="0"/>
                  <w:vAlign w:val="center"/>
                </w:tcPr>
                <w:p w14:paraId="0783907B">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珠山村</w:t>
                  </w:r>
                </w:p>
              </w:tc>
              <w:tc>
                <w:tcPr>
                  <w:tcW w:w="1021" w:type="pct"/>
                  <w:noWrap w:val="0"/>
                  <w:vAlign w:val="center"/>
                </w:tcPr>
                <w:p w14:paraId="00F92305">
                  <w:pPr>
                    <w:adjustRightInd w:val="0"/>
                    <w:snapToGrid w:val="0"/>
                    <w:spacing w:line="340" w:lineRule="exact"/>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西</w:t>
                  </w:r>
                  <w:r>
                    <w:rPr>
                      <w:rFonts w:hint="eastAsia" w:cs="Times New Roman"/>
                      <w:color w:val="auto"/>
                      <w:szCs w:val="21"/>
                      <w:lang w:val="en-US" w:eastAsia="zh-CN"/>
                    </w:rPr>
                    <w:t>南</w:t>
                  </w:r>
                  <w:r>
                    <w:rPr>
                      <w:rFonts w:hint="default" w:ascii="Times New Roman" w:hAnsi="Times New Roman" w:eastAsia="宋体" w:cs="Times New Roman"/>
                      <w:color w:val="auto"/>
                      <w:szCs w:val="21"/>
                      <w:lang w:val="en-US" w:eastAsia="zh-CN"/>
                    </w:rPr>
                    <w:t>侧</w:t>
                  </w:r>
                  <w:r>
                    <w:rPr>
                      <w:rFonts w:hint="eastAsia" w:cs="Times New Roman"/>
                      <w:color w:val="auto"/>
                      <w:szCs w:val="21"/>
                      <w:lang w:val="en-US" w:eastAsia="zh-CN"/>
                    </w:rPr>
                    <w:t>4</w:t>
                  </w:r>
                  <w:r>
                    <w:rPr>
                      <w:rFonts w:hint="eastAsia" w:ascii="Times New Roman" w:hAnsi="Times New Roman" w:eastAsia="宋体" w:cs="Times New Roman"/>
                      <w:color w:val="auto"/>
                      <w:szCs w:val="21"/>
                      <w:lang w:val="en-US" w:eastAsia="zh-CN"/>
                    </w:rPr>
                    <w:t>60</w:t>
                  </w:r>
                  <w:r>
                    <w:rPr>
                      <w:rFonts w:hint="default" w:ascii="Times New Roman" w:hAnsi="Times New Roman" w:eastAsia="宋体" w:cs="Times New Roman"/>
                      <w:color w:val="auto"/>
                      <w:szCs w:val="21"/>
                      <w:lang w:val="en-US" w:eastAsia="zh-CN"/>
                    </w:rPr>
                    <w:t>m</w:t>
                  </w:r>
                </w:p>
              </w:tc>
              <w:tc>
                <w:tcPr>
                  <w:tcW w:w="958" w:type="pct"/>
                  <w:noWrap w:val="0"/>
                  <w:vAlign w:val="center"/>
                </w:tcPr>
                <w:p w14:paraId="1A58033C">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约</w:t>
                  </w:r>
                  <w:r>
                    <w:rPr>
                      <w:rFonts w:hint="eastAsia" w:cs="Times New Roman"/>
                      <w:color w:val="auto"/>
                      <w:kern w:val="2"/>
                      <w:sz w:val="21"/>
                      <w:szCs w:val="21"/>
                      <w:lang w:val="en-US" w:eastAsia="zh-CN" w:bidi="ar-SA"/>
                    </w:rPr>
                    <w:t>100</w:t>
                  </w:r>
                  <w:r>
                    <w:rPr>
                      <w:rFonts w:hint="eastAsia" w:ascii="Times New Roman" w:hAnsi="Times New Roman" w:eastAsia="宋体" w:cs="Times New Roman"/>
                      <w:color w:val="auto"/>
                      <w:kern w:val="2"/>
                      <w:sz w:val="21"/>
                      <w:szCs w:val="21"/>
                      <w:lang w:val="en-US" w:eastAsia="zh-CN" w:bidi="ar-SA"/>
                    </w:rPr>
                    <w:t>人</w:t>
                  </w:r>
                  <w:r>
                    <w:rPr>
                      <w:rFonts w:hint="eastAsia" w:cs="Times New Roman"/>
                      <w:color w:val="auto"/>
                      <w:kern w:val="2"/>
                      <w:sz w:val="21"/>
                      <w:szCs w:val="21"/>
                      <w:lang w:val="en-US" w:eastAsia="zh-CN" w:bidi="ar-SA"/>
                    </w:rPr>
                    <w:t>（500m范围内）</w:t>
                  </w:r>
                </w:p>
              </w:tc>
              <w:tc>
                <w:tcPr>
                  <w:tcW w:w="1690" w:type="pct"/>
                  <w:noWrap w:val="0"/>
                  <w:vAlign w:val="center"/>
                </w:tcPr>
                <w:p w14:paraId="7326B991">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《环境空气质量标准》(GB3095-2026)过渡阶段浓度限制中的二级标准</w:t>
                  </w:r>
                </w:p>
              </w:tc>
            </w:tr>
            <w:tr w14:paraId="412D4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noWrap w:val="0"/>
                  <w:vAlign w:val="center"/>
                </w:tcPr>
                <w:p w14:paraId="6D364F14">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706" w:type="pct"/>
                  <w:noWrap w:val="0"/>
                  <w:vAlign w:val="center"/>
                </w:tcPr>
                <w:p w14:paraId="3B3CA864">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龙江</w:t>
                  </w:r>
                </w:p>
              </w:tc>
              <w:tc>
                <w:tcPr>
                  <w:tcW w:w="1021" w:type="pct"/>
                  <w:noWrap w:val="0"/>
                  <w:vAlign w:val="center"/>
                </w:tcPr>
                <w:p w14:paraId="7BE0C2A0">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南</w:t>
                  </w:r>
                  <w:r>
                    <w:rPr>
                      <w:rFonts w:hint="eastAsia" w:ascii="Times New Roman" w:hAnsi="Times New Roman" w:eastAsia="宋体" w:cs="Times New Roman"/>
                      <w:color w:val="auto"/>
                      <w:szCs w:val="21"/>
                      <w:lang w:val="en-US" w:eastAsia="zh-CN"/>
                    </w:rPr>
                    <w:t>侧</w:t>
                  </w:r>
                  <w:r>
                    <w:rPr>
                      <w:rFonts w:hint="eastAsia" w:cs="Times New Roman"/>
                      <w:color w:val="auto"/>
                      <w:szCs w:val="21"/>
                      <w:lang w:val="en-US" w:eastAsia="zh-CN"/>
                    </w:rPr>
                    <w:t>3.8k</w:t>
                  </w:r>
                  <w:r>
                    <w:rPr>
                      <w:rFonts w:hint="eastAsia" w:ascii="Times New Roman" w:hAnsi="Times New Roman" w:eastAsia="宋体" w:cs="Times New Roman"/>
                      <w:color w:val="auto"/>
                      <w:szCs w:val="21"/>
                      <w:lang w:val="en-US" w:eastAsia="zh-CN"/>
                    </w:rPr>
                    <w:t>m</w:t>
                  </w:r>
                </w:p>
              </w:tc>
              <w:tc>
                <w:tcPr>
                  <w:tcW w:w="958" w:type="pct"/>
                  <w:noWrap w:val="0"/>
                  <w:vAlign w:val="center"/>
                </w:tcPr>
                <w:p w14:paraId="4FE93041">
                  <w:pPr>
                    <w:adjustRightInd w:val="0"/>
                    <w:snapToGrid w:val="0"/>
                    <w:spacing w:line="3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690" w:type="pct"/>
                  <w:noWrap w:val="0"/>
                  <w:vAlign w:val="center"/>
                </w:tcPr>
                <w:p w14:paraId="57E2F006">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《地表水环境质量标准》（GB3838-2002）中</w:t>
                  </w:r>
                  <w:r>
                    <w:rPr>
                      <w:rFonts w:hint="default" w:ascii="Times New Roman" w:hAnsi="Times New Roman" w:eastAsia="宋体" w:cs="Times New Roman"/>
                      <w:color w:val="auto"/>
                      <w:szCs w:val="21"/>
                      <w:lang w:val="en-US" w:eastAsia="zh-CN"/>
                    </w:rPr>
                    <w:t>Ⅳ</w:t>
                  </w:r>
                  <w:r>
                    <w:rPr>
                      <w:rFonts w:hint="eastAsia" w:ascii="Times New Roman" w:hAnsi="Times New Roman" w:eastAsia="宋体" w:cs="Times New Roman"/>
                      <w:color w:val="auto"/>
                      <w:szCs w:val="21"/>
                      <w:lang w:val="en-US" w:eastAsia="zh-CN"/>
                    </w:rPr>
                    <w:t>类标准</w:t>
                  </w:r>
                </w:p>
              </w:tc>
            </w:tr>
            <w:tr w14:paraId="1A03C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noWrap w:val="0"/>
                  <w:vAlign w:val="center"/>
                </w:tcPr>
                <w:p w14:paraId="1F938DE6">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4376" w:type="pct"/>
                  <w:gridSpan w:val="4"/>
                  <w:noWrap w:val="0"/>
                  <w:vAlign w:val="center"/>
                </w:tcPr>
                <w:p w14:paraId="356C072D">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lang w:val="en-US" w:eastAsia="zh-CN"/>
                    </w:rPr>
                    <w:t>项目厂界外50m范围内无声环境保护目标</w:t>
                  </w:r>
                </w:p>
              </w:tc>
            </w:tr>
            <w:tr w14:paraId="7143C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noWrap w:val="0"/>
                  <w:vAlign w:val="center"/>
                </w:tcPr>
                <w:p w14:paraId="79557BC6">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w:t>
                  </w:r>
                </w:p>
              </w:tc>
              <w:tc>
                <w:tcPr>
                  <w:tcW w:w="4376" w:type="pct"/>
                  <w:gridSpan w:val="4"/>
                  <w:noWrap w:val="0"/>
                  <w:vAlign w:val="center"/>
                </w:tcPr>
                <w:p w14:paraId="0491D7EA">
                  <w:pPr>
                    <w:adjustRightInd w:val="0"/>
                    <w:snapToGrid w:val="0"/>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项目厂界外500</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rPr>
                    <w:t>范围内无地下水集中式饮用水水源和热水、矿泉水、温泉等特殊地下水资源</w:t>
                  </w:r>
                </w:p>
              </w:tc>
            </w:tr>
          </w:tbl>
          <w:p w14:paraId="0DA62CE7">
            <w:pPr>
              <w:pStyle w:val="4"/>
              <w:bidi w:val="0"/>
              <w:spacing w:line="360" w:lineRule="auto"/>
              <w:rPr>
                <w:color w:val="auto"/>
              </w:rPr>
            </w:pPr>
            <w:r>
              <w:rPr>
                <w:color w:val="auto"/>
              </w:rPr>
              <w:t>3.</w:t>
            </w:r>
            <w:r>
              <w:rPr>
                <w:rFonts w:hint="eastAsia"/>
                <w:color w:val="auto"/>
              </w:rPr>
              <w:t>6</w:t>
            </w:r>
            <w:r>
              <w:rPr>
                <w:color w:val="auto"/>
              </w:rPr>
              <w:t>.2 生态环境保护目标</w:t>
            </w:r>
          </w:p>
          <w:p w14:paraId="04385382">
            <w:pPr>
              <w:adjustRightInd w:val="0"/>
              <w:snapToGrid w:val="0"/>
              <w:spacing w:line="360" w:lineRule="auto"/>
              <w:ind w:firstLine="480" w:firstLineChars="200"/>
              <w:jc w:val="left"/>
              <w:rPr>
                <w:color w:val="auto"/>
              </w:rPr>
            </w:pPr>
            <w:r>
              <w:rPr>
                <w:color w:val="auto"/>
                <w:sz w:val="24"/>
              </w:rPr>
              <w:t>根据《建设项目环境影响报告表编制技术指南</w:t>
            </w:r>
            <w:r>
              <w:rPr>
                <w:rFonts w:hint="eastAsia"/>
                <w:color w:val="auto"/>
                <w:sz w:val="24"/>
              </w:rPr>
              <w:t>(</w:t>
            </w:r>
            <w:r>
              <w:rPr>
                <w:color w:val="auto"/>
                <w:sz w:val="24"/>
              </w:rPr>
              <w:t>污染影响类</w:t>
            </w:r>
            <w:r>
              <w:rPr>
                <w:rFonts w:hint="eastAsia"/>
                <w:color w:val="auto"/>
                <w:sz w:val="24"/>
              </w:rPr>
              <w:t>)(</w:t>
            </w:r>
            <w:r>
              <w:rPr>
                <w:color w:val="auto"/>
                <w:sz w:val="24"/>
              </w:rPr>
              <w:t>试行</w:t>
            </w:r>
            <w:r>
              <w:rPr>
                <w:rFonts w:hint="eastAsia"/>
                <w:color w:val="auto"/>
                <w:sz w:val="24"/>
              </w:rPr>
              <w:t>)</w:t>
            </w:r>
            <w:r>
              <w:rPr>
                <w:color w:val="auto"/>
                <w:sz w:val="24"/>
              </w:rPr>
              <w:t>》</w:t>
            </w:r>
            <w:r>
              <w:rPr>
                <w:rFonts w:hint="eastAsia"/>
                <w:color w:val="auto"/>
                <w:sz w:val="24"/>
              </w:rPr>
              <w:t>(</w:t>
            </w:r>
            <w:r>
              <w:rPr>
                <w:color w:val="auto"/>
                <w:sz w:val="24"/>
              </w:rPr>
              <w:t>环办环评〔2020〕33号</w:t>
            </w:r>
            <w:r>
              <w:rPr>
                <w:rFonts w:hint="eastAsia"/>
                <w:color w:val="auto"/>
                <w:sz w:val="24"/>
              </w:rPr>
              <w:t>)</w:t>
            </w:r>
            <w:r>
              <w:rPr>
                <w:color w:val="auto"/>
                <w:sz w:val="24"/>
              </w:rPr>
              <w:t xml:space="preserve"> “产业园区外建设项目新增用地的，应明确新增用地范围内生态环境保护目标”。本项目</w:t>
            </w:r>
            <w:r>
              <w:rPr>
                <w:rFonts w:hint="eastAsia"/>
                <w:color w:val="auto"/>
                <w:sz w:val="24"/>
              </w:rPr>
              <w:t>未新增用地，</w:t>
            </w:r>
            <w:r>
              <w:rPr>
                <w:rFonts w:hint="eastAsia"/>
                <w:color w:val="auto"/>
                <w:sz w:val="24"/>
                <w:lang w:val="en-US" w:eastAsia="zh-CN"/>
              </w:rPr>
              <w:t>位于</w:t>
            </w:r>
            <w:r>
              <w:rPr>
                <w:rFonts w:hint="eastAsia"/>
                <w:color w:val="auto"/>
                <w:sz w:val="24"/>
                <w:lang w:eastAsia="zh-CN"/>
              </w:rPr>
              <w:t>福清融侨经济技术开发区（租赁福建三锋汽配开发有限公司标准厂房五一至三层、标准厂房四一层），利用现有厂房进行生产</w:t>
            </w:r>
            <w:r>
              <w:rPr>
                <w:color w:val="auto"/>
                <w:sz w:val="24"/>
                <w:szCs w:val="20"/>
              </w:rPr>
              <w:t>，</w:t>
            </w:r>
            <w:r>
              <w:rPr>
                <w:color w:val="auto"/>
                <w:sz w:val="24"/>
                <w:szCs w:val="22"/>
              </w:rPr>
              <w:t>项目</w:t>
            </w:r>
            <w:r>
              <w:rPr>
                <w:rFonts w:hint="eastAsia"/>
                <w:color w:val="auto"/>
                <w:sz w:val="24"/>
                <w:szCs w:val="22"/>
              </w:rPr>
              <w:t>所在地</w:t>
            </w:r>
            <w:r>
              <w:rPr>
                <w:color w:val="auto"/>
                <w:sz w:val="24"/>
              </w:rPr>
              <w:t>不属于重点生态功能区，不涉及生态红线</w:t>
            </w:r>
            <w:r>
              <w:rPr>
                <w:rFonts w:hint="eastAsia"/>
                <w:color w:val="auto"/>
                <w:sz w:val="24"/>
              </w:rPr>
              <w:t>，不涉及</w:t>
            </w:r>
            <w:r>
              <w:rPr>
                <w:color w:val="auto"/>
                <w:sz w:val="24"/>
              </w:rPr>
              <w:t>饮用水源保护区</w:t>
            </w:r>
            <w:r>
              <w:rPr>
                <w:rFonts w:hint="eastAsia"/>
                <w:color w:val="auto"/>
                <w:sz w:val="24"/>
              </w:rPr>
              <w:t>、</w:t>
            </w:r>
            <w:r>
              <w:rPr>
                <w:color w:val="auto"/>
                <w:sz w:val="24"/>
              </w:rPr>
              <w:t>风景名胜区、重要湿地、生态公益林、重要自然与人文景观、文物古迹</w:t>
            </w:r>
            <w:r>
              <w:rPr>
                <w:rFonts w:hint="eastAsia"/>
                <w:color w:val="auto"/>
                <w:sz w:val="24"/>
              </w:rPr>
              <w:t>、基本农田</w:t>
            </w:r>
            <w:r>
              <w:rPr>
                <w:color w:val="auto"/>
                <w:sz w:val="24"/>
              </w:rPr>
              <w:t>及其他需要特别保护</w:t>
            </w:r>
            <w:r>
              <w:rPr>
                <w:rFonts w:hint="eastAsia"/>
                <w:color w:val="auto"/>
                <w:sz w:val="24"/>
              </w:rPr>
              <w:t>的生态环境保护目标。</w:t>
            </w:r>
            <w:r>
              <w:rPr>
                <w:color w:val="auto"/>
                <w:sz w:val="24"/>
                <w:szCs w:val="22"/>
                <w:lang w:val="zh-CN"/>
              </w:rPr>
              <w:t>项目评价区域主要植被为草坪、行道树等景观树种，主要动物为常见的蛙类、鸟类和昆虫类等，评价区域内无珍稀濒危物种、自然保护区、风景名胜区等生态敏感目标，调查区域也未发现国家重点保护的野生动植物等。</w:t>
            </w:r>
          </w:p>
        </w:tc>
      </w:tr>
      <w:tr w14:paraId="3FCC28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00" w:type="dxa"/>
            <w:noWrap w:val="0"/>
            <w:tcMar>
              <w:left w:w="28" w:type="dxa"/>
              <w:right w:w="28" w:type="dxa"/>
            </w:tcMar>
            <w:vAlign w:val="center"/>
          </w:tcPr>
          <w:p w14:paraId="4DDF1765">
            <w:pPr>
              <w:adjustRightInd w:val="0"/>
              <w:snapToGrid w:val="0"/>
              <w:jc w:val="center"/>
              <w:rPr>
                <w:color w:val="auto"/>
                <w:kern w:val="0"/>
                <w:sz w:val="24"/>
                <w:szCs w:val="24"/>
              </w:rPr>
            </w:pPr>
            <w:r>
              <w:rPr>
                <w:color w:val="auto"/>
                <w:kern w:val="0"/>
                <w:sz w:val="24"/>
                <w:szCs w:val="24"/>
              </w:rPr>
              <w:t>污染</w:t>
            </w:r>
          </w:p>
          <w:p w14:paraId="4B263EFE">
            <w:pPr>
              <w:adjustRightInd w:val="0"/>
              <w:snapToGrid w:val="0"/>
              <w:jc w:val="center"/>
              <w:rPr>
                <w:color w:val="auto"/>
                <w:kern w:val="0"/>
                <w:sz w:val="24"/>
                <w:szCs w:val="24"/>
              </w:rPr>
            </w:pPr>
            <w:r>
              <w:rPr>
                <w:color w:val="auto"/>
                <w:kern w:val="0"/>
                <w:sz w:val="24"/>
                <w:szCs w:val="24"/>
              </w:rPr>
              <w:t>物排</w:t>
            </w:r>
          </w:p>
          <w:p w14:paraId="66DD9E30">
            <w:pPr>
              <w:adjustRightInd w:val="0"/>
              <w:snapToGrid w:val="0"/>
              <w:jc w:val="center"/>
              <w:rPr>
                <w:color w:val="auto"/>
                <w:kern w:val="0"/>
                <w:sz w:val="24"/>
                <w:szCs w:val="24"/>
              </w:rPr>
            </w:pPr>
            <w:r>
              <w:rPr>
                <w:color w:val="auto"/>
                <w:kern w:val="0"/>
                <w:sz w:val="24"/>
                <w:szCs w:val="24"/>
              </w:rPr>
              <w:t>放控</w:t>
            </w:r>
          </w:p>
          <w:p w14:paraId="5DDBE6AC">
            <w:pPr>
              <w:adjustRightInd w:val="0"/>
              <w:snapToGrid w:val="0"/>
              <w:jc w:val="center"/>
              <w:rPr>
                <w:color w:val="auto"/>
                <w:kern w:val="0"/>
                <w:sz w:val="24"/>
                <w:szCs w:val="24"/>
              </w:rPr>
            </w:pPr>
            <w:r>
              <w:rPr>
                <w:color w:val="auto"/>
                <w:kern w:val="0"/>
                <w:sz w:val="24"/>
                <w:szCs w:val="24"/>
              </w:rPr>
              <w:t>制标</w:t>
            </w:r>
          </w:p>
          <w:p w14:paraId="6290D7A7">
            <w:pPr>
              <w:adjustRightInd w:val="0"/>
              <w:snapToGrid w:val="0"/>
              <w:jc w:val="center"/>
              <w:rPr>
                <w:color w:val="auto"/>
                <w:kern w:val="0"/>
                <w:szCs w:val="21"/>
              </w:rPr>
            </w:pPr>
            <w:r>
              <w:rPr>
                <w:color w:val="auto"/>
                <w:kern w:val="0"/>
                <w:sz w:val="24"/>
                <w:szCs w:val="24"/>
              </w:rPr>
              <w:t>准</w:t>
            </w:r>
          </w:p>
        </w:tc>
        <w:tc>
          <w:tcPr>
            <w:tcW w:w="8378" w:type="dxa"/>
            <w:noWrap w:val="0"/>
            <w:vAlign w:val="center"/>
          </w:tcPr>
          <w:p w14:paraId="221D15CE">
            <w:pPr>
              <w:pStyle w:val="3"/>
              <w:numPr>
                <w:ilvl w:val="0"/>
                <w:numId w:val="0"/>
              </w:numPr>
              <w:bidi w:val="0"/>
              <w:ind w:leftChars="0"/>
              <w:rPr>
                <w:color w:val="auto"/>
              </w:rPr>
            </w:pPr>
            <w:r>
              <w:rPr>
                <w:color w:val="auto"/>
              </w:rPr>
              <w:t>3.</w:t>
            </w:r>
            <w:r>
              <w:rPr>
                <w:rFonts w:hint="eastAsia"/>
                <w:color w:val="auto"/>
              </w:rPr>
              <w:t>7</w:t>
            </w:r>
            <w:r>
              <w:rPr>
                <w:color w:val="auto"/>
              </w:rPr>
              <w:t xml:space="preserve"> 污染物排放标准</w:t>
            </w:r>
          </w:p>
          <w:p w14:paraId="02DE71B4">
            <w:pPr>
              <w:pStyle w:val="4"/>
              <w:bidi w:val="0"/>
              <w:rPr>
                <w:color w:val="auto"/>
              </w:rPr>
            </w:pPr>
            <w:r>
              <w:rPr>
                <w:color w:val="auto"/>
              </w:rPr>
              <w:t>3.</w:t>
            </w:r>
            <w:r>
              <w:rPr>
                <w:rFonts w:hint="eastAsia"/>
                <w:color w:val="auto"/>
              </w:rPr>
              <w:t>7</w:t>
            </w:r>
            <w:r>
              <w:rPr>
                <w:color w:val="auto"/>
              </w:rPr>
              <w:t>.1 水污染物排放标准</w:t>
            </w:r>
          </w:p>
          <w:p w14:paraId="2B00FA86">
            <w:pPr>
              <w:pStyle w:val="110"/>
              <w:rPr>
                <w:rFonts w:cs="Times New Roman"/>
                <w:color w:val="auto"/>
              </w:rPr>
            </w:pPr>
            <w:r>
              <w:rPr>
                <w:rFonts w:hint="eastAsia" w:cs="Times New Roman"/>
                <w:color w:val="auto"/>
              </w:rPr>
              <w:t>（1）</w:t>
            </w:r>
            <w:r>
              <w:rPr>
                <w:rFonts w:cs="Times New Roman"/>
                <w:color w:val="auto"/>
              </w:rPr>
              <w:t>项目水污染物排放标准</w:t>
            </w:r>
          </w:p>
          <w:p w14:paraId="021DF72C">
            <w:pPr>
              <w:spacing w:line="360" w:lineRule="auto"/>
              <w:ind w:firstLine="480" w:firstLineChars="200"/>
              <w:rPr>
                <w:rFonts w:eastAsia="黑体"/>
                <w:color w:val="auto"/>
                <w:sz w:val="24"/>
              </w:rPr>
            </w:pPr>
            <w:r>
              <w:rPr>
                <w:color w:val="auto"/>
                <w:sz w:val="24"/>
              </w:rPr>
              <w:t>本项目</w:t>
            </w:r>
            <w:r>
              <w:rPr>
                <w:rFonts w:hint="eastAsia"/>
                <w:color w:val="auto"/>
                <w:sz w:val="24"/>
              </w:rPr>
              <w:t>生活污水</w:t>
            </w:r>
            <w:r>
              <w:rPr>
                <w:rFonts w:hint="eastAsia"/>
                <w:color w:val="auto"/>
                <w:sz w:val="24"/>
                <w:lang w:eastAsia="zh-CN"/>
              </w:rPr>
              <w:t>经</w:t>
            </w:r>
            <w:r>
              <w:rPr>
                <w:rFonts w:hint="eastAsia"/>
                <w:color w:val="auto"/>
                <w:sz w:val="24"/>
              </w:rPr>
              <w:t>化粪池处理</w:t>
            </w:r>
            <w:r>
              <w:rPr>
                <w:rFonts w:hint="eastAsia"/>
                <w:color w:val="auto"/>
                <w:sz w:val="24"/>
                <w:lang w:eastAsia="zh-CN"/>
              </w:rPr>
              <w:t>达《污水综合排放标准》(GB8978-1996)表4三级标准</w:t>
            </w:r>
            <w:r>
              <w:rPr>
                <w:rFonts w:hint="eastAsia"/>
                <w:color w:val="auto"/>
                <w:sz w:val="24"/>
                <w:lang w:val="en-US" w:eastAsia="zh-CN"/>
              </w:rPr>
              <w:t>）(其中氨氮参照执行《污水排入城镇下水道水质标准》(GB/T 31962-2015)表1中B级标准限值)要求</w:t>
            </w:r>
            <w:r>
              <w:rPr>
                <w:rFonts w:hint="eastAsia"/>
                <w:color w:val="auto"/>
                <w:sz w:val="24"/>
                <w:lang w:eastAsia="zh-CN"/>
              </w:rPr>
              <w:t>后纳入周边市政污水管网，</w:t>
            </w:r>
            <w:r>
              <w:rPr>
                <w:rFonts w:hint="eastAsia"/>
                <w:color w:val="auto"/>
                <w:sz w:val="24"/>
                <w:lang w:val="en-US" w:eastAsia="zh-CN"/>
              </w:rPr>
              <w:t>排入</w:t>
            </w:r>
            <w:r>
              <w:rPr>
                <w:rFonts w:hint="eastAsia"/>
                <w:color w:val="auto"/>
                <w:sz w:val="24"/>
                <w:lang w:eastAsia="zh-CN"/>
              </w:rPr>
              <w:t>福清市融元污水处理厂集中处理</w:t>
            </w:r>
            <w:r>
              <w:rPr>
                <w:color w:val="auto"/>
                <w:sz w:val="24"/>
              </w:rPr>
              <w:t>，详见表</w:t>
            </w:r>
            <w:r>
              <w:rPr>
                <w:rFonts w:hint="eastAsia"/>
                <w:color w:val="auto"/>
                <w:sz w:val="24"/>
              </w:rPr>
              <w:t>3-</w:t>
            </w:r>
            <w:r>
              <w:rPr>
                <w:rFonts w:hint="eastAsia"/>
                <w:color w:val="auto"/>
                <w:sz w:val="24"/>
                <w:lang w:val="en-US" w:eastAsia="zh-CN"/>
              </w:rPr>
              <w:t>7</w:t>
            </w:r>
            <w:r>
              <w:rPr>
                <w:color w:val="auto"/>
                <w:sz w:val="24"/>
              </w:rPr>
              <w:t>。</w:t>
            </w:r>
          </w:p>
          <w:p w14:paraId="111983F9">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7</w:t>
            </w:r>
            <w:r>
              <w:rPr>
                <w:rFonts w:eastAsia="黑体"/>
                <w:color w:val="auto"/>
                <w:sz w:val="24"/>
              </w:rPr>
              <w:t xml:space="preserve">  项目污水排放标准限值一览表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5"/>
              <w:gridCol w:w="2116"/>
              <w:gridCol w:w="4550"/>
            </w:tblGrid>
            <w:tr w14:paraId="2D886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129" w:type="pct"/>
                  <w:noWrap w:val="0"/>
                  <w:vAlign w:val="center"/>
                </w:tcPr>
                <w:p w14:paraId="7EEB8895">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污染物名称</w:t>
                  </w:r>
                </w:p>
              </w:tc>
              <w:tc>
                <w:tcPr>
                  <w:tcW w:w="1228" w:type="pct"/>
                  <w:noWrap w:val="0"/>
                  <w:vAlign w:val="center"/>
                </w:tcPr>
                <w:p w14:paraId="15B1EDD3">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三级标准值</w:t>
                  </w:r>
                </w:p>
              </w:tc>
              <w:tc>
                <w:tcPr>
                  <w:tcW w:w="2641" w:type="pct"/>
                  <w:noWrap w:val="0"/>
                  <w:vAlign w:val="center"/>
                </w:tcPr>
                <w:p w14:paraId="13EEA07B">
                  <w:pPr>
                    <w:spacing w:line="240" w:lineRule="auto"/>
                    <w:jc w:val="center"/>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bCs/>
                      <w:color w:val="auto"/>
                      <w:kern w:val="18"/>
                      <w:sz w:val="21"/>
                      <w:szCs w:val="21"/>
                      <w:highlight w:val="none"/>
                    </w:rPr>
                    <w:t>标准来源</w:t>
                  </w:r>
                </w:p>
              </w:tc>
            </w:tr>
            <w:tr w14:paraId="393EC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pct"/>
                  <w:noWrap w:val="0"/>
                  <w:vAlign w:val="center"/>
                </w:tcPr>
                <w:p w14:paraId="77E99078">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pH</w:t>
                  </w:r>
                </w:p>
              </w:tc>
              <w:tc>
                <w:tcPr>
                  <w:tcW w:w="1228" w:type="pct"/>
                  <w:noWrap w:val="0"/>
                  <w:vAlign w:val="center"/>
                </w:tcPr>
                <w:p w14:paraId="493F413E">
                  <w:pPr>
                    <w:spacing w:line="240" w:lineRule="auto"/>
                    <w:jc w:val="center"/>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rPr>
                    <w:t>6～9</w:t>
                  </w:r>
                  <w:r>
                    <w:rPr>
                      <w:rFonts w:hint="default" w:ascii="Times New Roman" w:hAnsi="Times New Roman" w:eastAsia="宋体" w:cs="Times New Roman"/>
                      <w:color w:val="auto"/>
                      <w:kern w:val="18"/>
                      <w:sz w:val="21"/>
                      <w:szCs w:val="21"/>
                      <w:highlight w:val="none"/>
                      <w:lang w:val="en-US" w:eastAsia="zh-CN"/>
                    </w:rPr>
                    <w:t>(</w:t>
                  </w:r>
                  <w:r>
                    <w:rPr>
                      <w:rFonts w:hint="default" w:ascii="Times New Roman" w:hAnsi="Times New Roman" w:eastAsia="宋体" w:cs="Times New Roman"/>
                      <w:color w:val="auto"/>
                      <w:sz w:val="21"/>
                      <w:szCs w:val="21"/>
                      <w:highlight w:val="none"/>
                    </w:rPr>
                    <w:t>无量纲</w:t>
                  </w:r>
                  <w:r>
                    <w:rPr>
                      <w:rFonts w:hint="default" w:ascii="Times New Roman" w:hAnsi="Times New Roman" w:eastAsia="宋体" w:cs="Times New Roman"/>
                      <w:color w:val="auto"/>
                      <w:sz w:val="21"/>
                      <w:szCs w:val="21"/>
                      <w:highlight w:val="none"/>
                      <w:lang w:val="en-US" w:eastAsia="zh-CN"/>
                    </w:rPr>
                    <w:t>)</w:t>
                  </w:r>
                </w:p>
              </w:tc>
              <w:tc>
                <w:tcPr>
                  <w:tcW w:w="2641" w:type="pct"/>
                  <w:vMerge w:val="restart"/>
                  <w:noWrap w:val="0"/>
                  <w:vAlign w:val="center"/>
                </w:tcPr>
                <w:p w14:paraId="45EF0A88">
                  <w:pPr>
                    <w:widowControl/>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《污水综合排放标准》</w:t>
                  </w:r>
                </w:p>
                <w:p w14:paraId="080DF67A">
                  <w:pPr>
                    <w:widowControl/>
                    <w:spacing w:line="240" w:lineRule="auto"/>
                    <w:jc w:val="center"/>
                    <w:rPr>
                      <w:rFonts w:hint="eastAsia" w:ascii="Times New Roman" w:hAnsi="Times New Roman" w:eastAsia="宋体" w:cs="Times New Roman"/>
                      <w:color w:val="auto"/>
                      <w:kern w:val="18"/>
                      <w:sz w:val="21"/>
                      <w:szCs w:val="21"/>
                      <w:highlight w:val="none"/>
                      <w:lang w:eastAsia="zh-CN"/>
                    </w:rPr>
                  </w:pPr>
                  <w:r>
                    <w:rPr>
                      <w:rFonts w:hint="default" w:ascii="Times New Roman" w:hAnsi="Times New Roman" w:eastAsia="宋体" w:cs="Times New Roman"/>
                      <w:color w:val="auto"/>
                      <w:kern w:val="18"/>
                      <w:sz w:val="21"/>
                      <w:szCs w:val="21"/>
                      <w:highlight w:val="none"/>
                    </w:rPr>
                    <w:t>(GB8978-1996)表4</w:t>
                  </w:r>
                  <w:r>
                    <w:rPr>
                      <w:rFonts w:hint="eastAsia" w:ascii="Times New Roman" w:hAnsi="Times New Roman" w:eastAsia="宋体" w:cs="Times New Roman"/>
                      <w:color w:val="auto"/>
                      <w:kern w:val="18"/>
                      <w:sz w:val="21"/>
                      <w:szCs w:val="21"/>
                      <w:highlight w:val="none"/>
                      <w:lang w:eastAsia="zh-CN"/>
                    </w:rPr>
                    <w:t>中三级标准</w:t>
                  </w:r>
                </w:p>
              </w:tc>
            </w:tr>
            <w:tr w14:paraId="71179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1C89BC73">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COD</w:t>
                  </w:r>
                </w:p>
              </w:tc>
              <w:tc>
                <w:tcPr>
                  <w:tcW w:w="1228" w:type="pct"/>
                  <w:noWrap w:val="0"/>
                  <w:vAlign w:val="center"/>
                </w:tcPr>
                <w:p w14:paraId="5CC57CB5">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500mg/L</w:t>
                  </w:r>
                </w:p>
              </w:tc>
              <w:tc>
                <w:tcPr>
                  <w:tcW w:w="2641" w:type="pct"/>
                  <w:vMerge w:val="continue"/>
                  <w:noWrap w:val="0"/>
                  <w:vAlign w:val="center"/>
                </w:tcPr>
                <w:p w14:paraId="0B963C90">
                  <w:pPr>
                    <w:widowControl/>
                    <w:spacing w:line="240" w:lineRule="auto"/>
                    <w:jc w:val="left"/>
                    <w:rPr>
                      <w:rFonts w:hint="default" w:ascii="Times New Roman" w:hAnsi="Times New Roman" w:eastAsia="宋体" w:cs="Times New Roman"/>
                      <w:color w:val="auto"/>
                      <w:kern w:val="18"/>
                      <w:sz w:val="21"/>
                      <w:szCs w:val="21"/>
                      <w:highlight w:val="none"/>
                    </w:rPr>
                  </w:pPr>
                </w:p>
              </w:tc>
            </w:tr>
            <w:tr w14:paraId="37EA6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7AE385F5">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BOD</w:t>
                  </w:r>
                  <w:r>
                    <w:rPr>
                      <w:rFonts w:hint="default" w:ascii="Times New Roman" w:hAnsi="Times New Roman" w:eastAsia="宋体" w:cs="Times New Roman"/>
                      <w:color w:val="auto"/>
                      <w:kern w:val="18"/>
                      <w:sz w:val="21"/>
                      <w:szCs w:val="21"/>
                      <w:highlight w:val="none"/>
                      <w:vertAlign w:val="subscript"/>
                    </w:rPr>
                    <w:t>5</w:t>
                  </w:r>
                </w:p>
              </w:tc>
              <w:tc>
                <w:tcPr>
                  <w:tcW w:w="1228" w:type="pct"/>
                  <w:noWrap w:val="0"/>
                  <w:vAlign w:val="center"/>
                </w:tcPr>
                <w:p w14:paraId="7696EC35">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300mg/L</w:t>
                  </w:r>
                </w:p>
              </w:tc>
              <w:tc>
                <w:tcPr>
                  <w:tcW w:w="2641" w:type="pct"/>
                  <w:vMerge w:val="continue"/>
                  <w:noWrap w:val="0"/>
                  <w:vAlign w:val="center"/>
                </w:tcPr>
                <w:p w14:paraId="6B7C657C">
                  <w:pPr>
                    <w:widowControl/>
                    <w:spacing w:line="240" w:lineRule="auto"/>
                    <w:jc w:val="left"/>
                    <w:rPr>
                      <w:rFonts w:hint="default" w:ascii="Times New Roman" w:hAnsi="Times New Roman" w:eastAsia="宋体" w:cs="Times New Roman"/>
                      <w:color w:val="auto"/>
                      <w:kern w:val="18"/>
                      <w:sz w:val="21"/>
                      <w:szCs w:val="21"/>
                      <w:highlight w:val="none"/>
                    </w:rPr>
                  </w:pPr>
                </w:p>
              </w:tc>
            </w:tr>
            <w:tr w14:paraId="0C5CC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11350BB9">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SS</w:t>
                  </w:r>
                </w:p>
              </w:tc>
              <w:tc>
                <w:tcPr>
                  <w:tcW w:w="1228" w:type="pct"/>
                  <w:noWrap w:val="0"/>
                  <w:vAlign w:val="center"/>
                </w:tcPr>
                <w:p w14:paraId="35439D83">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400mg/L</w:t>
                  </w:r>
                </w:p>
              </w:tc>
              <w:tc>
                <w:tcPr>
                  <w:tcW w:w="2641" w:type="pct"/>
                  <w:vMerge w:val="continue"/>
                  <w:noWrap w:val="0"/>
                  <w:vAlign w:val="center"/>
                </w:tcPr>
                <w:p w14:paraId="7415E34C">
                  <w:pPr>
                    <w:widowControl/>
                    <w:spacing w:line="240" w:lineRule="auto"/>
                    <w:jc w:val="left"/>
                    <w:rPr>
                      <w:rFonts w:hint="default" w:ascii="Times New Roman" w:hAnsi="Times New Roman" w:eastAsia="宋体" w:cs="Times New Roman"/>
                      <w:color w:val="auto"/>
                      <w:kern w:val="18"/>
                      <w:sz w:val="21"/>
                      <w:szCs w:val="21"/>
                      <w:highlight w:val="none"/>
                    </w:rPr>
                  </w:pPr>
                </w:p>
              </w:tc>
            </w:tr>
            <w:tr w14:paraId="52C4F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pct"/>
                  <w:noWrap w:val="0"/>
                  <w:vAlign w:val="center"/>
                </w:tcPr>
                <w:p w14:paraId="590D5F3F">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p>
              </w:tc>
              <w:tc>
                <w:tcPr>
                  <w:tcW w:w="1228" w:type="pct"/>
                  <w:noWrap w:val="0"/>
                  <w:vAlign w:val="center"/>
                </w:tcPr>
                <w:p w14:paraId="5E90958A">
                  <w:pPr>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45mg/L</w:t>
                  </w:r>
                </w:p>
              </w:tc>
              <w:tc>
                <w:tcPr>
                  <w:tcW w:w="2641" w:type="pct"/>
                  <w:noWrap w:val="0"/>
                  <w:vAlign w:val="center"/>
                </w:tcPr>
                <w:p w14:paraId="536195F3">
                  <w:pPr>
                    <w:widowControl/>
                    <w:spacing w:line="240" w:lineRule="auto"/>
                    <w:jc w:val="center"/>
                    <w:rPr>
                      <w:rFonts w:hint="default" w:ascii="Times New Roman" w:hAnsi="Times New Roman" w:eastAsia="宋体" w:cs="Times New Roman"/>
                      <w:color w:val="auto"/>
                      <w:kern w:val="18"/>
                      <w:highlight w:val="none"/>
                    </w:rPr>
                  </w:pPr>
                  <w:r>
                    <w:rPr>
                      <w:rFonts w:hint="default" w:ascii="Times New Roman" w:hAnsi="Times New Roman" w:eastAsia="宋体" w:cs="Times New Roman"/>
                      <w:color w:val="auto"/>
                      <w:kern w:val="18"/>
                      <w:highlight w:val="none"/>
                    </w:rPr>
                    <w:t>《污水排入城镇下水道水质标准》</w:t>
                  </w:r>
                </w:p>
                <w:p w14:paraId="5A75DCB6">
                  <w:pPr>
                    <w:widowControl/>
                    <w:spacing w:line="240" w:lineRule="auto"/>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highlight w:val="none"/>
                      <w:lang w:val="en-US" w:eastAsia="zh-CN"/>
                    </w:rPr>
                    <w:t>(</w:t>
                  </w:r>
                  <w:r>
                    <w:rPr>
                      <w:rFonts w:hint="default" w:ascii="Times New Roman" w:hAnsi="Times New Roman" w:eastAsia="宋体" w:cs="Times New Roman"/>
                      <w:color w:val="auto"/>
                      <w:kern w:val="18"/>
                      <w:highlight w:val="none"/>
                    </w:rPr>
                    <w:t>GB/T 31962-2015</w:t>
                  </w:r>
                  <w:r>
                    <w:rPr>
                      <w:rFonts w:hint="default" w:ascii="Times New Roman" w:hAnsi="Times New Roman" w:eastAsia="宋体" w:cs="Times New Roman"/>
                      <w:color w:val="auto"/>
                      <w:kern w:val="18"/>
                      <w:highlight w:val="none"/>
                      <w:lang w:val="en-US" w:eastAsia="zh-CN"/>
                    </w:rPr>
                    <w:t>)</w:t>
                  </w:r>
                  <w:r>
                    <w:rPr>
                      <w:rFonts w:hint="default" w:ascii="Times New Roman" w:hAnsi="Times New Roman" w:eastAsia="宋体" w:cs="Times New Roman"/>
                      <w:color w:val="auto"/>
                      <w:kern w:val="18"/>
                      <w:highlight w:val="none"/>
                    </w:rPr>
                    <w:t>表1中</w:t>
                  </w:r>
                  <w:r>
                    <w:rPr>
                      <w:rFonts w:hint="default" w:ascii="Times New Roman" w:hAnsi="Times New Roman" w:eastAsia="宋体" w:cs="Times New Roman"/>
                      <w:color w:val="auto"/>
                      <w:kern w:val="18"/>
                      <w:highlight w:val="none"/>
                      <w:lang w:eastAsia="zh-CN"/>
                    </w:rPr>
                    <w:t>B级标准</w:t>
                  </w:r>
                </w:p>
              </w:tc>
            </w:tr>
          </w:tbl>
          <w:p w14:paraId="54734206">
            <w:pPr>
              <w:numPr>
                <w:ins w:id="0" w:author="fu qiang" w:date="2018-03-27T11:06:00Z"/>
              </w:numPr>
              <w:spacing w:before="120" w:beforeLines="50" w:line="360" w:lineRule="auto"/>
              <w:ind w:firstLine="480" w:firstLineChars="200"/>
              <w:rPr>
                <w:color w:val="auto"/>
                <w:sz w:val="24"/>
                <w:shd w:val="clear" w:color="auto" w:fill="FFFFFF"/>
              </w:rPr>
            </w:pPr>
            <w:r>
              <w:rPr>
                <w:rFonts w:hint="eastAsia"/>
                <w:color w:val="auto"/>
                <w:sz w:val="24"/>
                <w:shd w:val="clear" w:color="auto" w:fill="FFFFFF"/>
              </w:rPr>
              <w:t>（2）污水处理厂</w:t>
            </w:r>
            <w:r>
              <w:rPr>
                <w:color w:val="auto"/>
                <w:sz w:val="24"/>
                <w:shd w:val="clear" w:color="auto" w:fill="FFFFFF"/>
              </w:rPr>
              <w:t>排放标准</w:t>
            </w:r>
          </w:p>
          <w:p w14:paraId="3557261E">
            <w:pPr>
              <w:numPr>
                <w:ins w:id="1" w:author="User" w:date="2017-06-23T17:36:00Z"/>
              </w:numPr>
              <w:spacing w:line="360" w:lineRule="auto"/>
              <w:ind w:firstLine="480" w:firstLineChars="200"/>
              <w:rPr>
                <w:color w:val="auto"/>
                <w:sz w:val="24"/>
              </w:rPr>
            </w:pPr>
            <w:r>
              <w:rPr>
                <w:color w:val="auto"/>
                <w:sz w:val="24"/>
                <w:shd w:val="clear" w:color="auto" w:fill="FFFFFF"/>
              </w:rPr>
              <w:t>根据调查，</w:t>
            </w:r>
            <w:r>
              <w:rPr>
                <w:rFonts w:hint="eastAsia"/>
                <w:color w:val="auto"/>
                <w:sz w:val="24"/>
                <w:shd w:val="clear" w:color="auto" w:fill="FFFFFF"/>
                <w:lang w:eastAsia="zh-CN"/>
              </w:rPr>
              <w:t>福清市融元污水处理厂</w:t>
            </w:r>
            <w:r>
              <w:rPr>
                <w:rFonts w:hint="eastAsia"/>
                <w:color w:val="auto"/>
                <w:sz w:val="24"/>
                <w:szCs w:val="20"/>
              </w:rPr>
              <w:t>尾水</w:t>
            </w:r>
            <w:r>
              <w:rPr>
                <w:color w:val="auto"/>
                <w:sz w:val="24"/>
              </w:rPr>
              <w:t>排放执行《城镇污水处理厂污染物排放标准》(GB18918-2002)及其修改单表1的一级</w:t>
            </w:r>
            <w:r>
              <w:rPr>
                <w:rFonts w:hint="eastAsia"/>
                <w:color w:val="auto"/>
                <w:sz w:val="24"/>
              </w:rPr>
              <w:t>A</w:t>
            </w:r>
            <w:r>
              <w:rPr>
                <w:color w:val="auto"/>
                <w:sz w:val="24"/>
              </w:rPr>
              <w:t>标准，具体详见表</w:t>
            </w:r>
            <w:r>
              <w:rPr>
                <w:rFonts w:hint="eastAsia"/>
                <w:color w:val="auto"/>
                <w:sz w:val="24"/>
              </w:rPr>
              <w:t>3-</w:t>
            </w:r>
            <w:r>
              <w:rPr>
                <w:rFonts w:hint="eastAsia"/>
                <w:color w:val="auto"/>
                <w:sz w:val="24"/>
                <w:lang w:val="en-US" w:eastAsia="zh-CN"/>
              </w:rPr>
              <w:t>8</w:t>
            </w:r>
            <w:r>
              <w:rPr>
                <w:color w:val="auto"/>
                <w:sz w:val="24"/>
              </w:rPr>
              <w:t>。</w:t>
            </w:r>
          </w:p>
          <w:p w14:paraId="013E337F">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8</w:t>
            </w:r>
            <w:r>
              <w:rPr>
                <w:rFonts w:eastAsia="黑体"/>
                <w:color w:val="auto"/>
                <w:sz w:val="24"/>
              </w:rPr>
              <w:t xml:space="preserve">  污水处理厂尾水排放标准一览表  </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740"/>
              <w:gridCol w:w="3108"/>
              <w:gridCol w:w="2948"/>
            </w:tblGrid>
            <w:tr w14:paraId="44E51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085A8ACD">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序号</w:t>
                  </w:r>
                </w:p>
              </w:tc>
              <w:tc>
                <w:tcPr>
                  <w:tcW w:w="1010" w:type="pct"/>
                  <w:noWrap w:val="0"/>
                  <w:vAlign w:val="center"/>
                </w:tcPr>
                <w:p w14:paraId="65E7B489">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污染物名称</w:t>
                  </w:r>
                </w:p>
              </w:tc>
              <w:tc>
                <w:tcPr>
                  <w:tcW w:w="1804" w:type="pct"/>
                  <w:noWrap w:val="0"/>
                  <w:vAlign w:val="center"/>
                </w:tcPr>
                <w:p w14:paraId="5C436EB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bCs/>
                      <w:color w:val="auto"/>
                      <w:sz w:val="21"/>
                      <w:szCs w:val="21"/>
                    </w:rPr>
                  </w:pPr>
                  <w:r>
                    <w:rPr>
                      <w:rFonts w:hint="eastAsia"/>
                      <w:b/>
                      <w:bCs/>
                      <w:color w:val="auto"/>
                      <w:sz w:val="21"/>
                      <w:szCs w:val="21"/>
                    </w:rPr>
                    <w:t>一级A标准</w:t>
                  </w:r>
                  <w:r>
                    <w:rPr>
                      <w:b/>
                      <w:bCs/>
                      <w:color w:val="auto"/>
                      <w:sz w:val="21"/>
                      <w:szCs w:val="21"/>
                    </w:rPr>
                    <w:t>限值</w:t>
                  </w:r>
                </w:p>
              </w:tc>
              <w:tc>
                <w:tcPr>
                  <w:tcW w:w="1711" w:type="pct"/>
                  <w:noWrap w:val="0"/>
                  <w:vAlign w:val="center"/>
                </w:tcPr>
                <w:p w14:paraId="2CDD5B95">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18"/>
                      <w:sz w:val="21"/>
                      <w:szCs w:val="21"/>
                    </w:rPr>
                  </w:pPr>
                  <w:r>
                    <w:rPr>
                      <w:b/>
                      <w:bCs/>
                      <w:color w:val="auto"/>
                      <w:kern w:val="18"/>
                      <w:sz w:val="21"/>
                      <w:szCs w:val="21"/>
                    </w:rPr>
                    <w:t>标准来源</w:t>
                  </w:r>
                </w:p>
              </w:tc>
            </w:tr>
            <w:tr w14:paraId="5A671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41F0CB99">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1</w:t>
                  </w:r>
                </w:p>
              </w:tc>
              <w:tc>
                <w:tcPr>
                  <w:tcW w:w="1010" w:type="pct"/>
                  <w:noWrap w:val="0"/>
                  <w:vAlign w:val="center"/>
                </w:tcPr>
                <w:p w14:paraId="44EFAA74">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pH</w:t>
                  </w:r>
                </w:p>
              </w:tc>
              <w:tc>
                <w:tcPr>
                  <w:tcW w:w="1804" w:type="pct"/>
                  <w:noWrap w:val="0"/>
                  <w:vAlign w:val="center"/>
                </w:tcPr>
                <w:p w14:paraId="74553E44">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6～9(</w:t>
                  </w:r>
                  <w:r>
                    <w:rPr>
                      <w:color w:val="auto"/>
                      <w:sz w:val="21"/>
                      <w:szCs w:val="21"/>
                    </w:rPr>
                    <w:t>无量纲)</w:t>
                  </w:r>
                </w:p>
              </w:tc>
              <w:tc>
                <w:tcPr>
                  <w:tcW w:w="1711" w:type="pct"/>
                  <w:vMerge w:val="restart"/>
                  <w:noWrap w:val="0"/>
                  <w:vAlign w:val="center"/>
                </w:tcPr>
                <w:p w14:paraId="1A621938">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《城镇污水处理厂污染物排放标准》(GB18918-2002)表1及其修改单</w:t>
                  </w:r>
                </w:p>
              </w:tc>
            </w:tr>
            <w:tr w14:paraId="5F874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272C1B29">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2</w:t>
                  </w:r>
                </w:p>
              </w:tc>
              <w:tc>
                <w:tcPr>
                  <w:tcW w:w="1010" w:type="pct"/>
                  <w:noWrap w:val="0"/>
                  <w:vAlign w:val="center"/>
                </w:tcPr>
                <w:p w14:paraId="5D7162E8">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COD</w:t>
                  </w:r>
                </w:p>
              </w:tc>
              <w:tc>
                <w:tcPr>
                  <w:tcW w:w="1804" w:type="pct"/>
                  <w:noWrap w:val="0"/>
                  <w:vAlign w:val="center"/>
                </w:tcPr>
                <w:p w14:paraId="605EA4A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5</w:t>
                  </w:r>
                  <w:r>
                    <w:rPr>
                      <w:color w:val="auto"/>
                      <w:kern w:val="18"/>
                      <w:sz w:val="21"/>
                      <w:szCs w:val="21"/>
                    </w:rPr>
                    <w:t>0mg/L</w:t>
                  </w:r>
                </w:p>
              </w:tc>
              <w:tc>
                <w:tcPr>
                  <w:tcW w:w="1711" w:type="pct"/>
                  <w:vMerge w:val="continue"/>
                  <w:noWrap w:val="0"/>
                  <w:vAlign w:val="center"/>
                </w:tcPr>
                <w:p w14:paraId="61B0BEA0">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51347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445E01C3">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3</w:t>
                  </w:r>
                </w:p>
              </w:tc>
              <w:tc>
                <w:tcPr>
                  <w:tcW w:w="1010" w:type="pct"/>
                  <w:noWrap w:val="0"/>
                  <w:vAlign w:val="center"/>
                </w:tcPr>
                <w:p w14:paraId="7E1753B9">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BOD</w:t>
                  </w:r>
                  <w:r>
                    <w:rPr>
                      <w:color w:val="auto"/>
                      <w:kern w:val="18"/>
                      <w:sz w:val="21"/>
                      <w:szCs w:val="21"/>
                      <w:vertAlign w:val="subscript"/>
                    </w:rPr>
                    <w:t>5</w:t>
                  </w:r>
                </w:p>
              </w:tc>
              <w:tc>
                <w:tcPr>
                  <w:tcW w:w="1804" w:type="pct"/>
                  <w:noWrap w:val="0"/>
                  <w:vAlign w:val="center"/>
                </w:tcPr>
                <w:p w14:paraId="2F65199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1</w:t>
                  </w:r>
                  <w:r>
                    <w:rPr>
                      <w:color w:val="auto"/>
                      <w:kern w:val="18"/>
                      <w:sz w:val="21"/>
                      <w:szCs w:val="21"/>
                    </w:rPr>
                    <w:t>0mg/L</w:t>
                  </w:r>
                </w:p>
              </w:tc>
              <w:tc>
                <w:tcPr>
                  <w:tcW w:w="1711" w:type="pct"/>
                  <w:vMerge w:val="continue"/>
                  <w:noWrap w:val="0"/>
                  <w:vAlign w:val="center"/>
                </w:tcPr>
                <w:p w14:paraId="00790489">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7C41B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146E27D1">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4</w:t>
                  </w:r>
                </w:p>
              </w:tc>
              <w:tc>
                <w:tcPr>
                  <w:tcW w:w="1010" w:type="pct"/>
                  <w:noWrap w:val="0"/>
                  <w:vAlign w:val="center"/>
                </w:tcPr>
                <w:p w14:paraId="131B89E1">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SS</w:t>
                  </w:r>
                </w:p>
              </w:tc>
              <w:tc>
                <w:tcPr>
                  <w:tcW w:w="1804" w:type="pct"/>
                  <w:noWrap w:val="0"/>
                  <w:vAlign w:val="center"/>
                </w:tcPr>
                <w:p w14:paraId="02907CA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10</w:t>
                  </w:r>
                  <w:r>
                    <w:rPr>
                      <w:color w:val="auto"/>
                      <w:kern w:val="18"/>
                      <w:sz w:val="21"/>
                      <w:szCs w:val="21"/>
                    </w:rPr>
                    <w:t>mg/L</w:t>
                  </w:r>
                </w:p>
              </w:tc>
              <w:tc>
                <w:tcPr>
                  <w:tcW w:w="1711" w:type="pct"/>
                  <w:vMerge w:val="continue"/>
                  <w:noWrap w:val="0"/>
                  <w:vAlign w:val="center"/>
                </w:tcPr>
                <w:p w14:paraId="6E428FBD">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auto"/>
                      <w:kern w:val="18"/>
                      <w:sz w:val="21"/>
                      <w:szCs w:val="21"/>
                    </w:rPr>
                  </w:pPr>
                </w:p>
              </w:tc>
            </w:tr>
            <w:tr w14:paraId="6A4FA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noWrap w:val="0"/>
                  <w:vAlign w:val="center"/>
                </w:tcPr>
                <w:p w14:paraId="5FA88D83">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5</w:t>
                  </w:r>
                </w:p>
              </w:tc>
              <w:tc>
                <w:tcPr>
                  <w:tcW w:w="1010" w:type="pct"/>
                  <w:noWrap w:val="0"/>
                  <w:vAlign w:val="center"/>
                </w:tcPr>
                <w:p w14:paraId="3C97F96F">
                  <w:pPr>
                    <w:keepNext w:val="0"/>
                    <w:keepLines w:val="0"/>
                    <w:pageBreakBefore w:val="0"/>
                    <w:kinsoku/>
                    <w:wordWrap/>
                    <w:overflowPunct/>
                    <w:topLinePunct w:val="0"/>
                    <w:autoSpaceDE/>
                    <w:autoSpaceDN/>
                    <w:bidi w:val="0"/>
                    <w:adjustRightInd/>
                    <w:snapToGrid/>
                    <w:spacing w:line="240" w:lineRule="auto"/>
                    <w:jc w:val="center"/>
                    <w:textAlignment w:val="auto"/>
                    <w:rPr>
                      <w:color w:val="auto"/>
                      <w:kern w:val="18"/>
                      <w:sz w:val="21"/>
                      <w:szCs w:val="21"/>
                    </w:rPr>
                  </w:pPr>
                  <w:r>
                    <w:rPr>
                      <w:color w:val="auto"/>
                      <w:kern w:val="18"/>
                      <w:sz w:val="21"/>
                      <w:szCs w:val="21"/>
                    </w:rPr>
                    <w:t>NH</w:t>
                  </w:r>
                  <w:r>
                    <w:rPr>
                      <w:color w:val="auto"/>
                      <w:kern w:val="18"/>
                      <w:sz w:val="21"/>
                      <w:szCs w:val="21"/>
                      <w:vertAlign w:val="subscript"/>
                    </w:rPr>
                    <w:t>3</w:t>
                  </w:r>
                  <w:r>
                    <w:rPr>
                      <w:color w:val="auto"/>
                      <w:kern w:val="18"/>
                      <w:sz w:val="21"/>
                      <w:szCs w:val="21"/>
                    </w:rPr>
                    <w:t>-N</w:t>
                  </w:r>
                </w:p>
              </w:tc>
              <w:tc>
                <w:tcPr>
                  <w:tcW w:w="1804" w:type="pct"/>
                  <w:noWrap w:val="0"/>
                  <w:vAlign w:val="center"/>
                </w:tcPr>
                <w:p w14:paraId="0BE73F6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auto"/>
                      <w:kern w:val="18"/>
                      <w:sz w:val="21"/>
                      <w:szCs w:val="21"/>
                    </w:rPr>
                  </w:pPr>
                  <w:r>
                    <w:rPr>
                      <w:rFonts w:hint="eastAsia"/>
                      <w:color w:val="auto"/>
                      <w:kern w:val="18"/>
                      <w:sz w:val="21"/>
                      <w:szCs w:val="21"/>
                    </w:rPr>
                    <w:t>5</w:t>
                  </w:r>
                  <w:r>
                    <w:rPr>
                      <w:color w:val="auto"/>
                      <w:kern w:val="18"/>
                      <w:sz w:val="21"/>
                      <w:szCs w:val="21"/>
                    </w:rPr>
                    <w:t>mg/L</w:t>
                  </w:r>
                </w:p>
              </w:tc>
              <w:tc>
                <w:tcPr>
                  <w:tcW w:w="1711" w:type="pct"/>
                  <w:vMerge w:val="continue"/>
                  <w:noWrap w:val="0"/>
                  <w:vAlign w:val="center"/>
                </w:tcPr>
                <w:p w14:paraId="36EE4018">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18"/>
                      <w:sz w:val="21"/>
                      <w:szCs w:val="21"/>
                    </w:rPr>
                  </w:pPr>
                </w:p>
              </w:tc>
            </w:tr>
          </w:tbl>
          <w:p w14:paraId="78268DEF">
            <w:pPr>
              <w:pStyle w:val="4"/>
              <w:bidi w:val="0"/>
              <w:rPr>
                <w:color w:val="auto"/>
              </w:rPr>
            </w:pPr>
            <w:r>
              <w:rPr>
                <w:color w:val="auto"/>
              </w:rPr>
              <w:t>3.</w:t>
            </w:r>
            <w:r>
              <w:rPr>
                <w:rFonts w:hint="eastAsia"/>
                <w:color w:val="auto"/>
              </w:rPr>
              <w:t>7</w:t>
            </w:r>
            <w:r>
              <w:rPr>
                <w:color w:val="auto"/>
              </w:rPr>
              <w:t>.2 大气污染物排放标准</w:t>
            </w:r>
          </w:p>
          <w:p w14:paraId="793F516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sz w:val="24"/>
                <w:szCs w:val="24"/>
                <w:highlight w:val="none"/>
                <w:shd w:val="clear" w:color="auto" w:fill="FFFFFF"/>
                <w:lang w:val="en-US" w:eastAsia="zh-CN"/>
              </w:rPr>
            </w:pPr>
            <w:r>
              <w:rPr>
                <w:rFonts w:hint="eastAsia" w:cs="Times New Roman"/>
                <w:color w:val="auto"/>
                <w:sz w:val="24"/>
                <w:szCs w:val="24"/>
                <w:highlight w:val="none"/>
                <w:shd w:val="clear" w:color="auto" w:fill="FFFFFF"/>
                <w:lang w:eastAsia="zh-CN"/>
              </w:rPr>
              <w:t>（</w:t>
            </w:r>
            <w:r>
              <w:rPr>
                <w:rFonts w:hint="eastAsia" w:cs="Times New Roman"/>
                <w:color w:val="auto"/>
                <w:sz w:val="24"/>
                <w:szCs w:val="24"/>
                <w:highlight w:val="none"/>
                <w:shd w:val="clear" w:color="auto" w:fill="FFFFFF"/>
                <w:lang w:val="en-US" w:eastAsia="zh-CN"/>
              </w:rPr>
              <w:t>1）有组织排放标准</w:t>
            </w:r>
          </w:p>
          <w:p w14:paraId="1B5A1B9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eastAsia" w:cs="Times New Roman"/>
                <w:color w:val="auto"/>
                <w:sz w:val="24"/>
                <w:szCs w:val="24"/>
                <w:highlight w:val="none"/>
                <w:shd w:val="clear" w:color="auto" w:fill="FFFFFF"/>
                <w:lang w:val="en-US" w:eastAsia="zh-CN"/>
              </w:rPr>
            </w:pPr>
            <w:r>
              <w:rPr>
                <w:rFonts w:hint="default" w:ascii="Times New Roman" w:hAnsi="Times New Roman" w:eastAsia="宋体" w:cs="Times New Roman"/>
                <w:color w:val="auto"/>
                <w:sz w:val="24"/>
                <w:szCs w:val="24"/>
                <w:highlight w:val="none"/>
                <w:shd w:val="clear" w:color="auto" w:fill="FFFFFF"/>
                <w:lang w:eastAsia="zh-CN"/>
              </w:rPr>
              <w:t>项目</w:t>
            </w:r>
            <w:r>
              <w:rPr>
                <w:rFonts w:hint="eastAsia" w:ascii="Times New Roman" w:hAnsi="Times New Roman" w:eastAsia="宋体" w:cs="Times New Roman"/>
                <w:color w:val="auto"/>
                <w:sz w:val="24"/>
                <w:szCs w:val="24"/>
                <w:highlight w:val="none"/>
                <w:shd w:val="clear" w:color="auto" w:fill="FFFFFF"/>
                <w:lang w:val="en-US" w:eastAsia="zh-CN"/>
              </w:rPr>
              <w:t>废气主要来源</w:t>
            </w:r>
            <w:r>
              <w:rPr>
                <w:rFonts w:hint="eastAsia" w:cs="Times New Roman"/>
                <w:color w:val="auto"/>
                <w:sz w:val="24"/>
                <w:szCs w:val="24"/>
                <w:highlight w:val="none"/>
                <w:shd w:val="clear" w:color="auto" w:fill="FFFFFF"/>
                <w:lang w:val="en-US" w:eastAsia="zh-CN"/>
              </w:rPr>
              <w:t>于注塑、挤出、复合、涂胶、破碎、焊接</w:t>
            </w:r>
            <w:r>
              <w:rPr>
                <w:rFonts w:hint="eastAsia" w:ascii="Times New Roman" w:hAnsi="Times New Roman" w:eastAsia="宋体" w:cs="Times New Roman"/>
                <w:color w:val="auto"/>
                <w:sz w:val="24"/>
                <w:szCs w:val="24"/>
                <w:highlight w:val="none"/>
                <w:shd w:val="clear" w:color="auto" w:fill="FFFFFF"/>
                <w:lang w:val="en-US" w:eastAsia="zh-CN"/>
              </w:rPr>
              <w:t>过程产生的废气</w:t>
            </w:r>
            <w:r>
              <w:rPr>
                <w:rFonts w:hint="eastAsia" w:cs="Times New Roman"/>
                <w:color w:val="auto"/>
                <w:sz w:val="24"/>
                <w:szCs w:val="24"/>
                <w:highlight w:val="none"/>
                <w:shd w:val="clear" w:color="auto" w:fill="FFFFFF"/>
                <w:lang w:val="en-US" w:eastAsia="zh-CN"/>
              </w:rPr>
              <w:t>，其中</w:t>
            </w:r>
            <w:r>
              <w:rPr>
                <w:rFonts w:hint="eastAsia"/>
                <w:b/>
                <w:bCs/>
                <w:color w:val="auto"/>
                <w:sz w:val="24"/>
                <w:highlight w:val="none"/>
                <w:shd w:val="clear" w:color="auto" w:fill="FFFFFF"/>
                <w:lang w:val="en-US" w:eastAsia="zh-CN"/>
              </w:rPr>
              <w:t>涂胶</w:t>
            </w:r>
            <w:r>
              <w:rPr>
                <w:rFonts w:hint="eastAsia"/>
                <w:color w:val="auto"/>
                <w:sz w:val="24"/>
                <w:highlight w:val="none"/>
                <w:shd w:val="clear" w:color="auto" w:fill="FFFFFF"/>
                <w:lang w:eastAsia="zh-CN"/>
              </w:rPr>
              <w:t>污染因子</w:t>
            </w:r>
            <w:r>
              <w:rPr>
                <w:rFonts w:hint="eastAsia" w:ascii="Times New Roman" w:hAnsi="Times New Roman" w:eastAsia="宋体" w:cs="Times New Roman"/>
                <w:color w:val="auto"/>
                <w:sz w:val="24"/>
                <w:szCs w:val="24"/>
                <w:highlight w:val="none"/>
                <w:shd w:val="clear" w:color="auto" w:fill="FFFFFF"/>
                <w:lang w:val="en-US" w:eastAsia="zh-CN"/>
              </w:rPr>
              <w:t>非甲烷总烃</w:t>
            </w:r>
            <w:r>
              <w:rPr>
                <w:rFonts w:hint="eastAsia" w:cs="Times New Roman"/>
                <w:color w:val="auto"/>
                <w:sz w:val="24"/>
                <w:szCs w:val="24"/>
                <w:highlight w:val="none"/>
                <w:shd w:val="clear" w:color="auto" w:fill="FFFFFF"/>
                <w:lang w:val="en-US" w:eastAsia="zh-CN"/>
              </w:rPr>
              <w:t>、甲苯参照执行《工业企业挥发性有机物排放标准》（DB35/1782-2018）表1中标准限值要求；苯系物参照执行</w:t>
            </w:r>
            <w:r>
              <w:rPr>
                <w:color w:val="auto"/>
                <w:sz w:val="24"/>
              </w:rPr>
              <w:t>《工业涂装工序挥发性有机物排放标准》(DB35/1783-2018)中表1</w:t>
            </w:r>
            <w:r>
              <w:rPr>
                <w:rFonts w:hint="eastAsia"/>
                <w:color w:val="auto"/>
                <w:sz w:val="24"/>
              </w:rPr>
              <w:t>涉涂装工序的其它行业</w:t>
            </w:r>
            <w:r>
              <w:rPr>
                <w:color w:val="auto"/>
                <w:sz w:val="24"/>
              </w:rPr>
              <w:t>标准限值</w:t>
            </w:r>
            <w:r>
              <w:rPr>
                <w:rFonts w:hint="eastAsia"/>
                <w:color w:val="auto"/>
                <w:sz w:val="24"/>
                <w:lang w:eastAsia="zh-CN"/>
              </w:rPr>
              <w:t>；</w:t>
            </w:r>
            <w:r>
              <w:rPr>
                <w:rFonts w:hint="eastAsia" w:cs="Times New Roman"/>
                <w:b/>
                <w:bCs/>
                <w:color w:val="auto"/>
                <w:sz w:val="24"/>
                <w:szCs w:val="24"/>
                <w:highlight w:val="none"/>
                <w:shd w:val="clear" w:color="auto" w:fill="FFFFFF"/>
                <w:vertAlign w:val="baseline"/>
                <w:lang w:val="en-US" w:eastAsia="zh-CN"/>
              </w:rPr>
              <w:t>注塑、挤出、复合废气</w:t>
            </w:r>
            <w:r>
              <w:rPr>
                <w:rFonts w:hint="eastAsia" w:cs="Times New Roman"/>
                <w:color w:val="auto"/>
                <w:sz w:val="24"/>
                <w:szCs w:val="24"/>
                <w:highlight w:val="none"/>
                <w:shd w:val="clear" w:color="auto" w:fill="FFFFFF"/>
                <w:vertAlign w:val="baseline"/>
                <w:lang w:val="en-US" w:eastAsia="zh-CN"/>
              </w:rPr>
              <w:t>污染因子为</w:t>
            </w:r>
            <w:r>
              <w:rPr>
                <w:rFonts w:hint="eastAsia" w:ascii="Times New Roman" w:hAnsi="Times New Roman" w:eastAsia="宋体" w:cs="Times New Roman"/>
                <w:color w:val="auto"/>
                <w:sz w:val="24"/>
                <w:szCs w:val="24"/>
                <w:highlight w:val="none"/>
                <w:shd w:val="clear" w:color="auto" w:fill="FFFFFF"/>
                <w:lang w:val="en-US" w:eastAsia="zh-CN"/>
              </w:rPr>
              <w:t>非甲烷总烃</w:t>
            </w:r>
            <w:r>
              <w:rPr>
                <w:rFonts w:hint="eastAsia" w:cs="Times New Roman"/>
                <w:color w:val="auto"/>
                <w:sz w:val="24"/>
                <w:szCs w:val="24"/>
                <w:highlight w:val="none"/>
                <w:shd w:val="clear" w:color="auto" w:fill="FFFFFF"/>
                <w:lang w:val="en-US" w:eastAsia="zh-CN"/>
              </w:rPr>
              <w:t>、氯化氢，根据《关于执行大气污染物特别排放限值的公告》（生态环境部公告2013年第14号），福州市属于海峡西岸城市群，</w:t>
            </w:r>
            <w:r>
              <w:rPr>
                <w:rFonts w:hint="eastAsia" w:cs="Times New Roman"/>
                <w:b/>
                <w:bCs/>
                <w:color w:val="auto"/>
                <w:sz w:val="24"/>
                <w:szCs w:val="24"/>
                <w:highlight w:val="none"/>
                <w:shd w:val="clear" w:color="auto" w:fill="FFFFFF"/>
                <w:lang w:val="en-US" w:eastAsia="zh-CN"/>
              </w:rPr>
              <w:t>大气污染物应执行特别排放限值</w:t>
            </w:r>
            <w:r>
              <w:rPr>
                <w:rFonts w:hint="eastAsia" w:cs="Times New Roman"/>
                <w:color w:val="auto"/>
                <w:sz w:val="24"/>
                <w:szCs w:val="24"/>
                <w:highlight w:val="none"/>
                <w:shd w:val="clear" w:color="auto" w:fill="FFFFFF"/>
                <w:lang w:val="en-US" w:eastAsia="zh-CN"/>
              </w:rPr>
              <w:t>，因此执行</w:t>
            </w:r>
            <w:r>
              <w:rPr>
                <w:rFonts w:hint="eastAsia"/>
                <w:color w:val="auto"/>
                <w:sz w:val="24"/>
                <w:highlight w:val="none"/>
                <w:shd w:val="clear" w:color="auto" w:fill="FFFFFF"/>
              </w:rPr>
              <w:t>《合成树脂工业污染物排放标准》(GB31572-2015)表</w:t>
            </w:r>
            <w:r>
              <w:rPr>
                <w:rFonts w:hint="eastAsia"/>
                <w:color w:val="auto"/>
                <w:sz w:val="24"/>
                <w:highlight w:val="none"/>
                <w:shd w:val="clear" w:color="auto" w:fill="FFFFFF"/>
                <w:lang w:val="en-US" w:eastAsia="zh-CN"/>
              </w:rPr>
              <w:t>5</w:t>
            </w:r>
            <w:r>
              <w:rPr>
                <w:rFonts w:hint="eastAsia"/>
                <w:color w:val="auto"/>
                <w:sz w:val="24"/>
                <w:highlight w:val="none"/>
                <w:shd w:val="clear" w:color="auto" w:fill="FFFFFF"/>
              </w:rPr>
              <w:t>的大气污染物排放限值</w:t>
            </w:r>
            <w:r>
              <w:rPr>
                <w:rFonts w:hint="eastAsia" w:ascii="Times New Roman" w:hAnsi="Times New Roman" w:eastAsia="宋体" w:cs="Times New Roman"/>
                <w:color w:val="auto"/>
                <w:kern w:val="2"/>
                <w:sz w:val="24"/>
                <w:szCs w:val="24"/>
                <w:lang w:val="en-US" w:eastAsia="zh-CN" w:bidi="ar"/>
              </w:rPr>
              <w:t>标准</w:t>
            </w:r>
            <w:r>
              <w:rPr>
                <w:rFonts w:hint="eastAsia" w:cs="Times New Roman"/>
                <w:color w:val="auto"/>
                <w:kern w:val="2"/>
                <w:sz w:val="24"/>
                <w:szCs w:val="24"/>
                <w:lang w:val="en-US" w:eastAsia="zh-CN" w:bidi="ar"/>
              </w:rPr>
              <w:t>；臭气浓度执行《恶臭污染物排放标准》(GB14554-93)表2标准限值。</w:t>
            </w:r>
          </w:p>
          <w:p w14:paraId="40BF19C6">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bottom"/>
              <w:rPr>
                <w:rFonts w:hint="eastAsia" w:cs="Times New Roman"/>
                <w:color w:val="auto"/>
                <w:sz w:val="24"/>
                <w:szCs w:val="24"/>
                <w:highlight w:val="none"/>
                <w:shd w:val="clear" w:color="auto" w:fill="FFFFFF"/>
                <w:lang w:val="en-US" w:eastAsia="zh-CN"/>
              </w:rPr>
            </w:pPr>
            <w:r>
              <w:rPr>
                <w:rFonts w:hint="eastAsia"/>
                <w:b/>
                <w:bCs/>
                <w:color w:val="auto"/>
                <w:sz w:val="24"/>
                <w:highlight w:val="none"/>
                <w:lang w:val="en-US" w:eastAsia="zh-CN" w:bidi="ar"/>
              </w:rPr>
              <w:t>由于注塑、挤出及涂胶废气经同一根排气筒排放，考虑标准从严原则，项目产生的非甲烷总烃、氯化氢执行</w:t>
            </w:r>
            <w:r>
              <w:rPr>
                <w:rFonts w:hint="eastAsia"/>
                <w:b/>
                <w:bCs/>
                <w:color w:val="auto"/>
                <w:sz w:val="24"/>
              </w:rPr>
              <w:t>《合成树脂工业污染物排放标准》(GB31572-2015)表5的大气污染物排放限值标准</w:t>
            </w:r>
            <w:r>
              <w:rPr>
                <w:rFonts w:hint="eastAsia"/>
                <w:b/>
                <w:bCs/>
                <w:color w:val="auto"/>
                <w:sz w:val="24"/>
                <w:lang w:eastAsia="zh-CN"/>
              </w:rPr>
              <w:t>；</w:t>
            </w:r>
            <w:r>
              <w:rPr>
                <w:rFonts w:hint="eastAsia"/>
                <w:b/>
                <w:bCs/>
                <w:color w:val="auto"/>
                <w:sz w:val="24"/>
                <w:lang w:val="en-US" w:eastAsia="zh-CN"/>
              </w:rPr>
              <w:t>甲苯</w:t>
            </w:r>
            <w:r>
              <w:rPr>
                <w:rFonts w:hint="eastAsia" w:cs="Times New Roman"/>
                <w:color w:val="auto"/>
                <w:sz w:val="24"/>
                <w:szCs w:val="24"/>
                <w:highlight w:val="none"/>
                <w:shd w:val="clear" w:color="auto" w:fill="FFFFFF"/>
                <w:lang w:val="en-US" w:eastAsia="zh-CN"/>
              </w:rPr>
              <w:t>照执行《工业企业挥发性有机物排放标准》（DB35/1782-2018）表1中标准限值要求</w:t>
            </w:r>
            <w:r>
              <w:rPr>
                <w:rFonts w:hint="eastAsia"/>
                <w:b/>
                <w:bCs/>
                <w:color w:val="auto"/>
                <w:sz w:val="24"/>
                <w:lang w:eastAsia="zh-CN"/>
              </w:rPr>
              <w:t>；</w:t>
            </w:r>
            <w:r>
              <w:rPr>
                <w:rFonts w:hint="eastAsia" w:cs="Times New Roman"/>
                <w:b/>
                <w:bCs/>
                <w:color w:val="auto"/>
                <w:sz w:val="24"/>
                <w:szCs w:val="24"/>
                <w:highlight w:val="none"/>
                <w:shd w:val="clear" w:color="auto" w:fill="FFFFFF"/>
                <w:lang w:val="en-US" w:eastAsia="zh-CN"/>
              </w:rPr>
              <w:t>苯系物</w:t>
            </w:r>
            <w:r>
              <w:rPr>
                <w:rFonts w:hint="eastAsia" w:cs="Times New Roman"/>
                <w:color w:val="auto"/>
                <w:sz w:val="24"/>
                <w:szCs w:val="24"/>
                <w:highlight w:val="none"/>
                <w:shd w:val="clear" w:color="auto" w:fill="FFFFFF"/>
                <w:lang w:val="en-US" w:eastAsia="zh-CN"/>
              </w:rPr>
              <w:t>参照执行</w:t>
            </w:r>
            <w:r>
              <w:rPr>
                <w:color w:val="auto"/>
                <w:sz w:val="24"/>
              </w:rPr>
              <w:t>《工业涂装工序挥发性有机物排放标准》(DB35/1783-2018)中表1</w:t>
            </w:r>
            <w:r>
              <w:rPr>
                <w:rFonts w:hint="eastAsia"/>
                <w:color w:val="auto"/>
                <w:sz w:val="24"/>
              </w:rPr>
              <w:t>涉涂装工序的其它行业</w:t>
            </w:r>
            <w:r>
              <w:rPr>
                <w:color w:val="auto"/>
                <w:sz w:val="24"/>
              </w:rPr>
              <w:t>标准限值</w:t>
            </w:r>
            <w:r>
              <w:rPr>
                <w:rFonts w:hint="eastAsia"/>
                <w:color w:val="auto"/>
                <w:sz w:val="24"/>
                <w:lang w:eastAsia="zh-CN"/>
              </w:rPr>
              <w:t>；</w:t>
            </w:r>
            <w:r>
              <w:rPr>
                <w:rFonts w:hint="eastAsia" w:cs="Times New Roman"/>
                <w:b/>
                <w:bCs/>
                <w:color w:val="auto"/>
                <w:kern w:val="2"/>
                <w:sz w:val="24"/>
                <w:szCs w:val="24"/>
                <w:lang w:val="en-US" w:eastAsia="zh-CN" w:bidi="ar"/>
              </w:rPr>
              <w:t>臭气浓度</w:t>
            </w:r>
            <w:r>
              <w:rPr>
                <w:rFonts w:hint="eastAsia" w:cs="Times New Roman"/>
                <w:color w:val="auto"/>
                <w:kern w:val="2"/>
                <w:sz w:val="24"/>
                <w:szCs w:val="24"/>
                <w:lang w:val="en-US" w:eastAsia="zh-CN" w:bidi="ar"/>
              </w:rPr>
              <w:t>执行《恶臭污染物排放标准》(GB14554-93)表2标准限值。</w:t>
            </w:r>
          </w:p>
          <w:p w14:paraId="793C516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bottom"/>
              <w:rPr>
                <w:rFonts w:hint="default" w:eastAsia="宋体"/>
                <w:b w:val="0"/>
                <w:bCs w:val="0"/>
                <w:color w:val="auto"/>
                <w:sz w:val="24"/>
                <w:lang w:val="en-US" w:eastAsia="zh-CN"/>
              </w:rPr>
            </w:pPr>
            <w:r>
              <w:rPr>
                <w:rFonts w:hint="eastAsia"/>
                <w:b w:val="0"/>
                <w:bCs w:val="0"/>
                <w:color w:val="auto"/>
                <w:sz w:val="24"/>
                <w:lang w:eastAsia="zh-CN"/>
              </w:rPr>
              <w:t>（</w:t>
            </w:r>
            <w:r>
              <w:rPr>
                <w:rFonts w:hint="eastAsia"/>
                <w:b w:val="0"/>
                <w:bCs w:val="0"/>
                <w:color w:val="auto"/>
                <w:sz w:val="24"/>
                <w:lang w:val="en-US" w:eastAsia="zh-CN"/>
              </w:rPr>
              <w:t>2</w:t>
            </w:r>
            <w:r>
              <w:rPr>
                <w:rFonts w:hint="eastAsia"/>
                <w:b w:val="0"/>
                <w:bCs w:val="0"/>
                <w:color w:val="auto"/>
                <w:sz w:val="24"/>
                <w:lang w:eastAsia="zh-CN"/>
              </w:rPr>
              <w:t>）</w:t>
            </w:r>
            <w:r>
              <w:rPr>
                <w:rFonts w:hint="eastAsia"/>
                <w:b w:val="0"/>
                <w:bCs w:val="0"/>
                <w:color w:val="auto"/>
                <w:sz w:val="24"/>
                <w:lang w:val="en-US" w:eastAsia="zh-CN"/>
              </w:rPr>
              <w:t>无组织排放标准</w:t>
            </w:r>
          </w:p>
          <w:p w14:paraId="3C046DA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textAlignment w:val="bottom"/>
              <w:rPr>
                <w:rFonts w:eastAsia="黑体"/>
                <w:color w:val="auto"/>
                <w:sz w:val="24"/>
              </w:rPr>
            </w:pPr>
            <w:r>
              <w:rPr>
                <w:rFonts w:hint="eastAsia" w:cs="Times New Roman"/>
                <w:b/>
                <w:bCs/>
                <w:color w:val="auto"/>
                <w:sz w:val="24"/>
                <w:szCs w:val="24"/>
                <w:highlight w:val="none"/>
                <w:shd w:val="clear" w:color="auto" w:fill="FFFFFF"/>
                <w:lang w:val="en-US" w:eastAsia="zh-CN"/>
              </w:rPr>
              <w:t>破碎、焊接废气</w:t>
            </w:r>
            <w:r>
              <w:rPr>
                <w:rFonts w:hint="eastAsia" w:cs="Times New Roman"/>
                <w:color w:val="auto"/>
                <w:sz w:val="24"/>
                <w:szCs w:val="24"/>
                <w:highlight w:val="none"/>
                <w:shd w:val="clear" w:color="auto" w:fill="FFFFFF"/>
                <w:lang w:val="en-US" w:eastAsia="zh-CN"/>
              </w:rPr>
              <w:t>污染因子为颗粒物，</w:t>
            </w:r>
            <w:r>
              <w:rPr>
                <w:rFonts w:hint="eastAsia" w:cs="Times New Roman"/>
                <w:b/>
                <w:bCs/>
                <w:color w:val="auto"/>
                <w:sz w:val="24"/>
                <w:szCs w:val="24"/>
                <w:highlight w:val="none"/>
                <w:shd w:val="clear" w:color="auto" w:fill="FFFFFF"/>
                <w:lang w:val="en-US" w:eastAsia="zh-CN"/>
              </w:rPr>
              <w:t>厂界无组织排放颗粒物执行</w:t>
            </w:r>
            <w:r>
              <w:rPr>
                <w:rFonts w:hint="eastAsia"/>
                <w:color w:val="auto"/>
                <w:sz w:val="24"/>
                <w:highlight w:val="none"/>
                <w:shd w:val="clear" w:color="auto" w:fill="FFFFFF"/>
              </w:rPr>
              <w:t>《大气污染物综合排放标准》(GB16297-1996)中表2无组织排放监控浓度限值</w:t>
            </w:r>
            <w:r>
              <w:rPr>
                <w:rFonts w:hint="eastAsia"/>
                <w:color w:val="auto"/>
                <w:sz w:val="24"/>
                <w:highlight w:val="none"/>
                <w:shd w:val="clear" w:color="auto" w:fill="FFFFFF"/>
                <w:lang w:eastAsia="zh-CN"/>
              </w:rPr>
              <w:t>；</w:t>
            </w:r>
            <w:r>
              <w:rPr>
                <w:rFonts w:hint="eastAsia"/>
                <w:b/>
                <w:bCs/>
                <w:color w:val="auto"/>
                <w:sz w:val="24"/>
                <w:lang w:eastAsia="zh-CN"/>
              </w:rPr>
              <w:t>注塑、挤出、复合、涂胶、</w:t>
            </w:r>
            <w:r>
              <w:rPr>
                <w:rFonts w:hint="eastAsia"/>
                <w:b/>
                <w:bCs/>
                <w:color w:val="auto"/>
                <w:sz w:val="24"/>
                <w:lang w:val="en-US" w:eastAsia="zh-CN"/>
              </w:rPr>
              <w:t>废气</w:t>
            </w:r>
            <w:r>
              <w:rPr>
                <w:rFonts w:hint="eastAsia"/>
                <w:b w:val="0"/>
                <w:bCs w:val="0"/>
                <w:color w:val="auto"/>
                <w:sz w:val="24"/>
                <w:lang w:val="en-US" w:eastAsia="zh-CN"/>
              </w:rPr>
              <w:t>污染因子为甲苯、非甲烷总烃、臭气浓度、氯化氢</w:t>
            </w:r>
            <w:r>
              <w:rPr>
                <w:rFonts w:hint="eastAsia"/>
                <w:b/>
                <w:bCs/>
                <w:color w:val="auto"/>
                <w:sz w:val="24"/>
                <w:lang w:val="en-US" w:eastAsia="zh-CN"/>
              </w:rPr>
              <w:t>，其中</w:t>
            </w:r>
            <w:r>
              <w:rPr>
                <w:rFonts w:hint="eastAsia"/>
                <w:b/>
                <w:bCs/>
                <w:color w:val="auto"/>
                <w:sz w:val="24"/>
                <w:lang w:eastAsia="zh-CN"/>
              </w:rPr>
              <w:t>厂界无组织排放</w:t>
            </w:r>
            <w:r>
              <w:rPr>
                <w:rFonts w:hint="eastAsia"/>
                <w:b/>
                <w:bCs/>
                <w:color w:val="auto"/>
                <w:sz w:val="24"/>
                <w:lang w:val="en-US" w:eastAsia="zh-CN"/>
              </w:rPr>
              <w:t>非甲烷总烃、氯化氢</w:t>
            </w:r>
            <w:r>
              <w:rPr>
                <w:rFonts w:hint="eastAsia"/>
                <w:b/>
                <w:bCs/>
                <w:color w:val="auto"/>
                <w:sz w:val="24"/>
                <w:lang w:eastAsia="zh-CN"/>
              </w:rPr>
              <w:t>执行</w:t>
            </w:r>
            <w:r>
              <w:rPr>
                <w:rFonts w:hint="eastAsia"/>
                <w:color w:val="auto"/>
                <w:sz w:val="24"/>
                <w:highlight w:val="none"/>
                <w:shd w:val="clear" w:color="auto" w:fill="FFFFFF"/>
              </w:rPr>
              <w:t>《合成树脂工业污染物排放标准》(GB31572-2015)</w:t>
            </w:r>
            <w:r>
              <w:rPr>
                <w:rFonts w:hint="eastAsia"/>
                <w:color w:val="auto"/>
                <w:sz w:val="24"/>
                <w:highlight w:val="none"/>
                <w:shd w:val="clear" w:color="auto" w:fill="FFFFFF"/>
                <w:lang w:val="en-US" w:eastAsia="zh-CN"/>
              </w:rPr>
              <w:t>表9企业边界大气污染物浓度限值</w:t>
            </w:r>
            <w:r>
              <w:rPr>
                <w:rFonts w:hint="eastAsia"/>
                <w:b w:val="0"/>
                <w:bCs w:val="0"/>
                <w:color w:val="auto"/>
                <w:sz w:val="24"/>
                <w:lang w:eastAsia="zh-CN"/>
              </w:rPr>
              <w:t>标准</w:t>
            </w:r>
            <w:r>
              <w:rPr>
                <w:rFonts w:hint="eastAsia" w:cs="Times New Roman"/>
                <w:b/>
                <w:bCs/>
                <w:color w:val="auto"/>
                <w:sz w:val="24"/>
                <w:highlight w:val="none"/>
                <w:lang w:val="en-US" w:eastAsia="zh-CN" w:bidi="ar"/>
              </w:rPr>
              <w:t>；</w:t>
            </w:r>
            <w:r>
              <w:rPr>
                <w:rFonts w:hint="eastAsia"/>
                <w:b/>
                <w:bCs/>
                <w:color w:val="auto"/>
                <w:sz w:val="24"/>
                <w:lang w:eastAsia="zh-CN"/>
              </w:rPr>
              <w:t>厂界无组织排放</w:t>
            </w:r>
            <w:r>
              <w:rPr>
                <w:rFonts w:hint="eastAsia" w:cs="Times New Roman"/>
                <w:b/>
                <w:bCs/>
                <w:color w:val="auto"/>
                <w:sz w:val="24"/>
                <w:highlight w:val="none"/>
                <w:lang w:val="en-US" w:eastAsia="zh-CN" w:bidi="ar"/>
              </w:rPr>
              <w:t>甲苯</w:t>
            </w:r>
            <w:r>
              <w:rPr>
                <w:rFonts w:hint="eastAsia"/>
                <w:b/>
                <w:bCs/>
                <w:color w:val="auto"/>
                <w:sz w:val="24"/>
                <w:lang w:eastAsia="zh-CN"/>
              </w:rPr>
              <w:t>执行</w:t>
            </w:r>
            <w:r>
              <w:rPr>
                <w:rFonts w:hint="eastAsia" w:cs="Times New Roman"/>
                <w:b/>
                <w:bCs/>
                <w:color w:val="auto"/>
                <w:kern w:val="2"/>
                <w:sz w:val="24"/>
                <w:szCs w:val="24"/>
                <w:lang w:val="en-US" w:eastAsia="zh-CN" w:bidi="ar"/>
              </w:rPr>
              <w:t>《工业企业挥发性有机物排放标准》（DB35/1782-2018）表3企业边界监控点浓度限值</w:t>
            </w:r>
            <w:r>
              <w:rPr>
                <w:rFonts w:hint="eastAsia" w:cs="Times New Roman"/>
                <w:b/>
                <w:bCs/>
                <w:color w:val="auto"/>
                <w:sz w:val="24"/>
                <w:highlight w:val="none"/>
                <w:lang w:val="en-US" w:eastAsia="zh-CN" w:bidi="ar"/>
              </w:rPr>
              <w:t>；</w:t>
            </w:r>
            <w:r>
              <w:rPr>
                <w:rFonts w:hint="eastAsia"/>
                <w:b/>
                <w:bCs/>
                <w:color w:val="auto"/>
                <w:sz w:val="24"/>
                <w:lang w:eastAsia="zh-CN"/>
              </w:rPr>
              <w:t>厂界无组织排放</w:t>
            </w:r>
            <w:r>
              <w:rPr>
                <w:rFonts w:hint="eastAsia" w:cs="Times New Roman"/>
                <w:b/>
                <w:bCs/>
                <w:color w:val="auto"/>
                <w:sz w:val="24"/>
                <w:highlight w:val="none"/>
                <w:lang w:val="en-US" w:eastAsia="zh-CN" w:bidi="ar"/>
              </w:rPr>
              <w:t>臭气浓度</w:t>
            </w:r>
            <w:r>
              <w:rPr>
                <w:rFonts w:hint="eastAsia"/>
                <w:b/>
                <w:bCs/>
                <w:color w:val="auto"/>
                <w:sz w:val="24"/>
                <w:lang w:eastAsia="zh-CN"/>
              </w:rPr>
              <w:t>执行</w:t>
            </w:r>
            <w:r>
              <w:rPr>
                <w:rFonts w:hint="eastAsia" w:cs="Times New Roman"/>
                <w:b/>
                <w:bCs/>
                <w:color w:val="auto"/>
                <w:kern w:val="2"/>
                <w:sz w:val="24"/>
                <w:szCs w:val="24"/>
                <w:lang w:val="en-US" w:eastAsia="zh-CN" w:bidi="ar"/>
              </w:rPr>
              <w:t>《恶臭污染物排放标准》(GB14554-93)表1标准限值</w:t>
            </w:r>
            <w:r>
              <w:rPr>
                <w:rFonts w:hint="eastAsia"/>
                <w:b/>
                <w:bCs/>
                <w:color w:val="auto"/>
                <w:sz w:val="24"/>
                <w:lang w:eastAsia="zh-CN"/>
              </w:rPr>
              <w:t>。厂区内无组织排放非甲烷总烃《挥发性有机物无组织排放控制标准》（GB 37822-2019）表A.1特别排放。</w:t>
            </w:r>
          </w:p>
          <w:p w14:paraId="0EEBFDAA">
            <w:pPr>
              <w:spacing w:before="120" w:beforeLines="50"/>
              <w:jc w:val="center"/>
              <w:rPr>
                <w:rFonts w:eastAsia="黑体"/>
                <w:color w:val="auto"/>
                <w:sz w:val="24"/>
              </w:rPr>
            </w:pPr>
          </w:p>
          <w:p w14:paraId="5698FC8B">
            <w:pPr>
              <w:spacing w:before="120" w:beforeLines="50"/>
              <w:jc w:val="center"/>
              <w:rPr>
                <w:rFonts w:eastAsia="黑体"/>
                <w:color w:val="auto"/>
                <w:sz w:val="24"/>
              </w:rPr>
            </w:pPr>
          </w:p>
          <w:p w14:paraId="0425AC50">
            <w:pPr>
              <w:spacing w:before="120" w:beforeLines="50"/>
              <w:jc w:val="center"/>
              <w:rPr>
                <w:rFonts w:eastAsia="黑体"/>
                <w:color w:val="auto"/>
                <w:sz w:val="24"/>
              </w:rPr>
            </w:pPr>
          </w:p>
          <w:p w14:paraId="0E793E7D">
            <w:pPr>
              <w:spacing w:before="120" w:beforeLines="50"/>
              <w:jc w:val="center"/>
              <w:rPr>
                <w:rFonts w:eastAsia="黑体"/>
                <w:color w:val="auto"/>
                <w:sz w:val="24"/>
              </w:rPr>
            </w:pPr>
          </w:p>
          <w:p w14:paraId="426061B9">
            <w:pPr>
              <w:spacing w:before="120" w:beforeLines="50"/>
              <w:jc w:val="center"/>
              <w:rPr>
                <w:rFonts w:eastAsia="黑体"/>
                <w:color w:val="auto"/>
                <w:sz w:val="24"/>
              </w:rPr>
            </w:pPr>
          </w:p>
          <w:p w14:paraId="14D2A2D2">
            <w:pPr>
              <w:spacing w:before="120" w:beforeLines="50"/>
              <w:jc w:val="center"/>
              <w:rPr>
                <w:rFonts w:eastAsia="黑体"/>
                <w:color w:val="auto"/>
                <w:sz w:val="24"/>
              </w:rPr>
            </w:pPr>
          </w:p>
          <w:p w14:paraId="1BDA99D8">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9</w:t>
            </w:r>
            <w:r>
              <w:rPr>
                <w:rFonts w:hint="eastAsia" w:eastAsia="黑体"/>
                <w:color w:val="auto"/>
                <w:sz w:val="24"/>
              </w:rPr>
              <w:t xml:space="preserve">  本项目有组织废气排放标准</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64"/>
              <w:gridCol w:w="1209"/>
              <w:gridCol w:w="1190"/>
              <w:gridCol w:w="739"/>
              <w:gridCol w:w="1011"/>
              <w:gridCol w:w="1278"/>
              <w:gridCol w:w="2018"/>
            </w:tblGrid>
            <w:tr w14:paraId="50292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6" w:type="pct"/>
                  <w:tcBorders>
                    <w:tl2br w:val="nil"/>
                    <w:tr2bl w:val="nil"/>
                  </w:tcBorders>
                  <w:noWrap w:val="0"/>
                  <w:vAlign w:val="center"/>
                </w:tcPr>
                <w:p w14:paraId="29B9B3A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排气筒</w:t>
                  </w:r>
                </w:p>
                <w:p w14:paraId="3F1400C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编号</w:t>
                  </w:r>
                </w:p>
              </w:tc>
              <w:tc>
                <w:tcPr>
                  <w:tcW w:w="702" w:type="pct"/>
                  <w:tcBorders>
                    <w:tl2br w:val="nil"/>
                    <w:tr2bl w:val="nil"/>
                  </w:tcBorders>
                  <w:noWrap w:val="0"/>
                  <w:vAlign w:val="center"/>
                </w:tcPr>
                <w:p w14:paraId="5C9CC7F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91" w:type="pct"/>
                  <w:tcBorders>
                    <w:tl2br w:val="nil"/>
                    <w:tr2bl w:val="nil"/>
                  </w:tcBorders>
                  <w:noWrap w:val="0"/>
                  <w:vAlign w:val="center"/>
                </w:tcPr>
                <w:p w14:paraId="2A35A61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最高允许排放浓度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mg/m</w:t>
                  </w:r>
                  <w:r>
                    <w:rPr>
                      <w:rFonts w:hint="default" w:ascii="Times New Roman" w:hAnsi="Times New Roman" w:eastAsia="宋体" w:cs="Times New Roman"/>
                      <w:b/>
                      <w:bCs/>
                      <w:color w:val="auto"/>
                      <w:sz w:val="21"/>
                      <w:szCs w:val="21"/>
                      <w:shd w:val="clear" w:color="auto" w:fill="FFFFFF"/>
                      <w:vertAlign w:val="superscript"/>
                    </w:rPr>
                    <w:t>3</w:t>
                  </w:r>
                  <w:r>
                    <w:rPr>
                      <w:rFonts w:hint="default" w:ascii="Times New Roman" w:hAnsi="Times New Roman" w:eastAsia="宋体" w:cs="Times New Roman"/>
                      <w:b/>
                      <w:bCs/>
                      <w:color w:val="auto"/>
                      <w:sz w:val="21"/>
                      <w:szCs w:val="21"/>
                      <w:lang w:eastAsia="zh-CN"/>
                    </w:rPr>
                    <w:t>）</w:t>
                  </w:r>
                </w:p>
              </w:tc>
              <w:tc>
                <w:tcPr>
                  <w:tcW w:w="429" w:type="pct"/>
                  <w:tcBorders>
                    <w:tl2br w:val="nil"/>
                    <w:tr2bl w:val="nil"/>
                  </w:tcBorders>
                  <w:noWrap w:val="0"/>
                  <w:vAlign w:val="center"/>
                </w:tcPr>
                <w:p w14:paraId="517B225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w:t>
                  </w:r>
                </w:p>
                <w:p w14:paraId="6B31023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高度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lang w:eastAsia="zh-CN"/>
                    </w:rPr>
                    <w:t>）</w:t>
                  </w:r>
                </w:p>
              </w:tc>
              <w:tc>
                <w:tcPr>
                  <w:tcW w:w="587" w:type="pct"/>
                  <w:tcBorders>
                    <w:tl2br w:val="nil"/>
                    <w:tr2bl w:val="nil"/>
                  </w:tcBorders>
                  <w:noWrap w:val="0"/>
                  <w:vAlign w:val="center"/>
                </w:tcPr>
                <w:p w14:paraId="68FBFA6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最高允许</w:t>
                  </w:r>
                </w:p>
                <w:p w14:paraId="4D55DF7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排放速率（</w:t>
                  </w:r>
                  <w:r>
                    <w:rPr>
                      <w:rFonts w:hint="default" w:ascii="Times New Roman" w:hAnsi="Times New Roman" w:eastAsia="宋体" w:cs="Times New Roman"/>
                      <w:b/>
                      <w:bCs/>
                      <w:color w:val="auto"/>
                      <w:sz w:val="21"/>
                      <w:szCs w:val="21"/>
                      <w:highlight w:val="none"/>
                      <w:lang w:val="en-US" w:eastAsia="zh-CN"/>
                    </w:rPr>
                    <w:t>kg/h</w:t>
                  </w:r>
                  <w:r>
                    <w:rPr>
                      <w:rFonts w:hint="default" w:ascii="Times New Roman" w:hAnsi="Times New Roman" w:eastAsia="宋体" w:cs="Times New Roman"/>
                      <w:b/>
                      <w:bCs/>
                      <w:color w:val="auto"/>
                      <w:sz w:val="21"/>
                      <w:szCs w:val="21"/>
                      <w:lang w:val="en-US" w:eastAsia="zh-CN"/>
                    </w:rPr>
                    <w:t>）</w:t>
                  </w:r>
                </w:p>
              </w:tc>
              <w:tc>
                <w:tcPr>
                  <w:tcW w:w="742" w:type="pct"/>
                  <w:tcBorders>
                    <w:tl2br w:val="nil"/>
                    <w:tr2bl w:val="nil"/>
                  </w:tcBorders>
                  <w:noWrap w:val="0"/>
                  <w:vAlign w:val="center"/>
                </w:tcPr>
                <w:p w14:paraId="11ABDC9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污染物排放监控限值</w:t>
                  </w:r>
                </w:p>
              </w:tc>
              <w:tc>
                <w:tcPr>
                  <w:tcW w:w="1171" w:type="pct"/>
                  <w:tcBorders>
                    <w:tl2br w:val="nil"/>
                    <w:tr2bl w:val="nil"/>
                  </w:tcBorders>
                  <w:noWrap w:val="0"/>
                  <w:vAlign w:val="center"/>
                </w:tcPr>
                <w:p w14:paraId="66F1963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标准</w:t>
                  </w:r>
                  <w:r>
                    <w:rPr>
                      <w:rFonts w:hint="default" w:ascii="Times New Roman" w:hAnsi="Times New Roman" w:eastAsia="宋体" w:cs="Times New Roman"/>
                      <w:b/>
                      <w:bCs/>
                      <w:color w:val="auto"/>
                      <w:sz w:val="21"/>
                      <w:szCs w:val="21"/>
                      <w:highlight w:val="none"/>
                      <w:u w:val="none"/>
                      <w:lang w:eastAsia="zh-CN"/>
                    </w:rPr>
                    <w:t>依据</w:t>
                  </w:r>
                </w:p>
              </w:tc>
            </w:tr>
            <w:tr w14:paraId="3AFD7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15" w:hRule="atLeast"/>
                <w:jc w:val="center"/>
              </w:trPr>
              <w:tc>
                <w:tcPr>
                  <w:tcW w:w="676" w:type="pct"/>
                  <w:vMerge w:val="restart"/>
                  <w:tcBorders>
                    <w:tl2br w:val="nil"/>
                    <w:tr2bl w:val="nil"/>
                  </w:tcBorders>
                  <w:noWrap w:val="0"/>
                  <w:vAlign w:val="center"/>
                </w:tcPr>
                <w:p w14:paraId="50743A1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DA002</w:t>
                  </w:r>
                </w:p>
                <w:p w14:paraId="069F45C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（注塑、复合、挤出、涂胶废气）</w:t>
                  </w:r>
                </w:p>
              </w:tc>
              <w:tc>
                <w:tcPr>
                  <w:tcW w:w="702" w:type="pct"/>
                  <w:tcBorders>
                    <w:tl2br w:val="nil"/>
                    <w:tr2bl w:val="nil"/>
                  </w:tcBorders>
                  <w:noWrap w:val="0"/>
                  <w:vAlign w:val="center"/>
                </w:tcPr>
                <w:p w14:paraId="673F9AE0">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691" w:type="pct"/>
                  <w:tcBorders>
                    <w:tl2br w:val="nil"/>
                    <w:tr2bl w:val="nil"/>
                  </w:tcBorders>
                  <w:noWrap w:val="0"/>
                  <w:vAlign w:val="center"/>
                </w:tcPr>
                <w:p w14:paraId="34BF390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429" w:type="pct"/>
                  <w:vMerge w:val="restart"/>
                  <w:tcBorders>
                    <w:tl2br w:val="nil"/>
                    <w:tr2bl w:val="nil"/>
                  </w:tcBorders>
                  <w:noWrap w:val="0"/>
                  <w:vAlign w:val="center"/>
                </w:tcPr>
                <w:p w14:paraId="627FF68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m</w:t>
                  </w:r>
                </w:p>
              </w:tc>
              <w:tc>
                <w:tcPr>
                  <w:tcW w:w="587" w:type="pct"/>
                  <w:tcBorders>
                    <w:tl2br w:val="nil"/>
                    <w:tr2bl w:val="nil"/>
                  </w:tcBorders>
                  <w:noWrap w:val="0"/>
                  <w:vAlign w:val="center"/>
                </w:tcPr>
                <w:p w14:paraId="2C2603D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2" w:type="pct"/>
                  <w:vMerge w:val="restart"/>
                  <w:tcBorders>
                    <w:tl2br w:val="nil"/>
                    <w:tr2bl w:val="nil"/>
                  </w:tcBorders>
                  <w:noWrap w:val="0"/>
                  <w:vAlign w:val="center"/>
                </w:tcPr>
                <w:p w14:paraId="73631E04">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车间或生产设施排气筒</w:t>
                  </w:r>
                </w:p>
              </w:tc>
              <w:tc>
                <w:tcPr>
                  <w:tcW w:w="1171" w:type="pct"/>
                  <w:vMerge w:val="restart"/>
                  <w:tcBorders>
                    <w:tl2br w:val="nil"/>
                    <w:tr2bl w:val="nil"/>
                  </w:tcBorders>
                  <w:noWrap w:val="0"/>
                  <w:vAlign w:val="center"/>
                </w:tcPr>
                <w:p w14:paraId="61C1814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《合成树脂工业污染物排放标准》(GB31572-2015)表5的大气污染物排放限值标准</w:t>
                  </w:r>
                </w:p>
              </w:tc>
            </w:tr>
            <w:tr w14:paraId="7BE5F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6" w:type="pct"/>
                  <w:vMerge w:val="continue"/>
                  <w:tcBorders>
                    <w:tl2br w:val="nil"/>
                    <w:tr2bl w:val="nil"/>
                  </w:tcBorders>
                  <w:noWrap w:val="0"/>
                  <w:vAlign w:val="center"/>
                </w:tcPr>
                <w:p w14:paraId="3561CFA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702" w:type="pct"/>
                  <w:tcBorders>
                    <w:tl2br w:val="nil"/>
                    <w:tr2bl w:val="nil"/>
                  </w:tcBorders>
                  <w:noWrap w:val="0"/>
                  <w:vAlign w:val="center"/>
                </w:tcPr>
                <w:p w14:paraId="0613832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氯化氢</w:t>
                  </w:r>
                </w:p>
              </w:tc>
              <w:tc>
                <w:tcPr>
                  <w:tcW w:w="691" w:type="pct"/>
                  <w:tcBorders>
                    <w:tl2br w:val="nil"/>
                    <w:tr2bl w:val="nil"/>
                  </w:tcBorders>
                  <w:noWrap w:val="0"/>
                  <w:vAlign w:val="center"/>
                </w:tcPr>
                <w:p w14:paraId="64D10D5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429" w:type="pct"/>
                  <w:vMerge w:val="continue"/>
                  <w:tcBorders>
                    <w:tl2br w:val="nil"/>
                    <w:tr2bl w:val="nil"/>
                  </w:tcBorders>
                  <w:noWrap w:val="0"/>
                  <w:vAlign w:val="center"/>
                </w:tcPr>
                <w:p w14:paraId="1360B20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587" w:type="pct"/>
                  <w:tcBorders>
                    <w:tl2br w:val="nil"/>
                    <w:tr2bl w:val="nil"/>
                  </w:tcBorders>
                  <w:noWrap w:val="0"/>
                  <w:vAlign w:val="center"/>
                </w:tcPr>
                <w:p w14:paraId="1669154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2" w:type="pct"/>
                  <w:vMerge w:val="continue"/>
                  <w:tcBorders>
                    <w:tl2br w:val="nil"/>
                    <w:tr2bl w:val="nil"/>
                  </w:tcBorders>
                  <w:noWrap w:val="0"/>
                  <w:vAlign w:val="center"/>
                </w:tcPr>
                <w:p w14:paraId="303CC7E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c>
                <w:tcPr>
                  <w:tcW w:w="1171" w:type="pct"/>
                  <w:vMerge w:val="continue"/>
                  <w:tcBorders>
                    <w:tl2br w:val="nil"/>
                    <w:tr2bl w:val="nil"/>
                  </w:tcBorders>
                  <w:noWrap w:val="0"/>
                  <w:vAlign w:val="center"/>
                </w:tcPr>
                <w:p w14:paraId="146FF8B5">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r>
            <w:tr w14:paraId="09A73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6" w:type="pct"/>
                  <w:vMerge w:val="continue"/>
                  <w:tcBorders>
                    <w:tl2br w:val="nil"/>
                    <w:tr2bl w:val="nil"/>
                  </w:tcBorders>
                  <w:noWrap w:val="0"/>
                  <w:vAlign w:val="center"/>
                </w:tcPr>
                <w:p w14:paraId="75D31377">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702" w:type="pct"/>
                  <w:tcBorders>
                    <w:tl2br w:val="nil"/>
                    <w:tr2bl w:val="nil"/>
                  </w:tcBorders>
                  <w:noWrap w:val="0"/>
                  <w:vAlign w:val="center"/>
                </w:tcPr>
                <w:p w14:paraId="2E16BC7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甲苯</w:t>
                  </w:r>
                </w:p>
              </w:tc>
              <w:tc>
                <w:tcPr>
                  <w:tcW w:w="691" w:type="pct"/>
                  <w:tcBorders>
                    <w:tl2br w:val="nil"/>
                    <w:tr2bl w:val="nil"/>
                  </w:tcBorders>
                  <w:noWrap w:val="0"/>
                  <w:vAlign w:val="center"/>
                </w:tcPr>
                <w:p w14:paraId="2FC7D82C">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429" w:type="pct"/>
                  <w:vMerge w:val="continue"/>
                  <w:tcBorders>
                    <w:tl2br w:val="nil"/>
                    <w:tr2bl w:val="nil"/>
                  </w:tcBorders>
                  <w:noWrap w:val="0"/>
                  <w:vAlign w:val="center"/>
                </w:tcPr>
                <w:p w14:paraId="6393C7BA">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587" w:type="pct"/>
                  <w:tcBorders>
                    <w:tl2br w:val="nil"/>
                    <w:tr2bl w:val="nil"/>
                  </w:tcBorders>
                  <w:noWrap w:val="0"/>
                  <w:vAlign w:val="center"/>
                </w:tcPr>
                <w:p w14:paraId="621D2F8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w:t>
                  </w:r>
                </w:p>
              </w:tc>
              <w:tc>
                <w:tcPr>
                  <w:tcW w:w="742" w:type="pct"/>
                  <w:vMerge w:val="continue"/>
                  <w:tcBorders>
                    <w:tl2br w:val="nil"/>
                    <w:tr2bl w:val="nil"/>
                  </w:tcBorders>
                  <w:noWrap w:val="0"/>
                  <w:vAlign w:val="center"/>
                </w:tcPr>
                <w:p w14:paraId="0BA63B2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c>
                <w:tcPr>
                  <w:tcW w:w="1171" w:type="pct"/>
                  <w:tcBorders>
                    <w:tl2br w:val="nil"/>
                    <w:tr2bl w:val="nil"/>
                  </w:tcBorders>
                  <w:noWrap w:val="0"/>
                  <w:vAlign w:val="center"/>
                </w:tcPr>
                <w:p w14:paraId="563EF13B">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0"/>
                      <w:sz w:val="21"/>
                      <w:lang w:val="en-US" w:eastAsia="zh-CN"/>
                    </w:rPr>
                    <w:t>《工业企业挥发性有机物排放标准》（DB35/1782-2018）</w:t>
                  </w:r>
                  <w:r>
                    <w:rPr>
                      <w:rFonts w:hint="eastAsia" w:ascii="Times New Roman" w:hAnsi="Times New Roman" w:eastAsia="宋体" w:cs="Times New Roman"/>
                      <w:color w:val="auto"/>
                      <w:spacing w:val="0"/>
                      <w:sz w:val="21"/>
                      <w:lang w:val="en-US" w:eastAsia="zh-CN"/>
                    </w:rPr>
                    <w:t>表1中标准</w:t>
                  </w:r>
                </w:p>
              </w:tc>
            </w:tr>
            <w:tr w14:paraId="02FA3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6" w:type="pct"/>
                  <w:vMerge w:val="continue"/>
                  <w:tcBorders>
                    <w:tl2br w:val="nil"/>
                    <w:tr2bl w:val="nil"/>
                  </w:tcBorders>
                  <w:noWrap w:val="0"/>
                  <w:vAlign w:val="center"/>
                </w:tcPr>
                <w:p w14:paraId="1B36A6F8">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702" w:type="pct"/>
                  <w:tcBorders>
                    <w:tl2br w:val="nil"/>
                    <w:tr2bl w:val="nil"/>
                  </w:tcBorders>
                  <w:noWrap w:val="0"/>
                  <w:vAlign w:val="center"/>
                </w:tcPr>
                <w:p w14:paraId="16A2116E">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苯系物</w:t>
                  </w:r>
                </w:p>
              </w:tc>
              <w:tc>
                <w:tcPr>
                  <w:tcW w:w="691" w:type="pct"/>
                  <w:tcBorders>
                    <w:tl2br w:val="nil"/>
                    <w:tr2bl w:val="nil"/>
                  </w:tcBorders>
                  <w:noWrap w:val="0"/>
                  <w:vAlign w:val="center"/>
                </w:tcPr>
                <w:p w14:paraId="1E86429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429" w:type="pct"/>
                  <w:vMerge w:val="continue"/>
                  <w:tcBorders>
                    <w:tl2br w:val="nil"/>
                    <w:tr2bl w:val="nil"/>
                  </w:tcBorders>
                  <w:noWrap w:val="0"/>
                  <w:vAlign w:val="center"/>
                </w:tcPr>
                <w:p w14:paraId="1FBA1EF9">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587" w:type="pct"/>
                  <w:tcBorders>
                    <w:tl2br w:val="nil"/>
                    <w:tr2bl w:val="nil"/>
                  </w:tcBorders>
                  <w:noWrap w:val="0"/>
                  <w:vAlign w:val="center"/>
                </w:tcPr>
                <w:p w14:paraId="1B6AAEA2">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w:t>
                  </w:r>
                </w:p>
              </w:tc>
              <w:tc>
                <w:tcPr>
                  <w:tcW w:w="742" w:type="pct"/>
                  <w:vMerge w:val="continue"/>
                  <w:tcBorders>
                    <w:tl2br w:val="nil"/>
                    <w:tr2bl w:val="nil"/>
                  </w:tcBorders>
                  <w:noWrap w:val="0"/>
                  <w:vAlign w:val="center"/>
                </w:tcPr>
                <w:p w14:paraId="7DEAAE8F">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p>
              </w:tc>
              <w:tc>
                <w:tcPr>
                  <w:tcW w:w="1171" w:type="pct"/>
                  <w:tcBorders>
                    <w:tl2br w:val="nil"/>
                    <w:tr2bl w:val="nil"/>
                  </w:tcBorders>
                  <w:noWrap w:val="0"/>
                  <w:vAlign w:val="center"/>
                </w:tcPr>
                <w:p w14:paraId="728E83AD">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《工业涂装工序挥发性有机物排放标准》(DB35/1783-2018)中表1涉涂装工序的其它行业标准限值</w:t>
                  </w:r>
                </w:p>
              </w:tc>
            </w:tr>
            <w:tr w14:paraId="72D25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76" w:type="pct"/>
                  <w:vMerge w:val="continue"/>
                  <w:tcBorders>
                    <w:tl2br w:val="nil"/>
                    <w:tr2bl w:val="nil"/>
                  </w:tcBorders>
                  <w:noWrap w:val="0"/>
                  <w:vAlign w:val="center"/>
                </w:tcPr>
                <w:p w14:paraId="6295F813">
                  <w:pPr>
                    <w:pStyle w:val="79"/>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color w:val="auto"/>
                      <w:sz w:val="21"/>
                      <w:szCs w:val="21"/>
                      <w:lang w:val="en-US" w:eastAsia="zh-CN"/>
                    </w:rPr>
                  </w:pPr>
                </w:p>
              </w:tc>
              <w:tc>
                <w:tcPr>
                  <w:tcW w:w="702" w:type="pct"/>
                  <w:tcBorders>
                    <w:tl2br w:val="nil"/>
                    <w:tr2bl w:val="nil"/>
                  </w:tcBorders>
                  <w:noWrap w:val="0"/>
                  <w:vAlign w:val="center"/>
                </w:tcPr>
                <w:p w14:paraId="41D900CB">
                  <w:pPr>
                    <w:pStyle w:val="15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lang w:eastAsia="zh-CN"/>
                    </w:rPr>
                    <w:t>臭气浓度</w:t>
                  </w:r>
                </w:p>
              </w:tc>
              <w:tc>
                <w:tcPr>
                  <w:tcW w:w="691" w:type="pct"/>
                  <w:tcBorders>
                    <w:tl2br w:val="nil"/>
                    <w:tr2bl w:val="nil"/>
                  </w:tcBorders>
                  <w:noWrap w:val="0"/>
                  <w:vAlign w:val="center"/>
                </w:tcPr>
                <w:p w14:paraId="513B5A4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lang w:val="en-US" w:eastAsia="zh-CN"/>
                    </w:rPr>
                    <w:t>6000（无量纲）</w:t>
                  </w:r>
                </w:p>
              </w:tc>
              <w:tc>
                <w:tcPr>
                  <w:tcW w:w="429" w:type="pct"/>
                  <w:vMerge w:val="continue"/>
                  <w:tcBorders>
                    <w:tl2br w:val="nil"/>
                    <w:tr2bl w:val="nil"/>
                  </w:tcBorders>
                  <w:noWrap w:val="0"/>
                  <w:vAlign w:val="center"/>
                </w:tcPr>
                <w:p w14:paraId="1AEAE00F">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587" w:type="pct"/>
                  <w:tcBorders>
                    <w:tl2br w:val="nil"/>
                    <w:tr2bl w:val="nil"/>
                  </w:tcBorders>
                  <w:noWrap w:val="0"/>
                  <w:vAlign w:val="center"/>
                </w:tcPr>
                <w:p w14:paraId="7D7421BC">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sz w:val="21"/>
                      <w:szCs w:val="21"/>
                      <w:lang w:val="en-US" w:eastAsia="zh-CN"/>
                    </w:rPr>
                    <w:t>/</w:t>
                  </w:r>
                </w:p>
              </w:tc>
              <w:tc>
                <w:tcPr>
                  <w:tcW w:w="742" w:type="pct"/>
                  <w:vMerge w:val="continue"/>
                  <w:tcBorders>
                    <w:tl2br w:val="nil"/>
                    <w:tr2bl w:val="nil"/>
                  </w:tcBorders>
                  <w:noWrap w:val="0"/>
                  <w:vAlign w:val="center"/>
                </w:tcPr>
                <w:p w14:paraId="5BC3EABF">
                  <w:pPr>
                    <w:pStyle w:val="2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171" w:type="pct"/>
                  <w:tcBorders>
                    <w:tl2br w:val="nil"/>
                    <w:tr2bl w:val="nil"/>
                  </w:tcBorders>
                  <w:noWrap w:val="0"/>
                  <w:vAlign w:val="center"/>
                </w:tcPr>
                <w:p w14:paraId="58713C80">
                  <w:pPr>
                    <w:pStyle w:val="15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bidi="he-IL"/>
                    </w:rPr>
                    <w:t>《恶臭污染物排放标准》（GB 14554-93）表2</w:t>
                  </w:r>
                </w:p>
              </w:tc>
            </w:tr>
          </w:tbl>
          <w:p w14:paraId="7213071F">
            <w:pPr>
              <w:adjustRightInd w:val="0"/>
              <w:snapToGrid w:val="0"/>
              <w:spacing w:before="240" w:beforeLines="100"/>
              <w:jc w:val="center"/>
              <w:rPr>
                <w:rFonts w:hint="eastAsia" w:eastAsia="黑体"/>
                <w:color w:val="auto"/>
                <w:sz w:val="24"/>
                <w:szCs w:val="22"/>
                <w:vertAlign w:val="superscript"/>
              </w:rPr>
            </w:pPr>
            <w:r>
              <w:rPr>
                <w:rFonts w:hint="eastAsia" w:eastAsia="黑体"/>
                <w:color w:val="auto"/>
                <w:sz w:val="24"/>
                <w:szCs w:val="22"/>
              </w:rPr>
              <w:t>表3-</w:t>
            </w:r>
            <w:r>
              <w:rPr>
                <w:rFonts w:hint="eastAsia" w:eastAsia="黑体"/>
                <w:color w:val="auto"/>
                <w:sz w:val="24"/>
                <w:szCs w:val="22"/>
                <w:lang w:val="en-US" w:eastAsia="zh-CN"/>
              </w:rPr>
              <w:t>10</w:t>
            </w:r>
            <w:r>
              <w:rPr>
                <w:rFonts w:hint="eastAsia" w:eastAsia="黑体"/>
                <w:color w:val="auto"/>
                <w:sz w:val="24"/>
                <w:szCs w:val="22"/>
              </w:rPr>
              <w:t xml:space="preserve">  </w:t>
            </w:r>
            <w:r>
              <w:rPr>
                <w:rFonts w:eastAsia="黑体"/>
                <w:color w:val="auto"/>
                <w:sz w:val="24"/>
                <w:szCs w:val="22"/>
              </w:rPr>
              <w:t>无组织</w:t>
            </w:r>
            <w:r>
              <w:rPr>
                <w:rFonts w:hint="eastAsia" w:eastAsia="黑体"/>
                <w:color w:val="auto"/>
                <w:sz w:val="24"/>
                <w:szCs w:val="22"/>
                <w:lang w:eastAsia="zh-CN"/>
              </w:rPr>
              <w:t>废气</w:t>
            </w:r>
            <w:r>
              <w:rPr>
                <w:rFonts w:eastAsia="黑体"/>
                <w:color w:val="auto"/>
                <w:sz w:val="24"/>
                <w:szCs w:val="22"/>
              </w:rPr>
              <w:t>排放控制要求</w:t>
            </w:r>
            <w:r>
              <w:rPr>
                <w:rFonts w:hint="eastAsia" w:eastAsia="黑体"/>
                <w:color w:val="auto"/>
                <w:sz w:val="24"/>
                <w:szCs w:val="22"/>
              </w:rPr>
              <w:t xml:space="preserve"> 单位：mg/m</w:t>
            </w:r>
            <w:r>
              <w:rPr>
                <w:rFonts w:hint="eastAsia" w:eastAsia="黑体"/>
                <w:color w:val="auto"/>
                <w:sz w:val="24"/>
                <w:szCs w:val="22"/>
                <w:vertAlign w:val="superscript"/>
              </w:rPr>
              <w:t>3</w:t>
            </w:r>
          </w:p>
          <w:tbl>
            <w:tblPr>
              <w:tblStyle w:val="36"/>
              <w:tblW w:w="84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968"/>
              <w:gridCol w:w="1786"/>
              <w:gridCol w:w="1548"/>
              <w:gridCol w:w="3023"/>
            </w:tblGrid>
            <w:tr w14:paraId="34448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54" w:type="dxa"/>
                  <w:vMerge w:val="restart"/>
                  <w:tcBorders>
                    <w:tl2br w:val="nil"/>
                    <w:tr2bl w:val="nil"/>
                  </w:tcBorders>
                  <w:noWrap w:val="0"/>
                  <w:vAlign w:val="center"/>
                </w:tcPr>
                <w:p w14:paraId="2D0B88E1">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污染物</w:t>
                  </w:r>
                </w:p>
              </w:tc>
              <w:tc>
                <w:tcPr>
                  <w:tcW w:w="4302" w:type="dxa"/>
                  <w:gridSpan w:val="3"/>
                  <w:tcBorders>
                    <w:tl2br w:val="nil"/>
                    <w:tr2bl w:val="nil"/>
                  </w:tcBorders>
                  <w:noWrap w:val="0"/>
                  <w:vAlign w:val="center"/>
                </w:tcPr>
                <w:p w14:paraId="26223BA4">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无组织排放监控浓度限值</w:t>
                  </w:r>
                </w:p>
              </w:tc>
              <w:tc>
                <w:tcPr>
                  <w:tcW w:w="3023" w:type="dxa"/>
                  <w:vMerge w:val="restart"/>
                  <w:tcBorders>
                    <w:tl2br w:val="nil"/>
                    <w:tr2bl w:val="nil"/>
                  </w:tcBorders>
                  <w:noWrap w:val="0"/>
                  <w:vAlign w:val="center"/>
                </w:tcPr>
                <w:p w14:paraId="1493D5DB">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标准依据</w:t>
                  </w:r>
                </w:p>
              </w:tc>
            </w:tr>
            <w:tr w14:paraId="15561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tcBorders>
                    <w:tl2br w:val="nil"/>
                    <w:tr2bl w:val="nil"/>
                  </w:tcBorders>
                  <w:noWrap w:val="0"/>
                  <w:vAlign w:val="center"/>
                </w:tcPr>
                <w:p w14:paraId="69C3EFB3">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p>
              </w:tc>
              <w:tc>
                <w:tcPr>
                  <w:tcW w:w="2754" w:type="dxa"/>
                  <w:gridSpan w:val="2"/>
                  <w:tcBorders>
                    <w:tl2br w:val="nil"/>
                    <w:tr2bl w:val="nil"/>
                  </w:tcBorders>
                  <w:noWrap w:val="0"/>
                  <w:vAlign w:val="center"/>
                </w:tcPr>
                <w:p w14:paraId="3520BA75">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eastAsia="宋体" w:cs="Times New Roman"/>
                      <w:b/>
                      <w:bCs/>
                      <w:color w:val="auto"/>
                      <w:spacing w:val="0"/>
                      <w:sz w:val="21"/>
                      <w:highlight w:val="none"/>
                      <w:lang w:val="en-US" w:eastAsia="zh-CN"/>
                    </w:rPr>
                    <w:t>监控点</w:t>
                  </w:r>
                </w:p>
              </w:tc>
              <w:tc>
                <w:tcPr>
                  <w:tcW w:w="1548" w:type="dxa"/>
                  <w:tcBorders>
                    <w:tl2br w:val="nil"/>
                    <w:tr2bl w:val="nil"/>
                  </w:tcBorders>
                  <w:noWrap w:val="0"/>
                  <w:vAlign w:val="center"/>
                </w:tcPr>
                <w:p w14:paraId="28929E46">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b/>
                      <w:bCs/>
                      <w:color w:val="auto"/>
                      <w:spacing w:val="0"/>
                      <w:sz w:val="21"/>
                      <w:highlight w:val="none"/>
                      <w:lang w:val="en-US" w:eastAsia="zh-CN"/>
                    </w:rPr>
                  </w:pPr>
                  <w:r>
                    <w:rPr>
                      <w:rFonts w:hint="default" w:ascii="Times New Roman" w:hAnsi="Times New Roman" w:cs="Times New Roman"/>
                      <w:b/>
                      <w:bCs/>
                      <w:color w:val="auto"/>
                      <w:spacing w:val="0"/>
                      <w:sz w:val="21"/>
                      <w:highlight w:val="none"/>
                    </w:rPr>
                    <w:t>浓度（</w:t>
                  </w:r>
                  <w:r>
                    <w:rPr>
                      <w:rFonts w:hint="default" w:ascii="Times New Roman" w:hAnsi="Times New Roman" w:eastAsia="Times New Roman" w:cs="Times New Roman"/>
                      <w:b/>
                      <w:bCs/>
                      <w:color w:val="auto"/>
                      <w:spacing w:val="0"/>
                      <w:sz w:val="21"/>
                      <w:highlight w:val="none"/>
                    </w:rPr>
                    <w:t>mg/m</w:t>
                  </w:r>
                  <w:r>
                    <w:rPr>
                      <w:rFonts w:hint="default" w:ascii="Times New Roman" w:hAnsi="Times New Roman" w:eastAsia="Times New Roman" w:cs="Times New Roman"/>
                      <w:b/>
                      <w:bCs/>
                      <w:color w:val="auto"/>
                      <w:spacing w:val="0"/>
                      <w:position w:val="7"/>
                      <w:sz w:val="13"/>
                      <w:highlight w:val="none"/>
                    </w:rPr>
                    <w:t>3</w:t>
                  </w:r>
                  <w:r>
                    <w:rPr>
                      <w:rFonts w:hint="default" w:ascii="Times New Roman" w:hAnsi="Times New Roman" w:cs="Times New Roman"/>
                      <w:b/>
                      <w:bCs/>
                      <w:color w:val="auto"/>
                      <w:spacing w:val="0"/>
                      <w:sz w:val="21"/>
                      <w:highlight w:val="none"/>
                    </w:rPr>
                    <w:t>）</w:t>
                  </w:r>
                </w:p>
              </w:tc>
              <w:tc>
                <w:tcPr>
                  <w:tcW w:w="3023" w:type="dxa"/>
                  <w:vMerge w:val="continue"/>
                  <w:tcBorders>
                    <w:tl2br w:val="nil"/>
                    <w:tr2bl w:val="nil"/>
                  </w:tcBorders>
                  <w:noWrap w:val="0"/>
                  <w:vAlign w:val="center"/>
                </w:tcPr>
                <w:p w14:paraId="127AA5CB">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p>
              </w:tc>
            </w:tr>
            <w:tr w14:paraId="024C2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tcBorders>
                    <w:tl2br w:val="nil"/>
                    <w:tr2bl w:val="nil"/>
                  </w:tcBorders>
                  <w:noWrap w:val="0"/>
                  <w:vAlign w:val="center"/>
                </w:tcPr>
                <w:p w14:paraId="7BDB8DE3">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颗粒物</w:t>
                  </w:r>
                </w:p>
              </w:tc>
              <w:tc>
                <w:tcPr>
                  <w:tcW w:w="2754" w:type="dxa"/>
                  <w:gridSpan w:val="2"/>
                  <w:tcBorders>
                    <w:tl2br w:val="nil"/>
                    <w:tr2bl w:val="nil"/>
                  </w:tcBorders>
                  <w:noWrap w:val="0"/>
                  <w:vAlign w:val="center"/>
                </w:tcPr>
                <w:p w14:paraId="66F55B10">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color w:val="auto"/>
                      <w:spacing w:val="-4"/>
                      <w:sz w:val="21"/>
                      <w:szCs w:val="21"/>
                      <w:highlight w:val="none"/>
                    </w:rPr>
                    <w:t>企业边界监控点</w:t>
                  </w:r>
                </w:p>
              </w:tc>
              <w:tc>
                <w:tcPr>
                  <w:tcW w:w="1548" w:type="dxa"/>
                  <w:tcBorders>
                    <w:tl2br w:val="nil"/>
                    <w:tr2bl w:val="nil"/>
                  </w:tcBorders>
                  <w:noWrap w:val="0"/>
                  <w:vAlign w:val="center"/>
                </w:tcPr>
                <w:p w14:paraId="31034855">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1.0</w:t>
                  </w:r>
                </w:p>
              </w:tc>
              <w:tc>
                <w:tcPr>
                  <w:tcW w:w="3023" w:type="dxa"/>
                  <w:tcBorders>
                    <w:tl2br w:val="nil"/>
                    <w:tr2bl w:val="nil"/>
                  </w:tcBorders>
                  <w:noWrap w:val="0"/>
                  <w:vAlign w:val="center"/>
                </w:tcPr>
                <w:p w14:paraId="0CA3A6BA">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《大气污染物综合排放标准》（GB16297-1996）表2</w:t>
                  </w:r>
                </w:p>
              </w:tc>
            </w:tr>
            <w:tr w14:paraId="473D8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54" w:type="dxa"/>
                  <w:tcBorders>
                    <w:tl2br w:val="nil"/>
                    <w:tr2bl w:val="nil"/>
                  </w:tcBorders>
                  <w:noWrap w:val="0"/>
                  <w:vAlign w:val="center"/>
                </w:tcPr>
                <w:p w14:paraId="775BD456">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eastAsia" w:ascii="Times New Roman" w:hAnsi="Times New Roman" w:cs="Times New Roman"/>
                      <w:color w:val="auto"/>
                      <w:spacing w:val="0"/>
                      <w:sz w:val="21"/>
                      <w:lang w:val="en-US" w:eastAsia="zh-CN"/>
                    </w:rPr>
                  </w:pPr>
                  <w:r>
                    <w:rPr>
                      <w:rFonts w:hint="eastAsia" w:ascii="Times New Roman" w:hAnsi="Times New Roman" w:cs="Times New Roman"/>
                      <w:color w:val="auto"/>
                      <w:spacing w:val="0"/>
                      <w:sz w:val="21"/>
                      <w:lang w:val="en-US" w:eastAsia="zh-CN"/>
                    </w:rPr>
                    <w:t>氯化氢</w:t>
                  </w:r>
                </w:p>
              </w:tc>
              <w:tc>
                <w:tcPr>
                  <w:tcW w:w="2754" w:type="dxa"/>
                  <w:gridSpan w:val="2"/>
                  <w:tcBorders>
                    <w:tl2br w:val="nil"/>
                    <w:tr2bl w:val="nil"/>
                  </w:tcBorders>
                  <w:noWrap w:val="0"/>
                  <w:vAlign w:val="center"/>
                </w:tcPr>
                <w:p w14:paraId="6C0155D0">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color w:val="auto"/>
                      <w:spacing w:val="-4"/>
                      <w:sz w:val="21"/>
                      <w:szCs w:val="21"/>
                      <w:highlight w:val="none"/>
                    </w:rPr>
                  </w:pPr>
                  <w:r>
                    <w:rPr>
                      <w:rFonts w:ascii="Times New Roman" w:hAnsi="Times New Roman"/>
                      <w:color w:val="auto"/>
                      <w:spacing w:val="-4"/>
                      <w:sz w:val="21"/>
                      <w:szCs w:val="21"/>
                      <w:highlight w:val="none"/>
                    </w:rPr>
                    <w:t>企业边界监控点</w:t>
                  </w:r>
                </w:p>
              </w:tc>
              <w:tc>
                <w:tcPr>
                  <w:tcW w:w="1548" w:type="dxa"/>
                  <w:tcBorders>
                    <w:tl2br w:val="nil"/>
                    <w:tr2bl w:val="nil"/>
                  </w:tcBorders>
                  <w:noWrap w:val="0"/>
                  <w:vAlign w:val="center"/>
                </w:tcPr>
                <w:p w14:paraId="32B55CE7">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eastAsia" w:ascii="Times New Roman" w:hAnsi="Times New Roman" w:cs="Times New Roman"/>
                      <w:color w:val="auto"/>
                      <w:spacing w:val="0"/>
                      <w:sz w:val="21"/>
                      <w:highlight w:val="none"/>
                      <w:lang w:val="en-US" w:eastAsia="zh-CN"/>
                    </w:rPr>
                  </w:pPr>
                  <w:r>
                    <w:rPr>
                      <w:rFonts w:hint="eastAsia" w:ascii="Times New Roman" w:hAnsi="Times New Roman" w:cs="Times New Roman"/>
                      <w:color w:val="auto"/>
                      <w:spacing w:val="0"/>
                      <w:sz w:val="21"/>
                      <w:lang w:val="en-US" w:eastAsia="zh-CN"/>
                    </w:rPr>
                    <w:t>0.2</w:t>
                  </w:r>
                </w:p>
              </w:tc>
              <w:tc>
                <w:tcPr>
                  <w:tcW w:w="3023" w:type="dxa"/>
                  <w:vMerge w:val="restart"/>
                  <w:tcBorders>
                    <w:tl2br w:val="nil"/>
                    <w:tr2bl w:val="nil"/>
                  </w:tcBorders>
                  <w:noWrap w:val="0"/>
                  <w:vAlign w:val="center"/>
                </w:tcPr>
                <w:p w14:paraId="160BA13F">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《合成树脂工业污染物排放标准》(GB31572-2015)表9企业边界大气污染物浓度限值</w:t>
                  </w:r>
                </w:p>
              </w:tc>
            </w:tr>
            <w:tr w14:paraId="57B3B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tcBorders>
                    <w:tl2br w:val="nil"/>
                    <w:tr2bl w:val="nil"/>
                  </w:tcBorders>
                  <w:noWrap w:val="0"/>
                  <w:vAlign w:val="center"/>
                </w:tcPr>
                <w:p w14:paraId="28E43856">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pacing w:val="0"/>
                      <w:sz w:val="21"/>
                      <w:highlight w:val="none"/>
                      <w:lang w:val="en-US" w:eastAsia="zh-CN"/>
                    </w:rPr>
                    <w:t>非甲烷总烃</w:t>
                  </w:r>
                </w:p>
              </w:tc>
              <w:tc>
                <w:tcPr>
                  <w:tcW w:w="2754" w:type="dxa"/>
                  <w:gridSpan w:val="2"/>
                  <w:tcBorders>
                    <w:tl2br w:val="nil"/>
                    <w:tr2bl w:val="nil"/>
                  </w:tcBorders>
                  <w:noWrap w:val="0"/>
                  <w:vAlign w:val="center"/>
                </w:tcPr>
                <w:p w14:paraId="5164A662">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color w:val="auto"/>
                      <w:spacing w:val="-4"/>
                      <w:sz w:val="21"/>
                      <w:szCs w:val="21"/>
                      <w:highlight w:val="none"/>
                    </w:rPr>
                    <w:t>企业边界监控点</w:t>
                  </w:r>
                </w:p>
              </w:tc>
              <w:tc>
                <w:tcPr>
                  <w:tcW w:w="1548" w:type="dxa"/>
                  <w:tcBorders>
                    <w:tl2br w:val="nil"/>
                    <w:tr2bl w:val="nil"/>
                  </w:tcBorders>
                  <w:noWrap w:val="0"/>
                  <w:vAlign w:val="center"/>
                </w:tcPr>
                <w:p w14:paraId="3527E93A">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s="Times New Roman"/>
                      <w:color w:val="auto"/>
                      <w:spacing w:val="0"/>
                      <w:sz w:val="21"/>
                      <w:highlight w:val="none"/>
                      <w:lang w:val="en-US" w:eastAsia="zh-CN"/>
                    </w:rPr>
                    <w:t>4.0</w:t>
                  </w:r>
                </w:p>
              </w:tc>
              <w:tc>
                <w:tcPr>
                  <w:tcW w:w="3023" w:type="dxa"/>
                  <w:vMerge w:val="continue"/>
                  <w:tcBorders>
                    <w:tl2br w:val="nil"/>
                    <w:tr2bl w:val="nil"/>
                  </w:tcBorders>
                  <w:noWrap w:val="0"/>
                  <w:vAlign w:val="center"/>
                </w:tcPr>
                <w:p w14:paraId="3FED32DC">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p>
              </w:tc>
            </w:tr>
            <w:tr w14:paraId="41F5F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54" w:type="dxa"/>
                  <w:vMerge w:val="continue"/>
                  <w:tcBorders>
                    <w:tl2br w:val="nil"/>
                    <w:tr2bl w:val="nil"/>
                  </w:tcBorders>
                  <w:noWrap w:val="0"/>
                  <w:vAlign w:val="center"/>
                </w:tcPr>
                <w:p w14:paraId="17485CC1">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Times New Roman"/>
                      <w:color w:val="auto"/>
                      <w:spacing w:val="0"/>
                      <w:sz w:val="21"/>
                      <w:highlight w:val="none"/>
                      <w:lang w:val="en-US" w:eastAsia="zh-CN"/>
                    </w:rPr>
                  </w:pPr>
                </w:p>
              </w:tc>
              <w:tc>
                <w:tcPr>
                  <w:tcW w:w="968" w:type="dxa"/>
                  <w:vMerge w:val="restart"/>
                  <w:tcBorders>
                    <w:tl2br w:val="nil"/>
                    <w:tr2bl w:val="nil"/>
                  </w:tcBorders>
                  <w:noWrap w:val="0"/>
                  <w:vAlign w:val="center"/>
                </w:tcPr>
                <w:p w14:paraId="7EEC1442">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eastAsia="宋体" w:cs="宋体"/>
                      <w:color w:val="auto"/>
                      <w:spacing w:val="-7"/>
                      <w:sz w:val="21"/>
                      <w:szCs w:val="21"/>
                      <w:highlight w:val="none"/>
                    </w:rPr>
                    <w:t>在厂房外设置监控点</w:t>
                  </w:r>
                </w:p>
              </w:tc>
              <w:tc>
                <w:tcPr>
                  <w:tcW w:w="1786" w:type="dxa"/>
                  <w:tcBorders>
                    <w:tl2br w:val="nil"/>
                    <w:tr2bl w:val="nil"/>
                  </w:tcBorders>
                  <w:noWrap w:val="0"/>
                  <w:vAlign w:val="center"/>
                </w:tcPr>
                <w:p w14:paraId="05EAF165">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厂区内监</w:t>
                  </w:r>
                  <w:r>
                    <w:rPr>
                      <w:rFonts w:ascii="Times New Roman" w:hAnsi="Times New Roman"/>
                      <w:color w:val="auto"/>
                      <w:spacing w:val="-4"/>
                      <w:sz w:val="21"/>
                      <w:szCs w:val="21"/>
                      <w:highlight w:val="none"/>
                    </w:rPr>
                    <w:t>控</w:t>
                  </w:r>
                  <w:r>
                    <w:rPr>
                      <w:rFonts w:hint="eastAsia" w:ascii="Times New Roman" w:hAnsi="Times New Roman"/>
                      <w:color w:val="auto"/>
                      <w:spacing w:val="0"/>
                      <w:sz w:val="21"/>
                      <w:szCs w:val="21"/>
                      <w:highlight w:val="none"/>
                      <w:lang w:val="en-US" w:eastAsia="zh-CN"/>
                    </w:rPr>
                    <w:t>点1h平均浓度</w:t>
                  </w:r>
                </w:p>
              </w:tc>
              <w:tc>
                <w:tcPr>
                  <w:tcW w:w="1548" w:type="dxa"/>
                  <w:tcBorders>
                    <w:tl2br w:val="nil"/>
                    <w:tr2bl w:val="nil"/>
                  </w:tcBorders>
                  <w:noWrap w:val="0"/>
                  <w:vAlign w:val="center"/>
                </w:tcPr>
                <w:p w14:paraId="5F2D3158">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6.0</w:t>
                  </w:r>
                </w:p>
              </w:tc>
              <w:tc>
                <w:tcPr>
                  <w:tcW w:w="3023" w:type="dxa"/>
                  <w:vMerge w:val="restart"/>
                  <w:tcBorders>
                    <w:tl2br w:val="nil"/>
                    <w:tr2bl w:val="nil"/>
                  </w:tcBorders>
                  <w:noWrap w:val="0"/>
                  <w:vAlign w:val="center"/>
                </w:tcPr>
                <w:p w14:paraId="397FA15D">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default" w:ascii="Times New Roman" w:hAnsi="Times New Roman" w:eastAsia="宋体" w:cs="Times New Roman"/>
                      <w:color w:val="auto"/>
                      <w:sz w:val="21"/>
                      <w:szCs w:val="21"/>
                      <w:highlight w:val="none"/>
                      <w:u w:val="none"/>
                      <w:lang w:val="en-US" w:eastAsia="zh-CN" w:bidi="he-IL"/>
                    </w:rPr>
                    <w:t>《挥发性有机物无组织排放控制标准》（GB 37822</w:t>
                  </w:r>
                  <w:r>
                    <w:rPr>
                      <w:rFonts w:hint="eastAsia" w:ascii="Times New Roman" w:hAnsi="Times New Roman"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u w:val="none"/>
                      <w:lang w:val="en-US" w:eastAsia="zh-CN" w:bidi="he-IL"/>
                    </w:rPr>
                    <w:t>2019）表A.1特别排放</w:t>
                  </w:r>
                </w:p>
              </w:tc>
            </w:tr>
            <w:tr w14:paraId="0AD59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54" w:type="dxa"/>
                  <w:vMerge w:val="continue"/>
                  <w:tcBorders>
                    <w:tl2br w:val="nil"/>
                    <w:tr2bl w:val="nil"/>
                  </w:tcBorders>
                  <w:noWrap w:val="0"/>
                  <w:vAlign w:val="center"/>
                </w:tcPr>
                <w:p w14:paraId="70DCEA97">
                  <w:pPr>
                    <w:pStyle w:val="89"/>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color w:val="auto"/>
                      <w:highlight w:val="none"/>
                    </w:rPr>
                  </w:pPr>
                </w:p>
              </w:tc>
              <w:tc>
                <w:tcPr>
                  <w:tcW w:w="968" w:type="dxa"/>
                  <w:vMerge w:val="continue"/>
                  <w:tcBorders>
                    <w:tl2br w:val="nil"/>
                    <w:tr2bl w:val="nil"/>
                  </w:tcBorders>
                  <w:noWrap w:val="0"/>
                  <w:vAlign w:val="center"/>
                </w:tcPr>
                <w:p w14:paraId="5CB43AE6">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color w:val="auto"/>
                      <w:highlight w:val="none"/>
                    </w:rPr>
                  </w:pPr>
                </w:p>
              </w:tc>
              <w:tc>
                <w:tcPr>
                  <w:tcW w:w="1786" w:type="dxa"/>
                  <w:tcBorders>
                    <w:tl2br w:val="nil"/>
                    <w:tr2bl w:val="nil"/>
                  </w:tcBorders>
                  <w:noWrap w:val="0"/>
                  <w:vAlign w:val="center"/>
                </w:tcPr>
                <w:p w14:paraId="71C5F43F">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ascii="Times New Roman" w:hAnsi="Times New Roman" w:eastAsia="宋体" w:cs="宋体"/>
                      <w:color w:val="auto"/>
                      <w:spacing w:val="-7"/>
                      <w:sz w:val="21"/>
                      <w:szCs w:val="21"/>
                      <w:highlight w:val="none"/>
                    </w:rPr>
                    <w:t>监控点处任意一次浓度值</w:t>
                  </w:r>
                </w:p>
              </w:tc>
              <w:tc>
                <w:tcPr>
                  <w:tcW w:w="1548" w:type="dxa"/>
                  <w:tcBorders>
                    <w:tl2br w:val="nil"/>
                    <w:tr2bl w:val="nil"/>
                  </w:tcBorders>
                  <w:noWrap w:val="0"/>
                  <w:vAlign w:val="center"/>
                </w:tcPr>
                <w:p w14:paraId="61D6272D">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r>
                    <w:rPr>
                      <w:rFonts w:hint="eastAsia" w:ascii="Times New Roman" w:hAnsi="Times New Roman"/>
                      <w:color w:val="auto"/>
                      <w:spacing w:val="0"/>
                      <w:sz w:val="21"/>
                      <w:szCs w:val="21"/>
                      <w:highlight w:val="none"/>
                      <w:lang w:val="en-US" w:eastAsia="zh-CN"/>
                    </w:rPr>
                    <w:t>20</w:t>
                  </w:r>
                </w:p>
              </w:tc>
              <w:tc>
                <w:tcPr>
                  <w:tcW w:w="3023" w:type="dxa"/>
                  <w:vMerge w:val="continue"/>
                  <w:tcBorders>
                    <w:tl2br w:val="nil"/>
                    <w:tr2bl w:val="nil"/>
                  </w:tcBorders>
                  <w:noWrap w:val="0"/>
                  <w:vAlign w:val="center"/>
                </w:tcPr>
                <w:p w14:paraId="1B900DF3">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highlight w:val="none"/>
                      <w:lang w:val="en-US" w:eastAsia="zh-CN"/>
                    </w:rPr>
                  </w:pPr>
                </w:p>
              </w:tc>
            </w:tr>
            <w:tr w14:paraId="1798D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54" w:type="dxa"/>
                  <w:tcBorders>
                    <w:tl2br w:val="nil"/>
                    <w:tr2bl w:val="nil"/>
                  </w:tcBorders>
                  <w:noWrap w:val="0"/>
                  <w:vAlign w:val="center"/>
                </w:tcPr>
                <w:p w14:paraId="05C1F197">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color w:val="auto"/>
                      <w:highlight w:val="none"/>
                    </w:rPr>
                  </w:pPr>
                  <w:r>
                    <w:rPr>
                      <w:rFonts w:hint="default" w:ascii="Times New Roman" w:hAnsi="Times New Roman" w:eastAsia="宋体" w:cs="Times New Roman"/>
                      <w:color w:val="auto"/>
                      <w:spacing w:val="0"/>
                      <w:sz w:val="21"/>
                      <w:lang w:val="en-US" w:eastAsia="zh-CN"/>
                    </w:rPr>
                    <w:t>臭气浓度</w:t>
                  </w:r>
                </w:p>
              </w:tc>
              <w:tc>
                <w:tcPr>
                  <w:tcW w:w="2754" w:type="dxa"/>
                  <w:gridSpan w:val="2"/>
                  <w:tcBorders>
                    <w:tl2br w:val="nil"/>
                    <w:tr2bl w:val="nil"/>
                  </w:tcBorders>
                  <w:noWrap w:val="0"/>
                  <w:vAlign w:val="center"/>
                </w:tcPr>
                <w:p w14:paraId="6A9F7636">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eastAsia="宋体" w:cs="宋体"/>
                      <w:color w:val="auto"/>
                      <w:spacing w:val="-7"/>
                      <w:sz w:val="21"/>
                      <w:szCs w:val="21"/>
                      <w:highlight w:val="none"/>
                    </w:rPr>
                  </w:pPr>
                  <w:r>
                    <w:rPr>
                      <w:rFonts w:hint="default" w:ascii="Times New Roman" w:hAnsi="Times New Roman" w:eastAsia="宋体" w:cs="Times New Roman"/>
                      <w:color w:val="auto"/>
                      <w:spacing w:val="0"/>
                      <w:sz w:val="21"/>
                      <w:lang w:val="en-US" w:eastAsia="zh-CN"/>
                    </w:rPr>
                    <w:t>厂界</w:t>
                  </w:r>
                </w:p>
              </w:tc>
              <w:tc>
                <w:tcPr>
                  <w:tcW w:w="1548" w:type="dxa"/>
                  <w:tcBorders>
                    <w:tl2br w:val="nil"/>
                    <w:tr2bl w:val="nil"/>
                  </w:tcBorders>
                  <w:noWrap w:val="0"/>
                  <w:vAlign w:val="center"/>
                </w:tcPr>
                <w:p w14:paraId="0129C329">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lang w:val="en-US" w:eastAsia="zh-CN"/>
                    </w:rPr>
                    <w:t>20（无量纲）</w:t>
                  </w:r>
                </w:p>
              </w:tc>
              <w:tc>
                <w:tcPr>
                  <w:tcW w:w="3023" w:type="dxa"/>
                  <w:tcBorders>
                    <w:tl2br w:val="nil"/>
                    <w:tr2bl w:val="nil"/>
                  </w:tcBorders>
                  <w:noWrap w:val="0"/>
                  <w:vAlign w:val="center"/>
                </w:tcPr>
                <w:p w14:paraId="52A84457">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1"/>
                      <w:szCs w:val="21"/>
                      <w:highlight w:val="none"/>
                      <w:u w:val="none"/>
                      <w:lang w:val="en-US" w:eastAsia="zh-CN" w:bidi="he-IL"/>
                    </w:rPr>
                  </w:pPr>
                  <w:r>
                    <w:rPr>
                      <w:rFonts w:hint="default" w:ascii="Times New Roman" w:hAnsi="Times New Roman" w:eastAsia="宋体" w:cs="Times New Roman"/>
                      <w:color w:val="auto"/>
                      <w:spacing w:val="0"/>
                      <w:sz w:val="21"/>
                      <w:lang w:val="en-US" w:eastAsia="zh-CN"/>
                    </w:rPr>
                    <w:t>《恶臭污染物排放标准》(GB14554-93)表1</w:t>
                  </w:r>
                </w:p>
              </w:tc>
            </w:tr>
            <w:tr w14:paraId="4BD73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54" w:type="dxa"/>
                  <w:tcBorders>
                    <w:tl2br w:val="nil"/>
                    <w:tr2bl w:val="nil"/>
                  </w:tcBorders>
                  <w:noWrap w:val="0"/>
                  <w:vAlign w:val="center"/>
                </w:tcPr>
                <w:p w14:paraId="4E103FBE">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hint="eastAsia" w:ascii="Times New Roman" w:hAnsi="Times New Roman" w:cs="Times New Roman"/>
                      <w:color w:val="auto"/>
                      <w:spacing w:val="0"/>
                      <w:sz w:val="21"/>
                      <w:lang w:val="en-US" w:eastAsia="zh-CN"/>
                    </w:rPr>
                    <w:t>甲苯</w:t>
                  </w:r>
                </w:p>
              </w:tc>
              <w:tc>
                <w:tcPr>
                  <w:tcW w:w="2754" w:type="dxa"/>
                  <w:gridSpan w:val="2"/>
                  <w:tcBorders>
                    <w:tl2br w:val="nil"/>
                    <w:tr2bl w:val="nil"/>
                  </w:tcBorders>
                  <w:noWrap w:val="0"/>
                  <w:vAlign w:val="center"/>
                </w:tcPr>
                <w:p w14:paraId="3043F211">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ascii="Times New Roman" w:hAnsi="Times New Roman"/>
                      <w:color w:val="auto"/>
                      <w:spacing w:val="-4"/>
                      <w:sz w:val="21"/>
                      <w:szCs w:val="21"/>
                      <w:highlight w:val="none"/>
                    </w:rPr>
                    <w:t>企业边界监控点</w:t>
                  </w:r>
                </w:p>
              </w:tc>
              <w:tc>
                <w:tcPr>
                  <w:tcW w:w="1548" w:type="dxa"/>
                  <w:tcBorders>
                    <w:tl2br w:val="nil"/>
                    <w:tr2bl w:val="nil"/>
                  </w:tcBorders>
                  <w:noWrap w:val="0"/>
                  <w:vAlign w:val="center"/>
                </w:tcPr>
                <w:p w14:paraId="48738758">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hint="eastAsia" w:ascii="Times New Roman" w:hAnsi="Times New Roman" w:cs="Times New Roman"/>
                      <w:color w:val="auto"/>
                      <w:spacing w:val="0"/>
                      <w:sz w:val="21"/>
                      <w:lang w:val="en-US" w:eastAsia="zh-CN"/>
                    </w:rPr>
                    <w:t>0.6</w:t>
                  </w:r>
                </w:p>
              </w:tc>
              <w:tc>
                <w:tcPr>
                  <w:tcW w:w="3023" w:type="dxa"/>
                  <w:tcBorders>
                    <w:tl2br w:val="nil"/>
                    <w:tr2bl w:val="nil"/>
                  </w:tcBorders>
                  <w:noWrap w:val="0"/>
                  <w:vAlign w:val="center"/>
                </w:tcPr>
                <w:p w14:paraId="25645C0C">
                  <w:pPr>
                    <w:pStyle w:val="89"/>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sz w:val="21"/>
                      <w:lang w:val="en-US" w:eastAsia="zh-CN"/>
                    </w:rPr>
                  </w:pPr>
                  <w:r>
                    <w:rPr>
                      <w:rFonts w:hint="default" w:ascii="Times New Roman" w:hAnsi="Times New Roman" w:eastAsia="宋体" w:cs="Times New Roman"/>
                      <w:color w:val="auto"/>
                      <w:spacing w:val="0"/>
                      <w:sz w:val="21"/>
                      <w:lang w:val="en-US" w:eastAsia="zh-CN"/>
                    </w:rPr>
                    <w:t>《工业企业挥发性有机物排放标准》（DB35/1782-2018）表3企业边界监控点浓度限值</w:t>
                  </w:r>
                </w:p>
              </w:tc>
            </w:tr>
          </w:tbl>
          <w:p w14:paraId="05F0CF8C">
            <w:pPr>
              <w:pStyle w:val="4"/>
              <w:bidi w:val="0"/>
              <w:rPr>
                <w:color w:val="auto"/>
              </w:rPr>
            </w:pPr>
            <w:r>
              <w:rPr>
                <w:color w:val="auto"/>
              </w:rPr>
              <w:t>3.</w:t>
            </w:r>
            <w:r>
              <w:rPr>
                <w:rFonts w:hint="eastAsia"/>
                <w:color w:val="auto"/>
              </w:rPr>
              <w:t>7</w:t>
            </w:r>
            <w:r>
              <w:rPr>
                <w:color w:val="auto"/>
              </w:rPr>
              <w:t>.3厂界噪声</w:t>
            </w:r>
          </w:p>
          <w:p w14:paraId="5D049193">
            <w:pPr>
              <w:spacing w:line="360" w:lineRule="auto"/>
              <w:ind w:firstLine="480" w:firstLineChars="200"/>
              <w:rPr>
                <w:color w:val="auto"/>
                <w:sz w:val="24"/>
              </w:rPr>
            </w:pPr>
            <w:r>
              <w:rPr>
                <w:rFonts w:hint="eastAsia"/>
                <w:color w:val="auto"/>
                <w:sz w:val="24"/>
              </w:rPr>
              <w:t>项目运营期夜间不生产，</w:t>
            </w:r>
            <w:r>
              <w:rPr>
                <w:rFonts w:hint="eastAsia"/>
                <w:color w:val="auto"/>
                <w:sz w:val="24"/>
                <w:lang w:eastAsia="zh-CN"/>
              </w:rPr>
              <w:t>昼间</w:t>
            </w:r>
            <w:r>
              <w:rPr>
                <w:color w:val="auto"/>
                <w:sz w:val="24"/>
              </w:rPr>
              <w:t>厂界噪声执行《工业企业厂界环境噪声排放标准》(GB12348-2008)中</w:t>
            </w:r>
            <w:r>
              <w:rPr>
                <w:rFonts w:hint="eastAsia"/>
                <w:color w:val="auto"/>
                <w:sz w:val="24"/>
                <w:lang w:val="en-US" w:eastAsia="zh-CN"/>
              </w:rPr>
              <w:t>3</w:t>
            </w:r>
            <w:r>
              <w:rPr>
                <w:color w:val="auto"/>
                <w:sz w:val="24"/>
              </w:rPr>
              <w:t>类。</w:t>
            </w:r>
          </w:p>
          <w:p w14:paraId="0FB48430">
            <w:pPr>
              <w:spacing w:before="120" w:beforeLines="50"/>
              <w:jc w:val="center"/>
              <w:rPr>
                <w:rFonts w:eastAsia="黑体"/>
                <w:color w:val="auto"/>
                <w:sz w:val="24"/>
              </w:rPr>
            </w:pPr>
          </w:p>
          <w:p w14:paraId="7CF8784C">
            <w:pPr>
              <w:spacing w:before="120" w:beforeLines="50"/>
              <w:jc w:val="center"/>
              <w:rPr>
                <w:rFonts w:eastAsia="黑体"/>
                <w:color w:val="auto"/>
                <w:sz w:val="24"/>
              </w:rPr>
            </w:pPr>
          </w:p>
          <w:p w14:paraId="00A3E726">
            <w:pPr>
              <w:spacing w:before="120" w:beforeLines="50"/>
              <w:jc w:val="center"/>
              <w:rPr>
                <w:rFonts w:eastAsia="黑体"/>
                <w:color w:val="auto"/>
                <w:sz w:val="24"/>
              </w:rPr>
            </w:pPr>
            <w:r>
              <w:rPr>
                <w:rFonts w:eastAsia="黑体"/>
                <w:color w:val="auto"/>
                <w:sz w:val="24"/>
              </w:rPr>
              <w:t>表</w:t>
            </w:r>
            <w:r>
              <w:rPr>
                <w:rFonts w:hint="eastAsia" w:eastAsia="黑体"/>
                <w:color w:val="auto"/>
                <w:sz w:val="24"/>
              </w:rPr>
              <w:t>3-</w:t>
            </w:r>
            <w:r>
              <w:rPr>
                <w:rFonts w:hint="eastAsia" w:eastAsia="黑体"/>
                <w:color w:val="auto"/>
                <w:sz w:val="24"/>
                <w:lang w:val="en-US" w:eastAsia="zh-CN"/>
              </w:rPr>
              <w:t>11</w:t>
            </w:r>
            <w:r>
              <w:rPr>
                <w:rFonts w:hint="eastAsia" w:eastAsia="黑体"/>
                <w:color w:val="auto"/>
                <w:sz w:val="24"/>
              </w:rPr>
              <w:t xml:space="preserve"> </w:t>
            </w:r>
            <w:r>
              <w:rPr>
                <w:rFonts w:eastAsia="黑体"/>
                <w:color w:val="auto"/>
                <w:sz w:val="24"/>
              </w:rPr>
              <w:t>《工业企业厂界环境噪声排放标准》(GB12348-2008)表1(摘录)</w:t>
            </w:r>
          </w:p>
          <w:tbl>
            <w:tblPr>
              <w:tblStyle w:val="35"/>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471"/>
              <w:gridCol w:w="1275"/>
              <w:gridCol w:w="1866"/>
            </w:tblGrid>
            <w:tr w14:paraId="0AB22A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6" w:type="pct"/>
                  <w:tcBorders>
                    <w:tl2br w:val="single" w:color="auto" w:sz="2" w:space="0"/>
                  </w:tcBorders>
                  <w:noWrap w:val="0"/>
                  <w:vAlign w:val="center"/>
                </w:tcPr>
                <w:p w14:paraId="5CE14501">
                  <w:pPr>
                    <w:snapToGrid w:val="0"/>
                    <w:jc w:val="right"/>
                    <w:rPr>
                      <w:b/>
                      <w:bCs/>
                      <w:snapToGrid w:val="0"/>
                      <w:color w:val="auto"/>
                      <w:kern w:val="18"/>
                      <w:szCs w:val="21"/>
                    </w:rPr>
                  </w:pPr>
                  <w:r>
                    <w:rPr>
                      <w:b/>
                      <w:bCs/>
                      <w:snapToGrid w:val="0"/>
                      <w:color w:val="auto"/>
                      <w:kern w:val="18"/>
                      <w:szCs w:val="21"/>
                    </w:rPr>
                    <w:t xml:space="preserve">          时 段</w:t>
                  </w:r>
                </w:p>
                <w:p w14:paraId="7B7F9252">
                  <w:pPr>
                    <w:snapToGrid w:val="0"/>
                    <w:rPr>
                      <w:b/>
                      <w:bCs/>
                      <w:snapToGrid w:val="0"/>
                      <w:color w:val="auto"/>
                      <w:kern w:val="18"/>
                      <w:szCs w:val="21"/>
                    </w:rPr>
                  </w:pPr>
                  <w:r>
                    <w:rPr>
                      <w:b/>
                      <w:bCs/>
                      <w:snapToGrid w:val="0"/>
                      <w:color w:val="auto"/>
                      <w:kern w:val="18"/>
                      <w:szCs w:val="21"/>
                    </w:rPr>
                    <w:t>厂界外声环境功能区类别</w:t>
                  </w:r>
                </w:p>
              </w:tc>
              <w:tc>
                <w:tcPr>
                  <w:tcW w:w="740" w:type="pct"/>
                  <w:tcBorders>
                    <w:right w:val="single" w:color="auto" w:sz="4" w:space="0"/>
                  </w:tcBorders>
                  <w:noWrap w:val="0"/>
                  <w:vAlign w:val="center"/>
                </w:tcPr>
                <w:p w14:paraId="3344C413">
                  <w:pPr>
                    <w:snapToGrid w:val="0"/>
                    <w:jc w:val="center"/>
                    <w:rPr>
                      <w:b/>
                      <w:bCs/>
                      <w:snapToGrid w:val="0"/>
                      <w:color w:val="auto"/>
                      <w:kern w:val="18"/>
                      <w:szCs w:val="21"/>
                    </w:rPr>
                  </w:pPr>
                  <w:r>
                    <w:rPr>
                      <w:b/>
                      <w:bCs/>
                      <w:snapToGrid w:val="0"/>
                      <w:color w:val="auto"/>
                      <w:kern w:val="18"/>
                      <w:szCs w:val="21"/>
                    </w:rPr>
                    <w:t>昼 间</w:t>
                  </w:r>
                </w:p>
              </w:tc>
              <w:tc>
                <w:tcPr>
                  <w:tcW w:w="1083" w:type="pct"/>
                  <w:noWrap w:val="0"/>
                  <w:vAlign w:val="center"/>
                </w:tcPr>
                <w:p w14:paraId="54120D9B">
                  <w:pPr>
                    <w:snapToGrid w:val="0"/>
                    <w:jc w:val="center"/>
                    <w:rPr>
                      <w:b/>
                      <w:bCs/>
                      <w:snapToGrid w:val="0"/>
                      <w:color w:val="auto"/>
                      <w:kern w:val="18"/>
                      <w:szCs w:val="21"/>
                    </w:rPr>
                  </w:pPr>
                  <w:r>
                    <w:rPr>
                      <w:b/>
                      <w:bCs/>
                      <w:snapToGrid w:val="0"/>
                      <w:color w:val="auto"/>
                      <w:kern w:val="18"/>
                      <w:szCs w:val="21"/>
                    </w:rPr>
                    <w:t>单 位</w:t>
                  </w:r>
                </w:p>
              </w:tc>
            </w:tr>
            <w:tr w14:paraId="3EC670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6" w:type="pct"/>
                  <w:noWrap w:val="0"/>
                  <w:vAlign w:val="center"/>
                </w:tcPr>
                <w:p w14:paraId="02B8159D">
                  <w:pPr>
                    <w:snapToGrid w:val="0"/>
                    <w:jc w:val="center"/>
                    <w:rPr>
                      <w:snapToGrid w:val="0"/>
                      <w:color w:val="auto"/>
                      <w:kern w:val="18"/>
                      <w:szCs w:val="21"/>
                    </w:rPr>
                  </w:pPr>
                  <w:r>
                    <w:rPr>
                      <w:rFonts w:hint="eastAsia"/>
                      <w:snapToGrid w:val="0"/>
                      <w:color w:val="auto"/>
                      <w:kern w:val="18"/>
                      <w:szCs w:val="21"/>
                      <w:lang w:val="en-US" w:eastAsia="zh-CN"/>
                    </w:rPr>
                    <w:t>3</w:t>
                  </w:r>
                  <w:r>
                    <w:rPr>
                      <w:snapToGrid w:val="0"/>
                      <w:color w:val="auto"/>
                      <w:kern w:val="18"/>
                      <w:szCs w:val="21"/>
                    </w:rPr>
                    <w:t>类</w:t>
                  </w:r>
                </w:p>
              </w:tc>
              <w:tc>
                <w:tcPr>
                  <w:tcW w:w="740" w:type="pct"/>
                  <w:tcBorders>
                    <w:right w:val="single" w:color="auto" w:sz="4" w:space="0"/>
                  </w:tcBorders>
                  <w:noWrap w:val="0"/>
                  <w:vAlign w:val="center"/>
                </w:tcPr>
                <w:p w14:paraId="32C5DDAA">
                  <w:pPr>
                    <w:snapToGrid w:val="0"/>
                    <w:jc w:val="center"/>
                    <w:rPr>
                      <w:rFonts w:hint="eastAsia" w:eastAsia="宋体"/>
                      <w:snapToGrid w:val="0"/>
                      <w:color w:val="auto"/>
                      <w:kern w:val="18"/>
                      <w:szCs w:val="21"/>
                      <w:lang w:eastAsia="zh-CN"/>
                    </w:rPr>
                  </w:pPr>
                  <w:r>
                    <w:rPr>
                      <w:snapToGrid w:val="0"/>
                      <w:color w:val="auto"/>
                      <w:kern w:val="18"/>
                      <w:szCs w:val="21"/>
                    </w:rPr>
                    <w:t>≤6</w:t>
                  </w:r>
                  <w:r>
                    <w:rPr>
                      <w:rFonts w:hint="eastAsia"/>
                      <w:snapToGrid w:val="0"/>
                      <w:color w:val="auto"/>
                      <w:kern w:val="18"/>
                      <w:szCs w:val="21"/>
                      <w:lang w:val="en-US" w:eastAsia="zh-CN"/>
                    </w:rPr>
                    <w:t>5</w:t>
                  </w:r>
                </w:p>
              </w:tc>
              <w:tc>
                <w:tcPr>
                  <w:tcW w:w="1083" w:type="pct"/>
                  <w:noWrap w:val="0"/>
                  <w:vAlign w:val="center"/>
                </w:tcPr>
                <w:p w14:paraId="6753BFD7">
                  <w:pPr>
                    <w:snapToGrid w:val="0"/>
                    <w:jc w:val="center"/>
                    <w:rPr>
                      <w:snapToGrid w:val="0"/>
                      <w:color w:val="auto"/>
                      <w:kern w:val="18"/>
                      <w:szCs w:val="21"/>
                    </w:rPr>
                  </w:pPr>
                  <w:r>
                    <w:rPr>
                      <w:snapToGrid w:val="0"/>
                      <w:color w:val="auto"/>
                      <w:kern w:val="18"/>
                      <w:szCs w:val="21"/>
                    </w:rPr>
                    <w:t>dB(A)</w:t>
                  </w:r>
                </w:p>
              </w:tc>
            </w:tr>
          </w:tbl>
          <w:p w14:paraId="198BE8B0">
            <w:pPr>
              <w:pStyle w:val="4"/>
              <w:bidi w:val="0"/>
              <w:rPr>
                <w:color w:val="auto"/>
              </w:rPr>
            </w:pPr>
            <w:r>
              <w:rPr>
                <w:color w:val="auto"/>
              </w:rPr>
              <w:t>3.</w:t>
            </w:r>
            <w:r>
              <w:rPr>
                <w:rFonts w:hint="eastAsia"/>
                <w:color w:val="auto"/>
              </w:rPr>
              <w:t>7</w:t>
            </w:r>
            <w:r>
              <w:rPr>
                <w:color w:val="auto"/>
              </w:rPr>
              <w:t>.4 固体废物</w:t>
            </w:r>
          </w:p>
          <w:p w14:paraId="6A5C64CF">
            <w:pPr>
              <w:pStyle w:val="85"/>
              <w:ind w:firstLine="480"/>
              <w:jc w:val="both"/>
              <w:rPr>
                <w:rFonts w:ascii="Times New Roman" w:hAnsi="Times New Roman"/>
                <w:color w:val="auto"/>
                <w:szCs w:val="21"/>
              </w:rPr>
            </w:pPr>
            <w:r>
              <w:rPr>
                <w:rFonts w:ascii="Times New Roman" w:hAnsi="Times New Roman"/>
                <w:color w:val="auto"/>
                <w:sz w:val="24"/>
                <w:szCs w:val="24"/>
              </w:rPr>
              <w:t>运营期项目产生的一般工业固废</w:t>
            </w:r>
            <w:r>
              <w:rPr>
                <w:rFonts w:hint="eastAsia" w:ascii="Times New Roman" w:hAnsi="Times New Roman"/>
                <w:color w:val="auto"/>
                <w:sz w:val="24"/>
                <w:szCs w:val="24"/>
              </w:rPr>
              <w:t>贮存</w:t>
            </w:r>
            <w:r>
              <w:rPr>
                <w:rFonts w:ascii="Times New Roman" w:hAnsi="Times New Roman"/>
                <w:color w:val="auto"/>
                <w:sz w:val="24"/>
                <w:szCs w:val="24"/>
              </w:rPr>
              <w:t>应按照</w:t>
            </w:r>
            <w:r>
              <w:rPr>
                <w:rFonts w:hint="eastAsia" w:ascii="Times New Roman" w:hAnsi="Times New Roman"/>
                <w:color w:val="auto"/>
                <w:sz w:val="24"/>
                <w:szCs w:val="24"/>
              </w:rPr>
              <w:t>《一般工业固体废物贮存和填埋污染控制标准》(GB18599-2020)要求</w:t>
            </w:r>
            <w:r>
              <w:rPr>
                <w:rFonts w:ascii="Times New Roman" w:hAnsi="Times New Roman"/>
                <w:color w:val="auto"/>
                <w:sz w:val="24"/>
                <w:szCs w:val="24"/>
              </w:rPr>
              <w:t>进行</w:t>
            </w:r>
            <w:r>
              <w:rPr>
                <w:rFonts w:hint="eastAsia" w:ascii="Times New Roman" w:hAnsi="Times New Roman"/>
                <w:color w:val="auto"/>
                <w:sz w:val="24"/>
                <w:szCs w:val="24"/>
              </w:rPr>
              <w:t>；</w:t>
            </w:r>
            <w:r>
              <w:rPr>
                <w:rFonts w:ascii="Times New Roman" w:hAnsi="Times New Roman"/>
                <w:color w:val="auto"/>
                <w:sz w:val="24"/>
                <w:szCs w:val="24"/>
              </w:rPr>
              <w:t>项目产生的危险废物</w:t>
            </w:r>
            <w:r>
              <w:rPr>
                <w:rFonts w:hint="eastAsia" w:ascii="Times New Roman" w:hAnsi="Times New Roman"/>
                <w:color w:val="auto"/>
                <w:sz w:val="24"/>
                <w:szCs w:val="24"/>
              </w:rPr>
              <w:t>贮存</w:t>
            </w:r>
            <w:r>
              <w:rPr>
                <w:rFonts w:ascii="Times New Roman" w:hAnsi="Times New Roman"/>
                <w:color w:val="auto"/>
                <w:sz w:val="24"/>
                <w:szCs w:val="24"/>
              </w:rPr>
              <w:t>应按照</w:t>
            </w:r>
            <w:r>
              <w:rPr>
                <w:rFonts w:hint="eastAsia" w:ascii="Times New Roman" w:hAnsi="Times New Roman"/>
                <w:color w:val="auto"/>
                <w:sz w:val="24"/>
                <w:szCs w:val="24"/>
              </w:rPr>
              <w:t>《危险废物贮存污染控制标准》(GB18597-2023)要求</w:t>
            </w:r>
            <w:r>
              <w:rPr>
                <w:rFonts w:ascii="Times New Roman" w:hAnsi="Times New Roman"/>
                <w:color w:val="auto"/>
                <w:sz w:val="24"/>
                <w:szCs w:val="24"/>
              </w:rPr>
              <w:t>进行</w:t>
            </w:r>
            <w:r>
              <w:rPr>
                <w:rFonts w:hint="eastAsia" w:ascii="Times New Roman" w:hAnsi="Times New Roman"/>
                <w:color w:val="auto"/>
                <w:sz w:val="24"/>
                <w:szCs w:val="24"/>
              </w:rPr>
              <w:t>，危险废物识别标志按照《危险废物识别标志设置技术规范》(HJ 1276-2022)要求进行</w:t>
            </w:r>
            <w:r>
              <w:rPr>
                <w:rFonts w:ascii="Times New Roman" w:hAnsi="Times New Roman"/>
                <w:color w:val="auto"/>
                <w:sz w:val="24"/>
                <w:szCs w:val="24"/>
              </w:rPr>
              <w:t>设置</w:t>
            </w:r>
            <w:r>
              <w:rPr>
                <w:rFonts w:hint="eastAsia" w:ascii="Times New Roman" w:hAnsi="Times New Roman"/>
                <w:color w:val="auto"/>
                <w:sz w:val="24"/>
                <w:szCs w:val="24"/>
              </w:rPr>
              <w:t>，危险废物转移按照《危险废物转移管理办法》要求进行；</w:t>
            </w:r>
            <w:r>
              <w:rPr>
                <w:rFonts w:ascii="Times New Roman" w:hAnsi="Times New Roman"/>
                <w:color w:val="auto"/>
                <w:sz w:val="24"/>
                <w:szCs w:val="24"/>
              </w:rPr>
              <w:t>项目生活垃圾参照《城市环境卫生设施规划规范》(GB50337-2018)中的要求进行综合利用和处置。</w:t>
            </w:r>
          </w:p>
        </w:tc>
      </w:tr>
      <w:tr w14:paraId="3D68F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05488CCB">
            <w:pPr>
              <w:adjustRightInd w:val="0"/>
              <w:snapToGrid w:val="0"/>
              <w:jc w:val="center"/>
              <w:rPr>
                <w:color w:val="auto"/>
                <w:kern w:val="0"/>
                <w:szCs w:val="21"/>
              </w:rPr>
            </w:pPr>
            <w:r>
              <w:rPr>
                <w:color w:val="auto"/>
                <w:kern w:val="0"/>
                <w:szCs w:val="21"/>
              </w:rPr>
              <w:t>总量</w:t>
            </w:r>
          </w:p>
          <w:p w14:paraId="405DDB5F">
            <w:pPr>
              <w:adjustRightInd w:val="0"/>
              <w:snapToGrid w:val="0"/>
              <w:jc w:val="center"/>
              <w:rPr>
                <w:color w:val="auto"/>
                <w:kern w:val="0"/>
                <w:szCs w:val="21"/>
              </w:rPr>
            </w:pPr>
            <w:r>
              <w:rPr>
                <w:color w:val="auto"/>
                <w:kern w:val="0"/>
                <w:szCs w:val="21"/>
              </w:rPr>
              <w:t>控制</w:t>
            </w:r>
          </w:p>
          <w:p w14:paraId="285089F9">
            <w:pPr>
              <w:adjustRightInd w:val="0"/>
              <w:snapToGrid w:val="0"/>
              <w:jc w:val="center"/>
              <w:rPr>
                <w:color w:val="auto"/>
                <w:kern w:val="0"/>
                <w:szCs w:val="21"/>
              </w:rPr>
            </w:pPr>
            <w:r>
              <w:rPr>
                <w:color w:val="auto"/>
                <w:kern w:val="0"/>
                <w:szCs w:val="21"/>
              </w:rPr>
              <w:t>指标</w:t>
            </w:r>
          </w:p>
        </w:tc>
        <w:tc>
          <w:tcPr>
            <w:tcW w:w="8378" w:type="dxa"/>
            <w:noWrap w:val="0"/>
            <w:vAlign w:val="center"/>
          </w:tcPr>
          <w:p w14:paraId="2BCB2D3D">
            <w:pPr>
              <w:adjustRightInd w:val="0"/>
              <w:snapToGrid w:val="0"/>
              <w:spacing w:before="120" w:beforeLines="50" w:line="360" w:lineRule="auto"/>
              <w:rPr>
                <w:b/>
                <w:bCs/>
                <w:color w:val="auto"/>
                <w:sz w:val="24"/>
              </w:rPr>
            </w:pPr>
            <w:r>
              <w:rPr>
                <w:rFonts w:hint="eastAsia"/>
                <w:b/>
                <w:bCs/>
                <w:color w:val="auto"/>
                <w:sz w:val="24"/>
              </w:rPr>
              <w:t>3.8.1 总量控制指标确认</w:t>
            </w:r>
          </w:p>
          <w:p w14:paraId="4327A19F">
            <w:pPr>
              <w:pStyle w:val="25"/>
              <w:adjustRightInd w:val="0"/>
              <w:snapToGrid w:val="0"/>
              <w:spacing w:after="0" w:line="360" w:lineRule="auto"/>
              <w:ind w:left="0" w:leftChars="0" w:firstLine="480"/>
              <w:rPr>
                <w:rFonts w:hint="eastAsia" w:cs="Times New Roman"/>
                <w:color w:val="auto"/>
                <w:lang w:val="en-US" w:eastAsia="zh-CN"/>
              </w:rPr>
            </w:pPr>
            <w:r>
              <w:rPr>
                <w:rFonts w:cs="Times New Roman"/>
                <w:color w:val="auto"/>
                <w:lang w:val="en-GB" w:eastAsia="zh-CN"/>
              </w:rPr>
              <w:t>根据《福建省建设项目主要污染物排放总量指标管理办法(试行)的通知》(闽环发[2014]13号)、《福建省关于全面实施排污权有偿使用和交易工作的意见》(政2016号54号)</w:t>
            </w:r>
            <w:r>
              <w:rPr>
                <w:rFonts w:hint="eastAsia" w:cs="Times New Roman"/>
                <w:color w:val="auto"/>
                <w:lang w:val="en-US" w:eastAsia="zh-CN"/>
              </w:rPr>
              <w:t>等文件要求，</w:t>
            </w:r>
            <w:r>
              <w:rPr>
                <w:rFonts w:cs="Times New Roman"/>
                <w:color w:val="auto"/>
                <w:lang w:val="en-GB" w:eastAsia="zh-CN"/>
              </w:rPr>
              <w:t>现阶段</w:t>
            </w:r>
            <w:r>
              <w:rPr>
                <w:rFonts w:hint="eastAsia" w:cs="Times New Roman"/>
                <w:color w:val="auto"/>
                <w:lang w:val="en-US" w:eastAsia="zh-CN"/>
              </w:rPr>
              <w:t>福建省主要污染物排放总量指标为COD、NH</w:t>
            </w:r>
            <w:r>
              <w:rPr>
                <w:rFonts w:hint="eastAsia" w:cs="Times New Roman"/>
                <w:color w:val="auto"/>
                <w:vertAlign w:val="subscript"/>
                <w:lang w:val="en-US" w:eastAsia="zh-CN"/>
              </w:rPr>
              <w:t>3</w:t>
            </w:r>
            <w:r>
              <w:rPr>
                <w:rFonts w:hint="eastAsia" w:cs="Times New Roman"/>
                <w:color w:val="auto"/>
                <w:lang w:val="en-US" w:eastAsia="zh-CN"/>
              </w:rPr>
              <w:t>-N、SO</w:t>
            </w:r>
            <w:r>
              <w:rPr>
                <w:rFonts w:hint="eastAsia" w:cs="Times New Roman"/>
                <w:color w:val="auto"/>
                <w:vertAlign w:val="subscript"/>
                <w:lang w:val="en-US" w:eastAsia="zh-CN"/>
              </w:rPr>
              <w:t>2</w:t>
            </w:r>
            <w:r>
              <w:rPr>
                <w:rFonts w:hint="eastAsia" w:cs="Times New Roman"/>
                <w:color w:val="auto"/>
                <w:lang w:val="en-US" w:eastAsia="zh-CN"/>
              </w:rPr>
              <w:t>、NOx。同时根据《福建省大气污染防治条例》，结合《福州市生态环境局关于印发福州市大气污染联防控联治工作方案的通知》(榕环保综[2018]386号)等文件要求，VOCs指标也属于总量控制指标。</w:t>
            </w:r>
          </w:p>
          <w:p w14:paraId="0AF62ACA">
            <w:pPr>
              <w:pStyle w:val="25"/>
              <w:adjustRightInd w:val="0"/>
              <w:snapToGrid w:val="0"/>
              <w:spacing w:after="0" w:line="360" w:lineRule="auto"/>
              <w:ind w:left="0" w:leftChars="0" w:firstLine="0" w:firstLineChars="0"/>
              <w:rPr>
                <w:rFonts w:cs="Times New Roman"/>
                <w:b/>
                <w:bCs/>
                <w:color w:val="auto"/>
                <w:lang w:val="en-US" w:eastAsia="zh-CN"/>
              </w:rPr>
            </w:pPr>
            <w:r>
              <w:rPr>
                <w:rFonts w:hint="eastAsia" w:cs="Times New Roman"/>
                <w:b/>
                <w:bCs/>
                <w:color w:val="auto"/>
                <w:lang w:val="en-US" w:eastAsia="zh-CN"/>
              </w:rPr>
              <w:t>3.8.2 废水主要污染物排放总量</w:t>
            </w:r>
          </w:p>
          <w:p w14:paraId="654730AA">
            <w:pPr>
              <w:spacing w:line="360" w:lineRule="auto"/>
              <w:ind w:firstLine="480" w:firstLineChars="200"/>
              <w:rPr>
                <w:rFonts w:hint="eastAsia"/>
                <w:color w:val="auto"/>
                <w:sz w:val="24"/>
                <w:lang w:eastAsia="zh-CN"/>
              </w:rPr>
            </w:pPr>
            <w:r>
              <w:rPr>
                <w:rFonts w:hint="eastAsia" w:ascii="Times New Roman" w:hAnsi="Times New Roman" w:eastAsia="宋体" w:cs="Times New Roman"/>
                <w:color w:val="auto"/>
                <w:sz w:val="24"/>
                <w:szCs w:val="24"/>
                <w:lang w:val="en-US" w:eastAsia="zh-CN"/>
              </w:rPr>
              <w:t>本</w:t>
            </w:r>
            <w:r>
              <w:rPr>
                <w:rFonts w:hint="eastAsia" w:cs="Times New Roman"/>
                <w:color w:val="auto"/>
                <w:sz w:val="24"/>
                <w:szCs w:val="24"/>
                <w:lang w:val="en-US" w:eastAsia="zh-CN"/>
              </w:rPr>
              <w:t>次扩建</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无生产废水排放</w:t>
            </w:r>
            <w:r>
              <w:rPr>
                <w:rFonts w:hint="eastAsia"/>
                <w:color w:val="auto"/>
                <w:sz w:val="24"/>
                <w:lang w:val="en-US" w:eastAsia="zh-CN"/>
              </w:rPr>
              <w:t>；</w:t>
            </w:r>
            <w:r>
              <w:rPr>
                <w:rFonts w:hint="eastAsia"/>
                <w:color w:val="auto"/>
                <w:sz w:val="24"/>
              </w:rPr>
              <w:t>生活污水经化粪池预处理达标后排入市政污水管网，纳入</w:t>
            </w:r>
            <w:r>
              <w:rPr>
                <w:rFonts w:hint="eastAsia"/>
                <w:color w:val="auto"/>
                <w:sz w:val="24"/>
                <w:lang w:eastAsia="zh-CN"/>
              </w:rPr>
              <w:t>福清市融元污水处理厂</w:t>
            </w:r>
            <w:r>
              <w:rPr>
                <w:rFonts w:hint="eastAsia"/>
                <w:color w:val="auto"/>
                <w:sz w:val="24"/>
              </w:rPr>
              <w:t>集中处理。根据《福建省环保厅关于进一步明确排污权工作有关问题的通知》（闽环保财〔2017〕22号），现有工业排污单位的水污染物的初始排污权只核定工业废水部分，因此项目生活污水排放暂不需要购买相应的排污权指标</w:t>
            </w:r>
            <w:r>
              <w:rPr>
                <w:rFonts w:hint="eastAsia"/>
                <w:color w:val="auto"/>
                <w:sz w:val="24"/>
                <w:lang w:eastAsia="zh-CN"/>
              </w:rPr>
              <w:t>。</w:t>
            </w:r>
          </w:p>
          <w:p w14:paraId="225C4EF8">
            <w:pPr>
              <w:pStyle w:val="25"/>
              <w:adjustRightInd w:val="0"/>
              <w:snapToGrid w:val="0"/>
              <w:spacing w:after="0" w:line="360" w:lineRule="auto"/>
              <w:ind w:left="0" w:leftChars="0" w:firstLine="0" w:firstLineChars="0"/>
              <w:rPr>
                <w:rFonts w:cs="Times New Roman"/>
                <w:b/>
                <w:bCs/>
                <w:color w:val="auto"/>
                <w:highlight w:val="none"/>
                <w:lang w:val="en-US" w:eastAsia="zh-CN"/>
              </w:rPr>
            </w:pPr>
            <w:r>
              <w:rPr>
                <w:rFonts w:hint="eastAsia" w:cs="Times New Roman"/>
                <w:b/>
                <w:bCs/>
                <w:color w:val="auto"/>
                <w:highlight w:val="none"/>
                <w:lang w:val="en-US" w:eastAsia="zh-CN"/>
              </w:rPr>
              <w:t>3.8.3 废气主要污染物排放总量</w:t>
            </w:r>
          </w:p>
          <w:p w14:paraId="31542052">
            <w:pPr>
              <w:pStyle w:val="25"/>
              <w:adjustRightInd w:val="0"/>
              <w:snapToGrid w:val="0"/>
              <w:spacing w:after="0" w:line="360" w:lineRule="auto"/>
              <w:ind w:left="0" w:leftChars="0" w:firstLine="480"/>
              <w:rPr>
                <w:rFonts w:hint="eastAsia" w:cs="Times New Roman"/>
                <w:color w:val="auto"/>
                <w:szCs w:val="24"/>
                <w:highlight w:val="none"/>
                <w:lang w:val="en-US" w:eastAsia="zh-CN"/>
              </w:rPr>
            </w:pPr>
            <w:r>
              <w:rPr>
                <w:rFonts w:hint="default"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rPr>
              <w:t>废气总量控制指标为VOCs</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以NMHC计</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废气污染物排放总量</w:t>
            </w:r>
            <w:r>
              <w:rPr>
                <w:rFonts w:cs="Times New Roman"/>
                <w:color w:val="auto"/>
                <w:szCs w:val="24"/>
                <w:highlight w:val="none"/>
                <w:lang w:val="en-US" w:eastAsia="zh-CN"/>
              </w:rPr>
              <w:t>下表</w:t>
            </w:r>
            <w:r>
              <w:rPr>
                <w:rFonts w:hint="eastAsia" w:cs="Times New Roman"/>
                <w:color w:val="auto"/>
                <w:szCs w:val="24"/>
                <w:highlight w:val="none"/>
                <w:lang w:val="en-US" w:eastAsia="zh-CN"/>
              </w:rPr>
              <w:t>3-12。</w:t>
            </w:r>
          </w:p>
          <w:p w14:paraId="6C1F2B2E">
            <w:pPr>
              <w:spacing w:before="120" w:beforeLines="50"/>
              <w:jc w:val="center"/>
              <w:rPr>
                <w:rFonts w:eastAsia="黑体"/>
                <w:color w:val="auto"/>
                <w:sz w:val="24"/>
                <w:highlight w:val="none"/>
              </w:rPr>
            </w:pPr>
          </w:p>
          <w:p w14:paraId="1906C1A1">
            <w:pPr>
              <w:spacing w:before="120" w:beforeLines="50"/>
              <w:jc w:val="center"/>
              <w:rPr>
                <w:rFonts w:eastAsia="黑体"/>
                <w:color w:val="auto"/>
                <w:sz w:val="24"/>
                <w:highlight w:val="none"/>
              </w:rPr>
            </w:pPr>
          </w:p>
          <w:p w14:paraId="3EDF910D">
            <w:pPr>
              <w:spacing w:before="120" w:beforeLines="50"/>
              <w:jc w:val="center"/>
              <w:rPr>
                <w:rFonts w:eastAsia="黑体"/>
                <w:color w:val="auto"/>
                <w:sz w:val="24"/>
                <w:highlight w:val="none"/>
              </w:rPr>
            </w:pPr>
          </w:p>
          <w:p w14:paraId="3058D64C">
            <w:pPr>
              <w:spacing w:before="120" w:beforeLines="50"/>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rPr>
              <w:t>3-1</w:t>
            </w:r>
            <w:r>
              <w:rPr>
                <w:rFonts w:hint="eastAsia" w:eastAsia="黑体"/>
                <w:color w:val="auto"/>
                <w:sz w:val="24"/>
                <w:highlight w:val="none"/>
                <w:lang w:val="en-US" w:eastAsia="zh-CN"/>
              </w:rPr>
              <w:t xml:space="preserve">2 </w:t>
            </w:r>
            <w:r>
              <w:rPr>
                <w:rFonts w:hint="eastAsia" w:eastAsia="黑体"/>
                <w:color w:val="auto"/>
                <w:sz w:val="24"/>
                <w:highlight w:val="none"/>
              </w:rPr>
              <w:t xml:space="preserve"> </w:t>
            </w:r>
            <w:r>
              <w:rPr>
                <w:rFonts w:eastAsia="黑体"/>
                <w:color w:val="auto"/>
                <w:sz w:val="24"/>
                <w:highlight w:val="none"/>
              </w:rPr>
              <w:t>项目废气污染物排放总量指标一览表</w:t>
            </w:r>
          </w:p>
          <w:tbl>
            <w:tblPr>
              <w:tblStyle w:val="3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28"/>
              <w:gridCol w:w="1904"/>
              <w:gridCol w:w="1951"/>
              <w:gridCol w:w="1770"/>
              <w:gridCol w:w="1658"/>
            </w:tblGrid>
            <w:tr w14:paraId="0AD721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771" w:type="pct"/>
                  <w:noWrap w:val="0"/>
                  <w:vAlign w:val="center"/>
                </w:tcPr>
                <w:p w14:paraId="07FCF12A">
                  <w:pPr>
                    <w:adjustRightInd w:val="0"/>
                    <w:snapToGrid w:val="0"/>
                    <w:spacing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105" w:type="pct"/>
                  <w:noWrap w:val="0"/>
                  <w:vAlign w:val="center"/>
                </w:tcPr>
                <w:p w14:paraId="04F816A8">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现有工程</w:t>
                  </w:r>
                  <w:r>
                    <w:rPr>
                      <w:rFonts w:hint="eastAsia" w:cs="Times New Roman"/>
                      <w:b w:val="0"/>
                      <w:bCs w:val="0"/>
                      <w:color w:val="auto"/>
                      <w:sz w:val="21"/>
                      <w:szCs w:val="21"/>
                      <w:highlight w:val="none"/>
                      <w:lang w:val="en-US" w:eastAsia="zh-CN"/>
                    </w:rPr>
                    <w:t>验收</w:t>
                  </w:r>
                  <w:r>
                    <w:rPr>
                      <w:rFonts w:hint="eastAsia" w:ascii="Times New Roman" w:hAnsi="Times New Roman" w:cs="Times New Roman"/>
                      <w:b w:val="0"/>
                      <w:bCs w:val="0"/>
                      <w:color w:val="auto"/>
                      <w:sz w:val="21"/>
                      <w:szCs w:val="21"/>
                      <w:highlight w:val="none"/>
                      <w:lang w:val="en-US" w:eastAsia="zh-CN"/>
                    </w:rPr>
                    <w:t>排放量</w:t>
                  </w:r>
                </w:p>
              </w:tc>
              <w:tc>
                <w:tcPr>
                  <w:tcW w:w="1132" w:type="pct"/>
                  <w:noWrap w:val="0"/>
                  <w:vAlign w:val="center"/>
                </w:tcPr>
                <w:p w14:paraId="5F669F5B">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原环评核定排放量</w:t>
                  </w:r>
                </w:p>
              </w:tc>
              <w:tc>
                <w:tcPr>
                  <w:tcW w:w="1027" w:type="pct"/>
                  <w:noWrap w:val="0"/>
                  <w:vAlign w:val="center"/>
                </w:tcPr>
                <w:p w14:paraId="289A4B0E">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eastAsia="宋体" w:cs="Times New Roman"/>
                      <w:color w:val="auto"/>
                      <w:sz w:val="21"/>
                      <w:szCs w:val="21"/>
                      <w:highlight w:val="none"/>
                    </w:rPr>
                  </w:pPr>
                  <w:r>
                    <w:rPr>
                      <w:rFonts w:hint="eastAsia" w:cs="Times New Roman"/>
                      <w:b w:val="0"/>
                      <w:bCs w:val="0"/>
                      <w:color w:val="auto"/>
                      <w:sz w:val="21"/>
                      <w:szCs w:val="21"/>
                      <w:highlight w:val="none"/>
                      <w:lang w:val="en-US" w:eastAsia="zh-CN"/>
                    </w:rPr>
                    <w:t>扩建项目</w:t>
                  </w:r>
                  <w:r>
                    <w:rPr>
                      <w:rFonts w:hint="eastAsia" w:ascii="Times New Roman" w:hAnsi="Times New Roman" w:cs="Times New Roman"/>
                      <w:b w:val="0"/>
                      <w:bCs w:val="0"/>
                      <w:color w:val="auto"/>
                      <w:sz w:val="21"/>
                      <w:szCs w:val="21"/>
                      <w:highlight w:val="none"/>
                      <w:lang w:val="en-US" w:eastAsia="zh-CN"/>
                    </w:rPr>
                    <w:t>排放量</w:t>
                  </w:r>
                </w:p>
              </w:tc>
              <w:tc>
                <w:tcPr>
                  <w:tcW w:w="962" w:type="pct"/>
                  <w:noWrap w:val="0"/>
                  <w:vAlign w:val="center"/>
                </w:tcPr>
                <w:p w14:paraId="05664B95">
                  <w:pPr>
                    <w:keepNext w:val="0"/>
                    <w:keepLines w:val="0"/>
                    <w:pageBreakBefore w:val="0"/>
                    <w:widowControl w:val="0"/>
                    <w:kinsoku/>
                    <w:wordWrap/>
                    <w:overflowPunct/>
                    <w:topLinePunct w:val="0"/>
                    <w:autoSpaceDE/>
                    <w:autoSpaceDN/>
                    <w:bidi w:val="0"/>
                    <w:adjustRightInd w:val="0"/>
                    <w:snapToGrid w:val="0"/>
                    <w:spacing w:afterLines="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全厂控制总量</w:t>
                  </w:r>
                </w:p>
              </w:tc>
            </w:tr>
            <w:tr w14:paraId="4237F6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71" w:type="pct"/>
                  <w:noWrap w:val="0"/>
                  <w:vAlign w:val="center"/>
                </w:tcPr>
                <w:p w14:paraId="5A4BDC70">
                  <w:pPr>
                    <w:keepNext w:val="0"/>
                    <w:keepLines w:val="0"/>
                    <w:pageBreakBefore w:val="0"/>
                    <w:kinsoku/>
                    <w:wordWrap/>
                    <w:overflowPunct/>
                    <w:topLinePunct w:val="0"/>
                    <w:bidi w:val="0"/>
                    <w:adjustRightInd w:val="0"/>
                    <w:snapToGrid w:val="0"/>
                    <w:spacing w:afterLines="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VOCs</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eastAsia="zh-CN"/>
                    </w:rPr>
                    <w:t>）</w:t>
                  </w:r>
                </w:p>
              </w:tc>
              <w:tc>
                <w:tcPr>
                  <w:tcW w:w="1105" w:type="pct"/>
                  <w:noWrap w:val="0"/>
                  <w:vAlign w:val="center"/>
                </w:tcPr>
                <w:p w14:paraId="3CC9C04A">
                  <w:pPr>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0.0588</w:t>
                  </w:r>
                </w:p>
              </w:tc>
              <w:tc>
                <w:tcPr>
                  <w:tcW w:w="1132" w:type="pct"/>
                  <w:noWrap w:val="0"/>
                  <w:vAlign w:val="center"/>
                </w:tcPr>
                <w:p w14:paraId="2552FE7E">
                  <w:pPr>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1027" w:type="pct"/>
                  <w:noWrap w:val="0"/>
                  <w:vAlign w:val="center"/>
                </w:tcPr>
                <w:p w14:paraId="5D28A863">
                  <w:pPr>
                    <w:pStyle w:val="100"/>
                    <w:keepNext w:val="0"/>
                    <w:keepLines w:val="0"/>
                    <w:pageBreakBefore w:val="0"/>
                    <w:kinsoku/>
                    <w:wordWrap/>
                    <w:overflowPunct/>
                    <w:topLinePunct w:val="0"/>
                    <w:bidi w:val="0"/>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0.78</w:t>
                  </w:r>
                  <w:r>
                    <w:rPr>
                      <w:rFonts w:hint="eastAsia" w:cs="Times New Roman"/>
                      <w:color w:val="auto"/>
                      <w:sz w:val="21"/>
                      <w:szCs w:val="21"/>
                      <w:highlight w:val="none"/>
                      <w:lang w:val="en-US" w:eastAsia="zh-CN"/>
                    </w:rPr>
                    <w:t>6</w:t>
                  </w:r>
                </w:p>
              </w:tc>
              <w:tc>
                <w:tcPr>
                  <w:tcW w:w="962" w:type="pct"/>
                  <w:noWrap w:val="0"/>
                  <w:vAlign w:val="center"/>
                </w:tcPr>
                <w:p w14:paraId="0C36DF86">
                  <w:pPr>
                    <w:adjustRightInd w:val="0"/>
                    <w:snapToGrid w:val="0"/>
                    <w:spacing w:afterLines="0"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0.856</w:t>
                  </w:r>
                </w:p>
              </w:tc>
            </w:tr>
          </w:tbl>
          <w:p w14:paraId="09082D82">
            <w:pPr>
              <w:pStyle w:val="25"/>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480" w:firstLineChars="200"/>
              <w:jc w:val="both"/>
              <w:textAlignment w:val="auto"/>
              <w:outlineLvl w:val="9"/>
              <w:rPr>
                <w:rFonts w:hint="eastAsia" w:cs="Times New Roman"/>
                <w:color w:val="auto"/>
                <w:sz w:val="24"/>
                <w:highlight w:val="yellow"/>
                <w:lang w:eastAsia="zh-CN"/>
              </w:rPr>
            </w:pPr>
            <w:r>
              <w:rPr>
                <w:rFonts w:hint="eastAsia" w:cs="Times New Roman"/>
                <w:color w:val="auto"/>
                <w:sz w:val="24"/>
                <w:highlight w:val="none"/>
                <w:lang w:eastAsia="zh-CN"/>
              </w:rPr>
              <w:t>由于企业原环评</w:t>
            </w:r>
            <w:r>
              <w:rPr>
                <w:rFonts w:hint="eastAsia" w:cs="Times New Roman"/>
                <w:color w:val="auto"/>
                <w:sz w:val="24"/>
                <w:highlight w:val="none"/>
                <w:lang w:val="en-US" w:eastAsia="zh-CN"/>
              </w:rPr>
              <w:t>VOCs总量≤0.007t/a，根据福建省生态环境厅关于印发《进一步优化环境影响评价管理 更好服务高质量发展的若干措施》的通知(闽环规〔2024〕2号)：在严格执行各项污染防治措施的基础上，对于挥发性有机污染物新增年排放量小于0.1吨的建设项目，无需提交总量来源说明。</w:t>
            </w:r>
          </w:p>
          <w:p w14:paraId="3B36AD90">
            <w:pPr>
              <w:pStyle w:val="25"/>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vertAlign w:val="baseline"/>
                <w:lang w:val="en-US" w:eastAsia="zh-CN"/>
              </w:rPr>
            </w:pPr>
            <w:r>
              <w:rPr>
                <w:rFonts w:hint="eastAsia" w:cs="Times New Roman"/>
                <w:color w:val="auto"/>
                <w:sz w:val="24"/>
                <w:highlight w:val="none"/>
                <w:lang w:val="en-US" w:eastAsia="zh-CN"/>
              </w:rPr>
              <w:t>本次</w:t>
            </w:r>
            <w:r>
              <w:rPr>
                <w:rFonts w:hint="eastAsia" w:cs="Times New Roman"/>
                <w:color w:val="auto"/>
                <w:sz w:val="24"/>
                <w:highlight w:val="none"/>
                <w:lang w:eastAsia="zh-CN"/>
              </w:rPr>
              <w:t>扩建项目新增VOCs（以非甲烷总烃计）排放量为</w:t>
            </w:r>
            <w:r>
              <w:rPr>
                <w:rFonts w:hint="eastAsia" w:cs="Times New Roman"/>
                <w:color w:val="auto"/>
                <w:sz w:val="24"/>
                <w:highlight w:val="none"/>
                <w:lang w:val="en-US" w:eastAsia="zh-CN"/>
              </w:rPr>
              <w:t>0.786</w:t>
            </w:r>
            <w:r>
              <w:rPr>
                <w:rFonts w:hint="eastAsia" w:cs="Times New Roman"/>
                <w:color w:val="auto"/>
                <w:sz w:val="24"/>
                <w:highlight w:val="none"/>
                <w:lang w:eastAsia="zh-CN"/>
              </w:rPr>
              <w:t>t/a，</w:t>
            </w:r>
            <w:r>
              <w:rPr>
                <w:rFonts w:hint="eastAsia" w:cs="Times New Roman"/>
                <w:color w:val="auto"/>
                <w:sz w:val="24"/>
                <w:highlight w:val="none"/>
                <w:lang w:val="en-US" w:eastAsia="zh-CN"/>
              </w:rPr>
              <w:t>建设单位应</w:t>
            </w:r>
            <w:r>
              <w:rPr>
                <w:rFonts w:hint="default" w:ascii="Times New Roman" w:hAnsi="Times New Roman" w:cs="Times New Roman"/>
                <w:color w:val="auto"/>
                <w:sz w:val="24"/>
                <w:highlight w:val="none"/>
                <w:lang w:eastAsia="zh-CN"/>
              </w:rPr>
              <w:t>向</w:t>
            </w:r>
            <w:r>
              <w:rPr>
                <w:rFonts w:hint="eastAsia" w:cs="Times New Roman"/>
                <w:color w:val="auto"/>
                <w:sz w:val="24"/>
                <w:highlight w:val="none"/>
                <w:lang w:val="en-US" w:eastAsia="zh-CN"/>
              </w:rPr>
              <w:t>福州市福清生态环境局</w:t>
            </w:r>
            <w:r>
              <w:rPr>
                <w:rFonts w:hint="default" w:ascii="Times New Roman" w:hAnsi="Times New Roman" w:cs="Times New Roman"/>
                <w:color w:val="auto"/>
                <w:sz w:val="24"/>
                <w:highlight w:val="none"/>
                <w:lang w:eastAsia="zh-CN"/>
              </w:rPr>
              <w:t>申请区域</w:t>
            </w:r>
            <w:r>
              <w:rPr>
                <w:rFonts w:hint="eastAsia" w:ascii="Times New Roman" w:hAnsi="Times New Roman" w:cs="Times New Roman"/>
                <w:color w:val="auto"/>
                <w:sz w:val="24"/>
                <w:highlight w:val="none"/>
                <w:lang w:val="en-US" w:eastAsia="zh-CN"/>
              </w:rPr>
              <w:t>倍量</w:t>
            </w:r>
            <w:r>
              <w:rPr>
                <w:rFonts w:hint="default" w:ascii="Times New Roman" w:hAnsi="Times New Roman" w:cs="Times New Roman"/>
                <w:color w:val="auto"/>
                <w:sz w:val="24"/>
                <w:highlight w:val="none"/>
                <w:lang w:eastAsia="zh-CN"/>
              </w:rPr>
              <w:t>替代</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highlight w:val="none"/>
                <w:lang w:val="en-US" w:eastAsia="zh-CN"/>
              </w:rPr>
              <w:t>目前建设单位承诺在项目投产前取得</w:t>
            </w:r>
            <w:r>
              <w:rPr>
                <w:rFonts w:hint="default" w:ascii="Times New Roman" w:hAnsi="Times New Roman" w:cs="Times New Roman"/>
                <w:color w:val="auto"/>
                <w:sz w:val="24"/>
                <w:highlight w:val="none"/>
              </w:rPr>
              <w:t>VOCs</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以</w:t>
            </w:r>
            <w:r>
              <w:rPr>
                <w:rFonts w:hint="default" w:ascii="Times New Roman" w:hAnsi="Times New Roman" w:cs="Times New Roman"/>
                <w:color w:val="auto"/>
                <w:sz w:val="24"/>
                <w:highlight w:val="none"/>
                <w:lang w:eastAsia="zh-CN"/>
              </w:rPr>
              <w:t>非甲烷总烃</w:t>
            </w:r>
            <w:r>
              <w:rPr>
                <w:rFonts w:hint="default" w:ascii="Times New Roman" w:hAnsi="Times New Roman" w:cs="Times New Roman"/>
                <w:color w:val="auto"/>
                <w:sz w:val="24"/>
                <w:highlight w:val="none"/>
              </w:rPr>
              <w:t>计</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总量</w:t>
            </w:r>
            <w:r>
              <w:rPr>
                <w:rFonts w:hint="default" w:ascii="Times New Roman" w:hAnsi="Times New Roman" w:cs="Times New Roman"/>
                <w:color w:val="auto"/>
                <w:highlight w:val="none"/>
                <w:lang w:val="en-US" w:eastAsia="zh-CN"/>
              </w:rPr>
              <w:t>的</w:t>
            </w:r>
            <w:r>
              <w:rPr>
                <w:rFonts w:hint="eastAsia" w:ascii="Times New Roman" w:hAnsi="Times New Roman" w:cs="Times New Roman"/>
                <w:color w:val="auto"/>
                <w:sz w:val="24"/>
                <w:highlight w:val="none"/>
                <w:lang w:val="en-US" w:eastAsia="zh-CN"/>
              </w:rPr>
              <w:t>倍量</w:t>
            </w:r>
            <w:r>
              <w:rPr>
                <w:rFonts w:hint="default" w:ascii="Times New Roman" w:hAnsi="Times New Roman" w:cs="Times New Roman"/>
                <w:color w:val="auto"/>
                <w:sz w:val="24"/>
                <w:highlight w:val="none"/>
                <w:lang w:eastAsia="zh-CN"/>
              </w:rPr>
              <w:t>替代</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highlight w:val="none"/>
                <w:lang w:val="en-US" w:eastAsia="zh-CN"/>
              </w:rPr>
              <w:t>并依法</w:t>
            </w:r>
            <w:r>
              <w:rPr>
                <w:rFonts w:hint="eastAsia" w:ascii="Times New Roman" w:hAnsi="Times New Roman" w:eastAsia="宋体" w:cs="Times New Roman"/>
                <w:color w:val="auto"/>
                <w:highlight w:val="none"/>
                <w:lang w:val="en-US" w:eastAsia="zh-CN"/>
              </w:rPr>
              <w:t>办理</w:t>
            </w:r>
            <w:r>
              <w:rPr>
                <w:rFonts w:hint="default" w:ascii="Times New Roman" w:hAnsi="Times New Roman" w:eastAsia="宋体" w:cs="Times New Roman"/>
                <w:color w:val="auto"/>
                <w:highlight w:val="none"/>
                <w:lang w:val="en-US" w:eastAsia="zh-CN"/>
              </w:rPr>
              <w:t>排污许可</w:t>
            </w:r>
            <w:r>
              <w:rPr>
                <w:rFonts w:hint="eastAsia" w:ascii="Times New Roman" w:hAnsi="Times New Roman" w:eastAsia="宋体" w:cs="Times New Roman"/>
                <w:color w:val="auto"/>
                <w:highlight w:val="none"/>
                <w:lang w:val="en-US" w:eastAsia="zh-CN"/>
              </w:rPr>
              <w:t>手续</w:t>
            </w:r>
            <w:r>
              <w:rPr>
                <w:rFonts w:hint="eastAsia" w:cs="Times New Roman"/>
                <w:color w:val="auto"/>
                <w:highlight w:val="none"/>
                <w:lang w:val="en-US" w:eastAsia="zh-CN"/>
              </w:rPr>
              <w:t>。</w:t>
            </w:r>
          </w:p>
        </w:tc>
      </w:tr>
    </w:tbl>
    <w:p w14:paraId="580A087D">
      <w:pPr>
        <w:pStyle w:val="2"/>
        <w:numPr>
          <w:ilvl w:val="0"/>
          <w:numId w:val="8"/>
        </w:numPr>
        <w:bidi w:val="0"/>
        <w:jc w:val="center"/>
        <w:rPr>
          <w:rFonts w:ascii="Times New Roman" w:hAnsi="Times New Roman" w:eastAsia="黑体"/>
          <w:snapToGrid w:val="0"/>
          <w:color w:val="auto"/>
          <w:szCs w:val="30"/>
        </w:rPr>
      </w:pPr>
      <w:r>
        <w:rPr>
          <w:rFonts w:ascii="Times New Roman" w:hAnsi="Times New Roman" w:eastAsia="黑体"/>
          <w:snapToGrid w:val="0"/>
          <w:color w:val="auto"/>
          <w:szCs w:val="36"/>
        </w:rPr>
        <w:br w:type="page"/>
      </w:r>
      <w:bookmarkStart w:id="20" w:name="_Toc22640"/>
      <w:bookmarkStart w:id="21" w:name="_Toc29016"/>
      <w:r>
        <w:rPr>
          <w:color w:val="auto"/>
        </w:rPr>
        <w:t>主要环境影响和保护措施</w:t>
      </w:r>
      <w:bookmarkEnd w:id="20"/>
      <w:bookmarkEnd w:id="21"/>
    </w:p>
    <w:tbl>
      <w:tblPr>
        <w:tblStyle w:val="3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1E52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4" w:hRule="atLeast"/>
          <w:jc w:val="center"/>
        </w:trPr>
        <w:tc>
          <w:tcPr>
            <w:tcW w:w="746" w:type="dxa"/>
            <w:noWrap w:val="0"/>
            <w:tcMar>
              <w:left w:w="28" w:type="dxa"/>
              <w:right w:w="28" w:type="dxa"/>
            </w:tcMar>
            <w:vAlign w:val="center"/>
          </w:tcPr>
          <w:p w14:paraId="57312730">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施工</w:t>
            </w:r>
          </w:p>
          <w:p w14:paraId="04B20208">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期环</w:t>
            </w:r>
          </w:p>
          <w:p w14:paraId="28FA514C">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境保</w:t>
            </w:r>
          </w:p>
          <w:p w14:paraId="46D73398">
            <w:pPr>
              <w:pStyle w:val="30"/>
              <w:adjustRightInd w:val="0"/>
              <w:snapToGrid w:val="0"/>
              <w:spacing w:before="0" w:beforeAutospacing="0" w:after="0" w:afterAutospacing="0"/>
              <w:jc w:val="center"/>
              <w:rPr>
                <w:rFonts w:ascii="Times New Roman" w:hAnsi="Times New Roman"/>
                <w:color w:val="auto"/>
                <w:kern w:val="2"/>
                <w:sz w:val="24"/>
                <w:szCs w:val="24"/>
                <w:lang w:val="en-US" w:eastAsia="zh-CN"/>
              </w:rPr>
            </w:pPr>
            <w:r>
              <w:rPr>
                <w:rFonts w:ascii="Times New Roman" w:hAnsi="Times New Roman"/>
                <w:color w:val="auto"/>
                <w:kern w:val="2"/>
                <w:sz w:val="24"/>
                <w:szCs w:val="24"/>
                <w:lang w:val="en-US" w:eastAsia="zh-CN"/>
              </w:rPr>
              <w:t>护措</w:t>
            </w:r>
          </w:p>
          <w:p w14:paraId="657E1402">
            <w:pPr>
              <w:pStyle w:val="30"/>
              <w:adjustRightInd w:val="0"/>
              <w:snapToGrid w:val="0"/>
              <w:spacing w:before="0" w:beforeAutospacing="0" w:after="0" w:afterAutospacing="0"/>
              <w:jc w:val="center"/>
              <w:rPr>
                <w:rFonts w:ascii="Times New Roman" w:hAnsi="Times New Roman"/>
                <w:bCs/>
                <w:color w:val="auto"/>
                <w:kern w:val="2"/>
                <w:sz w:val="24"/>
                <w:szCs w:val="24"/>
                <w:lang w:val="en-US" w:eastAsia="zh-CN"/>
              </w:rPr>
            </w:pPr>
            <w:r>
              <w:rPr>
                <w:rFonts w:ascii="Times New Roman" w:hAnsi="Times New Roman"/>
                <w:color w:val="auto"/>
                <w:kern w:val="2"/>
                <w:sz w:val="24"/>
                <w:szCs w:val="24"/>
                <w:lang w:val="en-US" w:eastAsia="zh-CN"/>
              </w:rPr>
              <w:t>施</w:t>
            </w:r>
          </w:p>
        </w:tc>
        <w:tc>
          <w:tcPr>
            <w:tcW w:w="8162" w:type="dxa"/>
            <w:noWrap w:val="0"/>
            <w:vAlign w:val="center"/>
          </w:tcPr>
          <w:p w14:paraId="3892282F">
            <w:pPr>
              <w:pStyle w:val="3"/>
              <w:numPr>
                <w:ilvl w:val="0"/>
                <w:numId w:val="0"/>
              </w:numPr>
              <w:bidi w:val="0"/>
              <w:ind w:leftChars="0"/>
              <w:rPr>
                <w:rFonts w:hint="default"/>
                <w:color w:val="auto"/>
                <w:lang w:val="en-US" w:eastAsia="zh-CN"/>
              </w:rPr>
            </w:pPr>
            <w:bookmarkStart w:id="22" w:name="_Toc22024"/>
            <w:bookmarkStart w:id="23" w:name="_Toc4697"/>
            <w:bookmarkStart w:id="24" w:name="_Toc11037"/>
            <w:bookmarkStart w:id="25" w:name="_Toc28048"/>
            <w:r>
              <w:rPr>
                <w:rFonts w:hint="default"/>
                <w:color w:val="auto"/>
              </w:rPr>
              <w:t>4.</w:t>
            </w:r>
            <w:r>
              <w:rPr>
                <w:rFonts w:hint="eastAsia"/>
                <w:color w:val="auto"/>
                <w:lang w:val="en-US" w:eastAsia="zh-CN"/>
              </w:rPr>
              <w:t>1 施工期环境保护措施</w:t>
            </w:r>
            <w:bookmarkEnd w:id="22"/>
            <w:bookmarkEnd w:id="23"/>
          </w:p>
          <w:p w14:paraId="7818A69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auto"/>
                <w:sz w:val="24"/>
                <w:highlight w:val="none"/>
                <w:u w:val="none"/>
                <w:lang w:val="en-US" w:eastAsia="zh-CN"/>
              </w:rPr>
            </w:pPr>
            <w:r>
              <w:rPr>
                <w:rFonts w:hint="eastAsia"/>
                <w:bCs/>
                <w:color w:val="auto"/>
                <w:sz w:val="24"/>
              </w:rPr>
              <w:t>项目在</w:t>
            </w:r>
            <w:r>
              <w:rPr>
                <w:rFonts w:hint="eastAsia"/>
                <w:bCs/>
                <w:color w:val="auto"/>
                <w:sz w:val="24"/>
                <w:lang w:val="en-US" w:eastAsia="zh-CN"/>
              </w:rPr>
              <w:t>租赁</w:t>
            </w:r>
            <w:r>
              <w:rPr>
                <w:rFonts w:hint="eastAsia"/>
                <w:bCs/>
                <w:color w:val="auto"/>
                <w:sz w:val="24"/>
                <w:lang w:eastAsia="zh-CN"/>
              </w:rPr>
              <w:t>福建三锋汽配开发有限公司现有厂房</w:t>
            </w:r>
            <w:r>
              <w:rPr>
                <w:rFonts w:hint="eastAsia"/>
                <w:bCs/>
                <w:color w:val="auto"/>
                <w:sz w:val="24"/>
              </w:rPr>
              <w:t>进行</w:t>
            </w:r>
            <w:r>
              <w:rPr>
                <w:rFonts w:hint="eastAsia"/>
                <w:bCs/>
                <w:color w:val="auto"/>
                <w:sz w:val="24"/>
                <w:lang w:eastAsia="zh-CN"/>
              </w:rPr>
              <w:t>扩建</w:t>
            </w:r>
            <w:r>
              <w:rPr>
                <w:rFonts w:hint="eastAsia"/>
                <w:color w:val="auto"/>
                <w:kern w:val="0"/>
                <w:sz w:val="24"/>
                <w:szCs w:val="20"/>
              </w:rPr>
              <w:t>，</w:t>
            </w:r>
            <w:r>
              <w:rPr>
                <w:bCs/>
                <w:color w:val="auto"/>
                <w:sz w:val="24"/>
              </w:rPr>
              <w:t>施工期只需设备入驻及安装，无土建施工，设备安装过程可能产生间歇性噪声影响及少量的包装废物。施工期间应合理安排施工作业时间，选用高效低噪的施工设备，以降低施工噪声对环境的影响。包装废物委托环卫工人定期清运。施工期环境污染均为短期影响，随着施工期结束其影响将消失。</w:t>
            </w:r>
            <w:bookmarkEnd w:id="24"/>
            <w:bookmarkEnd w:id="25"/>
            <w:r>
              <w:rPr>
                <w:rFonts w:hint="default" w:ascii="Times New Roman" w:hAnsi="Times New Roman" w:eastAsia="宋体" w:cs="Times New Roman"/>
                <w:color w:val="auto"/>
                <w:sz w:val="24"/>
                <w:highlight w:val="none"/>
                <w:u w:val="none"/>
                <w:lang w:val="en-US" w:eastAsia="zh-CN"/>
              </w:rPr>
              <w:t>不会对周边环境噪声影响。项目环境保护措施如下：</w:t>
            </w:r>
          </w:p>
          <w:p w14:paraId="387483A9">
            <w:pPr>
              <w:pStyle w:val="4"/>
              <w:bidi w:val="0"/>
              <w:rPr>
                <w:rFonts w:hint="default"/>
                <w:color w:val="auto"/>
              </w:rPr>
            </w:pPr>
            <w:r>
              <w:rPr>
                <w:rFonts w:hint="eastAsia"/>
                <w:color w:val="auto"/>
                <w:lang w:val="en-US" w:eastAsia="zh-CN"/>
              </w:rPr>
              <w:t>4.1</w:t>
            </w:r>
            <w:r>
              <w:rPr>
                <w:rFonts w:hint="default"/>
                <w:color w:val="auto"/>
              </w:rPr>
              <w:t>.1</w:t>
            </w:r>
            <w:r>
              <w:rPr>
                <w:rFonts w:hint="eastAsia"/>
                <w:color w:val="auto"/>
                <w:lang w:val="en-US" w:eastAsia="zh-CN"/>
              </w:rPr>
              <w:t>施工期</w:t>
            </w:r>
            <w:r>
              <w:rPr>
                <w:rFonts w:hint="default"/>
                <w:color w:val="auto"/>
              </w:rPr>
              <w:t>水环境的影响分析</w:t>
            </w:r>
            <w:r>
              <w:rPr>
                <w:rFonts w:hint="eastAsia"/>
                <w:color w:val="auto"/>
                <w:lang w:val="en-US" w:eastAsia="zh-CN"/>
              </w:rPr>
              <w:t>及保护措施</w:t>
            </w:r>
          </w:p>
          <w:p w14:paraId="392815EC">
            <w:pPr>
              <w:pStyle w:val="110"/>
              <w:rPr>
                <w:rFonts w:hint="eastAsia" w:ascii="Times New Roman" w:hAnsi="Times New Roman" w:eastAsia="宋体" w:cs="宋体"/>
                <w:color w:val="auto"/>
                <w:sz w:val="24"/>
                <w:szCs w:val="24"/>
                <w:lang w:val="en-US" w:eastAsia="zh-CN"/>
              </w:rPr>
            </w:pPr>
            <w:bookmarkStart w:id="26" w:name="_Toc18014"/>
            <w:bookmarkStart w:id="27" w:name="_Toc10508"/>
            <w:r>
              <w:rPr>
                <w:rFonts w:hint="default" w:ascii="Times New Roman" w:hAnsi="Times New Roman" w:eastAsia="宋体" w:cs="宋体"/>
                <w:color w:val="auto"/>
                <w:sz w:val="24"/>
                <w:szCs w:val="24"/>
                <w:lang w:val="en-US" w:eastAsia="zh-CN"/>
              </w:rPr>
              <w:t>本项目</w:t>
            </w:r>
            <w:r>
              <w:rPr>
                <w:rFonts w:hint="eastAsia" w:ascii="Times New Roman" w:hAnsi="Times New Roman" w:eastAsia="宋体" w:cs="宋体"/>
                <w:color w:val="auto"/>
                <w:sz w:val="24"/>
                <w:szCs w:val="24"/>
                <w:lang w:val="en-US" w:eastAsia="zh-CN"/>
              </w:rPr>
              <w:t>车间装修、</w:t>
            </w:r>
            <w:r>
              <w:rPr>
                <w:rFonts w:hint="default" w:ascii="Times New Roman" w:hAnsi="Times New Roman" w:eastAsia="宋体" w:cs="宋体"/>
                <w:color w:val="auto"/>
                <w:sz w:val="24"/>
                <w:szCs w:val="24"/>
                <w:lang w:val="en-US" w:eastAsia="zh-CN"/>
              </w:rPr>
              <w:t>设备安装、调试</w:t>
            </w:r>
            <w:r>
              <w:rPr>
                <w:rFonts w:hint="eastAsia" w:ascii="Times New Roman" w:hAnsi="Times New Roman" w:eastAsia="宋体" w:cs="宋体"/>
                <w:color w:val="auto"/>
                <w:sz w:val="24"/>
                <w:szCs w:val="24"/>
                <w:lang w:val="en-US" w:eastAsia="zh-CN"/>
              </w:rPr>
              <w:t>等施工作业人员产生的少量生活污水可直接</w:t>
            </w:r>
            <w:r>
              <w:rPr>
                <w:rFonts w:hint="default" w:ascii="Times New Roman" w:hAnsi="Times New Roman" w:eastAsia="宋体" w:cs="宋体"/>
                <w:color w:val="auto"/>
                <w:sz w:val="24"/>
                <w:szCs w:val="24"/>
                <w:lang w:val="en-US" w:eastAsia="zh-CN"/>
              </w:rPr>
              <w:t>依托</w:t>
            </w:r>
            <w:r>
              <w:rPr>
                <w:rFonts w:hint="eastAsia" w:cs="宋体"/>
                <w:color w:val="auto"/>
                <w:sz w:val="24"/>
                <w:szCs w:val="24"/>
                <w:lang w:val="en-US" w:eastAsia="zh-CN"/>
              </w:rPr>
              <w:t>厂区现有</w:t>
            </w:r>
            <w:r>
              <w:rPr>
                <w:rFonts w:hint="eastAsia" w:ascii="Times New Roman" w:hAnsi="Times New Roman" w:eastAsia="宋体" w:cs="宋体"/>
                <w:color w:val="auto"/>
                <w:sz w:val="24"/>
                <w:szCs w:val="24"/>
                <w:lang w:val="en-US" w:eastAsia="zh-CN"/>
              </w:rPr>
              <w:t>已埋设化粪池处理后接入市政污水管网，纳入</w:t>
            </w:r>
            <w:r>
              <w:rPr>
                <w:rFonts w:hint="eastAsia" w:cs="宋体"/>
                <w:color w:val="auto"/>
                <w:sz w:val="24"/>
                <w:szCs w:val="24"/>
                <w:lang w:val="en-US" w:eastAsia="zh-CN"/>
              </w:rPr>
              <w:t>福清市融元污水处理厂</w:t>
            </w:r>
            <w:r>
              <w:rPr>
                <w:rFonts w:hint="eastAsia" w:ascii="Times New Roman" w:hAnsi="Times New Roman" w:eastAsia="宋体" w:cs="宋体"/>
                <w:color w:val="auto"/>
                <w:sz w:val="24"/>
                <w:szCs w:val="24"/>
                <w:lang w:val="en-US" w:eastAsia="zh-CN"/>
              </w:rPr>
              <w:t>集中处理，不会对周边地表水环境产生直接不利影响。</w:t>
            </w:r>
          </w:p>
          <w:p w14:paraId="3005B8B7">
            <w:pPr>
              <w:pStyle w:val="4"/>
              <w:bidi w:val="0"/>
              <w:rPr>
                <w:rFonts w:hint="eastAsia"/>
                <w:color w:val="auto"/>
              </w:rPr>
            </w:pPr>
            <w:r>
              <w:rPr>
                <w:rFonts w:hint="default"/>
                <w:color w:val="auto"/>
              </w:rPr>
              <w:t>4.</w:t>
            </w:r>
            <w:r>
              <w:rPr>
                <w:rFonts w:hint="eastAsia"/>
                <w:color w:val="auto"/>
                <w:lang w:val="en-US" w:eastAsia="zh-CN"/>
              </w:rPr>
              <w:t>1</w:t>
            </w:r>
            <w:r>
              <w:rPr>
                <w:rFonts w:hint="default"/>
                <w:color w:val="auto"/>
              </w:rPr>
              <w:t>.</w:t>
            </w:r>
            <w:r>
              <w:rPr>
                <w:rFonts w:hint="eastAsia"/>
                <w:color w:val="auto"/>
                <w:lang w:val="en-US" w:eastAsia="zh-CN"/>
              </w:rPr>
              <w:t>2施工期废气环境</w:t>
            </w:r>
            <w:r>
              <w:rPr>
                <w:rFonts w:hint="default"/>
                <w:color w:val="auto"/>
              </w:rPr>
              <w:t>影响分析</w:t>
            </w:r>
            <w:bookmarkEnd w:id="26"/>
            <w:bookmarkEnd w:id="27"/>
            <w:r>
              <w:rPr>
                <w:rFonts w:hint="eastAsia"/>
                <w:color w:val="auto"/>
                <w:lang w:val="en-US" w:eastAsia="zh-CN"/>
              </w:rPr>
              <w:t>及保护措施</w:t>
            </w:r>
          </w:p>
          <w:p w14:paraId="1782F36A">
            <w:pPr>
              <w:spacing w:line="360" w:lineRule="auto"/>
              <w:ind w:firstLine="480" w:firstLineChars="200"/>
              <w:rPr>
                <w:rFonts w:hint="eastAsia" w:ascii="Times New Roman" w:hAnsi="Times New Roman" w:eastAsia="宋体" w:cs="宋体"/>
                <w:color w:val="auto"/>
                <w:sz w:val="24"/>
                <w:szCs w:val="24"/>
                <w:lang w:val="en-US" w:eastAsia="zh-CN"/>
              </w:rPr>
            </w:pPr>
            <w:bookmarkStart w:id="28" w:name="_Toc14716"/>
            <w:bookmarkStart w:id="29" w:name="_Toc19444"/>
            <w:r>
              <w:rPr>
                <w:rFonts w:hint="default" w:ascii="Times New Roman" w:hAnsi="Times New Roman" w:eastAsia="宋体" w:cs="Times New Roman"/>
                <w:color w:val="auto"/>
                <w:sz w:val="24"/>
                <w:szCs w:val="24"/>
                <w:lang w:val="en-US" w:eastAsia="zh-CN"/>
              </w:rPr>
              <w:t>本项目施工废气主要为车间装修、设备安装产生的少量焊接烟尘，装修下料粉尘及装修涂料有机废气等，要求建设单位合理安排施工时间、施工工序，降低施工周期，</w:t>
            </w:r>
            <w:r>
              <w:rPr>
                <w:rFonts w:hint="eastAsia" w:ascii="Times New Roman" w:hAnsi="Times New Roman" w:eastAsia="宋体" w:cs="Times New Roman"/>
                <w:color w:val="auto"/>
                <w:sz w:val="24"/>
                <w:szCs w:val="24"/>
                <w:lang w:val="en-US" w:eastAsia="zh-CN"/>
              </w:rPr>
              <w:t>装修</w:t>
            </w:r>
            <w:r>
              <w:rPr>
                <w:rFonts w:hint="default" w:ascii="Times New Roman" w:hAnsi="Times New Roman" w:eastAsia="宋体" w:cs="Times New Roman"/>
                <w:color w:val="auto"/>
                <w:sz w:val="24"/>
              </w:rPr>
              <w:t>过程中应选用符合《</w:t>
            </w:r>
            <w:r>
              <w:rPr>
                <w:rFonts w:hint="eastAsia" w:ascii="Times New Roman" w:hAnsi="Times New Roman" w:eastAsia="宋体" w:cs="Times New Roman"/>
                <w:color w:val="auto"/>
                <w:sz w:val="24"/>
                <w:lang w:eastAsia="zh-CN"/>
              </w:rPr>
              <w:t>民用建筑工程室内环境污染控制标准</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GB50325-20</w:t>
            </w:r>
            <w:r>
              <w:rPr>
                <w:rFonts w:hint="default"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标准规定的建筑材料和装饰材料，</w:t>
            </w:r>
            <w:r>
              <w:rPr>
                <w:rFonts w:hint="default" w:ascii="Times New Roman" w:hAnsi="Times New Roman" w:eastAsia="宋体" w:cs="Times New Roman"/>
                <w:color w:val="auto"/>
                <w:sz w:val="24"/>
                <w:szCs w:val="24"/>
                <w:lang w:val="en-US" w:eastAsia="zh-CN"/>
              </w:rPr>
              <w:t>并通过加强车间排气通风</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项目施工不连续</w:t>
            </w:r>
            <w:r>
              <w:rPr>
                <w:rFonts w:hint="eastAsia" w:cs="Times New Roman"/>
                <w:color w:val="auto"/>
                <w:sz w:val="24"/>
                <w:szCs w:val="24"/>
                <w:lang w:val="en-US" w:eastAsia="zh-CN"/>
              </w:rPr>
              <w:t>且</w:t>
            </w:r>
            <w:r>
              <w:rPr>
                <w:rFonts w:hint="default" w:ascii="Times New Roman" w:hAnsi="Times New Roman" w:eastAsia="宋体" w:cs="Times New Roman"/>
                <w:color w:val="auto"/>
                <w:sz w:val="24"/>
                <w:szCs w:val="24"/>
                <w:lang w:val="en-US" w:eastAsia="zh-CN"/>
              </w:rPr>
              <w:t>施工期较短，产生的少量焊接烟尘、装修下料粉尘及装修涂料有机废气在大气很快稀释扩</w:t>
            </w:r>
            <w:r>
              <w:rPr>
                <w:rFonts w:hint="eastAsia" w:ascii="Times New Roman" w:hAnsi="Times New Roman" w:eastAsia="宋体" w:cs="宋体"/>
                <w:color w:val="auto"/>
                <w:sz w:val="24"/>
                <w:szCs w:val="24"/>
                <w:lang w:val="en-US" w:eastAsia="zh-CN"/>
              </w:rPr>
              <w:t>散，对周边造成的环境影响是短暂的</w:t>
            </w:r>
            <w:r>
              <w:rPr>
                <w:rFonts w:hint="eastAsia" w:cs="宋体"/>
                <w:color w:val="auto"/>
                <w:sz w:val="24"/>
                <w:szCs w:val="24"/>
                <w:lang w:val="en-US" w:eastAsia="zh-CN"/>
              </w:rPr>
              <w:t>且</w:t>
            </w:r>
            <w:r>
              <w:rPr>
                <w:rFonts w:hint="eastAsia" w:ascii="Times New Roman" w:hAnsi="Times New Roman" w:eastAsia="宋体" w:cs="宋体"/>
                <w:color w:val="auto"/>
                <w:sz w:val="24"/>
                <w:szCs w:val="24"/>
                <w:lang w:val="en-US" w:eastAsia="zh-CN"/>
              </w:rPr>
              <w:t>不会对周边显著的环境影响。</w:t>
            </w:r>
          </w:p>
          <w:p w14:paraId="2A923D81">
            <w:pPr>
              <w:pStyle w:val="4"/>
              <w:bidi w:val="0"/>
              <w:rPr>
                <w:rFonts w:hint="default"/>
                <w:color w:val="auto"/>
                <w:lang w:val="en-US" w:eastAsia="zh-CN"/>
              </w:rPr>
            </w:pPr>
            <w:r>
              <w:rPr>
                <w:rFonts w:hint="eastAsia"/>
                <w:color w:val="auto"/>
                <w:lang w:val="en-US" w:eastAsia="zh-CN"/>
              </w:rPr>
              <w:t>4.1.3施工期噪声环境影响分析</w:t>
            </w:r>
            <w:bookmarkEnd w:id="28"/>
            <w:bookmarkEnd w:id="29"/>
            <w:r>
              <w:rPr>
                <w:rFonts w:hint="eastAsia"/>
                <w:color w:val="auto"/>
                <w:lang w:val="en-US" w:eastAsia="zh-CN"/>
              </w:rPr>
              <w:t>及保护措施</w:t>
            </w:r>
          </w:p>
          <w:p w14:paraId="45E0CA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bookmarkStart w:id="30" w:name="_Toc166"/>
            <w:bookmarkStart w:id="31" w:name="_Toc165"/>
            <w:r>
              <w:rPr>
                <w:rFonts w:hint="default" w:ascii="Times New Roman" w:hAnsi="Times New Roman" w:eastAsia="宋体" w:cs="Times New Roman"/>
                <w:color w:val="auto"/>
                <w:sz w:val="24"/>
                <w:szCs w:val="24"/>
              </w:rPr>
              <w:t>项目噪声主要来源施工现场的各类机械设备噪声。</w:t>
            </w:r>
          </w:p>
          <w:p w14:paraId="654279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为了减轻施工噪声对周围环境的影响，建议采取以下措施：</w:t>
            </w:r>
          </w:p>
          <w:p w14:paraId="359848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（1）</w:t>
            </w:r>
            <w:r>
              <w:rPr>
                <w:rFonts w:ascii="Times New Roman" w:hAnsi="Times New Roman" w:eastAsia="宋体"/>
                <w:color w:val="auto"/>
                <w:sz w:val="24"/>
                <w:szCs w:val="24"/>
              </w:rPr>
              <w:t>加强施工管理，合理安排施工作业时间，尽量减少夜间施工频率，严格按照施工噪声管理的有关规定执行，严禁夜间进行高噪声施工作业；</w:t>
            </w:r>
          </w:p>
          <w:p w14:paraId="0038EB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（2）</w:t>
            </w:r>
            <w:r>
              <w:rPr>
                <w:rFonts w:ascii="Times New Roman" w:hAnsi="Times New Roman" w:eastAsia="宋体"/>
                <w:color w:val="auto"/>
                <w:sz w:val="24"/>
                <w:szCs w:val="24"/>
              </w:rPr>
              <w:t>尽量采用低噪声的施工工具，同时尽可能采用低噪声施工</w:t>
            </w:r>
            <w:r>
              <w:rPr>
                <w:rFonts w:hint="eastAsia" w:ascii="Times New Roman" w:hAnsi="Times New Roman" w:eastAsia="宋体"/>
                <w:color w:val="auto"/>
                <w:sz w:val="24"/>
                <w:szCs w:val="24"/>
                <w:lang w:val="en-US" w:eastAsia="zh-CN"/>
              </w:rPr>
              <w:t>工艺</w:t>
            </w:r>
            <w:r>
              <w:rPr>
                <w:rFonts w:ascii="Times New Roman" w:hAnsi="Times New Roman" w:eastAsia="宋体"/>
                <w:color w:val="auto"/>
                <w:sz w:val="24"/>
                <w:szCs w:val="24"/>
              </w:rPr>
              <w:t>；</w:t>
            </w:r>
          </w:p>
          <w:p w14:paraId="657871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（3）</w:t>
            </w:r>
            <w:r>
              <w:rPr>
                <w:rFonts w:hint="eastAsia" w:ascii="Times New Roman" w:hAnsi="Times New Roman" w:eastAsia="宋体"/>
                <w:color w:val="auto"/>
                <w:sz w:val="24"/>
                <w:szCs w:val="24"/>
                <w:lang w:val="en-US" w:eastAsia="zh-CN"/>
              </w:rPr>
              <w:t>要求进出汽车限速、禁止鸣笛，以降低装卸料噪声及机动车的交通噪声的影响。</w:t>
            </w:r>
          </w:p>
          <w:p w14:paraId="3679CE63">
            <w:pPr>
              <w:pStyle w:val="4"/>
              <w:bidi w:val="0"/>
              <w:rPr>
                <w:rFonts w:hint="default"/>
                <w:color w:val="auto"/>
                <w:lang w:val="en-US" w:eastAsia="zh-CN"/>
              </w:rPr>
            </w:pPr>
            <w:r>
              <w:rPr>
                <w:rFonts w:hint="eastAsia"/>
                <w:color w:val="auto"/>
                <w:lang w:val="en-US" w:eastAsia="zh-CN"/>
              </w:rPr>
              <w:t>4.1.4施工期固废环境影响分析</w:t>
            </w:r>
            <w:bookmarkEnd w:id="30"/>
            <w:bookmarkEnd w:id="31"/>
            <w:r>
              <w:rPr>
                <w:rFonts w:hint="eastAsia"/>
                <w:color w:val="auto"/>
                <w:lang w:val="en-US" w:eastAsia="zh-CN"/>
              </w:rPr>
              <w:t>及保护措施</w:t>
            </w:r>
          </w:p>
          <w:p w14:paraId="7EC279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施工</w:t>
            </w:r>
            <w:r>
              <w:rPr>
                <w:rFonts w:hint="eastAsia" w:ascii="Times New Roman" w:hAnsi="Times New Roman" w:eastAsia="宋体"/>
                <w:color w:val="auto"/>
                <w:sz w:val="24"/>
                <w:szCs w:val="24"/>
                <w:lang w:val="en-US" w:eastAsia="zh-CN"/>
              </w:rPr>
              <w:t>固废主要</w:t>
            </w:r>
            <w:r>
              <w:rPr>
                <w:rFonts w:ascii="Times New Roman" w:hAnsi="Times New Roman" w:eastAsia="宋体"/>
                <w:color w:val="auto"/>
                <w:sz w:val="24"/>
                <w:szCs w:val="24"/>
              </w:rPr>
              <w:t>来自施工所产生的建筑垃圾和施工队伍生活产生的生活垃圾。建议采取以下的污染防治措施：</w:t>
            </w:r>
          </w:p>
          <w:p w14:paraId="79FF44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施工人员产生的生活垃圾，应分选袋装，委托环卫部门处理。</w:t>
            </w:r>
          </w:p>
          <w:p w14:paraId="6430FC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施工建筑垃圾应分类收集，尽可能回收再利用。建筑垃圾中石子、混凝土块、砖头、石块、废木料等</w:t>
            </w:r>
            <w:r>
              <w:rPr>
                <w:rFonts w:hint="eastAsia" w:ascii="Times New Roman" w:hAnsi="Times New Roman" w:eastAsia="宋体" w:cs="Times New Roman"/>
                <w:color w:val="auto"/>
                <w:sz w:val="24"/>
                <w:szCs w:val="24"/>
                <w:lang w:val="en-US" w:eastAsia="zh-CN"/>
              </w:rPr>
              <w:t>回收再利用。</w:t>
            </w:r>
          </w:p>
          <w:p w14:paraId="78C745FC">
            <w:pPr>
              <w:pStyle w:val="129"/>
              <w:rPr>
                <w:bCs/>
                <w:color w:val="auto"/>
                <w:spacing w:val="-10"/>
                <w:szCs w:val="21"/>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）装修阶段产生的油漆废渣、废油漆桶应分类单独收集贮存</w:t>
            </w:r>
            <w:r>
              <w:rPr>
                <w:rFonts w:hint="eastAsia" w:cs="Times New Roman"/>
                <w:color w:val="auto"/>
                <w:sz w:val="24"/>
                <w:szCs w:val="24"/>
                <w:lang w:val="en-US" w:eastAsia="zh-CN"/>
              </w:rPr>
              <w:t>危险废物贮存间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委托有资质单位统一处置</w:t>
            </w:r>
            <w:r>
              <w:rPr>
                <w:rFonts w:hint="eastAsia" w:ascii="Times New Roman" w:hAnsi="Times New Roman" w:eastAsia="宋体" w:cs="Times New Roman"/>
                <w:color w:val="auto"/>
                <w:sz w:val="24"/>
                <w:szCs w:val="24"/>
                <w:lang w:eastAsia="zh-CN"/>
              </w:rPr>
              <w:t>。</w:t>
            </w:r>
          </w:p>
        </w:tc>
      </w:tr>
      <w:tr w14:paraId="678AF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746" w:type="dxa"/>
            <w:noWrap w:val="0"/>
            <w:tcMar>
              <w:left w:w="28" w:type="dxa"/>
              <w:right w:w="28" w:type="dxa"/>
            </w:tcMar>
            <w:vAlign w:val="center"/>
          </w:tcPr>
          <w:p w14:paraId="05ACB7B2">
            <w:pPr>
              <w:adjustRightInd w:val="0"/>
              <w:snapToGrid w:val="0"/>
              <w:jc w:val="center"/>
              <w:rPr>
                <w:bCs/>
                <w:color w:val="auto"/>
                <w:sz w:val="24"/>
                <w:szCs w:val="24"/>
              </w:rPr>
            </w:pPr>
            <w:r>
              <w:rPr>
                <w:bCs/>
                <w:color w:val="auto"/>
                <w:sz w:val="24"/>
                <w:szCs w:val="24"/>
              </w:rPr>
              <w:t>运营</w:t>
            </w:r>
          </w:p>
          <w:p w14:paraId="0B5F902F">
            <w:pPr>
              <w:adjustRightInd w:val="0"/>
              <w:snapToGrid w:val="0"/>
              <w:jc w:val="center"/>
              <w:rPr>
                <w:bCs/>
                <w:color w:val="auto"/>
                <w:sz w:val="24"/>
                <w:szCs w:val="24"/>
              </w:rPr>
            </w:pPr>
            <w:r>
              <w:rPr>
                <w:bCs/>
                <w:color w:val="auto"/>
                <w:sz w:val="24"/>
                <w:szCs w:val="24"/>
              </w:rPr>
              <w:t>期环</w:t>
            </w:r>
          </w:p>
          <w:p w14:paraId="004D55B8">
            <w:pPr>
              <w:adjustRightInd w:val="0"/>
              <w:snapToGrid w:val="0"/>
              <w:jc w:val="center"/>
              <w:rPr>
                <w:bCs/>
                <w:color w:val="auto"/>
                <w:sz w:val="24"/>
                <w:szCs w:val="24"/>
              </w:rPr>
            </w:pPr>
            <w:r>
              <w:rPr>
                <w:bCs/>
                <w:color w:val="auto"/>
                <w:sz w:val="24"/>
                <w:szCs w:val="24"/>
              </w:rPr>
              <w:t>境影</w:t>
            </w:r>
          </w:p>
          <w:p w14:paraId="19B7E93A">
            <w:pPr>
              <w:adjustRightInd w:val="0"/>
              <w:snapToGrid w:val="0"/>
              <w:jc w:val="center"/>
              <w:rPr>
                <w:bCs/>
                <w:color w:val="auto"/>
                <w:sz w:val="24"/>
                <w:szCs w:val="24"/>
              </w:rPr>
            </w:pPr>
            <w:r>
              <w:rPr>
                <w:bCs/>
                <w:color w:val="auto"/>
                <w:sz w:val="24"/>
                <w:szCs w:val="24"/>
              </w:rPr>
              <w:t>响和</w:t>
            </w:r>
          </w:p>
          <w:p w14:paraId="3F44A24B">
            <w:pPr>
              <w:adjustRightInd w:val="0"/>
              <w:snapToGrid w:val="0"/>
              <w:jc w:val="center"/>
              <w:rPr>
                <w:bCs/>
                <w:color w:val="auto"/>
                <w:sz w:val="24"/>
                <w:szCs w:val="24"/>
              </w:rPr>
            </w:pPr>
            <w:r>
              <w:rPr>
                <w:bCs/>
                <w:color w:val="auto"/>
                <w:sz w:val="24"/>
                <w:szCs w:val="24"/>
              </w:rPr>
              <w:t>保护</w:t>
            </w:r>
          </w:p>
          <w:p w14:paraId="44441775">
            <w:pPr>
              <w:adjustRightInd w:val="0"/>
              <w:snapToGrid w:val="0"/>
              <w:jc w:val="center"/>
              <w:rPr>
                <w:color w:val="auto"/>
                <w:sz w:val="24"/>
                <w:szCs w:val="24"/>
              </w:rPr>
            </w:pPr>
            <w:r>
              <w:rPr>
                <w:bCs/>
                <w:color w:val="auto"/>
                <w:sz w:val="24"/>
                <w:szCs w:val="24"/>
              </w:rPr>
              <w:t>措施</w:t>
            </w:r>
          </w:p>
        </w:tc>
        <w:tc>
          <w:tcPr>
            <w:tcW w:w="8162" w:type="dxa"/>
            <w:noWrap w:val="0"/>
            <w:vAlign w:val="center"/>
          </w:tcPr>
          <w:p w14:paraId="75B78CDC">
            <w:pPr>
              <w:pStyle w:val="3"/>
              <w:numPr>
                <w:ilvl w:val="0"/>
                <w:numId w:val="0"/>
              </w:numPr>
              <w:bidi w:val="0"/>
              <w:ind w:leftChars="0"/>
              <w:rPr>
                <w:color w:val="auto"/>
              </w:rPr>
            </w:pPr>
            <w:r>
              <w:rPr>
                <w:color w:val="auto"/>
              </w:rPr>
              <w:t>4.</w:t>
            </w:r>
            <w:r>
              <w:rPr>
                <w:rFonts w:hint="eastAsia"/>
                <w:color w:val="auto"/>
              </w:rPr>
              <w:t>2</w:t>
            </w:r>
            <w:r>
              <w:rPr>
                <w:color w:val="auto"/>
              </w:rPr>
              <w:t>运营期大气环境影响分析和污染防治措施</w:t>
            </w:r>
          </w:p>
          <w:p w14:paraId="7669839E">
            <w:pPr>
              <w:pStyle w:val="4"/>
              <w:bidi w:val="0"/>
              <w:rPr>
                <w:color w:val="auto"/>
              </w:rPr>
            </w:pPr>
            <w:r>
              <w:rPr>
                <w:color w:val="auto"/>
              </w:rPr>
              <w:t>4.</w:t>
            </w:r>
            <w:r>
              <w:rPr>
                <w:rFonts w:hint="eastAsia"/>
                <w:color w:val="auto"/>
              </w:rPr>
              <w:t>2</w:t>
            </w:r>
            <w:r>
              <w:rPr>
                <w:color w:val="auto"/>
              </w:rPr>
              <w:t>.1运营期废气源强核算</w:t>
            </w:r>
          </w:p>
          <w:p w14:paraId="16BDCF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bCs/>
                <w:color w:val="auto"/>
                <w:sz w:val="24"/>
                <w:highlight w:val="yellow"/>
                <w:lang w:val="en-US" w:eastAsia="zh-CN"/>
              </w:rPr>
            </w:pPr>
            <w:r>
              <w:rPr>
                <w:rFonts w:hint="eastAsia" w:ascii="Times New Roman" w:hAnsi="Times New Roman" w:eastAsia="宋体" w:cs="Times New Roman"/>
                <w:color w:val="auto"/>
                <w:sz w:val="24"/>
                <w:highlight w:val="none"/>
                <w:u w:val="none"/>
                <w:lang w:val="en-US" w:eastAsia="zh-CN"/>
              </w:rPr>
              <w:t>项目运营期产生的废气主要为</w:t>
            </w:r>
            <w:r>
              <w:rPr>
                <w:rFonts w:hint="eastAsia" w:cs="Times New Roman"/>
                <w:color w:val="auto"/>
                <w:sz w:val="24"/>
                <w:highlight w:val="none"/>
                <w:u w:val="none"/>
                <w:lang w:val="en-US" w:eastAsia="zh-CN"/>
              </w:rPr>
              <w:t>注塑废气、涂胶废气、复合废气、挤出废气、破碎粉尘、焊接烟尘等</w:t>
            </w:r>
            <w:r>
              <w:rPr>
                <w:rFonts w:hint="eastAsia" w:ascii="Times New Roman" w:hAnsi="Times New Roman" w:eastAsia="宋体" w:cs="Times New Roman"/>
                <w:color w:val="auto"/>
                <w:sz w:val="24"/>
                <w:highlight w:val="none"/>
                <w:u w:val="none"/>
                <w:lang w:val="en-US" w:eastAsia="zh-CN"/>
              </w:rPr>
              <w:t>。</w:t>
            </w:r>
          </w:p>
          <w:p w14:paraId="64E755AF">
            <w:pPr>
              <w:pStyle w:val="69"/>
              <w:keepNext w:val="0"/>
              <w:keepLines w:val="0"/>
              <w:pageBreakBefore w:val="0"/>
              <w:widowControl w:val="0"/>
              <w:kinsoku/>
              <w:wordWrap/>
              <w:overflowPunct/>
              <w:topLinePunct w:val="0"/>
              <w:autoSpaceDE/>
              <w:autoSpaceDN/>
              <w:bidi w:val="0"/>
              <w:adjustRightInd/>
              <w:snapToGrid/>
              <w:spacing w:after="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（1）注塑件生产废气</w:t>
            </w:r>
          </w:p>
          <w:p w14:paraId="697851E5">
            <w:pPr>
              <w:adjustRightInd w:val="0"/>
              <w:snapToGrid w:val="0"/>
              <w:spacing w:line="360" w:lineRule="auto"/>
              <w:ind w:firstLine="482" w:firstLineChars="200"/>
              <w:jc w:val="both"/>
              <w:rPr>
                <w:rFonts w:hint="eastAsia" w:cs="Times New Roman"/>
                <w:b/>
                <w:bCs/>
                <w:color w:val="auto"/>
                <w:sz w:val="24"/>
                <w:highlight w:val="none"/>
                <w:u w:val="none"/>
                <w:lang w:val="en-US" w:eastAsia="zh-CN"/>
              </w:rPr>
            </w:pPr>
            <w:r>
              <w:rPr>
                <w:rFonts w:hint="eastAsia" w:cs="Times New Roman"/>
                <w:b/>
                <w:bCs/>
                <w:color w:val="auto"/>
                <w:sz w:val="24"/>
                <w:highlight w:val="none"/>
                <w:u w:val="none"/>
                <w:lang w:val="en-US" w:eastAsia="zh-CN"/>
              </w:rPr>
              <w:t>注塑废气：</w:t>
            </w:r>
          </w:p>
          <w:p w14:paraId="1389B081">
            <w:pPr>
              <w:numPr>
                <w:ilvl w:val="0"/>
                <w:numId w:val="0"/>
              </w:num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①非甲烷总烃</w:t>
            </w:r>
          </w:p>
          <w:p w14:paraId="577B81DD">
            <w:pPr>
              <w:numPr>
                <w:ilvl w:val="0"/>
                <w:numId w:val="0"/>
              </w:num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注塑废气参考《排放源统计调查产排污核算方法和系数手册》中的“292 塑料制品行业系数手册”中2929塑料零件及其他塑料制品制造行业系数表，注塑工序的非甲烷总烃产生量为2.7kg/t产品，根据建设单位提供资料，项目注塑产品重量约170t/a，则注塑过程非甲烷总烃产生量为0.459t/a。注塑废气经集气罩收集后采用“二级活性炭吸附装置”处理后，由1根25m高排气筒(DA002)排放。</w:t>
            </w:r>
          </w:p>
          <w:p w14:paraId="7B210548">
            <w:pPr>
              <w:tabs>
                <w:tab w:val="left" w:pos="3420"/>
              </w:tabs>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②其他特征污染物</w:t>
            </w:r>
          </w:p>
          <w:p w14:paraId="71D7AFEE">
            <w:pPr>
              <w:numPr>
                <w:ilvl w:val="0"/>
                <w:numId w:val="0"/>
              </w:numPr>
              <w:tabs>
                <w:tab w:val="left" w:pos="3420"/>
              </w:tabs>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注塑成型使用的原料主要为PBT、PA6/PA66、PC/ABS、PP，</w:t>
            </w:r>
            <w:r>
              <w:rPr>
                <w:rFonts w:hint="eastAsia" w:ascii="Times New Roman" w:hAnsi="Times New Roman" w:cs="Times New Roman"/>
                <w:color w:val="auto"/>
                <w:sz w:val="24"/>
                <w:highlight w:val="none"/>
                <w:lang w:val="en-US" w:eastAsia="zh-CN"/>
              </w:rPr>
              <w:t>结合</w:t>
            </w:r>
            <w:r>
              <w:rPr>
                <w:rFonts w:hint="eastAsia" w:cs="Times New Roman"/>
                <w:color w:val="auto"/>
                <w:sz w:val="24"/>
                <w:highlight w:val="none"/>
                <w:lang w:val="en-US" w:eastAsia="zh-CN"/>
              </w:rPr>
              <w:t>各塑料原料的理化性质及</w:t>
            </w:r>
            <w:r>
              <w:rPr>
                <w:rFonts w:hint="eastAsia" w:ascii="Times New Roman" w:hAnsi="Times New Roman" w:cs="Times New Roman"/>
                <w:color w:val="auto"/>
                <w:sz w:val="24"/>
                <w:highlight w:val="none"/>
                <w:lang w:val="en-US" w:eastAsia="zh-CN"/>
              </w:rPr>
              <w:t>查询</w:t>
            </w:r>
            <w:r>
              <w:rPr>
                <w:rFonts w:hint="eastAsia" w:ascii="Times New Roman" w:hAnsi="Times New Roman" w:cs="Times New Roman"/>
                <w:color w:val="auto"/>
                <w:sz w:val="24"/>
                <w:highlight w:val="none"/>
                <w:lang w:val="en-US" w:eastAsia="zh-CN"/>
              </w:rPr>
              <w:fldChar w:fldCharType="begin"/>
            </w:r>
            <w:r>
              <w:rPr>
                <w:rFonts w:hint="eastAsia" w:ascii="Times New Roman" w:hAnsi="Times New Roman" w:cs="Times New Roman"/>
                <w:color w:val="auto"/>
                <w:sz w:val="24"/>
                <w:highlight w:val="none"/>
                <w:lang w:val="en-US" w:eastAsia="zh-CN"/>
              </w:rPr>
              <w:instrText xml:space="preserve"> HYPERLINK "https://www.mee.gov.cn/ywgz/fgbz/bz/bzwb/dqhjbh/dqgdwrywrwpfbz/201505/W020240612354056402310.pdf" </w:instrText>
            </w:r>
            <w:r>
              <w:rPr>
                <w:rFonts w:hint="eastAsia" w:ascii="Times New Roman" w:hAnsi="Times New Roman" w:cs="Times New Roman"/>
                <w:color w:val="auto"/>
                <w:sz w:val="24"/>
                <w:highlight w:val="none"/>
                <w:lang w:val="en-US" w:eastAsia="zh-CN"/>
              </w:rPr>
              <w:fldChar w:fldCharType="separate"/>
            </w:r>
            <w:r>
              <w:rPr>
                <w:rFonts w:hint="eastAsia" w:ascii="Times New Roman" w:hAnsi="Times New Roman" w:cs="Times New Roman"/>
                <w:color w:val="auto"/>
                <w:sz w:val="24"/>
                <w:highlight w:val="none"/>
                <w:lang w:val="en-US" w:eastAsia="zh-CN"/>
              </w:rPr>
              <w:t>《合成树脂工业污染物排放标准》(GB 31572-2015，含2024年修改单)</w:t>
            </w:r>
            <w:r>
              <w:rPr>
                <w:rFonts w:hint="eastAsia" w:ascii="Times New Roman" w:hAnsi="Times New Roman" w:cs="Times New Roman"/>
                <w:color w:val="auto"/>
                <w:sz w:val="24"/>
                <w:highlight w:val="none"/>
                <w:lang w:val="en-US" w:eastAsia="zh-CN"/>
              </w:rPr>
              <w:fldChar w:fldCharType="end"/>
            </w:r>
            <w:r>
              <w:rPr>
                <w:rFonts w:hint="eastAsia" w:cs="Times New Roman"/>
                <w:color w:val="auto"/>
                <w:sz w:val="24"/>
                <w:highlight w:val="none"/>
                <w:lang w:val="en-US" w:eastAsia="zh-CN"/>
              </w:rPr>
              <w:t>，识别各原料受</w:t>
            </w:r>
            <w:r>
              <w:rPr>
                <w:rFonts w:hint="default" w:ascii="Times New Roman" w:hAnsi="Times New Roman" w:cs="Times New Roman"/>
                <w:color w:val="auto"/>
                <w:sz w:val="24"/>
                <w:highlight w:val="none"/>
                <w:lang w:val="en-US" w:eastAsia="zh-CN"/>
              </w:rPr>
              <w:t>热可能挥发的废气污染物，见表</w:t>
            </w:r>
            <w:r>
              <w:rPr>
                <w:rFonts w:hint="eastAsia" w:cs="Times New Roman"/>
                <w:color w:val="auto"/>
                <w:sz w:val="24"/>
                <w:highlight w:val="none"/>
                <w:lang w:val="en-US" w:eastAsia="zh-CN"/>
              </w:rPr>
              <w:t>4-1</w:t>
            </w:r>
            <w:r>
              <w:rPr>
                <w:rFonts w:hint="default" w:ascii="Times New Roman" w:hAnsi="Times New Roman" w:cs="Times New Roman"/>
                <w:color w:val="auto"/>
                <w:sz w:val="24"/>
                <w:highlight w:val="none"/>
                <w:lang w:val="en-US" w:eastAsia="zh-CN"/>
              </w:rPr>
              <w:t>。</w:t>
            </w:r>
          </w:p>
          <w:p w14:paraId="235A10B8">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p>
          <w:p w14:paraId="3DE802CF">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p>
          <w:p w14:paraId="2581E044">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4-1</w:t>
            </w:r>
            <w:r>
              <w:rPr>
                <w:rFonts w:hint="default" w:ascii="Times New Roman" w:hAnsi="Times New Roman" w:cs="Times New Roman"/>
                <w:color w:val="auto"/>
                <w:highlight w:val="none"/>
                <w:lang w:val="en-US" w:eastAsia="zh-CN"/>
              </w:rPr>
              <w:t xml:space="preserve">  原材料</w:t>
            </w:r>
            <w:r>
              <w:rPr>
                <w:rFonts w:hint="eastAsia" w:cs="Times New Roman"/>
                <w:color w:val="auto"/>
                <w:highlight w:val="none"/>
                <w:lang w:val="en-US" w:eastAsia="zh-CN"/>
              </w:rPr>
              <w:t>受热可能挥发的污染物识别结果</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5749"/>
            </w:tblGrid>
            <w:tr w14:paraId="64D2F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1F514CBE">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原材料名称</w:t>
                  </w:r>
                </w:p>
              </w:tc>
              <w:tc>
                <w:tcPr>
                  <w:tcW w:w="3618" w:type="pct"/>
                  <w:tcBorders>
                    <w:tl2br w:val="nil"/>
                    <w:tr2bl w:val="nil"/>
                  </w:tcBorders>
                  <w:noWrap w:val="0"/>
                  <w:vAlign w:val="center"/>
                </w:tcPr>
                <w:p w14:paraId="7B407E04">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受热可能挥发的</w:t>
                  </w:r>
                  <w:r>
                    <w:rPr>
                      <w:rFonts w:hint="eastAsia" w:cs="Times New Roman"/>
                      <w:color w:val="auto"/>
                      <w:highlight w:val="none"/>
                      <w:lang w:val="en-US" w:eastAsia="zh-CN"/>
                    </w:rPr>
                    <w:t>污染物</w:t>
                  </w:r>
                </w:p>
              </w:tc>
            </w:tr>
            <w:tr w14:paraId="605C8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4D5FF474">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PBT</w:t>
                  </w:r>
                </w:p>
              </w:tc>
              <w:tc>
                <w:tcPr>
                  <w:tcW w:w="3618" w:type="pct"/>
                  <w:tcBorders>
                    <w:tl2br w:val="nil"/>
                    <w:tr2bl w:val="nil"/>
                  </w:tcBorders>
                  <w:noWrap w:val="0"/>
                  <w:vAlign w:val="center"/>
                </w:tcPr>
                <w:p w14:paraId="269FE6DD">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四氢呋喃、乙醛</w:t>
                  </w:r>
                </w:p>
              </w:tc>
            </w:tr>
            <w:tr w14:paraId="63226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7B686F66">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PA6/PA66</w:t>
                  </w:r>
                </w:p>
              </w:tc>
              <w:tc>
                <w:tcPr>
                  <w:tcW w:w="3618" w:type="pct"/>
                  <w:tcBorders>
                    <w:tl2br w:val="nil"/>
                    <w:tr2bl w:val="nil"/>
                  </w:tcBorders>
                  <w:noWrap w:val="0"/>
                  <w:vAlign w:val="center"/>
                </w:tcPr>
                <w:p w14:paraId="23A023C1">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r>
                    <w:rPr>
                      <w:rFonts w:hint="eastAsia" w:cs="Times New Roman"/>
                      <w:color w:val="auto"/>
                      <w:highlight w:val="none"/>
                      <w:lang w:val="en-US" w:eastAsia="zh-CN"/>
                    </w:rPr>
                    <w:t>、氨</w:t>
                  </w:r>
                </w:p>
              </w:tc>
            </w:tr>
            <w:tr w14:paraId="4A427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0337B580">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PC/ABS</w:t>
                  </w:r>
                </w:p>
              </w:tc>
              <w:tc>
                <w:tcPr>
                  <w:tcW w:w="3618" w:type="pct"/>
                  <w:tcBorders>
                    <w:tl2br w:val="nil"/>
                    <w:tr2bl w:val="nil"/>
                  </w:tcBorders>
                  <w:noWrap w:val="0"/>
                  <w:vAlign w:val="center"/>
                </w:tcPr>
                <w:p w14:paraId="23E55FD2">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r>
                    <w:rPr>
                      <w:rFonts w:hint="eastAsia" w:cs="Times New Roman"/>
                      <w:color w:val="auto"/>
                      <w:highlight w:val="none"/>
                      <w:lang w:val="en-US" w:eastAsia="zh-CN"/>
                    </w:rPr>
                    <w:t>、酚类、氯苯类、二氯甲烷、</w:t>
                  </w:r>
                  <w:r>
                    <w:rPr>
                      <w:rFonts w:hint="default" w:ascii="Times New Roman" w:hAnsi="Times New Roman" w:cs="Times New Roman"/>
                      <w:color w:val="auto"/>
                      <w:highlight w:val="none"/>
                      <w:lang w:val="en-US" w:eastAsia="zh-CN"/>
                    </w:rPr>
                    <w:t>丙烯腈、丁二烯、苯乙烯</w:t>
                  </w:r>
                  <w:r>
                    <w:rPr>
                      <w:rFonts w:hint="eastAsia" w:cs="Times New Roman"/>
                      <w:color w:val="auto"/>
                      <w:highlight w:val="none"/>
                      <w:lang w:val="en-US" w:eastAsia="zh-CN"/>
                    </w:rPr>
                    <w:t>、甲苯、乙苯</w:t>
                  </w:r>
                </w:p>
              </w:tc>
            </w:tr>
            <w:tr w14:paraId="4CFC9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6BAE4532">
                  <w:pPr>
                    <w:pStyle w:val="161"/>
                    <w:bidi w:val="0"/>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PP</w:t>
                  </w:r>
                </w:p>
              </w:tc>
              <w:tc>
                <w:tcPr>
                  <w:tcW w:w="3618" w:type="pct"/>
                  <w:tcBorders>
                    <w:tl2br w:val="nil"/>
                    <w:tr2bl w:val="nil"/>
                  </w:tcBorders>
                  <w:noWrap w:val="0"/>
                  <w:vAlign w:val="center"/>
                </w:tcPr>
                <w:p w14:paraId="5451DA6D">
                  <w:pPr>
                    <w:pStyle w:val="16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r>
          </w:tbl>
          <w:p w14:paraId="51C0C5EB">
            <w:pPr>
              <w:pStyle w:val="16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四氢呋喃、乙醛：</w:t>
            </w:r>
          </w:p>
          <w:p w14:paraId="3E25FDFD">
            <w:pPr>
              <w:pStyle w:val="16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auto"/>
                <w:highlight w:val="none"/>
                <w:lang w:val="en-US" w:eastAsia="zh-CN"/>
              </w:rPr>
            </w:pPr>
            <w:r>
              <w:rPr>
                <w:rFonts w:hint="eastAsia"/>
                <w:color w:val="auto"/>
                <w:sz w:val="24"/>
                <w:highlight w:val="none"/>
                <w:lang w:val="en-US" w:eastAsia="zh-CN"/>
              </w:rPr>
              <w:t>根据PBT塑料的理化性质，其分解温度通常在‌260~290℃‌之间。当温度超过260℃时，PBT分子链中的酯键会发生断裂，可能释放出乙醛、四氢呋喃等小分子化合物。然而，在本项目的注塑工艺中，温度严格控制在‌180~220℃‌范围内，远低于PBT的分解温度。同时，注塑过程中塑料粒子的停留时间极短，因此‌不会产生四氢呋喃、乙醛等气体‌。</w:t>
            </w:r>
          </w:p>
          <w:p w14:paraId="5FF6C6FA">
            <w:pPr>
              <w:pStyle w:val="162"/>
              <w:keepNext/>
              <w:keepLines/>
              <w:pageBreakBefore w:val="0"/>
              <w:widowControl w:val="0"/>
              <w:kinsoku/>
              <w:wordWrap/>
              <w:overflowPunct/>
              <w:topLinePunct w:val="0"/>
              <w:autoSpaceDE/>
              <w:autoSpaceDN/>
              <w:bidi w:val="0"/>
              <w:adjustRightInd w:val="0"/>
              <w:snapToGrid w:val="0"/>
              <w:spacing w:beforeLines="0"/>
              <w:textAlignment w:val="auto"/>
              <w:rPr>
                <w:rFonts w:hint="eastAsia"/>
                <w:b/>
                <w:bCs/>
                <w:color w:val="auto"/>
                <w:sz w:val="24"/>
                <w:lang w:val="en-US" w:eastAsia="zh-CN"/>
              </w:rPr>
            </w:pPr>
            <w:r>
              <w:rPr>
                <w:rFonts w:hint="eastAsia"/>
                <w:b/>
                <w:bCs/>
                <w:color w:val="auto"/>
                <w:sz w:val="24"/>
                <w:lang w:val="en-US" w:eastAsia="zh-CN"/>
              </w:rPr>
              <w:t>氨：</w:t>
            </w:r>
          </w:p>
          <w:p w14:paraId="5D0FBF9A">
            <w:pPr>
              <w:pStyle w:val="162"/>
              <w:keepNext/>
              <w:keepLines/>
              <w:pageBreakBefore w:val="0"/>
              <w:widowControl w:val="0"/>
              <w:kinsoku/>
              <w:wordWrap/>
              <w:overflowPunct/>
              <w:topLinePunct w:val="0"/>
              <w:autoSpaceDE/>
              <w:autoSpaceDN/>
              <w:bidi w:val="0"/>
              <w:adjustRightInd w:val="0"/>
              <w:snapToGrid w:val="0"/>
              <w:spacing w:beforeLines="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本项目根据PA6/PA66的理化性质，其热分解温度需超过300℃（PA6）或350℃（PA66）时才会释放氨气，而本项目注塑工艺严格将温度控制在180℃~220℃范围内，远低于材料分解阈值，</w:t>
            </w:r>
            <w:r>
              <w:rPr>
                <w:rFonts w:hint="eastAsia"/>
                <w:color w:val="auto"/>
                <w:sz w:val="24"/>
                <w:highlight w:val="none"/>
                <w:lang w:val="en-US" w:eastAsia="zh-CN"/>
              </w:rPr>
              <w:t>注塑过程中塑料粒子的停留时间极短</w:t>
            </w:r>
            <w:r>
              <w:rPr>
                <w:rFonts w:hint="default" w:ascii="Times New Roman" w:hAnsi="Times New Roman" w:cs="Times New Roman"/>
                <w:color w:val="auto"/>
                <w:sz w:val="24"/>
                <w:lang w:val="en-US" w:eastAsia="zh-CN"/>
              </w:rPr>
              <w:t>，避免了分子链断裂风险，因此不会产生氨气</w:t>
            </w:r>
            <w:r>
              <w:rPr>
                <w:rFonts w:hint="eastAsia" w:ascii="Times New Roman" w:hAnsi="Times New Roman" w:cs="Times New Roman"/>
                <w:color w:val="auto"/>
                <w:sz w:val="24"/>
                <w:lang w:val="en-US" w:eastAsia="zh-CN"/>
              </w:rPr>
              <w:t>。</w:t>
            </w:r>
          </w:p>
          <w:p w14:paraId="4A7B6336">
            <w:pPr>
              <w:pStyle w:val="162"/>
              <w:keepNext/>
              <w:keepLines/>
              <w:pageBreakBefore w:val="0"/>
              <w:widowControl w:val="0"/>
              <w:kinsoku/>
              <w:wordWrap/>
              <w:overflowPunct/>
              <w:topLinePunct w:val="0"/>
              <w:autoSpaceDE/>
              <w:autoSpaceDN/>
              <w:bidi w:val="0"/>
              <w:adjustRightInd w:val="0"/>
              <w:snapToGrid w:val="0"/>
              <w:spacing w:before="0" w:beforeLines="0" w:line="360" w:lineRule="auto"/>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酚类、氯苯类、二氯甲烷、丙烯腈、丁二烯、苯乙烯、甲苯、乙苯：</w:t>
            </w:r>
          </w:p>
          <w:p w14:paraId="40C5F39C">
            <w:pPr>
              <w:keepNext w:val="0"/>
              <w:keepLines w:val="0"/>
              <w:pageBreakBefore w:val="0"/>
              <w:widowControl w:val="0"/>
              <w:tabs>
                <w:tab w:val="left" w:pos="3420"/>
              </w:tabs>
              <w:kinsoku/>
              <w:wordWrap/>
              <w:overflowPunct/>
              <w:topLinePunct w:val="0"/>
              <w:autoSpaceDE/>
              <w:autoSpaceDN/>
              <w:bidi w:val="0"/>
              <w:adjustRightInd/>
              <w:snapToGrid w:val="0"/>
              <w:spacing w:before="157" w:beforeLines="50"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项目使用的PC/ABS塑料粒子特别选用非光气法聚碳酸酯（PC）与丙烯腈-丁二烯-苯乙烯共聚物（ABS）共聚物的混合物，</w:t>
            </w:r>
            <w:r>
              <w:rPr>
                <w:rFonts w:hint="default" w:ascii="Times New Roman" w:hAnsi="Times New Roman" w:cs="Times New Roman"/>
                <w:color w:val="auto"/>
                <w:sz w:val="24"/>
                <w:lang w:val="en-US" w:eastAsia="zh-CN"/>
              </w:rPr>
              <w:t>根据</w:t>
            </w:r>
            <w:r>
              <w:rPr>
                <w:rFonts w:hint="eastAsia" w:cs="Times New Roman"/>
                <w:color w:val="auto"/>
                <w:sz w:val="24"/>
                <w:lang w:val="en-US" w:eastAsia="zh-CN"/>
              </w:rPr>
              <w:t>其理化性质，PC/ABS的裂解温度通常需达到‌260</w:t>
            </w:r>
            <w:r>
              <w:rPr>
                <w:rFonts w:hint="default" w:ascii="Times New Roman" w:hAnsi="Times New Roman" w:cs="Times New Roman"/>
                <w:color w:val="auto"/>
                <w:sz w:val="24"/>
                <w:lang w:val="en-US" w:eastAsia="zh-CN"/>
              </w:rPr>
              <w:t>℃</w:t>
            </w:r>
            <w:r>
              <w:rPr>
                <w:rFonts w:hint="eastAsia" w:cs="Times New Roman"/>
                <w:color w:val="auto"/>
                <w:sz w:val="24"/>
                <w:lang w:val="en-US" w:eastAsia="zh-CN"/>
              </w:rPr>
              <w:t>以上，</w:t>
            </w:r>
            <w:r>
              <w:rPr>
                <w:rFonts w:hint="default" w:ascii="Times New Roman" w:hAnsi="Times New Roman" w:cs="Times New Roman"/>
                <w:color w:val="auto"/>
                <w:sz w:val="24"/>
                <w:lang w:val="en-US" w:eastAsia="zh-CN"/>
              </w:rPr>
              <w:t>而本项目注塑工艺严格将温度控制在180℃~220℃范围内，远低于材料分解阈值</w:t>
            </w:r>
            <w:r>
              <w:rPr>
                <w:rFonts w:hint="eastAsia" w:cs="Times New Roman"/>
                <w:color w:val="auto"/>
                <w:sz w:val="24"/>
                <w:lang w:val="en-US" w:eastAsia="zh-CN"/>
              </w:rPr>
              <w:t>且</w:t>
            </w:r>
            <w:r>
              <w:rPr>
                <w:rFonts w:hint="eastAsia"/>
                <w:color w:val="auto"/>
                <w:sz w:val="24"/>
                <w:highlight w:val="none"/>
                <w:lang w:val="en-US" w:eastAsia="zh-CN"/>
              </w:rPr>
              <w:t>注塑过程中塑料粒子的停留时间极短</w:t>
            </w:r>
            <w:r>
              <w:rPr>
                <w:rFonts w:hint="default" w:ascii="Times New Roman" w:hAnsi="Times New Roman" w:cs="Times New Roman"/>
                <w:color w:val="auto"/>
                <w:sz w:val="24"/>
                <w:lang w:val="en-US" w:eastAsia="zh-CN"/>
              </w:rPr>
              <w:t>，避免了分子链断裂风险</w:t>
            </w:r>
            <w:r>
              <w:rPr>
                <w:rFonts w:hint="eastAsia" w:cs="Times New Roman"/>
                <w:color w:val="auto"/>
                <w:sz w:val="24"/>
                <w:lang w:val="en-US" w:eastAsia="zh-CN"/>
              </w:rPr>
              <w:t>，</w:t>
            </w:r>
            <w:r>
              <w:rPr>
                <w:rFonts w:hint="default" w:ascii="Times New Roman" w:hAnsi="Times New Roman" w:cs="Times New Roman"/>
                <w:color w:val="auto"/>
                <w:sz w:val="24"/>
                <w:lang w:val="en-US" w:eastAsia="zh-CN"/>
              </w:rPr>
              <w:t>因此不会产酚类、氯苯类、二氯甲烷、丙烯腈、丁二烯、苯乙烯、甲苯、乙苯</w:t>
            </w:r>
            <w:r>
              <w:rPr>
                <w:rFonts w:hint="eastAsia" w:cs="Times New Roman"/>
                <w:color w:val="auto"/>
                <w:sz w:val="24"/>
                <w:lang w:val="en-US" w:eastAsia="zh-CN"/>
              </w:rPr>
              <w:t>气体。‌</w:t>
            </w:r>
          </w:p>
          <w:p w14:paraId="1E579D3B">
            <w:pPr>
              <w:numPr>
                <w:ilvl w:val="0"/>
                <w:numId w:val="0"/>
              </w:num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color w:val="auto"/>
                <w:sz w:val="24"/>
                <w:highlight w:val="none"/>
                <w:lang w:val="en-US" w:eastAsia="zh-CN"/>
              </w:rPr>
              <w:t>③</w:t>
            </w:r>
            <w:r>
              <w:rPr>
                <w:rFonts w:hint="eastAsia" w:ascii="Times New Roman" w:hAnsi="Times New Roman" w:eastAsia="宋体" w:cs="Times New Roman"/>
                <w:color w:val="auto"/>
                <w:sz w:val="24"/>
                <w:szCs w:val="24"/>
                <w:highlight w:val="none"/>
                <w:lang w:val="en-US" w:eastAsia="zh-CN"/>
              </w:rPr>
              <w:t>恶臭</w:t>
            </w:r>
          </w:p>
          <w:p w14:paraId="510BE872">
            <w:pPr>
              <w:numPr>
                <w:ilvl w:val="0"/>
                <w:numId w:val="0"/>
              </w:num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一般恶臭多为复合恶臭形式</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强度与恶臭物质的种类和浓度有关。有无气味及气味的大小与恶臭物质的空气中的浓度有关。恶臭的标准可以以人的嗅觉器官对气味的反应将恶臭强度分为若干级的臭味强度等级法，该标准由日本制定，在国际上也比较通用。标准中从嗅觉强度上将恶臭分为0、1、2、3、4、5六个等级，详见下表所示。</w:t>
            </w:r>
          </w:p>
          <w:p w14:paraId="5E64CCE5">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4"/>
                <w:szCs w:val="24"/>
                <w:highlight w:val="none"/>
                <w:vertAlign w:val="baseline"/>
                <w:lang w:val="en-US" w:eastAsia="zh-CN"/>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lang w:eastAsia="zh-CN"/>
              </w:rPr>
              <w:t xml:space="preserve"> </w:t>
            </w:r>
            <w:r>
              <w:rPr>
                <w:rFonts w:hint="eastAsia" w:ascii="Times New Roman" w:hAnsi="Times New Roman" w:eastAsia="黑体" w:cs="Times New Roman"/>
                <w:color w:val="auto"/>
                <w:sz w:val="24"/>
                <w:szCs w:val="24"/>
                <w:highlight w:val="none"/>
                <w:lang w:val="en-US" w:eastAsia="zh-CN"/>
              </w:rPr>
              <w:t>恶臭情况分类情况一览表</w:t>
            </w:r>
          </w:p>
          <w:tbl>
            <w:tblPr>
              <w:tblStyle w:val="3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3916"/>
              <w:gridCol w:w="2909"/>
            </w:tblGrid>
            <w:tr w14:paraId="3767F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56D168B4">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恶臭等级</w:t>
                  </w:r>
                </w:p>
              </w:tc>
              <w:tc>
                <w:tcPr>
                  <w:tcW w:w="3916" w:type="dxa"/>
                  <w:tcBorders>
                    <w:tl2br w:val="nil"/>
                    <w:tr2bl w:val="nil"/>
                  </w:tcBorders>
                  <w:noWrap w:val="0"/>
                  <w:vAlign w:val="top"/>
                </w:tcPr>
                <w:p w14:paraId="037F149B">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臭气感觉强度</w:t>
                  </w:r>
                </w:p>
              </w:tc>
              <w:tc>
                <w:tcPr>
                  <w:tcW w:w="2909" w:type="dxa"/>
                  <w:tcBorders>
                    <w:tl2br w:val="nil"/>
                    <w:tr2bl w:val="nil"/>
                  </w:tcBorders>
                  <w:noWrap w:val="0"/>
                  <w:vAlign w:val="top"/>
                </w:tcPr>
                <w:p w14:paraId="6ED4E755">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臭气强度</w:t>
                  </w:r>
                </w:p>
              </w:tc>
            </w:tr>
            <w:tr w14:paraId="3C3E4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351CD0CF">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p>
              </w:tc>
              <w:tc>
                <w:tcPr>
                  <w:tcW w:w="3916" w:type="dxa"/>
                  <w:tcBorders>
                    <w:tl2br w:val="nil"/>
                    <w:tr2bl w:val="nil"/>
                  </w:tcBorders>
                  <w:noWrap w:val="0"/>
                  <w:vAlign w:val="top"/>
                </w:tcPr>
                <w:p w14:paraId="4379C535">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无臭</w:t>
                  </w:r>
                </w:p>
              </w:tc>
              <w:tc>
                <w:tcPr>
                  <w:tcW w:w="2909" w:type="dxa"/>
                  <w:tcBorders>
                    <w:tl2br w:val="nil"/>
                    <w:tr2bl w:val="nil"/>
                  </w:tcBorders>
                  <w:noWrap w:val="0"/>
                  <w:vAlign w:val="top"/>
                </w:tcPr>
                <w:p w14:paraId="0A216344">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无气味</w:t>
                  </w:r>
                </w:p>
              </w:tc>
            </w:tr>
            <w:tr w14:paraId="676B9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596D40F2">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c>
                <w:tcPr>
                  <w:tcW w:w="3916" w:type="dxa"/>
                  <w:tcBorders>
                    <w:tl2br w:val="nil"/>
                    <w:tr2bl w:val="nil"/>
                  </w:tcBorders>
                  <w:noWrap w:val="0"/>
                  <w:vAlign w:val="top"/>
                </w:tcPr>
                <w:p w14:paraId="36AF1B02">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勉强感觉臭味存在</w:t>
                  </w:r>
                </w:p>
              </w:tc>
              <w:tc>
                <w:tcPr>
                  <w:tcW w:w="2909" w:type="dxa"/>
                  <w:tcBorders>
                    <w:tl2br w:val="nil"/>
                    <w:tr2bl w:val="nil"/>
                  </w:tcBorders>
                  <w:noWrap w:val="0"/>
                  <w:vAlign w:val="top"/>
                </w:tcPr>
                <w:p w14:paraId="1CF2EED7">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嗅阈</w:t>
                  </w:r>
                </w:p>
              </w:tc>
            </w:tr>
            <w:tr w14:paraId="53DEA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59167F59">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c>
                <w:tcPr>
                  <w:tcW w:w="3916" w:type="dxa"/>
                  <w:tcBorders>
                    <w:tl2br w:val="nil"/>
                    <w:tr2bl w:val="nil"/>
                  </w:tcBorders>
                  <w:noWrap w:val="0"/>
                  <w:vAlign w:val="top"/>
                </w:tcPr>
                <w:p w14:paraId="0FA564FB">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稍可感觉出臭味</w:t>
                  </w:r>
                </w:p>
              </w:tc>
              <w:tc>
                <w:tcPr>
                  <w:tcW w:w="2909" w:type="dxa"/>
                  <w:tcBorders>
                    <w:tl2br w:val="nil"/>
                    <w:tr2bl w:val="nil"/>
                  </w:tcBorders>
                  <w:noWrap w:val="0"/>
                  <w:vAlign w:val="top"/>
                </w:tcPr>
                <w:p w14:paraId="1BB0997E">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轻微</w:t>
                  </w:r>
                </w:p>
              </w:tc>
            </w:tr>
            <w:tr w14:paraId="14B6C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3F0F87C6">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3916" w:type="dxa"/>
                  <w:tcBorders>
                    <w:tl2br w:val="nil"/>
                    <w:tr2bl w:val="nil"/>
                  </w:tcBorders>
                  <w:noWrap w:val="0"/>
                  <w:vAlign w:val="top"/>
                </w:tcPr>
                <w:p w14:paraId="5184B2A3">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极易感觉臭味存在</w:t>
                  </w:r>
                </w:p>
              </w:tc>
              <w:tc>
                <w:tcPr>
                  <w:tcW w:w="2909" w:type="dxa"/>
                  <w:tcBorders>
                    <w:tl2br w:val="nil"/>
                    <w:tr2bl w:val="nil"/>
                  </w:tcBorders>
                  <w:noWrap w:val="0"/>
                  <w:vAlign w:val="top"/>
                </w:tcPr>
                <w:p w14:paraId="122F1687">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明显</w:t>
                  </w:r>
                </w:p>
              </w:tc>
            </w:tr>
            <w:tr w14:paraId="47B19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256F2EF1">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w:t>
                  </w:r>
                </w:p>
              </w:tc>
              <w:tc>
                <w:tcPr>
                  <w:tcW w:w="3916" w:type="dxa"/>
                  <w:tcBorders>
                    <w:tl2br w:val="nil"/>
                    <w:tr2bl w:val="nil"/>
                  </w:tcBorders>
                  <w:noWrap w:val="0"/>
                  <w:vAlign w:val="top"/>
                </w:tcPr>
                <w:p w14:paraId="0AEF5585">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强烈的气味</w:t>
                  </w:r>
                </w:p>
              </w:tc>
              <w:tc>
                <w:tcPr>
                  <w:tcW w:w="2909" w:type="dxa"/>
                  <w:tcBorders>
                    <w:tl2br w:val="nil"/>
                    <w:tr2bl w:val="nil"/>
                  </w:tcBorders>
                  <w:noWrap w:val="0"/>
                  <w:vAlign w:val="top"/>
                </w:tcPr>
                <w:p w14:paraId="17B6FBD7">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强烈</w:t>
                  </w:r>
                </w:p>
              </w:tc>
            </w:tr>
            <w:tr w14:paraId="72A6D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9" w:type="dxa"/>
                  <w:tcBorders>
                    <w:tl2br w:val="nil"/>
                    <w:tr2bl w:val="nil"/>
                  </w:tcBorders>
                  <w:noWrap w:val="0"/>
                  <w:vAlign w:val="top"/>
                </w:tcPr>
                <w:p w14:paraId="50F7ECF1">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w:t>
                  </w:r>
                </w:p>
              </w:tc>
              <w:tc>
                <w:tcPr>
                  <w:tcW w:w="3916" w:type="dxa"/>
                  <w:tcBorders>
                    <w:tl2br w:val="nil"/>
                    <w:tr2bl w:val="nil"/>
                  </w:tcBorders>
                  <w:noWrap w:val="0"/>
                  <w:vAlign w:val="top"/>
                </w:tcPr>
                <w:p w14:paraId="731356D9">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无法忍受的极强气味</w:t>
                  </w:r>
                </w:p>
              </w:tc>
              <w:tc>
                <w:tcPr>
                  <w:tcW w:w="2909" w:type="dxa"/>
                  <w:tcBorders>
                    <w:tl2br w:val="nil"/>
                    <w:tr2bl w:val="nil"/>
                  </w:tcBorders>
                  <w:noWrap w:val="0"/>
                  <w:vAlign w:val="top"/>
                </w:tcPr>
                <w:p w14:paraId="23EC7CE1">
                  <w:pPr>
                    <w:keepLines/>
                    <w:pageBreakBefore w:val="0"/>
                    <w:kinsoku/>
                    <w:wordWrap/>
                    <w:topLinePunct w:val="0"/>
                    <w:bidi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极强烈</w:t>
                  </w:r>
                </w:p>
              </w:tc>
            </w:tr>
          </w:tbl>
          <w:p w14:paraId="26443E01">
            <w:pPr>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同类型企业实际调查，本项目恶臭主要来源于注塑、挤出。生产车间内稍可感觉臭味存在，恶臭等级为2级；车间外恶臭味较小，恶臭等级为1级；车间外50m基本闻不到臭味，恶臭等级为0级。本项目生产车间与最近敏感点距离均大于50m</w:t>
            </w:r>
            <w:r>
              <w:rPr>
                <w:rFonts w:hint="eastAsia" w:cs="Times New Roman"/>
                <w:color w:val="auto"/>
                <w:sz w:val="24"/>
                <w:szCs w:val="24"/>
                <w:highlight w:val="none"/>
                <w:lang w:val="en-US" w:eastAsia="zh-CN"/>
              </w:rPr>
              <w:t>且</w:t>
            </w:r>
            <w:r>
              <w:rPr>
                <w:rFonts w:hint="eastAsia" w:ascii="Times New Roman" w:hAnsi="Times New Roman" w:eastAsia="宋体" w:cs="Times New Roman"/>
                <w:color w:val="auto"/>
                <w:sz w:val="24"/>
                <w:szCs w:val="24"/>
                <w:highlight w:val="none"/>
                <w:lang w:val="en-US" w:eastAsia="zh-CN"/>
              </w:rPr>
              <w:t>项目废气集气后经</w:t>
            </w:r>
            <w:r>
              <w:rPr>
                <w:rFonts w:hint="eastAsia"/>
                <w:color w:val="auto"/>
                <w:sz w:val="24"/>
                <w:highlight w:val="none"/>
                <w:lang w:val="en-US" w:eastAsia="zh-CN"/>
              </w:rPr>
              <w:t>“二级活性炭吸附装置”</w:t>
            </w:r>
            <w:r>
              <w:rPr>
                <w:rFonts w:hint="eastAsia" w:ascii="Times New Roman" w:hAnsi="Times New Roman" w:eastAsia="宋体" w:cs="Times New Roman"/>
                <w:color w:val="auto"/>
                <w:sz w:val="24"/>
                <w:szCs w:val="24"/>
                <w:highlight w:val="none"/>
                <w:lang w:val="en-US" w:eastAsia="zh-CN"/>
              </w:rPr>
              <w:t>处理，尾气引至楼顶高空排放，废气排放口周围勉强感觉臭味存在恶臭等级为1级，经大气扩散后，对周围环境影响较小。</w:t>
            </w:r>
          </w:p>
          <w:p w14:paraId="05D9A066">
            <w:pPr>
              <w:numPr>
                <w:ilvl w:val="0"/>
                <w:numId w:val="0"/>
              </w:numPr>
              <w:tabs>
                <w:tab w:val="left" w:pos="3420"/>
              </w:tabs>
              <w:snapToGrid w:val="0"/>
              <w:spacing w:line="360" w:lineRule="auto"/>
              <w:ind w:left="0" w:leftChars="0" w:firstLine="482" w:firstLineChars="200"/>
              <w:rPr>
                <w:rFonts w:hint="eastAsia"/>
                <w:b/>
                <w:bCs/>
                <w:color w:val="auto"/>
                <w:sz w:val="24"/>
                <w:highlight w:val="none"/>
                <w:lang w:val="en-US" w:eastAsia="zh-CN"/>
              </w:rPr>
            </w:pPr>
            <w:r>
              <w:rPr>
                <w:rFonts w:hint="eastAsia"/>
                <w:b/>
                <w:bCs/>
                <w:color w:val="auto"/>
                <w:sz w:val="24"/>
                <w:highlight w:val="none"/>
                <w:lang w:val="en-US" w:eastAsia="zh-CN"/>
              </w:rPr>
              <w:t>破碎粉尘：</w:t>
            </w:r>
          </w:p>
          <w:p w14:paraId="4B87AEB9">
            <w:pPr>
              <w:numPr>
                <w:ilvl w:val="0"/>
                <w:numId w:val="0"/>
              </w:numPr>
              <w:tabs>
                <w:tab w:val="left" w:pos="3420"/>
              </w:tabs>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生产过程中产生的废边角料进行破碎后回用，在破碎过程会产生粉尘。废边角料</w:t>
            </w:r>
            <w:r>
              <w:rPr>
                <w:rFonts w:hint="eastAsia" w:ascii="Times New Roman" w:hAnsi="Times New Roman" w:eastAsia="宋体" w:cs="Times New Roman"/>
                <w:b w:val="0"/>
                <w:bCs w:val="0"/>
                <w:color w:val="auto"/>
                <w:kern w:val="2"/>
                <w:sz w:val="24"/>
                <w:szCs w:val="24"/>
                <w:lang w:val="en-US" w:eastAsia="zh-CN" w:bidi="ar-SA"/>
              </w:rPr>
              <w:t>产生量约为</w:t>
            </w:r>
            <w:r>
              <w:rPr>
                <w:rFonts w:hint="eastAsia" w:cs="Times New Roman"/>
                <w:b w:val="0"/>
                <w:bCs w:val="0"/>
                <w:color w:val="auto"/>
                <w:kern w:val="2"/>
                <w:sz w:val="24"/>
                <w:szCs w:val="24"/>
                <w:lang w:val="en-US" w:eastAsia="zh-CN" w:bidi="ar-SA"/>
              </w:rPr>
              <w:t>17.4</w:t>
            </w:r>
            <w:r>
              <w:rPr>
                <w:rFonts w:hint="eastAsia" w:ascii="Times New Roman" w:hAnsi="Times New Roman" w:eastAsia="宋体" w:cs="Times New Roman"/>
                <w:b w:val="0"/>
                <w:bCs w:val="0"/>
                <w:color w:val="auto"/>
                <w:kern w:val="2"/>
                <w:sz w:val="24"/>
                <w:szCs w:val="24"/>
                <w:lang w:val="en-US" w:eastAsia="zh-CN" w:bidi="ar-SA"/>
              </w:rPr>
              <w:t>t/a（约为原料用量的</w:t>
            </w:r>
            <w:r>
              <w:rPr>
                <w:rFonts w:hint="eastAsia" w:cs="Times New Roman"/>
                <w:b w:val="0"/>
                <w:bCs w:val="0"/>
                <w:color w:val="auto"/>
                <w:kern w:val="2"/>
                <w:sz w:val="24"/>
                <w:szCs w:val="24"/>
                <w:lang w:val="en-US" w:eastAsia="zh-CN" w:bidi="ar-SA"/>
              </w:rPr>
              <w:t>10</w:t>
            </w:r>
            <w:r>
              <w:rPr>
                <w:rFonts w:hint="eastAsia" w:ascii="Times New Roman" w:hAnsi="Times New Roman" w:eastAsia="宋体" w:cs="Times New Roman"/>
                <w:b w:val="0"/>
                <w:bCs w:val="0"/>
                <w:color w:val="auto"/>
                <w:kern w:val="2"/>
                <w:sz w:val="24"/>
                <w:szCs w:val="24"/>
                <w:lang w:val="en-US" w:eastAsia="zh-CN" w:bidi="ar-SA"/>
              </w:rPr>
              <w:t>%）</w:t>
            </w:r>
            <w:r>
              <w:rPr>
                <w:rFonts w:hint="eastAsia"/>
                <w:color w:val="auto"/>
                <w:sz w:val="24"/>
                <w:highlight w:val="none"/>
                <w:lang w:val="en-US" w:eastAsia="zh-CN"/>
              </w:rPr>
              <w:t>，参照《排放源统计调查产排污核算方法和系数手册》中《42废弃资源综合利用行业系数手册》，废PS/ABS破碎工序颗粒物产生系数425g/t-原料（PBT、PA6/PA66、PP、PC/ABS）从严参照此标准），则破碎产生的颗粒物的量为：0.007t/a，</w:t>
            </w:r>
            <w:r>
              <w:rPr>
                <w:rFonts w:hint="eastAsia" w:ascii="Times New Roman" w:hAnsi="Times New Roman" w:eastAsia="宋体" w:cs="Times New Roman"/>
                <w:color w:val="auto"/>
                <w:sz w:val="24"/>
                <w:szCs w:val="24"/>
                <w:highlight w:val="none"/>
                <w:lang w:val="en-US" w:eastAsia="zh-CN"/>
              </w:rPr>
              <w:t>采用</w:t>
            </w:r>
            <w:r>
              <w:rPr>
                <w:rFonts w:hint="eastAsia" w:ascii="Times New Roman" w:hAnsi="Times New Roman" w:eastAsia="宋体" w:cs="Times New Roman"/>
                <w:color w:val="auto"/>
                <w:sz w:val="24"/>
                <w:szCs w:val="24"/>
                <w:lang w:val="en-US" w:eastAsia="zh-CN"/>
              </w:rPr>
              <w:t>袋式除尘器</w:t>
            </w:r>
            <w:r>
              <w:rPr>
                <w:rFonts w:hint="eastAsia" w:ascii="Times New Roman" w:hAnsi="Times New Roman" w:eastAsia="宋体" w:cs="Times New Roman"/>
                <w:color w:val="auto"/>
                <w:sz w:val="24"/>
                <w:szCs w:val="24"/>
                <w:highlight w:val="none"/>
                <w:lang w:val="en-US" w:eastAsia="zh-CN"/>
              </w:rPr>
              <w:t>对</w:t>
            </w:r>
            <w:r>
              <w:rPr>
                <w:rFonts w:hint="eastAsia"/>
                <w:color w:val="auto"/>
                <w:sz w:val="24"/>
                <w:highlight w:val="none"/>
                <w:lang w:val="en-US" w:eastAsia="zh-CN"/>
              </w:rPr>
              <w:t>破碎粉尘</w:t>
            </w:r>
            <w:r>
              <w:rPr>
                <w:rFonts w:hint="eastAsia" w:ascii="Times New Roman" w:hAnsi="Times New Roman" w:eastAsia="宋体" w:cs="Times New Roman"/>
                <w:color w:val="auto"/>
                <w:sz w:val="24"/>
                <w:szCs w:val="24"/>
                <w:highlight w:val="none"/>
                <w:lang w:val="en-US" w:eastAsia="zh-CN"/>
              </w:rPr>
              <w:t>处理后于车间内无组织排放</w:t>
            </w:r>
            <w:r>
              <w:rPr>
                <w:rFonts w:hint="eastAsia" w:ascii="Times New Roman" w:hAnsi="Times New Roman" w:cs="Times New Roman"/>
                <w:color w:val="auto"/>
                <w:sz w:val="24"/>
                <w:szCs w:val="24"/>
                <w:highlight w:val="none"/>
                <w:lang w:val="en-US" w:eastAsia="zh-CN"/>
              </w:rPr>
              <w:t>。</w:t>
            </w:r>
          </w:p>
          <w:p w14:paraId="69E6E05A">
            <w:pPr>
              <w:pStyle w:val="69"/>
              <w:keepNext w:val="0"/>
              <w:keepLines w:val="0"/>
              <w:pageBreakBefore w:val="0"/>
              <w:widowControl w:val="0"/>
              <w:kinsoku/>
              <w:wordWrap/>
              <w:overflowPunct/>
              <w:topLinePunct w:val="0"/>
              <w:autoSpaceDE/>
              <w:autoSpaceDN/>
              <w:bidi w:val="0"/>
              <w:adjustRightInd/>
              <w:snapToGrid/>
              <w:spacing w:after="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（2）下卡条生产废气</w:t>
            </w:r>
          </w:p>
          <w:p w14:paraId="40600C7B">
            <w:pPr>
              <w:pStyle w:val="162"/>
              <w:keepNext/>
              <w:keepLines/>
              <w:pageBreakBefore w:val="0"/>
              <w:widowControl w:val="0"/>
              <w:kinsoku/>
              <w:wordWrap/>
              <w:overflowPunct/>
              <w:topLinePunct w:val="0"/>
              <w:autoSpaceDE/>
              <w:autoSpaceDN/>
              <w:bidi w:val="0"/>
              <w:adjustRightInd w:val="0"/>
              <w:snapToGrid w:val="0"/>
              <w:textAlignment w:val="auto"/>
              <w:rPr>
                <w:rFonts w:hint="eastAsia"/>
                <w:b/>
                <w:bCs/>
                <w:color w:val="auto"/>
                <w:sz w:val="24"/>
                <w:highlight w:val="none"/>
                <w:lang w:val="en-US" w:eastAsia="zh-CN"/>
              </w:rPr>
            </w:pPr>
            <w:r>
              <w:rPr>
                <w:rFonts w:hint="eastAsia"/>
                <w:b/>
                <w:bCs/>
                <w:color w:val="auto"/>
                <w:sz w:val="24"/>
                <w:highlight w:val="none"/>
                <w:lang w:val="en-US" w:eastAsia="zh-CN"/>
              </w:rPr>
              <w:t>涂胶废气：</w:t>
            </w:r>
          </w:p>
          <w:p w14:paraId="56B42196">
            <w:pPr>
              <w:pStyle w:val="162"/>
              <w:keepNext/>
              <w:keepLines/>
              <w:pageBreakBefore w:val="0"/>
              <w:widowControl w:val="0"/>
              <w:kinsoku/>
              <w:wordWrap/>
              <w:overflowPunct/>
              <w:topLinePunct w:val="0"/>
              <w:autoSpaceDE/>
              <w:autoSpaceDN/>
              <w:bidi w:val="0"/>
              <w:adjustRightInd w:val="0"/>
              <w:snapToGrid w:val="0"/>
              <w:textAlignment w:val="auto"/>
              <w:rPr>
                <w:rFonts w:hint="eastAsia"/>
                <w:color w:val="auto"/>
                <w:sz w:val="24"/>
                <w:highlight w:val="none"/>
                <w:lang w:val="en-US" w:eastAsia="zh-CN"/>
              </w:rPr>
            </w:pPr>
            <w:r>
              <w:rPr>
                <w:rFonts w:hint="eastAsia"/>
                <w:color w:val="auto"/>
                <w:sz w:val="24"/>
                <w:highlight w:val="none"/>
                <w:lang w:val="en-US" w:eastAsia="zh-CN"/>
              </w:rPr>
              <w:t>①非甲烷总烃</w:t>
            </w:r>
          </w:p>
          <w:p w14:paraId="4469A3B5">
            <w:pPr>
              <w:adjustRightInd w:val="0"/>
              <w:snapToGrid w:val="0"/>
              <w:spacing w:line="360" w:lineRule="auto"/>
              <w:ind w:firstLine="480" w:firstLineChars="200"/>
              <w:rPr>
                <w:rFonts w:hint="eastAsia"/>
                <w:color w:val="auto"/>
                <w:kern w:val="0"/>
                <w:sz w:val="24"/>
                <w:szCs w:val="20"/>
              </w:rPr>
            </w:pPr>
            <w:r>
              <w:rPr>
                <w:rFonts w:hint="eastAsia"/>
                <w:color w:val="auto"/>
                <w:kern w:val="0"/>
                <w:sz w:val="24"/>
                <w:szCs w:val="20"/>
              </w:rPr>
              <w:t>项目</w:t>
            </w:r>
            <w:r>
              <w:rPr>
                <w:rFonts w:hint="eastAsia"/>
                <w:color w:val="auto"/>
                <w:kern w:val="0"/>
                <w:sz w:val="24"/>
                <w:szCs w:val="20"/>
                <w:lang w:val="en-US" w:eastAsia="zh-CN"/>
              </w:rPr>
              <w:t>涂胶</w:t>
            </w:r>
            <w:r>
              <w:rPr>
                <w:rFonts w:hint="eastAsia"/>
                <w:color w:val="auto"/>
                <w:kern w:val="0"/>
                <w:sz w:val="24"/>
                <w:szCs w:val="20"/>
                <w:lang w:eastAsia="zh-CN"/>
              </w:rPr>
              <w:t>工序</w:t>
            </w:r>
            <w:r>
              <w:rPr>
                <w:rFonts w:hint="eastAsia"/>
                <w:color w:val="auto"/>
                <w:kern w:val="0"/>
                <w:sz w:val="24"/>
                <w:szCs w:val="20"/>
              </w:rPr>
              <w:t>采用</w:t>
            </w:r>
            <w:r>
              <w:rPr>
                <w:rFonts w:hint="eastAsia"/>
                <w:color w:val="auto"/>
                <w:kern w:val="0"/>
                <w:sz w:val="24"/>
                <w:szCs w:val="20"/>
                <w:lang w:val="en-US" w:eastAsia="zh-CN"/>
              </w:rPr>
              <w:t>铝带底涂剂和PP底涂剂</w:t>
            </w:r>
            <w:r>
              <w:rPr>
                <w:rFonts w:hint="eastAsia"/>
                <w:color w:val="auto"/>
                <w:kern w:val="0"/>
                <w:sz w:val="24"/>
                <w:szCs w:val="20"/>
              </w:rPr>
              <w:t>作为胶粘剂，</w:t>
            </w:r>
            <w:r>
              <w:rPr>
                <w:rFonts w:hint="default" w:ascii="Times New Roman" w:hAnsi="Times New Roman" w:eastAsia="宋体" w:cs="Times New Roman"/>
                <w:color w:val="auto"/>
                <w:sz w:val="24"/>
              </w:rPr>
              <w:t>根据建设单位提供的</w:t>
            </w:r>
            <w:r>
              <w:rPr>
                <w:rFonts w:hint="eastAsia" w:cs="Times New Roman"/>
                <w:color w:val="auto"/>
                <w:sz w:val="24"/>
                <w:lang w:val="en-US" w:eastAsia="zh-CN"/>
              </w:rPr>
              <w:t>MSDS</w:t>
            </w:r>
            <w:r>
              <w:rPr>
                <w:rFonts w:hint="default" w:ascii="Times New Roman" w:hAnsi="Times New Roman" w:eastAsia="宋体" w:cs="Times New Roman"/>
                <w:color w:val="auto"/>
                <w:sz w:val="24"/>
              </w:rPr>
              <w:t>报告，</w:t>
            </w:r>
            <w:r>
              <w:rPr>
                <w:rFonts w:hint="eastAsia"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使用</w:t>
            </w:r>
            <w:r>
              <w:rPr>
                <w:rFonts w:hint="eastAsia"/>
                <w:color w:val="auto"/>
                <w:kern w:val="0"/>
                <w:sz w:val="24"/>
                <w:szCs w:val="20"/>
                <w:lang w:val="en-US" w:eastAsia="zh-CN"/>
              </w:rPr>
              <w:t>铝带底涂剂</w:t>
            </w:r>
            <w:r>
              <w:rPr>
                <w:rFonts w:hint="eastAsia" w:ascii="Times New Roman" w:hAnsi="Times New Roman" w:eastAsia="宋体" w:cs="Times New Roman"/>
                <w:color w:val="auto"/>
                <w:sz w:val="24"/>
                <w:lang w:val="en-US" w:eastAsia="zh-CN"/>
              </w:rPr>
              <w:t>挥发性有机物占比</w:t>
            </w:r>
            <w:r>
              <w:rPr>
                <w:rFonts w:hint="eastAsia" w:cs="Times New Roman"/>
                <w:color w:val="auto"/>
                <w:sz w:val="24"/>
                <w:lang w:val="en-US" w:eastAsia="zh-CN"/>
              </w:rPr>
              <w:t>约</w:t>
            </w:r>
            <w:r>
              <w:rPr>
                <w:rFonts w:hint="eastAsia" w:ascii="Times New Roman" w:hAnsi="Times New Roman" w:eastAsia="宋体" w:cs="Times New Roman"/>
                <w:color w:val="auto"/>
                <w:sz w:val="24"/>
                <w:lang w:val="en-US" w:eastAsia="zh-CN"/>
              </w:rPr>
              <w:t>为</w:t>
            </w:r>
            <w:r>
              <w:rPr>
                <w:rFonts w:hint="eastAsia" w:cs="Times New Roman"/>
                <w:bCs/>
                <w:color w:val="auto"/>
                <w:sz w:val="24"/>
                <w:lang w:val="en-US" w:eastAsia="zh-CN"/>
              </w:rPr>
              <w:t>96</w:t>
            </w:r>
            <w:r>
              <w:rPr>
                <w:rFonts w:hint="eastAsia" w:ascii="Times New Roman" w:hAnsi="Times New Roman" w:eastAsia="宋体" w:cs="Times New Roman"/>
                <w:bCs/>
                <w:color w:val="auto"/>
                <w:sz w:val="24"/>
                <w:lang w:val="en-US" w:eastAsia="zh-CN"/>
              </w:rPr>
              <w:t>%；使用的PP底涂剂</w:t>
            </w:r>
            <w:r>
              <w:rPr>
                <w:rFonts w:hint="eastAsia" w:ascii="Times New Roman" w:hAnsi="Times New Roman" w:eastAsia="宋体" w:cs="Times New Roman"/>
                <w:color w:val="auto"/>
                <w:sz w:val="24"/>
                <w:lang w:val="en-US" w:eastAsia="zh-CN"/>
              </w:rPr>
              <w:t>挥发性有机物占比为90.9%</w:t>
            </w:r>
            <w:r>
              <w:rPr>
                <w:rFonts w:hint="eastAsia" w:cs="Times New Roman"/>
                <w:color w:val="auto"/>
                <w:sz w:val="24"/>
                <w:lang w:val="en-US" w:eastAsia="zh-CN"/>
              </w:rPr>
              <w:t>（考虑</w:t>
            </w:r>
            <w:r>
              <w:rPr>
                <w:rFonts w:hint="eastAsia" w:ascii="Times New Roman" w:hAnsi="Times New Roman" w:eastAsia="宋体" w:cs="Times New Roman"/>
                <w:bCs/>
                <w:color w:val="auto"/>
                <w:sz w:val="24"/>
                <w:lang w:val="en-US" w:eastAsia="zh-CN"/>
              </w:rPr>
              <w:t>PP底涂剂中</w:t>
            </w:r>
            <w:r>
              <w:rPr>
                <w:rFonts w:hint="eastAsia" w:cs="Times New Roman"/>
                <w:color w:val="auto"/>
                <w:sz w:val="24"/>
                <w:lang w:val="en-US" w:eastAsia="zh-CN"/>
              </w:rPr>
              <w:t>氯化聚丙烯不挥发）</w:t>
            </w:r>
            <w:r>
              <w:rPr>
                <w:rFonts w:hint="eastAsia" w:ascii="Times New Roman" w:hAnsi="Times New Roman" w:eastAsia="宋体" w:cs="Times New Roman"/>
                <w:color w:val="auto"/>
                <w:sz w:val="24"/>
                <w:lang w:val="en-US" w:eastAsia="zh-CN"/>
              </w:rPr>
              <w:t>。</w:t>
            </w:r>
            <w:r>
              <w:rPr>
                <w:rFonts w:hint="eastAsia"/>
                <w:color w:val="auto"/>
                <w:kern w:val="0"/>
                <w:sz w:val="24"/>
                <w:szCs w:val="20"/>
              </w:rPr>
              <w:t>生产过程中VOCs（以非甲烷总烃计）产生量按最不利情况下挥发分100%挥发计算。则本项目有机废气产生情况见下表。</w:t>
            </w:r>
          </w:p>
          <w:p w14:paraId="54659476">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color w:val="auto"/>
                <w:kern w:val="0"/>
                <w:sz w:val="24"/>
                <w:szCs w:val="20"/>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3</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lang w:eastAsia="zh-CN"/>
              </w:rPr>
              <w:t xml:space="preserve"> </w:t>
            </w:r>
            <w:r>
              <w:rPr>
                <w:rFonts w:hint="eastAsia" w:ascii="Times New Roman" w:hAnsi="Times New Roman" w:eastAsia="黑体" w:cs="Times New Roman"/>
                <w:color w:val="auto"/>
                <w:sz w:val="24"/>
                <w:szCs w:val="24"/>
                <w:highlight w:val="none"/>
                <w:lang w:val="en-US" w:eastAsia="zh-CN"/>
              </w:rPr>
              <w:t>涂胶有机废气产生情况一览表</w:t>
            </w:r>
          </w:p>
          <w:tbl>
            <w:tblPr>
              <w:tblStyle w:val="35"/>
              <w:tblW w:w="495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515"/>
              <w:gridCol w:w="945"/>
              <w:gridCol w:w="1067"/>
              <w:gridCol w:w="1183"/>
              <w:gridCol w:w="1012"/>
              <w:gridCol w:w="1124"/>
            </w:tblGrid>
            <w:tr w14:paraId="37420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tcBorders>
                    <w:tl2br w:val="nil"/>
                    <w:tr2bl w:val="nil"/>
                  </w:tcBorders>
                  <w:noWrap w:val="0"/>
                  <w:vAlign w:val="center"/>
                </w:tcPr>
                <w:p w14:paraId="2A26358E">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w:t>
                  </w:r>
                  <w:r>
                    <w:rPr>
                      <w:rFonts w:ascii="Times New Roman" w:hAnsi="Times New Roman" w:eastAsia="宋体" w:cs="Times New Roman"/>
                      <w:color w:val="auto"/>
                      <w:sz w:val="21"/>
                      <w:szCs w:val="21"/>
                    </w:rPr>
                    <w:t>产生</w:t>
                  </w:r>
                  <w:r>
                    <w:rPr>
                      <w:rFonts w:hint="eastAsia" w:ascii="Times New Roman" w:hAnsi="Times New Roman" w:eastAsia="宋体" w:cs="Times New Roman"/>
                      <w:color w:val="auto"/>
                      <w:sz w:val="21"/>
                      <w:szCs w:val="21"/>
                    </w:rPr>
                    <w:t>工序</w:t>
                  </w:r>
                </w:p>
              </w:tc>
              <w:tc>
                <w:tcPr>
                  <w:tcW w:w="961" w:type="pct"/>
                  <w:tcBorders>
                    <w:tl2br w:val="nil"/>
                    <w:tr2bl w:val="nil"/>
                  </w:tcBorders>
                  <w:noWrap w:val="0"/>
                  <w:vAlign w:val="center"/>
                </w:tcPr>
                <w:p w14:paraId="3080D055">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胶粘剂</w:t>
                  </w:r>
                  <w:r>
                    <w:rPr>
                      <w:rFonts w:ascii="Times New Roman" w:hAnsi="Times New Roman" w:eastAsia="宋体" w:cs="Times New Roman"/>
                      <w:color w:val="auto"/>
                      <w:sz w:val="21"/>
                      <w:szCs w:val="21"/>
                    </w:rPr>
                    <w:t>种类</w:t>
                  </w:r>
                </w:p>
              </w:tc>
              <w:tc>
                <w:tcPr>
                  <w:tcW w:w="600" w:type="pct"/>
                  <w:tcBorders>
                    <w:tl2br w:val="nil"/>
                    <w:tr2bl w:val="nil"/>
                  </w:tcBorders>
                  <w:noWrap w:val="0"/>
                  <w:vAlign w:val="center"/>
                </w:tcPr>
                <w:p w14:paraId="7A792C31">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用量t</w:t>
                  </w:r>
                  <w:r>
                    <w:rPr>
                      <w:rFonts w:ascii="Times New Roman" w:hAnsi="Times New Roman" w:eastAsia="宋体" w:cs="Times New Roman"/>
                      <w:color w:val="auto"/>
                      <w:sz w:val="21"/>
                      <w:szCs w:val="21"/>
                    </w:rPr>
                    <w:t>/a</w:t>
                  </w:r>
                </w:p>
              </w:tc>
              <w:tc>
                <w:tcPr>
                  <w:tcW w:w="677" w:type="pct"/>
                  <w:tcBorders>
                    <w:tl2br w:val="nil"/>
                    <w:tr2bl w:val="nil"/>
                  </w:tcBorders>
                  <w:noWrap w:val="0"/>
                  <w:vAlign w:val="center"/>
                </w:tcPr>
                <w:p w14:paraId="7E6A9828">
                  <w:pPr>
                    <w:adjustRightInd w:val="0"/>
                    <w:snapToGrid w:val="0"/>
                    <w:spacing w:line="240" w:lineRule="auto"/>
                    <w:ind w:left="-105" w:leftChars="-50" w:right="-105" w:rightChars="-5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挥发分含量</w:t>
                  </w:r>
                  <w:r>
                    <w:rPr>
                      <w:rFonts w:hint="eastAsia" w:cs="Times New Roman"/>
                      <w:color w:val="auto"/>
                      <w:sz w:val="21"/>
                      <w:szCs w:val="21"/>
                      <w:lang w:val="en-US" w:eastAsia="zh-CN"/>
                    </w:rPr>
                    <w:t>%</w:t>
                  </w:r>
                </w:p>
              </w:tc>
              <w:tc>
                <w:tcPr>
                  <w:tcW w:w="751" w:type="pct"/>
                  <w:tcBorders>
                    <w:tl2br w:val="nil"/>
                    <w:tr2bl w:val="nil"/>
                  </w:tcBorders>
                  <w:noWrap w:val="0"/>
                  <w:vAlign w:val="center"/>
                </w:tcPr>
                <w:p w14:paraId="7AC02A22">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r>
                    <w:rPr>
                      <w:rFonts w:hint="eastAsia" w:ascii="Times New Roman" w:hAnsi="Times New Roman" w:eastAsia="宋体" w:cs="Times New Roman"/>
                      <w:color w:val="auto"/>
                      <w:sz w:val="21"/>
                      <w:szCs w:val="21"/>
                    </w:rPr>
                    <w:t>产生量t</w:t>
                  </w:r>
                  <w:r>
                    <w:rPr>
                      <w:rFonts w:ascii="Times New Roman" w:hAnsi="Times New Roman" w:eastAsia="宋体" w:cs="Times New Roman"/>
                      <w:color w:val="auto"/>
                      <w:sz w:val="21"/>
                      <w:szCs w:val="21"/>
                    </w:rPr>
                    <w:t>/a</w:t>
                  </w:r>
                </w:p>
              </w:tc>
              <w:tc>
                <w:tcPr>
                  <w:tcW w:w="642" w:type="pct"/>
                  <w:tcBorders>
                    <w:tl2br w:val="nil"/>
                    <w:tr2bl w:val="nil"/>
                  </w:tcBorders>
                  <w:noWrap w:val="0"/>
                  <w:vAlign w:val="center"/>
                </w:tcPr>
                <w:p w14:paraId="7B1AD79C">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处理措施</w:t>
                  </w:r>
                </w:p>
              </w:tc>
              <w:tc>
                <w:tcPr>
                  <w:tcW w:w="713" w:type="pct"/>
                  <w:tcBorders>
                    <w:tl2br w:val="nil"/>
                    <w:tr2bl w:val="nil"/>
                  </w:tcBorders>
                  <w:noWrap w:val="0"/>
                  <w:vAlign w:val="center"/>
                </w:tcPr>
                <w:p w14:paraId="75001D14">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排气筒</w:t>
                  </w:r>
                </w:p>
              </w:tc>
            </w:tr>
            <w:tr w14:paraId="6918B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restart"/>
                  <w:tcBorders>
                    <w:tl2br w:val="nil"/>
                    <w:tr2bl w:val="nil"/>
                  </w:tcBorders>
                  <w:noWrap w:val="0"/>
                  <w:vAlign w:val="center"/>
                </w:tcPr>
                <w:p w14:paraId="50B77494">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涂胶</w:t>
                  </w:r>
                </w:p>
              </w:tc>
              <w:tc>
                <w:tcPr>
                  <w:tcW w:w="961" w:type="pct"/>
                  <w:tcBorders>
                    <w:tl2br w:val="nil"/>
                    <w:tr2bl w:val="nil"/>
                  </w:tcBorders>
                  <w:noWrap w:val="0"/>
                  <w:vAlign w:val="center"/>
                </w:tcPr>
                <w:p w14:paraId="45665E51">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highlight w:val="none"/>
                      <w:lang w:val="en-US" w:eastAsia="zh-CN" w:bidi="he-IL"/>
                    </w:rPr>
                    <w:t>铝带底涂剂</w:t>
                  </w:r>
                </w:p>
              </w:tc>
              <w:tc>
                <w:tcPr>
                  <w:tcW w:w="600" w:type="pct"/>
                  <w:tcBorders>
                    <w:tl2br w:val="nil"/>
                    <w:tr2bl w:val="nil"/>
                  </w:tcBorders>
                  <w:noWrap w:val="0"/>
                  <w:vAlign w:val="center"/>
                </w:tcPr>
                <w:p w14:paraId="1DD1DA35">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rPr>
                    <w:t>0.1</w:t>
                  </w:r>
                </w:p>
              </w:tc>
              <w:tc>
                <w:tcPr>
                  <w:tcW w:w="677" w:type="pct"/>
                  <w:tcBorders>
                    <w:tl2br w:val="nil"/>
                    <w:tr2bl w:val="nil"/>
                  </w:tcBorders>
                  <w:noWrap w:val="0"/>
                  <w:vAlign w:val="center"/>
                </w:tcPr>
                <w:p w14:paraId="17880F8D">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w:t>
                  </w:r>
                </w:p>
              </w:tc>
              <w:tc>
                <w:tcPr>
                  <w:tcW w:w="751" w:type="pct"/>
                  <w:vMerge w:val="restart"/>
                  <w:tcBorders>
                    <w:tl2br w:val="nil"/>
                    <w:tr2bl w:val="nil"/>
                  </w:tcBorders>
                  <w:noWrap w:val="0"/>
                  <w:vAlign w:val="center"/>
                </w:tcPr>
                <w:p w14:paraId="3D94EB4B">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0.187</w:t>
                  </w:r>
                </w:p>
              </w:tc>
              <w:tc>
                <w:tcPr>
                  <w:tcW w:w="642" w:type="pct"/>
                  <w:vMerge w:val="restart"/>
                  <w:tcBorders>
                    <w:tl2br w:val="nil"/>
                    <w:tr2bl w:val="nil"/>
                  </w:tcBorders>
                  <w:noWrap w:val="0"/>
                  <w:vAlign w:val="center"/>
                </w:tcPr>
                <w:p w14:paraId="49D6FB25">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cs="Times New Roman"/>
                      <w:color w:val="auto"/>
                      <w:sz w:val="21"/>
                      <w:szCs w:val="21"/>
                      <w:lang w:eastAsia="zh-CN"/>
                    </w:rPr>
                    <w:t>二级活性炭吸附装置</w:t>
                  </w:r>
                </w:p>
              </w:tc>
              <w:tc>
                <w:tcPr>
                  <w:tcW w:w="713" w:type="pct"/>
                  <w:vMerge w:val="restart"/>
                  <w:tcBorders>
                    <w:tl2br w:val="nil"/>
                    <w:tr2bl w:val="nil"/>
                  </w:tcBorders>
                  <w:noWrap w:val="0"/>
                  <w:vAlign w:val="center"/>
                </w:tcPr>
                <w:p w14:paraId="66BA4D2D">
                  <w:pPr>
                    <w:adjustRightInd w:val="0"/>
                    <w:snapToGrid w:val="0"/>
                    <w:spacing w:line="240" w:lineRule="auto"/>
                    <w:ind w:left="-105" w:leftChars="-50" w:right="-105" w:rightChars="-5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D</w:t>
                  </w:r>
                  <w:r>
                    <w:rPr>
                      <w:rFonts w:ascii="Times New Roman" w:hAnsi="Times New Roman" w:eastAsia="宋体" w:cs="Times New Roman"/>
                      <w:color w:val="auto"/>
                      <w:sz w:val="21"/>
                      <w:szCs w:val="21"/>
                    </w:rPr>
                    <w:t>A00</w:t>
                  </w:r>
                  <w:r>
                    <w:rPr>
                      <w:rFonts w:hint="eastAsia" w:ascii="Times New Roman" w:hAnsi="Times New Roman" w:eastAsia="宋体" w:cs="Times New Roman"/>
                      <w:color w:val="auto"/>
                      <w:sz w:val="21"/>
                      <w:szCs w:val="21"/>
                      <w:lang w:val="en-US" w:eastAsia="zh-CN"/>
                    </w:rPr>
                    <w:t>2</w:t>
                  </w:r>
                </w:p>
              </w:tc>
            </w:tr>
            <w:tr w14:paraId="4C84E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Borders>
                    <w:tl2br w:val="nil"/>
                    <w:tr2bl w:val="nil"/>
                  </w:tcBorders>
                  <w:noWrap w:val="0"/>
                  <w:vAlign w:val="center"/>
                </w:tcPr>
                <w:p w14:paraId="032273A4">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961" w:type="pct"/>
                  <w:tcBorders>
                    <w:tl2br w:val="nil"/>
                    <w:tr2bl w:val="nil"/>
                  </w:tcBorders>
                  <w:noWrap w:val="0"/>
                  <w:vAlign w:val="center"/>
                </w:tcPr>
                <w:p w14:paraId="3D35AE1E">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hint="default" w:ascii="Times New Roman" w:hAnsi="Times New Roman" w:eastAsia="宋体" w:cs="Times New Roman"/>
                      <w:color w:val="auto"/>
                      <w:kern w:val="0"/>
                      <w:sz w:val="21"/>
                      <w:szCs w:val="21"/>
                      <w:lang w:val="en-US" w:eastAsia="zh-CN" w:bidi="he-IL"/>
                    </w:rPr>
                  </w:pPr>
                  <w:r>
                    <w:rPr>
                      <w:rFonts w:hint="eastAsia" w:ascii="Times New Roman" w:hAnsi="Times New Roman" w:eastAsia="宋体" w:cs="Times New Roman"/>
                      <w:color w:val="auto"/>
                      <w:kern w:val="0"/>
                      <w:sz w:val="21"/>
                      <w:szCs w:val="21"/>
                      <w:highlight w:val="none"/>
                      <w:lang w:val="en-US" w:eastAsia="zh-CN" w:bidi="he-IL"/>
                    </w:rPr>
                    <w:t>PP底涂剂</w:t>
                  </w:r>
                </w:p>
              </w:tc>
              <w:tc>
                <w:tcPr>
                  <w:tcW w:w="600" w:type="pct"/>
                  <w:tcBorders>
                    <w:tl2br w:val="nil"/>
                    <w:tr2bl w:val="nil"/>
                  </w:tcBorders>
                  <w:noWrap w:val="0"/>
                  <w:vAlign w:val="center"/>
                </w:tcPr>
                <w:p w14:paraId="4184AAD3">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0"/>
                      <w:sz w:val="21"/>
                      <w:szCs w:val="21"/>
                      <w:lang w:val="en-US" w:eastAsia="zh-CN"/>
                    </w:rPr>
                    <w:t>0.1</w:t>
                  </w:r>
                </w:p>
              </w:tc>
              <w:tc>
                <w:tcPr>
                  <w:tcW w:w="677" w:type="pct"/>
                  <w:tcBorders>
                    <w:tl2br w:val="nil"/>
                    <w:tr2bl w:val="nil"/>
                  </w:tcBorders>
                  <w:noWrap w:val="0"/>
                  <w:vAlign w:val="center"/>
                </w:tcPr>
                <w:p w14:paraId="6F1E174B">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90.9</w:t>
                  </w:r>
                </w:p>
              </w:tc>
              <w:tc>
                <w:tcPr>
                  <w:tcW w:w="751" w:type="pct"/>
                  <w:vMerge w:val="continue"/>
                  <w:tcBorders>
                    <w:tl2br w:val="nil"/>
                    <w:tr2bl w:val="nil"/>
                  </w:tcBorders>
                  <w:noWrap w:val="0"/>
                  <w:vAlign w:val="center"/>
                </w:tcPr>
                <w:p w14:paraId="5FFFA88D">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642" w:type="pct"/>
                  <w:vMerge w:val="continue"/>
                  <w:tcBorders>
                    <w:tl2br w:val="nil"/>
                    <w:tr2bl w:val="nil"/>
                  </w:tcBorders>
                  <w:noWrap w:val="0"/>
                  <w:vAlign w:val="center"/>
                </w:tcPr>
                <w:p w14:paraId="4CCC8DD7">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713" w:type="pct"/>
                  <w:vMerge w:val="continue"/>
                  <w:tcBorders>
                    <w:tl2br w:val="nil"/>
                    <w:tr2bl w:val="nil"/>
                  </w:tcBorders>
                  <w:noWrap w:val="0"/>
                  <w:vAlign w:val="center"/>
                </w:tcPr>
                <w:p w14:paraId="22A2A4E8">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r>
          </w:tbl>
          <w:p w14:paraId="0EEF2BC7">
            <w:pPr>
              <w:adjustRightInd w:val="0"/>
              <w:snapToGrid w:val="0"/>
              <w:spacing w:before="157" w:beforeLines="50" w:line="360" w:lineRule="auto"/>
              <w:ind w:firstLine="480" w:firstLineChars="200"/>
              <w:rPr>
                <w:rFonts w:hint="eastAsia" w:ascii="Times New Roman" w:hAnsi="Times New Roman" w:eastAsia="宋体" w:cs="Times New Roman"/>
                <w:b w:val="0"/>
                <w:bCs w:val="0"/>
                <w:color w:val="auto"/>
                <w:sz w:val="24"/>
                <w:lang w:eastAsia="zh-CN"/>
              </w:rPr>
            </w:pPr>
            <w:r>
              <w:rPr>
                <w:rFonts w:hint="eastAsia" w:ascii="Times New Roman" w:hAnsi="Times New Roman" w:cs="Times New Roman"/>
                <w:color w:val="auto"/>
                <w:sz w:val="24"/>
                <w:szCs w:val="24"/>
                <w:highlight w:val="none"/>
                <w:lang w:val="en-US" w:eastAsia="zh-CN"/>
              </w:rPr>
              <w:t>②</w:t>
            </w:r>
            <w:r>
              <w:rPr>
                <w:rFonts w:hint="eastAsia" w:ascii="Times New Roman" w:hAnsi="Times New Roman" w:eastAsia="宋体" w:cs="Times New Roman"/>
                <w:b w:val="0"/>
                <w:bCs w:val="0"/>
                <w:color w:val="auto"/>
                <w:sz w:val="24"/>
                <w:lang w:eastAsia="zh-CN"/>
              </w:rPr>
              <w:t>甲苯</w:t>
            </w:r>
          </w:p>
          <w:p w14:paraId="77825C89">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根据建设单位提供的</w:t>
            </w:r>
            <w:r>
              <w:rPr>
                <w:rFonts w:hint="eastAsia" w:cs="Times New Roman"/>
                <w:color w:val="auto"/>
                <w:sz w:val="24"/>
                <w:lang w:val="en-US" w:eastAsia="zh-CN"/>
              </w:rPr>
              <w:t>MSDS</w:t>
            </w:r>
            <w:r>
              <w:rPr>
                <w:rFonts w:hint="eastAsia" w:ascii="Times New Roman" w:hAnsi="Times New Roman" w:eastAsia="宋体" w:cs="Times New Roman"/>
                <w:color w:val="auto"/>
                <w:sz w:val="24"/>
              </w:rPr>
              <w:t>，本项目</w:t>
            </w:r>
            <w:r>
              <w:rPr>
                <w:rFonts w:hint="eastAsia" w:ascii="Times New Roman" w:hAnsi="Times New Roman" w:eastAsia="宋体" w:cs="Times New Roman"/>
                <w:bCs/>
                <w:color w:val="auto"/>
                <w:sz w:val="24"/>
                <w:lang w:val="en-US" w:eastAsia="zh-CN"/>
              </w:rPr>
              <w:t>铝带底涂剂甲苯含量为</w:t>
            </w:r>
            <w:r>
              <w:rPr>
                <w:rFonts w:hint="eastAsia" w:cs="Times New Roman"/>
                <w:bCs/>
                <w:color w:val="auto"/>
                <w:sz w:val="24"/>
                <w:lang w:val="en-US" w:eastAsia="zh-CN"/>
              </w:rPr>
              <w:t>85</w:t>
            </w:r>
            <w:r>
              <w:rPr>
                <w:rFonts w:hint="eastAsia" w:ascii="Times New Roman" w:hAnsi="Times New Roman" w:eastAsia="宋体" w:cs="Times New Roman"/>
                <w:bCs/>
                <w:color w:val="auto"/>
                <w:sz w:val="24"/>
                <w:lang w:val="en-US" w:eastAsia="zh-CN"/>
              </w:rPr>
              <w:t>%~95%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本次评价取95%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color w:val="auto"/>
                <w:sz w:val="24"/>
              </w:rPr>
              <w:t>生产过程中</w:t>
            </w:r>
            <w:r>
              <w:rPr>
                <w:rFonts w:hint="eastAsia" w:ascii="Times New Roman" w:hAnsi="Times New Roman" w:eastAsia="宋体" w:cs="Times New Roman"/>
                <w:color w:val="auto"/>
                <w:sz w:val="24"/>
                <w:lang w:val="en-US" w:eastAsia="zh-CN"/>
              </w:rPr>
              <w:t>甲苯</w:t>
            </w:r>
            <w:r>
              <w:rPr>
                <w:rFonts w:hint="eastAsia" w:ascii="Times New Roman" w:hAnsi="Times New Roman" w:eastAsia="宋体" w:cs="Times New Roman"/>
                <w:color w:val="auto"/>
                <w:sz w:val="24"/>
              </w:rPr>
              <w:t>产生量</w:t>
            </w:r>
            <w:r>
              <w:rPr>
                <w:rFonts w:ascii="Times New Roman" w:hAnsi="Times New Roman" w:eastAsia="宋体" w:cs="Times New Roman"/>
                <w:color w:val="auto"/>
                <w:sz w:val="24"/>
              </w:rPr>
              <w:t>按</w:t>
            </w:r>
            <w:r>
              <w:rPr>
                <w:rFonts w:ascii="宋体" w:hAnsi="宋体" w:eastAsia="宋体" w:cs="Times New Roman"/>
                <w:color w:val="auto"/>
                <w:sz w:val="24"/>
              </w:rPr>
              <w:t>最不利情况下</w:t>
            </w:r>
            <w:r>
              <w:rPr>
                <w:rFonts w:hint="eastAsia" w:ascii="Times New Roman" w:hAnsi="Times New Roman" w:eastAsia="宋体" w:cs="Times New Roman"/>
                <w:color w:val="auto"/>
                <w:sz w:val="24"/>
              </w:rPr>
              <w:t>挥发分</w:t>
            </w:r>
            <w:r>
              <w:rPr>
                <w:rFonts w:ascii="Times New Roman" w:hAnsi="Times New Roman" w:eastAsia="宋体" w:cs="Times New Roman"/>
                <w:color w:val="auto"/>
                <w:sz w:val="24"/>
              </w:rPr>
              <w:t>100%挥发</w:t>
            </w:r>
            <w:r>
              <w:rPr>
                <w:rFonts w:ascii="宋体" w:hAnsi="宋体" w:eastAsia="宋体" w:cs="Times New Roman"/>
                <w:color w:val="auto"/>
                <w:sz w:val="24"/>
              </w:rPr>
              <w:t>计算</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则</w:t>
            </w:r>
            <w:r>
              <w:rPr>
                <w:rFonts w:hint="eastAsia" w:cs="Times New Roman"/>
                <w:color w:val="auto"/>
                <w:sz w:val="24"/>
                <w:lang w:val="en-US" w:eastAsia="zh-CN"/>
              </w:rPr>
              <w:t>涂胶工序</w:t>
            </w:r>
            <w:r>
              <w:rPr>
                <w:rFonts w:hint="eastAsia" w:ascii="Times New Roman" w:hAnsi="Times New Roman" w:eastAsia="宋体" w:cs="Times New Roman"/>
                <w:color w:val="auto"/>
                <w:sz w:val="24"/>
                <w:lang w:val="en-US" w:eastAsia="zh-CN"/>
              </w:rPr>
              <w:t>甲苯</w:t>
            </w:r>
            <w:r>
              <w:rPr>
                <w:rFonts w:hint="default" w:ascii="Times New Roman" w:hAnsi="Times New Roman" w:eastAsia="宋体" w:cs="Times New Roman"/>
                <w:color w:val="auto"/>
                <w:sz w:val="24"/>
              </w:rPr>
              <w:t>产生</w:t>
            </w:r>
            <w:r>
              <w:rPr>
                <w:rFonts w:hint="eastAsia" w:cs="Times New Roman"/>
                <w:color w:val="auto"/>
                <w:sz w:val="24"/>
                <w:lang w:val="en-US" w:eastAsia="zh-CN"/>
              </w:rPr>
              <w:t>量约0.095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14:paraId="16197F48">
            <w:pPr>
              <w:pStyle w:val="15"/>
              <w:ind w:firstLine="480" w:firstLineChars="200"/>
              <w:rPr>
                <w:rFonts w:hint="eastAsia" w:cs="Times New Roman"/>
                <w:color w:val="auto"/>
                <w:sz w:val="24"/>
                <w:lang w:val="en-US" w:eastAsia="zh-CN"/>
              </w:rPr>
            </w:pPr>
            <w:r>
              <w:rPr>
                <w:rFonts w:hint="eastAsia" w:cs="Times New Roman"/>
                <w:color w:val="auto"/>
                <w:sz w:val="24"/>
                <w:lang w:val="en-US" w:eastAsia="zh-CN"/>
              </w:rPr>
              <w:t>③苯系物</w:t>
            </w:r>
          </w:p>
          <w:p w14:paraId="2625AFA7">
            <w:pPr>
              <w:adjustRightInd w:val="0"/>
              <w:snapToGrid w:val="0"/>
              <w:spacing w:line="360" w:lineRule="auto"/>
              <w:ind w:firstLine="480" w:firstLineChars="200"/>
              <w:rPr>
                <w:rFonts w:hint="eastAsia" w:ascii="宋体" w:hAnsi="宋体" w:eastAsia="宋体" w:cs="Times New Roman"/>
                <w:color w:val="auto"/>
                <w:sz w:val="24"/>
              </w:rPr>
            </w:pPr>
            <w:r>
              <w:rPr>
                <w:rFonts w:hint="eastAsia" w:ascii="Times New Roman" w:hAnsi="Times New Roman" w:eastAsia="宋体" w:cs="Times New Roman"/>
                <w:color w:val="auto"/>
                <w:sz w:val="24"/>
              </w:rPr>
              <w:t>根据建设单位提供的</w:t>
            </w:r>
            <w:r>
              <w:rPr>
                <w:rFonts w:hint="eastAsia" w:cs="Times New Roman"/>
                <w:color w:val="auto"/>
                <w:sz w:val="24"/>
                <w:lang w:val="en-US" w:eastAsia="zh-CN"/>
              </w:rPr>
              <w:t>MSDS</w:t>
            </w:r>
            <w:r>
              <w:rPr>
                <w:rFonts w:hint="eastAsia" w:ascii="Times New Roman" w:hAnsi="Times New Roman" w:eastAsia="宋体" w:cs="Times New Roman"/>
                <w:color w:val="auto"/>
                <w:sz w:val="24"/>
              </w:rPr>
              <w:t>，本项目</w:t>
            </w:r>
            <w:r>
              <w:rPr>
                <w:rFonts w:hint="eastAsia" w:cs="Times New Roman"/>
                <w:color w:val="auto"/>
                <w:sz w:val="24"/>
                <w:lang w:eastAsia="zh-CN"/>
              </w:rPr>
              <w:t>铝带底涂剂</w:t>
            </w:r>
            <w:r>
              <w:rPr>
                <w:rFonts w:hint="eastAsia" w:cs="Times New Roman"/>
                <w:bCs/>
                <w:color w:val="auto"/>
                <w:sz w:val="24"/>
                <w:lang w:val="en-US" w:eastAsia="zh-CN"/>
              </w:rPr>
              <w:t>甲苯</w:t>
            </w:r>
            <w:r>
              <w:rPr>
                <w:rFonts w:hint="eastAsia" w:ascii="Times New Roman" w:hAnsi="Times New Roman" w:eastAsia="宋体" w:cs="Times New Roman"/>
                <w:bCs/>
                <w:color w:val="auto"/>
                <w:sz w:val="24"/>
              </w:rPr>
              <w:t>含量为</w:t>
            </w:r>
            <w:r>
              <w:rPr>
                <w:rFonts w:hint="eastAsia" w:cs="Times New Roman"/>
                <w:bCs/>
                <w:color w:val="auto"/>
                <w:sz w:val="24"/>
                <w:lang w:val="en-US" w:eastAsia="zh-CN"/>
              </w:rPr>
              <w:t>85</w:t>
            </w:r>
            <w:r>
              <w:rPr>
                <w:rFonts w:hint="eastAsia" w:ascii="Times New Roman" w:hAnsi="Times New Roman" w:eastAsia="宋体" w:cs="Times New Roman"/>
                <w:bCs/>
                <w:color w:val="auto"/>
                <w:sz w:val="24"/>
                <w:lang w:val="en-US" w:eastAsia="zh-CN"/>
              </w:rPr>
              <w:t>%~95%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本次评价取95%</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PP底涂剂</w:t>
            </w:r>
            <w:r>
              <w:rPr>
                <w:rFonts w:hint="eastAsia" w:cs="Times New Roman"/>
                <w:bCs/>
                <w:color w:val="auto"/>
                <w:sz w:val="24"/>
                <w:lang w:val="en-US" w:eastAsia="zh-CN"/>
              </w:rPr>
              <w:t>三甲苯</w:t>
            </w:r>
            <w:r>
              <w:rPr>
                <w:rFonts w:hint="eastAsia" w:ascii="Times New Roman" w:hAnsi="Times New Roman" w:eastAsia="宋体" w:cs="Times New Roman"/>
                <w:bCs/>
                <w:color w:val="auto"/>
                <w:sz w:val="24"/>
                <w:lang w:val="en-US" w:eastAsia="zh-CN"/>
              </w:rPr>
              <w:t>含量为</w:t>
            </w:r>
            <w:r>
              <w:rPr>
                <w:rFonts w:hint="eastAsia" w:cs="Times New Roman"/>
                <w:bCs/>
                <w:color w:val="auto"/>
                <w:sz w:val="24"/>
                <w:lang w:val="en-US" w:eastAsia="zh-CN"/>
              </w:rPr>
              <w:t>2.8%</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color w:val="auto"/>
                <w:sz w:val="24"/>
              </w:rPr>
              <w:t>生产过程中</w:t>
            </w:r>
            <w:r>
              <w:rPr>
                <w:rFonts w:hint="eastAsia" w:cs="Times New Roman"/>
                <w:color w:val="auto"/>
                <w:sz w:val="24"/>
                <w:lang w:val="en-US" w:eastAsia="zh-CN"/>
              </w:rPr>
              <w:t>苯系物</w:t>
            </w:r>
            <w:r>
              <w:rPr>
                <w:rFonts w:hint="eastAsia" w:ascii="Times New Roman" w:hAnsi="Times New Roman" w:eastAsia="宋体" w:cs="Times New Roman"/>
                <w:color w:val="auto"/>
                <w:sz w:val="24"/>
              </w:rPr>
              <w:t>产生量</w:t>
            </w:r>
            <w:r>
              <w:rPr>
                <w:rFonts w:ascii="Times New Roman" w:hAnsi="Times New Roman" w:eastAsia="宋体" w:cs="Times New Roman"/>
                <w:color w:val="auto"/>
                <w:sz w:val="24"/>
              </w:rPr>
              <w:t>按</w:t>
            </w:r>
            <w:r>
              <w:rPr>
                <w:rFonts w:ascii="宋体" w:hAnsi="宋体" w:eastAsia="宋体" w:cs="Times New Roman"/>
                <w:color w:val="auto"/>
                <w:sz w:val="24"/>
              </w:rPr>
              <w:t>最不利情况下</w:t>
            </w:r>
            <w:r>
              <w:rPr>
                <w:rFonts w:hint="eastAsia" w:ascii="Times New Roman" w:hAnsi="Times New Roman" w:eastAsia="宋体" w:cs="Times New Roman"/>
                <w:color w:val="auto"/>
                <w:sz w:val="24"/>
              </w:rPr>
              <w:t>挥发分</w:t>
            </w:r>
            <w:r>
              <w:rPr>
                <w:rFonts w:ascii="Times New Roman" w:hAnsi="Times New Roman" w:eastAsia="宋体" w:cs="Times New Roman"/>
                <w:color w:val="auto"/>
                <w:sz w:val="24"/>
              </w:rPr>
              <w:t>100%挥发</w:t>
            </w:r>
            <w:r>
              <w:rPr>
                <w:rFonts w:ascii="宋体" w:hAnsi="宋体" w:eastAsia="宋体" w:cs="Times New Roman"/>
                <w:color w:val="auto"/>
                <w:sz w:val="24"/>
              </w:rPr>
              <w:t>计算</w:t>
            </w:r>
            <w:r>
              <w:rPr>
                <w:rFonts w:hint="eastAsia" w:ascii="Times New Roman" w:hAnsi="Times New Roman" w:eastAsia="宋体" w:cs="Times New Roman"/>
                <w:color w:val="auto"/>
                <w:sz w:val="24"/>
              </w:rPr>
              <w:t>。则本项目</w:t>
            </w:r>
            <w:r>
              <w:rPr>
                <w:rFonts w:hint="eastAsia" w:ascii="宋体" w:hAnsi="宋体" w:cs="Times New Roman"/>
                <w:color w:val="auto"/>
                <w:sz w:val="24"/>
                <w:lang w:val="en-US" w:eastAsia="zh-CN"/>
              </w:rPr>
              <w:t>苯系物</w:t>
            </w:r>
            <w:r>
              <w:rPr>
                <w:rFonts w:hint="eastAsia" w:ascii="宋体" w:hAnsi="宋体" w:eastAsia="宋体" w:cs="Times New Roman"/>
                <w:color w:val="auto"/>
                <w:sz w:val="24"/>
              </w:rPr>
              <w:t>产生情况见下表。</w:t>
            </w:r>
          </w:p>
          <w:p w14:paraId="646DDCA9">
            <w:pPr>
              <w:overflowPunct w:val="0"/>
              <w:autoSpaceDE w:val="0"/>
              <w:autoSpaceDN w:val="0"/>
              <w:adjustRightInd w:val="0"/>
              <w:snapToGrid w:val="0"/>
              <w:jc w:val="center"/>
              <w:textAlignment w:val="baseline"/>
              <w:rPr>
                <w:rFonts w:ascii="Times New Roman" w:hAnsi="Times New Roman" w:eastAsia="黑体" w:cs="Times New Roman"/>
                <w:color w:val="auto"/>
                <w:sz w:val="24"/>
              </w:rPr>
            </w:pPr>
            <w:r>
              <w:rPr>
                <w:rFonts w:hint="eastAsia" w:ascii="Times New Roman" w:hAnsi="Times New Roman" w:eastAsia="黑体" w:cs="Times New Roman"/>
                <w:color w:val="auto"/>
                <w:sz w:val="24"/>
              </w:rPr>
              <w:t>表</w:t>
            </w:r>
            <w:r>
              <w:rPr>
                <w:rFonts w:hint="eastAsia" w:eastAsia="黑体" w:cs="Times New Roman"/>
                <w:color w:val="auto"/>
                <w:sz w:val="24"/>
                <w:lang w:val="en-US" w:eastAsia="zh-CN"/>
              </w:rPr>
              <w:t>4</w:t>
            </w:r>
            <w:r>
              <w:rPr>
                <w:rFonts w:hint="eastAsia" w:ascii="Times New Roman" w:hAnsi="Times New Roman" w:eastAsia="黑体" w:cs="Times New Roman"/>
                <w:color w:val="auto"/>
                <w:sz w:val="24"/>
              </w:rPr>
              <w:t>-</w:t>
            </w:r>
            <w:r>
              <w:rPr>
                <w:rFonts w:hint="eastAsia" w:eastAsia="黑体" w:cs="Times New Roman"/>
                <w:color w:val="auto"/>
                <w:sz w:val="24"/>
                <w:lang w:val="en-US" w:eastAsia="zh-CN"/>
              </w:rPr>
              <w:t>4</w:t>
            </w:r>
            <w:r>
              <w:rPr>
                <w:rFonts w:ascii="Times New Roman" w:hAnsi="Times New Roman" w:eastAsia="黑体" w:cs="Times New Roman"/>
                <w:color w:val="auto"/>
                <w:sz w:val="24"/>
              </w:rPr>
              <w:t xml:space="preserve">  </w:t>
            </w:r>
            <w:r>
              <w:rPr>
                <w:rFonts w:hint="eastAsia" w:eastAsia="黑体" w:cs="Times New Roman"/>
                <w:color w:val="auto"/>
                <w:sz w:val="24"/>
                <w:lang w:val="en-US" w:eastAsia="zh-CN"/>
              </w:rPr>
              <w:t>苯系物</w:t>
            </w:r>
            <w:r>
              <w:rPr>
                <w:rFonts w:hint="eastAsia" w:ascii="Times New Roman" w:hAnsi="Times New Roman" w:eastAsia="黑体" w:cs="Times New Roman"/>
                <w:color w:val="auto"/>
                <w:sz w:val="24"/>
              </w:rPr>
              <w:t>产生情况一览表</w:t>
            </w:r>
          </w:p>
          <w:tbl>
            <w:tblPr>
              <w:tblStyle w:val="3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508"/>
              <w:gridCol w:w="1060"/>
              <w:gridCol w:w="963"/>
              <w:gridCol w:w="1259"/>
              <w:gridCol w:w="1189"/>
              <w:gridCol w:w="1020"/>
            </w:tblGrid>
            <w:tr w14:paraId="3543B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l2br w:val="nil"/>
                    <w:tr2bl w:val="nil"/>
                  </w:tcBorders>
                  <w:noWrap w:val="0"/>
                  <w:vAlign w:val="center"/>
                </w:tcPr>
                <w:p w14:paraId="47523366">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w:t>
                  </w:r>
                  <w:r>
                    <w:rPr>
                      <w:rFonts w:ascii="Times New Roman" w:hAnsi="Times New Roman" w:eastAsia="宋体" w:cs="Times New Roman"/>
                      <w:color w:val="auto"/>
                      <w:sz w:val="21"/>
                      <w:szCs w:val="21"/>
                    </w:rPr>
                    <w:t>产生</w:t>
                  </w:r>
                  <w:r>
                    <w:rPr>
                      <w:rFonts w:hint="eastAsia" w:ascii="Times New Roman" w:hAnsi="Times New Roman" w:eastAsia="宋体" w:cs="Times New Roman"/>
                      <w:color w:val="auto"/>
                      <w:sz w:val="21"/>
                      <w:szCs w:val="21"/>
                    </w:rPr>
                    <w:t>工序</w:t>
                  </w:r>
                </w:p>
              </w:tc>
              <w:tc>
                <w:tcPr>
                  <w:tcW w:w="949" w:type="pct"/>
                  <w:tcBorders>
                    <w:tl2br w:val="nil"/>
                    <w:tr2bl w:val="nil"/>
                  </w:tcBorders>
                  <w:noWrap w:val="0"/>
                  <w:vAlign w:val="center"/>
                </w:tcPr>
                <w:p w14:paraId="3362B016">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胶粘剂</w:t>
                  </w:r>
                  <w:r>
                    <w:rPr>
                      <w:rFonts w:ascii="Times New Roman" w:hAnsi="Times New Roman" w:eastAsia="宋体" w:cs="Times New Roman"/>
                      <w:color w:val="auto"/>
                      <w:sz w:val="21"/>
                      <w:szCs w:val="21"/>
                    </w:rPr>
                    <w:t>种类</w:t>
                  </w:r>
                </w:p>
              </w:tc>
              <w:tc>
                <w:tcPr>
                  <w:tcW w:w="667" w:type="pct"/>
                  <w:tcBorders>
                    <w:tl2br w:val="nil"/>
                    <w:tr2bl w:val="nil"/>
                  </w:tcBorders>
                  <w:noWrap w:val="0"/>
                  <w:vAlign w:val="center"/>
                </w:tcPr>
                <w:p w14:paraId="078D84BC">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用量t</w:t>
                  </w:r>
                  <w:r>
                    <w:rPr>
                      <w:rFonts w:ascii="Times New Roman" w:hAnsi="Times New Roman" w:eastAsia="宋体" w:cs="Times New Roman"/>
                      <w:color w:val="auto"/>
                      <w:sz w:val="21"/>
                      <w:szCs w:val="21"/>
                    </w:rPr>
                    <w:t>/a</w:t>
                  </w:r>
                </w:p>
              </w:tc>
              <w:tc>
                <w:tcPr>
                  <w:tcW w:w="606" w:type="pct"/>
                  <w:tcBorders>
                    <w:tl2br w:val="nil"/>
                    <w:tr2bl w:val="nil"/>
                  </w:tcBorders>
                  <w:noWrap w:val="0"/>
                  <w:vAlign w:val="center"/>
                </w:tcPr>
                <w:p w14:paraId="08089447">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苯系物</w:t>
                  </w:r>
                  <w:r>
                    <w:rPr>
                      <w:rFonts w:hint="eastAsia" w:ascii="Times New Roman" w:hAnsi="Times New Roman" w:eastAsia="宋体" w:cs="Times New Roman"/>
                      <w:color w:val="auto"/>
                      <w:sz w:val="21"/>
                      <w:szCs w:val="21"/>
                      <w:lang w:val="en-US" w:eastAsia="zh-CN"/>
                    </w:rPr>
                    <w:t>含量%</w:t>
                  </w:r>
                </w:p>
              </w:tc>
              <w:tc>
                <w:tcPr>
                  <w:tcW w:w="792" w:type="pct"/>
                  <w:tcBorders>
                    <w:tl2br w:val="nil"/>
                    <w:tr2bl w:val="nil"/>
                  </w:tcBorders>
                  <w:noWrap w:val="0"/>
                  <w:vAlign w:val="center"/>
                </w:tcPr>
                <w:p w14:paraId="740FFA0C">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苯系物</w:t>
                  </w:r>
                  <w:r>
                    <w:rPr>
                      <w:rFonts w:hint="eastAsia" w:ascii="Times New Roman" w:hAnsi="Times New Roman" w:eastAsia="宋体" w:cs="Times New Roman"/>
                      <w:color w:val="auto"/>
                      <w:sz w:val="21"/>
                      <w:szCs w:val="21"/>
                    </w:rPr>
                    <w:t>产生量t</w:t>
                  </w:r>
                  <w:r>
                    <w:rPr>
                      <w:rFonts w:ascii="Times New Roman" w:hAnsi="Times New Roman" w:eastAsia="宋体" w:cs="Times New Roman"/>
                      <w:color w:val="auto"/>
                      <w:sz w:val="21"/>
                      <w:szCs w:val="21"/>
                    </w:rPr>
                    <w:t>/a</w:t>
                  </w:r>
                </w:p>
              </w:tc>
              <w:tc>
                <w:tcPr>
                  <w:tcW w:w="748" w:type="pct"/>
                  <w:tcBorders>
                    <w:tl2br w:val="nil"/>
                    <w:tr2bl w:val="nil"/>
                  </w:tcBorders>
                  <w:noWrap w:val="0"/>
                  <w:vAlign w:val="center"/>
                </w:tcPr>
                <w:p w14:paraId="4897B172">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处理措施</w:t>
                  </w:r>
                </w:p>
              </w:tc>
              <w:tc>
                <w:tcPr>
                  <w:tcW w:w="642" w:type="pct"/>
                  <w:tcBorders>
                    <w:tl2br w:val="nil"/>
                    <w:tr2bl w:val="nil"/>
                  </w:tcBorders>
                  <w:noWrap w:val="0"/>
                  <w:vAlign w:val="center"/>
                </w:tcPr>
                <w:p w14:paraId="6B1FFC19">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排气筒</w:t>
                  </w:r>
                </w:p>
              </w:tc>
            </w:tr>
            <w:tr w14:paraId="0DDAD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restart"/>
                  <w:tcBorders>
                    <w:tl2br w:val="nil"/>
                    <w:tr2bl w:val="nil"/>
                  </w:tcBorders>
                  <w:noWrap w:val="0"/>
                  <w:vAlign w:val="center"/>
                </w:tcPr>
                <w:p w14:paraId="7B174739">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涂胶</w:t>
                  </w:r>
                </w:p>
              </w:tc>
              <w:tc>
                <w:tcPr>
                  <w:tcW w:w="949" w:type="pct"/>
                  <w:tcBorders>
                    <w:tl2br w:val="nil"/>
                    <w:tr2bl w:val="nil"/>
                  </w:tcBorders>
                  <w:noWrap w:val="0"/>
                  <w:vAlign w:val="center"/>
                </w:tcPr>
                <w:p w14:paraId="4432D4BA">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highlight w:val="none"/>
                      <w:lang w:val="en-US" w:eastAsia="zh-CN" w:bidi="he-IL"/>
                    </w:rPr>
                    <w:t>铝带底涂剂</w:t>
                  </w:r>
                </w:p>
              </w:tc>
              <w:tc>
                <w:tcPr>
                  <w:tcW w:w="667" w:type="pct"/>
                  <w:tcBorders>
                    <w:tl2br w:val="nil"/>
                    <w:tr2bl w:val="nil"/>
                  </w:tcBorders>
                  <w:noWrap w:val="0"/>
                  <w:vAlign w:val="center"/>
                </w:tcPr>
                <w:p w14:paraId="35E01F59">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rPr>
                    <w:t>0.1</w:t>
                  </w:r>
                </w:p>
              </w:tc>
              <w:tc>
                <w:tcPr>
                  <w:tcW w:w="606" w:type="pct"/>
                  <w:tcBorders>
                    <w:tl2br w:val="nil"/>
                    <w:tr2bl w:val="nil"/>
                  </w:tcBorders>
                  <w:noWrap w:val="0"/>
                  <w:vAlign w:val="center"/>
                </w:tcPr>
                <w:p w14:paraId="11EB1BF1">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w:t>
                  </w:r>
                </w:p>
              </w:tc>
              <w:tc>
                <w:tcPr>
                  <w:tcW w:w="792" w:type="pct"/>
                  <w:vMerge w:val="restart"/>
                  <w:tcBorders>
                    <w:tl2br w:val="nil"/>
                    <w:tr2bl w:val="nil"/>
                  </w:tcBorders>
                  <w:noWrap w:val="0"/>
                  <w:vAlign w:val="center"/>
                </w:tcPr>
                <w:p w14:paraId="0E72A3A4">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0.098</w:t>
                  </w:r>
                </w:p>
              </w:tc>
              <w:tc>
                <w:tcPr>
                  <w:tcW w:w="748" w:type="pct"/>
                  <w:vMerge w:val="restart"/>
                  <w:tcBorders>
                    <w:tl2br w:val="nil"/>
                    <w:tr2bl w:val="nil"/>
                  </w:tcBorders>
                  <w:noWrap w:val="0"/>
                  <w:vAlign w:val="center"/>
                </w:tcPr>
                <w:p w14:paraId="26BFA7D9">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r>
                    <w:rPr>
                      <w:rFonts w:hint="eastAsia" w:cs="Times New Roman"/>
                      <w:color w:val="auto"/>
                      <w:sz w:val="21"/>
                      <w:szCs w:val="21"/>
                      <w:lang w:eastAsia="zh-CN"/>
                    </w:rPr>
                    <w:t>二级活性炭吸附装置</w:t>
                  </w:r>
                </w:p>
              </w:tc>
              <w:tc>
                <w:tcPr>
                  <w:tcW w:w="642" w:type="pct"/>
                  <w:vMerge w:val="restart"/>
                  <w:tcBorders>
                    <w:tl2br w:val="nil"/>
                    <w:tr2bl w:val="nil"/>
                  </w:tcBorders>
                  <w:noWrap w:val="0"/>
                  <w:vAlign w:val="center"/>
                </w:tcPr>
                <w:p w14:paraId="5AB832FD">
                  <w:pPr>
                    <w:adjustRightInd w:val="0"/>
                    <w:snapToGrid w:val="0"/>
                    <w:spacing w:line="240" w:lineRule="auto"/>
                    <w:ind w:left="-105" w:leftChars="-50" w:right="-105" w:rightChars="-5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D</w:t>
                  </w:r>
                  <w:r>
                    <w:rPr>
                      <w:rFonts w:ascii="Times New Roman" w:hAnsi="Times New Roman" w:eastAsia="宋体" w:cs="Times New Roman"/>
                      <w:color w:val="auto"/>
                      <w:sz w:val="21"/>
                      <w:szCs w:val="21"/>
                    </w:rPr>
                    <w:t>A00</w:t>
                  </w:r>
                  <w:r>
                    <w:rPr>
                      <w:rFonts w:hint="eastAsia" w:cs="Times New Roman"/>
                      <w:color w:val="auto"/>
                      <w:sz w:val="21"/>
                      <w:szCs w:val="21"/>
                      <w:lang w:val="en-US" w:eastAsia="zh-CN"/>
                    </w:rPr>
                    <w:t>2</w:t>
                  </w:r>
                </w:p>
              </w:tc>
            </w:tr>
            <w:tr w14:paraId="3F307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l2br w:val="nil"/>
                    <w:tr2bl w:val="nil"/>
                  </w:tcBorders>
                  <w:noWrap w:val="0"/>
                  <w:vAlign w:val="center"/>
                </w:tcPr>
                <w:p w14:paraId="303342FA">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949" w:type="pct"/>
                  <w:tcBorders>
                    <w:tl2br w:val="nil"/>
                    <w:tr2bl w:val="nil"/>
                  </w:tcBorders>
                  <w:noWrap w:val="0"/>
                  <w:vAlign w:val="center"/>
                </w:tcPr>
                <w:p w14:paraId="63B44E3D">
                  <w:pPr>
                    <w:widowControl w:val="0"/>
                    <w:autoSpaceDE w:val="0"/>
                    <w:autoSpaceDN w:val="0"/>
                    <w:adjustRightInd w:val="0"/>
                    <w:spacing w:before="100" w:beforeLines="50" w:beforeAutospacing="1" w:after="100" w:afterLines="50" w:afterAutospacing="1" w:line="240" w:lineRule="auto"/>
                    <w:ind w:left="0" w:leftChars="0" w:firstLine="0" w:firstLineChars="0"/>
                    <w:jc w:val="center"/>
                    <w:textAlignment w:val="baseline"/>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highlight w:val="none"/>
                      <w:lang w:val="en-US" w:eastAsia="zh-CN" w:bidi="he-IL"/>
                    </w:rPr>
                    <w:t>PP底涂剂</w:t>
                  </w:r>
                </w:p>
              </w:tc>
              <w:tc>
                <w:tcPr>
                  <w:tcW w:w="667" w:type="pct"/>
                  <w:tcBorders>
                    <w:tl2br w:val="nil"/>
                    <w:tr2bl w:val="nil"/>
                  </w:tcBorders>
                  <w:noWrap w:val="0"/>
                  <w:vAlign w:val="center"/>
                </w:tcPr>
                <w:p w14:paraId="3B2FEB66">
                  <w:pPr>
                    <w:widowControl/>
                    <w:adjustRightInd w:val="0"/>
                    <w:snapToGrid w:val="0"/>
                    <w:spacing w:line="240" w:lineRule="auto"/>
                    <w:ind w:left="-63" w:leftChars="-30" w:right="-63" w:rightChars="-3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0"/>
                      <w:sz w:val="21"/>
                      <w:szCs w:val="21"/>
                      <w:lang w:val="en-US" w:eastAsia="zh-CN"/>
                    </w:rPr>
                    <w:t>0.1</w:t>
                  </w:r>
                </w:p>
              </w:tc>
              <w:tc>
                <w:tcPr>
                  <w:tcW w:w="606" w:type="pct"/>
                  <w:tcBorders>
                    <w:tl2br w:val="nil"/>
                    <w:tr2bl w:val="nil"/>
                  </w:tcBorders>
                  <w:noWrap w:val="0"/>
                  <w:vAlign w:val="center"/>
                </w:tcPr>
                <w:p w14:paraId="3AE15E65">
                  <w:pPr>
                    <w:adjustRightInd w:val="0"/>
                    <w:snapToGrid w:val="0"/>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w:t>
                  </w:r>
                </w:p>
              </w:tc>
              <w:tc>
                <w:tcPr>
                  <w:tcW w:w="792" w:type="pct"/>
                  <w:vMerge w:val="continue"/>
                  <w:tcBorders>
                    <w:tl2br w:val="nil"/>
                    <w:tr2bl w:val="nil"/>
                  </w:tcBorders>
                  <w:noWrap w:val="0"/>
                  <w:vAlign w:val="center"/>
                </w:tcPr>
                <w:p w14:paraId="3508122A">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748" w:type="pct"/>
                  <w:vMerge w:val="continue"/>
                  <w:tcBorders>
                    <w:tl2br w:val="nil"/>
                    <w:tr2bl w:val="nil"/>
                  </w:tcBorders>
                  <w:noWrap w:val="0"/>
                  <w:vAlign w:val="center"/>
                </w:tcPr>
                <w:p w14:paraId="04739C77">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c>
                <w:tcPr>
                  <w:tcW w:w="642" w:type="pct"/>
                  <w:vMerge w:val="continue"/>
                  <w:tcBorders>
                    <w:tl2br w:val="nil"/>
                    <w:tr2bl w:val="nil"/>
                  </w:tcBorders>
                  <w:noWrap w:val="0"/>
                  <w:vAlign w:val="center"/>
                </w:tcPr>
                <w:p w14:paraId="3F346995">
                  <w:pPr>
                    <w:adjustRightInd w:val="0"/>
                    <w:snapToGrid w:val="0"/>
                    <w:spacing w:line="240" w:lineRule="auto"/>
                    <w:ind w:left="-105" w:leftChars="-50" w:right="-105" w:rightChars="-50"/>
                    <w:jc w:val="center"/>
                    <w:rPr>
                      <w:rFonts w:ascii="Times New Roman" w:hAnsi="Times New Roman" w:eastAsia="宋体" w:cs="Times New Roman"/>
                      <w:color w:val="auto"/>
                      <w:sz w:val="21"/>
                      <w:szCs w:val="21"/>
                    </w:rPr>
                  </w:pPr>
                </w:p>
              </w:tc>
            </w:tr>
          </w:tbl>
          <w:p w14:paraId="4CAC0E27">
            <w:pPr>
              <w:tabs>
                <w:tab w:val="left" w:pos="3420"/>
              </w:tabs>
              <w:snapToGrid w:val="0"/>
              <w:spacing w:line="360" w:lineRule="auto"/>
              <w:ind w:firstLine="480" w:firstLineChars="200"/>
              <w:rPr>
                <w:rFonts w:hint="default"/>
                <w:color w:val="auto"/>
                <w:sz w:val="24"/>
                <w:highlight w:val="none"/>
                <w:lang w:val="en-US" w:eastAsia="zh-CN"/>
              </w:rPr>
            </w:pPr>
            <w:r>
              <w:rPr>
                <w:rFonts w:hint="eastAsia" w:cs="Times New Roman"/>
                <w:color w:val="auto"/>
                <w:sz w:val="24"/>
                <w:szCs w:val="24"/>
                <w:highlight w:val="none"/>
                <w:lang w:val="en-US" w:eastAsia="zh-CN"/>
              </w:rPr>
              <w:t>④</w:t>
            </w:r>
            <w:r>
              <w:rPr>
                <w:rFonts w:hint="eastAsia"/>
                <w:color w:val="auto"/>
                <w:sz w:val="24"/>
                <w:highlight w:val="none"/>
                <w:lang w:val="en-US" w:eastAsia="zh-CN"/>
              </w:rPr>
              <w:t>其他特征污染物</w:t>
            </w:r>
          </w:p>
          <w:p w14:paraId="05A4CD3B">
            <w:pPr>
              <w:overflowPunct w:val="0"/>
              <w:autoSpaceDE w:val="0"/>
              <w:autoSpaceDN w:val="0"/>
              <w:adjustRightInd w:val="0"/>
              <w:snapToGrid w:val="0"/>
              <w:spacing w:line="360" w:lineRule="auto"/>
              <w:ind w:firstLine="480" w:firstLineChars="200"/>
              <w:jc w:val="both"/>
              <w:textAlignment w:val="baseline"/>
              <w:rPr>
                <w:rFonts w:hint="default" w:ascii="Times New Roman" w:hAnsi="Times New Roman" w:eastAsia="黑体" w:cs="Times New Roman"/>
                <w:color w:val="auto"/>
                <w:sz w:val="24"/>
                <w:lang w:val="en-US"/>
              </w:rPr>
            </w:pPr>
            <w:r>
              <w:rPr>
                <w:rFonts w:hint="eastAsia" w:cs="Times New Roman"/>
                <w:color w:val="auto"/>
                <w:sz w:val="24"/>
                <w:szCs w:val="24"/>
                <w:highlight w:val="none"/>
                <w:lang w:val="en-US" w:eastAsia="zh-CN"/>
              </w:rPr>
              <w:t>考虑PP底涂剂成分中氯化聚丙烯含有微量游离态的氯，铝带底涂剂成分中聚酰胺胺含有微量游离态氨，由于含量微乎其微，</w:t>
            </w:r>
            <w:r>
              <w:rPr>
                <w:rFonts w:hint="eastAsia" w:cs="Times New Roman"/>
                <w:b w:val="0"/>
                <w:bCs w:val="0"/>
                <w:color w:val="auto"/>
                <w:sz w:val="24"/>
                <w:szCs w:val="24"/>
                <w:highlight w:val="none"/>
                <w:lang w:val="en-US" w:eastAsia="zh-CN"/>
              </w:rPr>
              <w:t>基本可忽略不计。因此，</w:t>
            </w:r>
            <w:r>
              <w:rPr>
                <w:rFonts w:hint="eastAsia" w:ascii="Times New Roman" w:hAnsi="Times New Roman" w:eastAsia="宋体" w:cs="Times New Roman"/>
                <w:b/>
                <w:bCs/>
                <w:color w:val="auto"/>
                <w:sz w:val="24"/>
                <w:szCs w:val="24"/>
                <w:highlight w:val="none"/>
                <w:lang w:val="en-US" w:eastAsia="zh-CN"/>
              </w:rPr>
              <w:t>本次评价</w:t>
            </w:r>
            <w:r>
              <w:rPr>
                <w:rFonts w:hint="eastAsia" w:cs="Times New Roman"/>
                <w:b/>
                <w:bCs/>
                <w:color w:val="auto"/>
                <w:sz w:val="24"/>
                <w:szCs w:val="24"/>
                <w:highlight w:val="none"/>
                <w:lang w:val="en-US" w:eastAsia="zh-CN"/>
              </w:rPr>
              <w:t>不再对氨、氯气进行</w:t>
            </w:r>
            <w:r>
              <w:rPr>
                <w:rFonts w:hint="eastAsia" w:ascii="Times New Roman" w:hAnsi="Times New Roman" w:eastAsia="宋体" w:cs="Times New Roman"/>
                <w:b/>
                <w:bCs/>
                <w:color w:val="auto"/>
                <w:sz w:val="24"/>
                <w:szCs w:val="24"/>
                <w:highlight w:val="none"/>
                <w:lang w:val="en-US" w:eastAsia="zh-CN"/>
              </w:rPr>
              <w:t>分析</w:t>
            </w:r>
            <w:r>
              <w:rPr>
                <w:rFonts w:hint="eastAsia"/>
                <w:color w:val="auto"/>
                <w:sz w:val="24"/>
                <w:szCs w:val="32"/>
                <w:highlight w:val="none"/>
                <w:lang w:val="en-US" w:eastAsia="zh-CN"/>
              </w:rPr>
              <w:t>。</w:t>
            </w:r>
          </w:p>
          <w:p w14:paraId="3208D8B8">
            <w:pPr>
              <w:adjustRightInd w:val="0"/>
              <w:snapToGrid w:val="0"/>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挤出</w:t>
            </w:r>
            <w:r>
              <w:rPr>
                <w:rFonts w:hint="eastAsia" w:cs="Times New Roman"/>
                <w:b/>
                <w:bCs/>
                <w:color w:val="auto"/>
                <w:sz w:val="24"/>
                <w:szCs w:val="24"/>
                <w:highlight w:val="none"/>
                <w:lang w:val="en-US" w:eastAsia="zh-CN"/>
              </w:rPr>
              <w:t>、复合</w:t>
            </w:r>
            <w:r>
              <w:rPr>
                <w:rFonts w:hint="eastAsia" w:ascii="Times New Roman" w:hAnsi="Times New Roman" w:cs="Times New Roman"/>
                <w:b/>
                <w:bCs/>
                <w:color w:val="auto"/>
                <w:sz w:val="24"/>
                <w:szCs w:val="24"/>
                <w:highlight w:val="none"/>
                <w:lang w:val="en-US" w:eastAsia="zh-CN"/>
              </w:rPr>
              <w:t>废气：</w:t>
            </w:r>
          </w:p>
          <w:p w14:paraId="0110620F">
            <w:pPr>
              <w:numPr>
                <w:ilvl w:val="0"/>
                <w:numId w:val="0"/>
              </w:num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①非甲烷总烃</w:t>
            </w:r>
          </w:p>
          <w:p w14:paraId="413FA0FF">
            <w:pPr>
              <w:tabs>
                <w:tab w:val="left" w:pos="3420"/>
              </w:tabs>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挤出、复合废气参考《排放源统计调查产排污核算方法和系数手册》中的“292 塑料制品行业系数手册”中2929塑料零件及其他塑料制品制造行业系数表，挤出工序的非甲烷总烃产生量为2.7kg/t产品，根据建设单位提供资料，项目挤出成型工艺原料用量为800t/a，本评价按保守计算，项目复合、挤出产品重量按800t/a，则复合、挤出过程非甲烷总烃产生量为2.16t/a。复合、挤出废气经集气罩收集后采用“二级活性炭吸附装置”处理后，由1根25m高排气筒(DA002)排放。</w:t>
            </w:r>
          </w:p>
          <w:p w14:paraId="54AED9DA">
            <w:pPr>
              <w:tabs>
                <w:tab w:val="left" w:pos="3420"/>
              </w:tabs>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②其他特征污染物</w:t>
            </w:r>
          </w:p>
          <w:p w14:paraId="1B860A5C">
            <w:pPr>
              <w:numPr>
                <w:ilvl w:val="0"/>
                <w:numId w:val="0"/>
              </w:numPr>
              <w:tabs>
                <w:tab w:val="left" w:pos="3420"/>
              </w:tabs>
              <w:snapToGrid w:val="0"/>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挤出成型使用的原料主要为TPV、PVC、PP，</w:t>
            </w:r>
            <w:r>
              <w:rPr>
                <w:rFonts w:hint="eastAsia" w:ascii="Times New Roman" w:hAnsi="Times New Roman" w:cs="Times New Roman"/>
                <w:color w:val="auto"/>
                <w:sz w:val="24"/>
                <w:highlight w:val="none"/>
                <w:lang w:val="en-US" w:eastAsia="zh-CN"/>
              </w:rPr>
              <w:t>结合</w:t>
            </w:r>
            <w:r>
              <w:rPr>
                <w:rFonts w:hint="eastAsia" w:cs="Times New Roman"/>
                <w:color w:val="auto"/>
                <w:sz w:val="24"/>
                <w:highlight w:val="none"/>
                <w:lang w:val="en-US" w:eastAsia="zh-CN"/>
              </w:rPr>
              <w:t>各塑料原料的理化性质及</w:t>
            </w:r>
            <w:r>
              <w:rPr>
                <w:rFonts w:hint="eastAsia" w:ascii="Times New Roman" w:hAnsi="Times New Roman" w:cs="Times New Roman"/>
                <w:color w:val="auto"/>
                <w:sz w:val="24"/>
                <w:highlight w:val="none"/>
                <w:lang w:val="en-US" w:eastAsia="zh-CN"/>
              </w:rPr>
              <w:t>查询</w:t>
            </w:r>
            <w:r>
              <w:rPr>
                <w:rFonts w:hint="eastAsia" w:ascii="Times New Roman" w:hAnsi="Times New Roman" w:cs="Times New Roman"/>
                <w:color w:val="auto"/>
                <w:sz w:val="24"/>
                <w:highlight w:val="none"/>
                <w:lang w:val="en-US" w:eastAsia="zh-CN"/>
              </w:rPr>
              <w:fldChar w:fldCharType="begin"/>
            </w:r>
            <w:r>
              <w:rPr>
                <w:rFonts w:hint="eastAsia" w:ascii="Times New Roman" w:hAnsi="Times New Roman" w:cs="Times New Roman"/>
                <w:color w:val="auto"/>
                <w:sz w:val="24"/>
                <w:highlight w:val="none"/>
                <w:lang w:val="en-US" w:eastAsia="zh-CN"/>
              </w:rPr>
              <w:instrText xml:space="preserve"> HYPERLINK "https://www.mee.gov.cn/ywgz/fgbz/bz/bzwb/dqhjbh/dqgdwrywrwpfbz/201505/W020240612354056402310.pdf" </w:instrText>
            </w:r>
            <w:r>
              <w:rPr>
                <w:rFonts w:hint="eastAsia" w:ascii="Times New Roman" w:hAnsi="Times New Roman" w:cs="Times New Roman"/>
                <w:color w:val="auto"/>
                <w:sz w:val="24"/>
                <w:highlight w:val="none"/>
                <w:lang w:val="en-US" w:eastAsia="zh-CN"/>
              </w:rPr>
              <w:fldChar w:fldCharType="separate"/>
            </w:r>
            <w:r>
              <w:rPr>
                <w:rFonts w:hint="eastAsia" w:ascii="Times New Roman" w:hAnsi="Times New Roman" w:cs="Times New Roman"/>
                <w:color w:val="auto"/>
                <w:sz w:val="24"/>
                <w:highlight w:val="none"/>
                <w:lang w:val="en-US" w:eastAsia="zh-CN"/>
              </w:rPr>
              <w:t>《合成树脂工业污染物排放标准》(GB 31572-2015，含2024年修改单)</w:t>
            </w:r>
            <w:r>
              <w:rPr>
                <w:rFonts w:hint="eastAsia" w:ascii="Times New Roman" w:hAnsi="Times New Roman" w:cs="Times New Roman"/>
                <w:color w:val="auto"/>
                <w:sz w:val="24"/>
                <w:highlight w:val="none"/>
                <w:lang w:val="en-US" w:eastAsia="zh-CN"/>
              </w:rPr>
              <w:fldChar w:fldCharType="end"/>
            </w:r>
            <w:r>
              <w:rPr>
                <w:rFonts w:hint="eastAsia" w:cs="Times New Roman"/>
                <w:color w:val="auto"/>
                <w:sz w:val="24"/>
                <w:highlight w:val="none"/>
                <w:lang w:val="en-US" w:eastAsia="zh-CN"/>
              </w:rPr>
              <w:t>，识别各原料受</w:t>
            </w:r>
            <w:r>
              <w:rPr>
                <w:rFonts w:hint="default" w:ascii="Times New Roman" w:hAnsi="Times New Roman" w:cs="Times New Roman"/>
                <w:color w:val="auto"/>
                <w:sz w:val="24"/>
                <w:highlight w:val="none"/>
                <w:lang w:val="en-US" w:eastAsia="zh-CN"/>
              </w:rPr>
              <w:t>热可能挥发的废气污染物，见表</w:t>
            </w:r>
            <w:r>
              <w:rPr>
                <w:rFonts w:hint="eastAsia" w:cs="Times New Roman"/>
                <w:color w:val="auto"/>
                <w:sz w:val="24"/>
                <w:highlight w:val="none"/>
                <w:lang w:val="en-US" w:eastAsia="zh-CN"/>
              </w:rPr>
              <w:t>4-5</w:t>
            </w:r>
            <w:r>
              <w:rPr>
                <w:rFonts w:hint="default" w:ascii="Times New Roman" w:hAnsi="Times New Roman" w:cs="Times New Roman"/>
                <w:color w:val="auto"/>
                <w:sz w:val="24"/>
                <w:highlight w:val="none"/>
                <w:lang w:val="en-US" w:eastAsia="zh-CN"/>
              </w:rPr>
              <w:t>。</w:t>
            </w:r>
          </w:p>
          <w:p w14:paraId="2082A675">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p>
          <w:p w14:paraId="17FB9CC9">
            <w:pPr>
              <w:pStyle w:val="160"/>
              <w:keepNext/>
              <w:keepLines w:val="0"/>
              <w:pageBreakBefore w:val="0"/>
              <w:widowControl w:val="0"/>
              <w:kinsoku/>
              <w:wordWrap/>
              <w:overflowPunct w:val="0"/>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4-5</w:t>
            </w:r>
            <w:r>
              <w:rPr>
                <w:rFonts w:hint="default" w:ascii="Times New Roman" w:hAnsi="Times New Roman" w:cs="Times New Roman"/>
                <w:color w:val="auto"/>
                <w:highlight w:val="none"/>
                <w:lang w:val="en-US" w:eastAsia="zh-CN"/>
              </w:rPr>
              <w:t xml:space="preserve">  原材料</w:t>
            </w:r>
            <w:r>
              <w:rPr>
                <w:rFonts w:hint="eastAsia" w:cs="Times New Roman"/>
                <w:color w:val="auto"/>
                <w:highlight w:val="none"/>
                <w:lang w:val="en-US" w:eastAsia="zh-CN"/>
              </w:rPr>
              <w:t>受热可能挥发的污染物识别结果</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5749"/>
            </w:tblGrid>
            <w:tr w14:paraId="622DA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49AFABC9">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原材料名称</w:t>
                  </w:r>
                </w:p>
              </w:tc>
              <w:tc>
                <w:tcPr>
                  <w:tcW w:w="3618" w:type="pct"/>
                  <w:tcBorders>
                    <w:tl2br w:val="nil"/>
                    <w:tr2bl w:val="nil"/>
                  </w:tcBorders>
                  <w:noWrap w:val="0"/>
                  <w:vAlign w:val="center"/>
                </w:tcPr>
                <w:p w14:paraId="043E1D49">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受热可能挥发的</w:t>
                  </w:r>
                  <w:r>
                    <w:rPr>
                      <w:rFonts w:hint="eastAsia" w:cs="Times New Roman"/>
                      <w:color w:val="auto"/>
                      <w:highlight w:val="none"/>
                      <w:lang w:val="en-US" w:eastAsia="zh-CN"/>
                    </w:rPr>
                    <w:t>污染物</w:t>
                  </w:r>
                </w:p>
              </w:tc>
            </w:tr>
            <w:tr w14:paraId="11F61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33F68AC3">
                  <w:pPr>
                    <w:pStyle w:val="16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w:t>
                  </w:r>
                  <w:r>
                    <w:rPr>
                      <w:rFonts w:hint="eastAsia" w:cs="Times New Roman"/>
                      <w:color w:val="auto"/>
                      <w:highlight w:val="none"/>
                      <w:lang w:val="en-US" w:eastAsia="zh-CN"/>
                    </w:rPr>
                    <w:t>P</w:t>
                  </w:r>
                  <w:r>
                    <w:rPr>
                      <w:rFonts w:hint="eastAsia" w:ascii="Times New Roman" w:hAnsi="Times New Roman" w:cs="Times New Roman"/>
                      <w:color w:val="auto"/>
                      <w:highlight w:val="none"/>
                      <w:lang w:val="en-US" w:eastAsia="zh-CN"/>
                    </w:rPr>
                    <w:t>V</w:t>
                  </w:r>
                </w:p>
              </w:tc>
              <w:tc>
                <w:tcPr>
                  <w:tcW w:w="3618" w:type="pct"/>
                  <w:tcBorders>
                    <w:tl2br w:val="nil"/>
                    <w:tr2bl w:val="nil"/>
                  </w:tcBorders>
                  <w:noWrap w:val="0"/>
                  <w:vAlign w:val="center"/>
                </w:tcPr>
                <w:p w14:paraId="0C00D3C7">
                  <w:pPr>
                    <w:pStyle w:val="16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r>
            <w:tr w14:paraId="1AA1E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0B118C9F">
                  <w:pPr>
                    <w:pStyle w:val="161"/>
                    <w:bidi w:val="0"/>
                    <w:spacing w:line="240" w:lineRule="auto"/>
                    <w:ind w:left="0" w:lef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PP</w:t>
                  </w:r>
                </w:p>
              </w:tc>
              <w:tc>
                <w:tcPr>
                  <w:tcW w:w="3618" w:type="pct"/>
                  <w:tcBorders>
                    <w:tl2br w:val="nil"/>
                    <w:tr2bl w:val="nil"/>
                  </w:tcBorders>
                  <w:noWrap w:val="0"/>
                  <w:vAlign w:val="center"/>
                </w:tcPr>
                <w:p w14:paraId="65B129BD">
                  <w:pPr>
                    <w:pStyle w:val="161"/>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r>
            <w:tr w14:paraId="760C5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tcBorders>
                    <w:tl2br w:val="nil"/>
                    <w:tr2bl w:val="nil"/>
                  </w:tcBorders>
                  <w:noWrap w:val="0"/>
                  <w:vAlign w:val="center"/>
                </w:tcPr>
                <w:p w14:paraId="1DE09A74">
                  <w:pPr>
                    <w:pStyle w:val="161"/>
                    <w:bidi w:val="0"/>
                    <w:spacing w:line="240" w:lineRule="auto"/>
                    <w:ind w:left="0" w:leftChars="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PVC</w:t>
                  </w:r>
                </w:p>
              </w:tc>
              <w:tc>
                <w:tcPr>
                  <w:tcW w:w="3618" w:type="pct"/>
                  <w:tcBorders>
                    <w:tl2br w:val="nil"/>
                    <w:tr2bl w:val="nil"/>
                  </w:tcBorders>
                  <w:noWrap w:val="0"/>
                  <w:vAlign w:val="center"/>
                </w:tcPr>
                <w:p w14:paraId="0DB5AD59">
                  <w:pPr>
                    <w:pStyle w:val="161"/>
                    <w:bidi w:val="0"/>
                    <w:spacing w:line="240" w:lineRule="auto"/>
                    <w:ind w:left="0" w:leftChars="0"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非甲烷总烃、氯化氢</w:t>
                  </w:r>
                </w:p>
              </w:tc>
            </w:tr>
          </w:tbl>
          <w:p w14:paraId="1F1E37AD">
            <w:pPr>
              <w:pStyle w:val="162"/>
              <w:keepNext/>
              <w:keepLines/>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氯化氢：</w:t>
            </w:r>
          </w:p>
          <w:p w14:paraId="30865C44">
            <w:pPr>
              <w:pStyle w:val="162"/>
              <w:keepNext/>
              <w:keepLines/>
              <w:pageBreakBefore w:val="0"/>
              <w:widowControl w:val="0"/>
              <w:kinsoku/>
              <w:wordWrap/>
              <w:overflowPunct/>
              <w:topLinePunct w:val="0"/>
              <w:autoSpaceDE/>
              <w:autoSpaceDN/>
              <w:bidi w:val="0"/>
              <w:adjustRightInd w:val="0"/>
              <w:snapToGrid w:val="0"/>
              <w:textAlignment w:val="auto"/>
              <w:rPr>
                <w:color w:val="auto"/>
                <w:sz w:val="24"/>
              </w:rPr>
            </w:pPr>
            <w:r>
              <w:rPr>
                <w:rFonts w:hint="eastAsia"/>
                <w:color w:val="auto"/>
                <w:sz w:val="24"/>
                <w:highlight w:val="none"/>
                <w:lang w:val="en-US" w:eastAsia="zh-CN"/>
              </w:rPr>
              <w:t>根据《气相色谱-质谱法分析聚氯乙烯加热分解产物》（林华影，林瑶、张伟等，中国卫生检验杂志，2008年4月，18卷4期）</w:t>
            </w:r>
            <w:r>
              <w:rPr>
                <w:rFonts w:hint="default" w:ascii="Times New Roman" w:hAnsi="Times New Roman" w:cs="Times New Roman"/>
                <w:color w:val="auto"/>
                <w:kern w:val="0"/>
                <w:sz w:val="24"/>
                <w:szCs w:val="20"/>
                <w:lang w:val="en-US" w:eastAsia="zh-CN" w:bidi="ar-SA"/>
              </w:rPr>
              <w:t>的研究论文，聚氯乙烯</w:t>
            </w:r>
            <w:r>
              <w:rPr>
                <w:rFonts w:hint="default" w:ascii="Times New Roman" w:hAnsi="Times New Roman" w:eastAsia="宋体" w:cs="Times New Roman"/>
                <w:color w:val="auto"/>
                <w:kern w:val="0"/>
                <w:sz w:val="24"/>
                <w:szCs w:val="20"/>
                <w:lang w:val="en-US" w:eastAsia="zh-CN" w:bidi="ar-SA"/>
              </w:rPr>
              <w:t>在170℃以下，</w:t>
            </w:r>
            <w:r>
              <w:rPr>
                <w:rFonts w:hint="eastAsia" w:ascii="Times New Roman" w:hAnsi="Times New Roman" w:cs="Times New Roman"/>
                <w:color w:val="auto"/>
                <w:kern w:val="0"/>
                <w:sz w:val="24"/>
                <w:szCs w:val="20"/>
                <w:lang w:val="en-US" w:eastAsia="zh-CN" w:bidi="ar-SA"/>
              </w:rPr>
              <w:t>会</w:t>
            </w:r>
            <w:r>
              <w:rPr>
                <w:rFonts w:hint="default" w:ascii="Times New Roman" w:hAnsi="Times New Roman" w:eastAsia="宋体" w:cs="Times New Roman"/>
                <w:color w:val="auto"/>
                <w:kern w:val="0"/>
                <w:sz w:val="24"/>
                <w:szCs w:val="20"/>
                <w:lang w:val="en-US" w:eastAsia="zh-CN" w:bidi="ar-SA"/>
              </w:rPr>
              <w:t>分解</w:t>
            </w:r>
            <w:r>
              <w:rPr>
                <w:rFonts w:hint="eastAsia" w:ascii="Times New Roman" w:hAnsi="Times New Roman" w:cs="Times New Roman"/>
                <w:color w:val="auto"/>
                <w:kern w:val="0"/>
                <w:sz w:val="24"/>
                <w:szCs w:val="20"/>
                <w:lang w:val="en-US" w:eastAsia="zh-CN" w:bidi="ar-SA"/>
              </w:rPr>
              <w:t>出</w:t>
            </w:r>
            <w:r>
              <w:rPr>
                <w:rFonts w:hint="eastAsia" w:ascii="Times New Roman" w:hAnsi="Times New Roman" w:eastAsia="宋体" w:cs="Times New Roman"/>
                <w:color w:val="auto"/>
                <w:kern w:val="0"/>
                <w:sz w:val="24"/>
                <w:szCs w:val="20"/>
                <w:lang w:val="en-US" w:eastAsia="zh-CN" w:bidi="ar-SA"/>
              </w:rPr>
              <w:t>氯化氢</w:t>
            </w:r>
            <w:r>
              <w:rPr>
                <w:rFonts w:hint="default" w:ascii="Times New Roman" w:hAnsi="Times New Roman" w:eastAsia="宋体" w:cs="Times New Roman"/>
                <w:color w:val="auto"/>
                <w:kern w:val="0"/>
                <w:sz w:val="24"/>
                <w:szCs w:val="20"/>
                <w:lang w:val="en-US" w:eastAsia="zh-CN" w:bidi="ar-SA"/>
              </w:rPr>
              <w:t>。参考《空气污染物控制和排放手册》（美国国家环保局），该手册认为塑料生产中无控制措施时氯化氢的产生系数为0.15kg/t</w:t>
            </w:r>
            <w:r>
              <w:rPr>
                <w:color w:val="auto"/>
                <w:sz w:val="24"/>
              </w:rPr>
              <w:t>-原料</w:t>
            </w:r>
            <w:r>
              <w:rPr>
                <w:rFonts w:hint="eastAsia"/>
                <w:color w:val="auto"/>
                <w:sz w:val="24"/>
                <w:lang w:eastAsia="zh-CN"/>
              </w:rPr>
              <w:t>，本</w:t>
            </w:r>
            <w:r>
              <w:rPr>
                <w:color w:val="auto"/>
                <w:sz w:val="24"/>
              </w:rPr>
              <w:t>项目挤出工序使用的</w:t>
            </w:r>
            <w:r>
              <w:rPr>
                <w:rFonts w:hint="eastAsia"/>
                <w:color w:val="auto"/>
                <w:sz w:val="24"/>
                <w:lang w:val="en-US" w:eastAsia="zh-CN"/>
              </w:rPr>
              <w:t>PVC</w:t>
            </w:r>
            <w:r>
              <w:rPr>
                <w:color w:val="auto"/>
                <w:sz w:val="24"/>
              </w:rPr>
              <w:t>颗粒用量为</w:t>
            </w:r>
            <w:r>
              <w:rPr>
                <w:rFonts w:hint="eastAsia"/>
                <w:color w:val="auto"/>
                <w:sz w:val="24"/>
                <w:lang w:val="en-US" w:eastAsia="zh-CN"/>
              </w:rPr>
              <w:t>200</w:t>
            </w:r>
            <w:r>
              <w:rPr>
                <w:color w:val="auto"/>
                <w:sz w:val="24"/>
              </w:rPr>
              <w:t>t/a，则</w:t>
            </w:r>
            <w:r>
              <w:rPr>
                <w:rFonts w:hint="eastAsia"/>
                <w:color w:val="auto"/>
                <w:sz w:val="24"/>
                <w:lang w:val="en-US" w:eastAsia="zh-CN"/>
              </w:rPr>
              <w:t>氯化氢产生量为0.03t/a</w:t>
            </w:r>
            <w:r>
              <w:rPr>
                <w:color w:val="auto"/>
                <w:sz w:val="24"/>
              </w:rPr>
              <w:t>。</w:t>
            </w:r>
          </w:p>
          <w:p w14:paraId="768CCBAE">
            <w:pPr>
              <w:pStyle w:val="69"/>
              <w:keepNext w:val="0"/>
              <w:keepLines w:val="0"/>
              <w:pageBreakBefore w:val="0"/>
              <w:widowControl w:val="0"/>
              <w:kinsoku/>
              <w:wordWrap/>
              <w:overflowPunct/>
              <w:topLinePunct w:val="0"/>
              <w:autoSpaceDE/>
              <w:autoSpaceDN/>
              <w:bidi w:val="0"/>
              <w:adjustRightInd/>
              <w:snapToGrid/>
              <w:spacing w:after="0"/>
              <w:ind w:left="0" w:leftChars="0"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（3）钣金件生产废气</w:t>
            </w:r>
          </w:p>
          <w:p w14:paraId="2F99B2F7">
            <w:pPr>
              <w:tabs>
                <w:tab w:val="left" w:pos="3420"/>
              </w:tabs>
              <w:snapToGrid w:val="0"/>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焊接烟尘：</w:t>
            </w:r>
          </w:p>
          <w:p w14:paraId="09E42E41">
            <w:pPr>
              <w:tabs>
                <w:tab w:val="left" w:pos="3420"/>
              </w:tabs>
              <w:snapToGrid w:val="0"/>
              <w:spacing w:line="360" w:lineRule="auto"/>
              <w:ind w:firstLine="480" w:firstLineChars="200"/>
              <w:rPr>
                <w:rFonts w:hint="eastAsia"/>
                <w:color w:val="auto"/>
                <w:sz w:val="24"/>
                <w:highlight w:val="yellow"/>
                <w:lang w:val="en-US" w:eastAsia="zh-CN"/>
              </w:rPr>
            </w:pPr>
            <w:r>
              <w:rPr>
                <w:rFonts w:hint="eastAsia"/>
                <w:color w:val="auto"/>
                <w:sz w:val="24"/>
                <w:highlight w:val="none"/>
                <w:lang w:val="en-US" w:eastAsia="zh-CN"/>
              </w:rPr>
              <w:t>项目在焊接工序中，会产生焊接烟尘，其主要污染物为颗粒物。根据建设单位提供的资料，项目使用焊丝量为0.1t/a，为实芯焊丝，采用氩弧和电焊焊，参考《排放源统计调查产排污核算方法和系数手册》中33机械行业系数手册-09焊接的产污系数，实芯焊丝氩弧焊废气中颗粒物的产污系数为9.19kg/t-原料。项目焊丝用量0.1t/a，则焊接烟尘年产生量约为0.919kg/a。由于本项目焊接作业点比较分散，不便于收集，故焊接烟尘由移动式焊接烟尘收集器进行收集处理，处理后无组织排放（收集效率为80%，处理效率为95%）。</w:t>
            </w:r>
          </w:p>
          <w:p w14:paraId="2E9FCB6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color w:val="auto"/>
                <w:sz w:val="24"/>
                <w:highlight w:val="none"/>
                <w:lang w:val="en-US" w:eastAsia="zh-CN"/>
              </w:rPr>
              <w:t>（4）</w:t>
            </w:r>
            <w:r>
              <w:rPr>
                <w:rFonts w:hint="eastAsia" w:cs="Times New Roman"/>
                <w:b w:val="0"/>
                <w:bCs w:val="0"/>
                <w:color w:val="auto"/>
                <w:sz w:val="24"/>
                <w:highlight w:val="none"/>
                <w:u w:val="none"/>
                <w:lang w:val="en-US" w:eastAsia="zh-CN"/>
              </w:rPr>
              <w:t>废气收集、处理方式</w:t>
            </w:r>
          </w:p>
          <w:p w14:paraId="5AC10D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企业拟采取集气措施如下：</w:t>
            </w:r>
          </w:p>
          <w:p w14:paraId="7BE3E3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①破碎机上方设集气罩收集，废气收集后经袋式除尘器处理，尾气在车间逸散。</w:t>
            </w:r>
          </w:p>
          <w:p w14:paraId="4AEED8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szCs w:val="24"/>
                <w:highlight w:val="none"/>
                <w:u w:val="none"/>
                <w:lang w:val="en-US" w:eastAsia="zh-CN"/>
              </w:rPr>
              <w:t>②</w:t>
            </w:r>
            <w:r>
              <w:rPr>
                <w:rFonts w:hint="eastAsia" w:ascii="Times New Roman" w:hAnsi="Times New Roman" w:eastAsia="宋体" w:cs="Times New Roman"/>
                <w:color w:val="auto"/>
                <w:sz w:val="24"/>
                <w:szCs w:val="24"/>
                <w:highlight w:val="none"/>
                <w:u w:val="none"/>
                <w:lang w:val="en-US" w:eastAsia="zh-CN"/>
              </w:rPr>
              <w:t>涂胶加热一体机、</w:t>
            </w:r>
            <w:r>
              <w:rPr>
                <w:rFonts w:hint="eastAsia"/>
                <w:color w:val="auto"/>
                <w:sz w:val="24"/>
                <w:highlight w:val="none"/>
                <w:lang w:eastAsia="zh-CN"/>
              </w:rPr>
              <w:t>注塑机、TPV复合密封条挤出机所在区域设独立的密闭空间，人员出入口设置可启闭的门，在生产人员进入后关闭，同时在</w:t>
            </w:r>
            <w:r>
              <w:rPr>
                <w:rFonts w:hint="eastAsia"/>
                <w:color w:val="auto"/>
                <w:sz w:val="24"/>
                <w:highlight w:val="none"/>
                <w:lang w:val="en-US" w:eastAsia="zh-CN"/>
              </w:rPr>
              <w:t>涂胶机、</w:t>
            </w:r>
            <w:r>
              <w:rPr>
                <w:rFonts w:hint="eastAsia"/>
                <w:color w:val="auto"/>
                <w:sz w:val="24"/>
                <w:highlight w:val="none"/>
                <w:lang w:eastAsia="zh-CN"/>
              </w:rPr>
              <w:t>注塑机、挤出机</w:t>
            </w:r>
            <w:r>
              <w:rPr>
                <w:rFonts w:hint="eastAsia"/>
                <w:color w:val="auto"/>
                <w:sz w:val="24"/>
                <w:highlight w:val="none"/>
                <w:lang w:val="en-US" w:eastAsia="zh-CN"/>
              </w:rPr>
              <w:t>出料口</w:t>
            </w:r>
            <w:r>
              <w:rPr>
                <w:rFonts w:hint="eastAsia"/>
                <w:color w:val="auto"/>
                <w:sz w:val="24"/>
                <w:highlight w:val="none"/>
                <w:lang w:eastAsia="zh-CN"/>
              </w:rPr>
              <w:t>设置集气罩（每</w:t>
            </w:r>
            <w:r>
              <w:rPr>
                <w:rFonts w:hint="eastAsia"/>
                <w:color w:val="auto"/>
                <w:sz w:val="24"/>
                <w:highlight w:val="none"/>
                <w:lang w:val="en-US" w:eastAsia="zh-CN"/>
              </w:rPr>
              <w:t>台</w:t>
            </w:r>
            <w:r>
              <w:rPr>
                <w:rFonts w:hint="eastAsia"/>
                <w:color w:val="auto"/>
                <w:sz w:val="24"/>
                <w:highlight w:val="none"/>
                <w:lang w:eastAsia="zh-CN"/>
              </w:rPr>
              <w:t>TPV复合密封条挤出机设2个集气罩），配套集气管道，并设置车间送风装置，形成车间负压，将废气强制性的向收集装置流动</w:t>
            </w:r>
            <w:r>
              <w:rPr>
                <w:rFonts w:hint="default" w:ascii="Times New Roman" w:hAnsi="Times New Roman" w:eastAsia="宋体" w:cs="Times New Roman"/>
                <w:bCs/>
                <w:color w:val="auto"/>
                <w:sz w:val="24"/>
                <w:szCs w:val="24"/>
                <w:highlight w:val="none"/>
                <w:lang w:val="en-US" w:eastAsia="zh-CN"/>
              </w:rPr>
              <w:t>，共设</w:t>
            </w:r>
            <w:r>
              <w:rPr>
                <w:rFonts w:hint="eastAsia" w:cs="Times New Roman"/>
                <w:bCs/>
                <w:color w:val="auto"/>
                <w:sz w:val="24"/>
                <w:szCs w:val="24"/>
                <w:highlight w:val="none"/>
                <w:lang w:val="en-US" w:eastAsia="zh-CN"/>
              </w:rPr>
              <w:t>33</w:t>
            </w:r>
            <w:r>
              <w:rPr>
                <w:rFonts w:hint="default" w:ascii="Times New Roman" w:hAnsi="Times New Roman" w:eastAsia="宋体" w:cs="Times New Roman"/>
                <w:bCs/>
                <w:color w:val="auto"/>
                <w:sz w:val="24"/>
                <w:szCs w:val="24"/>
                <w:highlight w:val="none"/>
                <w:lang w:val="en-US" w:eastAsia="zh-CN"/>
              </w:rPr>
              <w:t>个集气罩；</w:t>
            </w:r>
          </w:p>
          <w:p w14:paraId="46BC84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根据《环境工程技术手册：废气处理工程技术手册》（王纯、张殿印主编，化学工业出版社，</w:t>
            </w:r>
            <w:r>
              <w:rPr>
                <w:rFonts w:hint="default" w:ascii="Times New Roman" w:hAnsi="Times New Roman" w:eastAsia="宋体" w:cs="Times New Roman"/>
                <w:bCs/>
                <w:color w:val="auto"/>
                <w:sz w:val="24"/>
                <w:highlight w:val="none"/>
                <w:lang w:val="en-US" w:eastAsia="zh-CN"/>
              </w:rPr>
              <w:t>2013</w:t>
            </w:r>
            <w:r>
              <w:rPr>
                <w:rFonts w:hint="eastAsia" w:ascii="Times New Roman" w:hAnsi="Times New Roman" w:eastAsia="宋体" w:cs="Times New Roman"/>
                <w:bCs/>
                <w:color w:val="auto"/>
                <w:sz w:val="24"/>
                <w:highlight w:val="none"/>
                <w:lang w:val="en-US" w:eastAsia="zh-CN"/>
              </w:rPr>
              <w:t>年</w:t>
            </w:r>
            <w:r>
              <w:rPr>
                <w:rFonts w:hint="default"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月第</w:t>
            </w:r>
            <w:r>
              <w:rPr>
                <w:rFonts w:hint="default"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版），集气罩的排气量</w:t>
            </w:r>
            <w:r>
              <w:rPr>
                <w:rFonts w:hint="default" w:ascii="Times New Roman" w:hAnsi="Times New Roman" w:eastAsia="宋体" w:cs="Times New Roman"/>
                <w:bCs/>
                <w:color w:val="auto"/>
                <w:sz w:val="24"/>
                <w:highlight w:val="none"/>
                <w:lang w:val="en-US" w:eastAsia="zh-CN"/>
              </w:rPr>
              <w:t>Q</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 xml:space="preserve">）可通过下式计算： </w:t>
            </w:r>
          </w:p>
          <w:p w14:paraId="23427A2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L=3600k</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P</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Vx</w:t>
            </w:r>
          </w:p>
          <w:p w14:paraId="69A59D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其中：</w:t>
            </w:r>
            <w:r>
              <w:rPr>
                <w:rFonts w:hint="default" w:ascii="Times New Roman" w:hAnsi="Times New Roman" w:eastAsia="宋体" w:cs="Times New Roman"/>
                <w:bCs/>
                <w:color w:val="auto"/>
                <w:sz w:val="24"/>
                <w:highlight w:val="none"/>
                <w:lang w:val="en-US" w:eastAsia="zh-CN"/>
              </w:rPr>
              <w:t>L—</w:t>
            </w:r>
            <w:r>
              <w:rPr>
                <w:rFonts w:hint="eastAsia" w:ascii="Times New Roman" w:hAnsi="Times New Roman" w:eastAsia="宋体" w:cs="Times New Roman"/>
                <w:bCs/>
                <w:color w:val="auto"/>
                <w:sz w:val="24"/>
                <w:highlight w:val="none"/>
                <w:lang w:val="en-US" w:eastAsia="zh-CN"/>
              </w:rPr>
              <w:t>计算所需风量，</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w:t>
            </w:r>
          </w:p>
          <w:p w14:paraId="5F1A1866">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k—</w:t>
            </w:r>
            <w:r>
              <w:rPr>
                <w:rFonts w:hint="eastAsia" w:ascii="Times New Roman" w:hAnsi="Times New Roman" w:eastAsia="宋体" w:cs="Times New Roman"/>
                <w:bCs/>
                <w:color w:val="auto"/>
                <w:sz w:val="24"/>
                <w:highlight w:val="none"/>
                <w:lang w:val="en-US" w:eastAsia="zh-CN"/>
              </w:rPr>
              <w:t>安全系数，一般取</w:t>
            </w:r>
            <w:r>
              <w:rPr>
                <w:rFonts w:hint="default" w:ascii="Times New Roman" w:hAnsi="Times New Roman" w:eastAsia="宋体" w:cs="Times New Roman"/>
                <w:bCs/>
                <w:color w:val="auto"/>
                <w:sz w:val="24"/>
                <w:highlight w:val="none"/>
                <w:lang w:val="en-US" w:eastAsia="zh-CN"/>
              </w:rPr>
              <w:t>1.4</w:t>
            </w:r>
            <w:r>
              <w:rPr>
                <w:rFonts w:hint="eastAsia" w:ascii="Times New Roman" w:hAnsi="Times New Roman" w:eastAsia="宋体" w:cs="Times New Roman"/>
                <w:bCs/>
                <w:color w:val="auto"/>
                <w:sz w:val="24"/>
                <w:highlight w:val="none"/>
                <w:lang w:val="en-US" w:eastAsia="zh-CN"/>
              </w:rPr>
              <w:t>；</w:t>
            </w:r>
          </w:p>
          <w:p w14:paraId="103C1DA4">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H—</w:t>
            </w:r>
            <w:r>
              <w:rPr>
                <w:rFonts w:hint="eastAsia" w:ascii="Times New Roman" w:hAnsi="Times New Roman" w:eastAsia="宋体" w:cs="Times New Roman"/>
                <w:bCs/>
                <w:color w:val="auto"/>
                <w:sz w:val="24"/>
                <w:highlight w:val="none"/>
                <w:lang w:val="en-US" w:eastAsia="zh-CN"/>
              </w:rPr>
              <w:t>集气罩至污染源的距离，</w:t>
            </w:r>
            <w:r>
              <w:rPr>
                <w:rFonts w:hint="default"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lang w:val="en-US" w:eastAsia="zh-CN"/>
              </w:rPr>
              <w:t>；</w:t>
            </w:r>
          </w:p>
          <w:p w14:paraId="54D2D579">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P—</w:t>
            </w:r>
            <w:r>
              <w:rPr>
                <w:rFonts w:hint="eastAsia" w:ascii="Times New Roman" w:hAnsi="Times New Roman" w:eastAsia="宋体" w:cs="Times New Roman"/>
                <w:bCs/>
                <w:color w:val="auto"/>
                <w:sz w:val="24"/>
                <w:highlight w:val="none"/>
                <w:lang w:val="en-US" w:eastAsia="zh-CN"/>
              </w:rPr>
              <w:t>集气罩口敞开面的周长，</w:t>
            </w:r>
            <w:r>
              <w:rPr>
                <w:rFonts w:hint="default"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lang w:val="en-US" w:eastAsia="zh-CN"/>
              </w:rPr>
              <w:t>；</w:t>
            </w:r>
          </w:p>
          <w:p w14:paraId="2A22B56E">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Vx—</w:t>
            </w:r>
            <w:r>
              <w:rPr>
                <w:rFonts w:hint="eastAsia" w:ascii="Times New Roman" w:hAnsi="Times New Roman" w:eastAsia="宋体" w:cs="Times New Roman"/>
                <w:bCs/>
                <w:color w:val="auto"/>
                <w:sz w:val="24"/>
                <w:highlight w:val="none"/>
                <w:lang w:val="en-US" w:eastAsia="zh-CN"/>
              </w:rPr>
              <w:t>污染源边缘控制风速，</w:t>
            </w:r>
            <w:r>
              <w:rPr>
                <w:rFonts w:hint="default" w:ascii="Times New Roman" w:hAnsi="Times New Roman" w:eastAsia="宋体" w:cs="Times New Roman"/>
                <w:bCs/>
                <w:color w:val="auto"/>
                <w:sz w:val="24"/>
                <w:highlight w:val="none"/>
                <w:lang w:val="en-US" w:eastAsia="zh-CN"/>
              </w:rPr>
              <w:t>m/s</w:t>
            </w:r>
            <w:r>
              <w:rPr>
                <w:rFonts w:hint="eastAsia" w:ascii="Times New Roman" w:hAnsi="Times New Roman" w:eastAsia="宋体" w:cs="Times New Roman"/>
                <w:bCs/>
                <w:color w:val="auto"/>
                <w:sz w:val="24"/>
                <w:highlight w:val="none"/>
                <w:lang w:val="en-US" w:eastAsia="zh-CN"/>
              </w:rPr>
              <w:t>。</w:t>
            </w:r>
          </w:p>
          <w:p w14:paraId="6487C8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color w:val="auto"/>
                <w:sz w:val="24"/>
                <w:szCs w:val="24"/>
                <w:highlight w:val="none"/>
                <w:lang w:eastAsia="zh-CN"/>
              </w:rPr>
            </w:pPr>
            <w:r>
              <w:rPr>
                <w:rFonts w:hint="eastAsia" w:ascii="Times New Roman" w:hAnsi="Times New Roman" w:eastAsia="宋体" w:cs="Times New Roman"/>
                <w:bCs/>
                <w:color w:val="auto"/>
                <w:sz w:val="24"/>
                <w:highlight w:val="none"/>
                <w:lang w:val="en-US" w:eastAsia="zh-CN"/>
              </w:rPr>
              <w:t>项目废气风量核算如下表：</w:t>
            </w:r>
          </w:p>
          <w:p w14:paraId="11CAD10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黑体" w:cs="Times New Roman"/>
                <w:color w:val="auto"/>
                <w:sz w:val="24"/>
                <w:szCs w:val="24"/>
                <w:highlight w:val="yellow"/>
                <w:lang w:val="en-US" w:eastAsia="zh-CN"/>
              </w:rPr>
            </w:pPr>
            <w:r>
              <w:rPr>
                <w:rFonts w:hint="default" w:ascii="Times New Roman" w:hAnsi="Times New Roman" w:eastAsia="黑体" w:cs="Times New Roman"/>
                <w:color w:val="auto"/>
                <w:sz w:val="24"/>
                <w:szCs w:val="24"/>
                <w:highlight w:val="none"/>
                <w:lang w:eastAsia="zh-CN"/>
              </w:rPr>
              <w:t>表</w:t>
            </w:r>
            <w:r>
              <w:rPr>
                <w:rFonts w:hint="eastAsia"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6</w:t>
            </w:r>
            <w:r>
              <w:rPr>
                <w:rFonts w:hint="eastAsia"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lang w:eastAsia="zh-CN"/>
              </w:rPr>
              <w:t xml:space="preserve"> </w:t>
            </w:r>
            <w:r>
              <w:rPr>
                <w:rFonts w:hint="eastAsia" w:ascii="Times New Roman" w:hAnsi="Times New Roman" w:eastAsia="黑体" w:cs="Times New Roman"/>
                <w:color w:val="auto"/>
                <w:sz w:val="24"/>
                <w:szCs w:val="24"/>
                <w:highlight w:val="none"/>
                <w:lang w:val="en-US" w:eastAsia="zh-CN"/>
              </w:rPr>
              <w:t>废气风量核算一览表</w:t>
            </w:r>
          </w:p>
          <w:tbl>
            <w:tblPr>
              <w:tblStyle w:val="35"/>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674"/>
              <w:gridCol w:w="848"/>
              <w:gridCol w:w="467"/>
              <w:gridCol w:w="529"/>
              <w:gridCol w:w="615"/>
              <w:gridCol w:w="774"/>
              <w:gridCol w:w="1119"/>
              <w:gridCol w:w="985"/>
              <w:gridCol w:w="600"/>
              <w:gridCol w:w="657"/>
              <w:gridCol w:w="670"/>
            </w:tblGrid>
            <w:tr w14:paraId="1C80A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4" w:hRule="atLeast"/>
                <w:jc w:val="center"/>
              </w:trPr>
              <w:tc>
                <w:tcPr>
                  <w:tcW w:w="674" w:type="dxa"/>
                  <w:noWrap w:val="0"/>
                  <w:vAlign w:val="center"/>
                </w:tcPr>
                <w:p w14:paraId="306EF959">
                  <w:pPr>
                    <w:spacing w:line="240" w:lineRule="auto"/>
                    <w:jc w:val="center"/>
                    <w:rPr>
                      <w:rFonts w:hint="eastAsia" w:ascii="Times New Roman" w:hAnsi="Times New Roman"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排气筒编号</w:t>
                  </w:r>
                </w:p>
              </w:tc>
              <w:tc>
                <w:tcPr>
                  <w:tcW w:w="848" w:type="dxa"/>
                  <w:noWrap w:val="0"/>
                  <w:vAlign w:val="center"/>
                </w:tcPr>
                <w:p w14:paraId="6FF61164">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设备名称</w:t>
                  </w:r>
                </w:p>
              </w:tc>
              <w:tc>
                <w:tcPr>
                  <w:tcW w:w="467" w:type="dxa"/>
                  <w:noWrap w:val="0"/>
                  <w:vAlign w:val="center"/>
                </w:tcPr>
                <w:p w14:paraId="15AE56D0">
                  <w:pPr>
                    <w:spacing w:line="240" w:lineRule="auto"/>
                    <w:jc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k</w:t>
                  </w:r>
                </w:p>
              </w:tc>
              <w:tc>
                <w:tcPr>
                  <w:tcW w:w="529" w:type="dxa"/>
                  <w:noWrap w:val="0"/>
                  <w:vAlign w:val="center"/>
                </w:tcPr>
                <w:p w14:paraId="0164EF94">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P/m</w:t>
                  </w:r>
                </w:p>
              </w:tc>
              <w:tc>
                <w:tcPr>
                  <w:tcW w:w="615" w:type="dxa"/>
                  <w:noWrap w:val="0"/>
                  <w:vAlign w:val="center"/>
                </w:tcPr>
                <w:p w14:paraId="0F941AB4">
                  <w:pPr>
                    <w:spacing w:line="240" w:lineRule="auto"/>
                    <w:jc w:val="center"/>
                    <w:rPr>
                      <w:rFonts w:hint="default" w:ascii="Times New Roman" w:hAnsi="Times New Roman" w:cs="Times New Roman"/>
                      <w:bCs/>
                      <w:color w:val="auto"/>
                      <w:sz w:val="18"/>
                      <w:szCs w:val="18"/>
                      <w:highlight w:val="none"/>
                    </w:rPr>
                  </w:pPr>
                  <w:r>
                    <w:rPr>
                      <w:rFonts w:hint="eastAsia" w:ascii="Times New Roman" w:hAnsi="Times New Roman" w:cs="Times New Roman"/>
                      <w:bCs/>
                      <w:color w:val="auto"/>
                      <w:sz w:val="18"/>
                      <w:szCs w:val="18"/>
                      <w:highlight w:val="none"/>
                      <w:lang w:val="en-US" w:eastAsia="zh-CN"/>
                    </w:rPr>
                    <w:t>H/m</w:t>
                  </w:r>
                </w:p>
              </w:tc>
              <w:tc>
                <w:tcPr>
                  <w:tcW w:w="774" w:type="dxa"/>
                  <w:noWrap w:val="0"/>
                  <w:vAlign w:val="center"/>
                </w:tcPr>
                <w:p w14:paraId="022D9156">
                  <w:pPr>
                    <w:spacing w:line="240" w:lineRule="auto"/>
                    <w:jc w:val="center"/>
                    <w:rPr>
                      <w:rFonts w:hint="default" w:ascii="Times New Roman" w:hAnsi="Times New Roman" w:cs="Times New Roman"/>
                      <w:bCs/>
                      <w:color w:val="auto"/>
                      <w:sz w:val="18"/>
                      <w:szCs w:val="18"/>
                      <w:highlight w:val="none"/>
                      <w:lang w:val="en-US"/>
                    </w:rPr>
                  </w:pPr>
                  <w:r>
                    <w:rPr>
                      <w:rFonts w:hint="default" w:ascii="Times New Roman" w:hAnsi="Times New Roman" w:eastAsia="宋体" w:cs="Times New Roman"/>
                      <w:bCs/>
                      <w:color w:val="auto"/>
                      <w:sz w:val="18"/>
                      <w:szCs w:val="18"/>
                      <w:highlight w:val="none"/>
                      <w:lang w:val="en-US" w:eastAsia="zh-CN"/>
                    </w:rPr>
                    <w:t>Vx</w:t>
                  </w:r>
                  <w:r>
                    <w:rPr>
                      <w:rFonts w:hint="eastAsia" w:ascii="Times New Roman" w:hAnsi="Times New Roman" w:cs="Times New Roman"/>
                      <w:bCs/>
                      <w:color w:val="auto"/>
                      <w:sz w:val="18"/>
                      <w:szCs w:val="18"/>
                      <w:highlight w:val="none"/>
                      <w:lang w:val="en-US" w:eastAsia="zh-CN"/>
                    </w:rPr>
                    <w:t>/m/s</w:t>
                  </w:r>
                </w:p>
              </w:tc>
              <w:tc>
                <w:tcPr>
                  <w:tcW w:w="1119" w:type="dxa"/>
                  <w:noWrap w:val="0"/>
                  <w:vAlign w:val="center"/>
                </w:tcPr>
                <w:p w14:paraId="01CCFDB8">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集气罩罩口尺寸</w:t>
                  </w:r>
                </w:p>
              </w:tc>
              <w:tc>
                <w:tcPr>
                  <w:tcW w:w="985" w:type="dxa"/>
                  <w:noWrap w:val="0"/>
                  <w:vAlign w:val="center"/>
                </w:tcPr>
                <w:p w14:paraId="25515D6E">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单个集气罩风量L/m</w:t>
                  </w:r>
                  <w:r>
                    <w:rPr>
                      <w:rFonts w:hint="eastAsia" w:ascii="Times New Roman" w:hAnsi="Times New Roman" w:cs="Times New Roman"/>
                      <w:bCs/>
                      <w:color w:val="auto"/>
                      <w:sz w:val="18"/>
                      <w:szCs w:val="18"/>
                      <w:highlight w:val="none"/>
                      <w:vertAlign w:val="superscript"/>
                      <w:lang w:val="en-US" w:eastAsia="zh-CN"/>
                    </w:rPr>
                    <w:t>3</w:t>
                  </w:r>
                  <w:r>
                    <w:rPr>
                      <w:rFonts w:hint="eastAsia" w:ascii="Times New Roman" w:hAnsi="Times New Roman" w:cs="Times New Roman"/>
                      <w:bCs/>
                      <w:color w:val="auto"/>
                      <w:sz w:val="18"/>
                      <w:szCs w:val="18"/>
                      <w:highlight w:val="none"/>
                      <w:lang w:val="en-US" w:eastAsia="zh-CN"/>
                    </w:rPr>
                    <w:t>/h</w:t>
                  </w:r>
                </w:p>
              </w:tc>
              <w:tc>
                <w:tcPr>
                  <w:tcW w:w="600" w:type="dxa"/>
                  <w:noWrap w:val="0"/>
                  <w:vAlign w:val="center"/>
                </w:tcPr>
                <w:p w14:paraId="3225E100">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集气罩数量/个</w:t>
                  </w:r>
                </w:p>
              </w:tc>
              <w:tc>
                <w:tcPr>
                  <w:tcW w:w="657" w:type="dxa"/>
                  <w:noWrap w:val="0"/>
                  <w:vAlign w:val="center"/>
                </w:tcPr>
                <w:p w14:paraId="3CE724C1">
                  <w:pPr>
                    <w:spacing w:line="240" w:lineRule="auto"/>
                    <w:jc w:val="center"/>
                    <w:rPr>
                      <w:rFonts w:hint="default" w:ascii="Times New Roman" w:hAnsi="Times New Roman" w:cs="Times New Roman"/>
                      <w:bCs/>
                      <w:color w:val="auto"/>
                      <w:sz w:val="18"/>
                      <w:szCs w:val="18"/>
                      <w:highlight w:val="none"/>
                      <w:lang w:val="en-US" w:eastAsia="zh-CN"/>
                    </w:rPr>
                  </w:pPr>
                  <w:r>
                    <w:rPr>
                      <w:rFonts w:hint="eastAsia" w:cs="Times New Roman"/>
                      <w:bCs/>
                      <w:color w:val="auto"/>
                      <w:sz w:val="18"/>
                      <w:szCs w:val="18"/>
                      <w:highlight w:val="none"/>
                      <w:lang w:val="en-US" w:eastAsia="zh-CN"/>
                    </w:rPr>
                    <w:t>区域设计风量</w:t>
                  </w:r>
                </w:p>
              </w:tc>
              <w:tc>
                <w:tcPr>
                  <w:tcW w:w="670" w:type="dxa"/>
                  <w:noWrap w:val="0"/>
                  <w:vAlign w:val="center"/>
                </w:tcPr>
                <w:p w14:paraId="236FC1F5">
                  <w:pPr>
                    <w:spacing w:line="240" w:lineRule="auto"/>
                    <w:jc w:val="center"/>
                    <w:rPr>
                      <w:rFonts w:hint="eastAsia" w:ascii="Times New Roman" w:hAnsi="Times New Roman"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设计总风量/m</w:t>
                  </w:r>
                  <w:r>
                    <w:rPr>
                      <w:rFonts w:hint="eastAsia" w:ascii="Times New Roman" w:hAnsi="Times New Roman" w:cs="Times New Roman"/>
                      <w:bCs/>
                      <w:color w:val="auto"/>
                      <w:sz w:val="18"/>
                      <w:szCs w:val="18"/>
                      <w:highlight w:val="none"/>
                      <w:vertAlign w:val="superscript"/>
                      <w:lang w:val="en-US" w:eastAsia="zh-CN"/>
                    </w:rPr>
                    <w:t>3</w:t>
                  </w:r>
                  <w:r>
                    <w:rPr>
                      <w:rFonts w:hint="eastAsia" w:ascii="Times New Roman" w:hAnsi="Times New Roman" w:cs="Times New Roman"/>
                      <w:bCs/>
                      <w:color w:val="auto"/>
                      <w:sz w:val="18"/>
                      <w:szCs w:val="18"/>
                      <w:highlight w:val="none"/>
                      <w:lang w:val="en-US" w:eastAsia="zh-CN"/>
                    </w:rPr>
                    <w:t>/h</w:t>
                  </w:r>
                </w:p>
              </w:tc>
            </w:tr>
            <w:tr w14:paraId="70086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restart"/>
                  <w:noWrap w:val="0"/>
                  <w:vAlign w:val="center"/>
                </w:tcPr>
                <w:p w14:paraId="0C83585C">
                  <w:pPr>
                    <w:spacing w:line="240" w:lineRule="auto"/>
                    <w:jc w:val="center"/>
                    <w:rPr>
                      <w:rFonts w:hint="eastAsia"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DA00</w:t>
                  </w:r>
                  <w:r>
                    <w:rPr>
                      <w:rFonts w:hint="eastAsia" w:cs="Times New Roman"/>
                      <w:bCs/>
                      <w:color w:val="auto"/>
                      <w:sz w:val="18"/>
                      <w:szCs w:val="18"/>
                      <w:highlight w:val="none"/>
                      <w:lang w:val="en-US" w:eastAsia="zh-CN"/>
                    </w:rPr>
                    <w:t>2</w:t>
                  </w:r>
                </w:p>
              </w:tc>
              <w:tc>
                <w:tcPr>
                  <w:tcW w:w="848" w:type="dxa"/>
                  <w:noWrap w:val="0"/>
                  <w:vAlign w:val="center"/>
                </w:tcPr>
                <w:p w14:paraId="3BA420C0">
                  <w:pPr>
                    <w:spacing w:line="240" w:lineRule="auto"/>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卧式注塑机</w:t>
                  </w:r>
                </w:p>
              </w:tc>
              <w:tc>
                <w:tcPr>
                  <w:tcW w:w="467" w:type="dxa"/>
                  <w:noWrap w:val="0"/>
                  <w:vAlign w:val="center"/>
                </w:tcPr>
                <w:p w14:paraId="77E10800">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29" w:type="dxa"/>
                  <w:noWrap w:val="0"/>
                  <w:vAlign w:val="center"/>
                </w:tcPr>
                <w:p w14:paraId="02F94DBE">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1.6</w:t>
                  </w:r>
                </w:p>
              </w:tc>
              <w:tc>
                <w:tcPr>
                  <w:tcW w:w="615" w:type="dxa"/>
                  <w:noWrap w:val="0"/>
                  <w:vAlign w:val="center"/>
                </w:tcPr>
                <w:p w14:paraId="27D92861">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0.2</w:t>
                  </w:r>
                </w:p>
              </w:tc>
              <w:tc>
                <w:tcPr>
                  <w:tcW w:w="774" w:type="dxa"/>
                  <w:noWrap w:val="0"/>
                  <w:vAlign w:val="center"/>
                </w:tcPr>
                <w:p w14:paraId="7F50DFDF">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0.3</w:t>
                  </w:r>
                </w:p>
              </w:tc>
              <w:tc>
                <w:tcPr>
                  <w:tcW w:w="1119" w:type="dxa"/>
                  <w:noWrap w:val="0"/>
                  <w:vAlign w:val="center"/>
                </w:tcPr>
                <w:p w14:paraId="18C741E4">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0.4m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noWrap w:val="0"/>
                  <w:vAlign w:val="center"/>
                </w:tcPr>
                <w:p w14:paraId="048C53B3">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483.8</w:t>
                  </w:r>
                </w:p>
              </w:tc>
              <w:tc>
                <w:tcPr>
                  <w:tcW w:w="600" w:type="dxa"/>
                  <w:noWrap w:val="0"/>
                  <w:vAlign w:val="center"/>
                </w:tcPr>
                <w:p w14:paraId="1A4168FA">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i w:val="0"/>
                      <w:iCs w:val="0"/>
                      <w:color w:val="auto"/>
                      <w:kern w:val="0"/>
                      <w:sz w:val="18"/>
                      <w:szCs w:val="18"/>
                      <w:highlight w:val="none"/>
                      <w:u w:val="none"/>
                      <w:lang w:val="en-US" w:eastAsia="zh-CN" w:bidi="ar"/>
                    </w:rPr>
                    <w:t>8</w:t>
                  </w:r>
                </w:p>
              </w:tc>
              <w:tc>
                <w:tcPr>
                  <w:tcW w:w="657" w:type="dxa"/>
                  <w:noWrap w:val="0"/>
                  <w:vAlign w:val="center"/>
                </w:tcPr>
                <w:p w14:paraId="64F50C61">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3870.4</w:t>
                  </w:r>
                </w:p>
              </w:tc>
              <w:tc>
                <w:tcPr>
                  <w:tcW w:w="670" w:type="dxa"/>
                  <w:vMerge w:val="restart"/>
                  <w:noWrap w:val="0"/>
                  <w:vAlign w:val="center"/>
                </w:tcPr>
                <w:p w14:paraId="076EE23D">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20000</w:t>
                  </w:r>
                </w:p>
              </w:tc>
            </w:tr>
            <w:tr w14:paraId="1F605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continue"/>
                  <w:noWrap w:val="0"/>
                  <w:vAlign w:val="center"/>
                </w:tcPr>
                <w:p w14:paraId="1193806C">
                  <w:pPr>
                    <w:spacing w:line="240" w:lineRule="auto"/>
                    <w:jc w:val="center"/>
                    <w:rPr>
                      <w:rFonts w:hint="eastAsia" w:ascii="Times New Roman" w:hAnsi="Times New Roman" w:cs="Times New Roman"/>
                      <w:bCs/>
                      <w:color w:val="auto"/>
                      <w:sz w:val="18"/>
                      <w:szCs w:val="18"/>
                      <w:highlight w:val="none"/>
                      <w:lang w:val="en-US" w:eastAsia="zh-CN"/>
                    </w:rPr>
                  </w:pPr>
                </w:p>
              </w:tc>
              <w:tc>
                <w:tcPr>
                  <w:tcW w:w="848" w:type="dxa"/>
                  <w:noWrap w:val="0"/>
                  <w:vAlign w:val="center"/>
                </w:tcPr>
                <w:p w14:paraId="32D055FE">
                  <w:pPr>
                    <w:spacing w:line="240" w:lineRule="auto"/>
                    <w:jc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立式注塑机</w:t>
                  </w:r>
                </w:p>
              </w:tc>
              <w:tc>
                <w:tcPr>
                  <w:tcW w:w="467" w:type="dxa"/>
                  <w:noWrap w:val="0"/>
                  <w:vAlign w:val="center"/>
                </w:tcPr>
                <w:p w14:paraId="3665CC1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529" w:type="dxa"/>
                  <w:noWrap w:val="0"/>
                  <w:vAlign w:val="center"/>
                </w:tcPr>
                <w:p w14:paraId="1F637291">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1.6</w:t>
                  </w:r>
                </w:p>
              </w:tc>
              <w:tc>
                <w:tcPr>
                  <w:tcW w:w="615" w:type="dxa"/>
                  <w:noWrap w:val="0"/>
                  <w:vAlign w:val="center"/>
                </w:tcPr>
                <w:p w14:paraId="6DFA05CD">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0.2</w:t>
                  </w:r>
                </w:p>
              </w:tc>
              <w:tc>
                <w:tcPr>
                  <w:tcW w:w="774" w:type="dxa"/>
                  <w:noWrap w:val="0"/>
                  <w:vAlign w:val="center"/>
                </w:tcPr>
                <w:p w14:paraId="282338D5">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0.3</w:t>
                  </w:r>
                </w:p>
              </w:tc>
              <w:tc>
                <w:tcPr>
                  <w:tcW w:w="1119" w:type="dxa"/>
                  <w:noWrap w:val="0"/>
                  <w:vAlign w:val="center"/>
                </w:tcPr>
                <w:p w14:paraId="3511B3BD">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0.4m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noWrap w:val="0"/>
                  <w:vAlign w:val="center"/>
                </w:tcPr>
                <w:p w14:paraId="7659D4CE">
                  <w:pPr>
                    <w:keepNext w:val="0"/>
                    <w:keepLines w:val="0"/>
                    <w:widowControl/>
                    <w:suppressLineNumbers w:val="0"/>
                    <w:jc w:val="center"/>
                    <w:textAlignment w:val="center"/>
                    <w:rPr>
                      <w:rFonts w:hint="eastAsia"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483.8</w:t>
                  </w:r>
                </w:p>
              </w:tc>
              <w:tc>
                <w:tcPr>
                  <w:tcW w:w="600" w:type="dxa"/>
                  <w:noWrap w:val="0"/>
                  <w:vAlign w:val="center"/>
                </w:tcPr>
                <w:p w14:paraId="0A477FB0">
                  <w:pPr>
                    <w:keepNext w:val="0"/>
                    <w:keepLines w:val="0"/>
                    <w:widowControl/>
                    <w:suppressLineNumbers w:val="0"/>
                    <w:spacing w:line="240" w:lineRule="auto"/>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4</w:t>
                  </w:r>
                </w:p>
              </w:tc>
              <w:tc>
                <w:tcPr>
                  <w:tcW w:w="657" w:type="dxa"/>
                  <w:noWrap w:val="0"/>
                  <w:vAlign w:val="center"/>
                </w:tcPr>
                <w:p w14:paraId="23689043">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1935.2</w:t>
                  </w:r>
                </w:p>
              </w:tc>
              <w:tc>
                <w:tcPr>
                  <w:tcW w:w="670" w:type="dxa"/>
                  <w:vMerge w:val="continue"/>
                  <w:noWrap w:val="0"/>
                  <w:vAlign w:val="center"/>
                </w:tcPr>
                <w:p w14:paraId="62858F09">
                  <w:pPr>
                    <w:keepNext w:val="0"/>
                    <w:keepLines w:val="0"/>
                    <w:widowControl/>
                    <w:suppressLineNumbers w:val="0"/>
                    <w:spacing w:line="240" w:lineRule="auto"/>
                    <w:jc w:val="center"/>
                    <w:textAlignment w:val="center"/>
                    <w:rPr>
                      <w:rFonts w:hint="eastAsia" w:cs="Times New Roman"/>
                      <w:bCs/>
                      <w:color w:val="auto"/>
                      <w:sz w:val="18"/>
                      <w:szCs w:val="18"/>
                      <w:highlight w:val="none"/>
                      <w:lang w:val="en-US" w:eastAsia="zh-CN"/>
                    </w:rPr>
                  </w:pPr>
                </w:p>
              </w:tc>
            </w:tr>
            <w:tr w14:paraId="2B9FD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continue"/>
                  <w:noWrap w:val="0"/>
                  <w:vAlign w:val="center"/>
                </w:tcPr>
                <w:p w14:paraId="2DBD964A">
                  <w:pPr>
                    <w:spacing w:line="240" w:lineRule="auto"/>
                    <w:jc w:val="center"/>
                    <w:rPr>
                      <w:rFonts w:hint="eastAsia" w:ascii="Times New Roman" w:hAnsi="Times New Roman" w:cs="Times New Roman"/>
                      <w:bCs/>
                      <w:color w:val="auto"/>
                      <w:sz w:val="18"/>
                      <w:szCs w:val="18"/>
                      <w:highlight w:val="none"/>
                      <w:lang w:val="en-US" w:eastAsia="zh-CN"/>
                    </w:rPr>
                  </w:pPr>
                </w:p>
              </w:tc>
              <w:tc>
                <w:tcPr>
                  <w:tcW w:w="848" w:type="dxa"/>
                  <w:noWrap w:val="0"/>
                  <w:vAlign w:val="center"/>
                </w:tcPr>
                <w:p w14:paraId="38283281">
                  <w:pPr>
                    <w:spacing w:line="240" w:lineRule="auto"/>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TPV复合密封条挤出机</w:t>
                  </w:r>
                </w:p>
              </w:tc>
              <w:tc>
                <w:tcPr>
                  <w:tcW w:w="467" w:type="dxa"/>
                  <w:noWrap w:val="0"/>
                  <w:vAlign w:val="center"/>
                </w:tcPr>
                <w:p w14:paraId="319F102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eastAsia" w:ascii="Times New Roman" w:hAnsi="Times New Roman" w:eastAsia="宋体" w:cs="Times New Roman"/>
                      <w:i w:val="0"/>
                      <w:iCs w:val="0"/>
                      <w:color w:val="auto"/>
                      <w:kern w:val="0"/>
                      <w:sz w:val="18"/>
                      <w:szCs w:val="18"/>
                      <w:highlight w:val="none"/>
                      <w:u w:val="none"/>
                      <w:lang w:val="en-US" w:eastAsia="zh-CN" w:bidi="ar"/>
                    </w:rPr>
                    <w:t>4</w:t>
                  </w:r>
                </w:p>
              </w:tc>
              <w:tc>
                <w:tcPr>
                  <w:tcW w:w="529" w:type="dxa"/>
                  <w:noWrap w:val="0"/>
                  <w:vAlign w:val="center"/>
                </w:tcPr>
                <w:p w14:paraId="7F545F60">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1.6</w:t>
                  </w:r>
                </w:p>
              </w:tc>
              <w:tc>
                <w:tcPr>
                  <w:tcW w:w="615" w:type="dxa"/>
                  <w:noWrap w:val="0"/>
                  <w:vAlign w:val="center"/>
                </w:tcPr>
                <w:p w14:paraId="261AEF35">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0.2</w:t>
                  </w:r>
                </w:p>
              </w:tc>
              <w:tc>
                <w:tcPr>
                  <w:tcW w:w="774" w:type="dxa"/>
                  <w:noWrap w:val="0"/>
                  <w:vAlign w:val="center"/>
                </w:tcPr>
                <w:p w14:paraId="0D19AC32">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0.3</w:t>
                  </w:r>
                </w:p>
              </w:tc>
              <w:tc>
                <w:tcPr>
                  <w:tcW w:w="1119" w:type="dxa"/>
                  <w:noWrap w:val="0"/>
                  <w:vAlign w:val="center"/>
                </w:tcPr>
                <w:p w14:paraId="4D61E10E">
                  <w:pPr>
                    <w:keepNext w:val="0"/>
                    <w:keepLines w:val="0"/>
                    <w:widowControl/>
                    <w:suppressLineNumbers w:val="0"/>
                    <w:jc w:val="center"/>
                    <w:textAlignment w:val="center"/>
                    <w:rPr>
                      <w:rFonts w:hint="eastAsia"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0.4m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noWrap w:val="0"/>
                  <w:vAlign w:val="center"/>
                </w:tcPr>
                <w:p w14:paraId="03A48795">
                  <w:pPr>
                    <w:keepNext w:val="0"/>
                    <w:keepLines w:val="0"/>
                    <w:widowControl/>
                    <w:suppressLineNumbers w:val="0"/>
                    <w:jc w:val="center"/>
                    <w:textAlignment w:val="center"/>
                    <w:rPr>
                      <w:rFonts w:hint="eastAsia" w:eastAsia="宋体" w:cs="Times New Roman"/>
                      <w:bCs/>
                      <w:color w:val="auto"/>
                      <w:sz w:val="18"/>
                      <w:szCs w:val="18"/>
                      <w:highlight w:val="none"/>
                      <w:lang w:val="en-US" w:eastAsia="zh-CN"/>
                    </w:rPr>
                  </w:pPr>
                  <w:r>
                    <w:rPr>
                      <w:rFonts w:hint="eastAsia" w:eastAsia="宋体" w:cs="Times New Roman"/>
                      <w:i w:val="0"/>
                      <w:iCs w:val="0"/>
                      <w:color w:val="auto"/>
                      <w:kern w:val="0"/>
                      <w:sz w:val="18"/>
                      <w:szCs w:val="18"/>
                      <w:highlight w:val="none"/>
                      <w:u w:val="none"/>
                      <w:lang w:val="en-US" w:eastAsia="zh-CN" w:bidi="ar"/>
                    </w:rPr>
                    <w:t>483.8</w:t>
                  </w:r>
                </w:p>
              </w:tc>
              <w:tc>
                <w:tcPr>
                  <w:tcW w:w="600" w:type="dxa"/>
                  <w:noWrap w:val="0"/>
                  <w:vAlign w:val="center"/>
                </w:tcPr>
                <w:p w14:paraId="0985E532">
                  <w:pPr>
                    <w:keepNext w:val="0"/>
                    <w:keepLines w:val="0"/>
                    <w:widowControl/>
                    <w:suppressLineNumbers w:val="0"/>
                    <w:spacing w:line="240" w:lineRule="auto"/>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14</w:t>
                  </w:r>
                </w:p>
              </w:tc>
              <w:tc>
                <w:tcPr>
                  <w:tcW w:w="657" w:type="dxa"/>
                  <w:noWrap w:val="0"/>
                  <w:vAlign w:val="center"/>
                </w:tcPr>
                <w:p w14:paraId="340BA0FE">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6773.2</w:t>
                  </w:r>
                </w:p>
              </w:tc>
              <w:tc>
                <w:tcPr>
                  <w:tcW w:w="670" w:type="dxa"/>
                  <w:vMerge w:val="continue"/>
                  <w:noWrap w:val="0"/>
                  <w:vAlign w:val="center"/>
                </w:tcPr>
                <w:p w14:paraId="01C57973">
                  <w:pPr>
                    <w:keepNext w:val="0"/>
                    <w:keepLines w:val="0"/>
                    <w:widowControl/>
                    <w:suppressLineNumbers w:val="0"/>
                    <w:spacing w:line="240" w:lineRule="auto"/>
                    <w:jc w:val="center"/>
                    <w:textAlignment w:val="center"/>
                    <w:rPr>
                      <w:rFonts w:hint="eastAsia" w:cs="Times New Roman"/>
                      <w:bCs/>
                      <w:color w:val="auto"/>
                      <w:sz w:val="18"/>
                      <w:szCs w:val="18"/>
                      <w:highlight w:val="none"/>
                      <w:lang w:val="en-US" w:eastAsia="zh-CN"/>
                    </w:rPr>
                  </w:pPr>
                </w:p>
              </w:tc>
            </w:tr>
            <w:tr w14:paraId="261F4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8" w:hRule="atLeast"/>
                <w:jc w:val="center"/>
              </w:trPr>
              <w:tc>
                <w:tcPr>
                  <w:tcW w:w="674" w:type="dxa"/>
                  <w:vMerge w:val="continue"/>
                  <w:noWrap w:val="0"/>
                  <w:vAlign w:val="center"/>
                </w:tcPr>
                <w:p w14:paraId="4F332B4D">
                  <w:pPr>
                    <w:spacing w:line="240" w:lineRule="auto"/>
                    <w:jc w:val="center"/>
                    <w:rPr>
                      <w:rFonts w:hint="eastAsia" w:ascii="Times New Roman" w:hAnsi="Times New Roman" w:cs="Times New Roman"/>
                      <w:bCs/>
                      <w:color w:val="auto"/>
                      <w:sz w:val="18"/>
                      <w:szCs w:val="18"/>
                      <w:highlight w:val="none"/>
                      <w:lang w:val="en-US" w:eastAsia="zh-CN"/>
                    </w:rPr>
                  </w:pPr>
                </w:p>
              </w:tc>
              <w:tc>
                <w:tcPr>
                  <w:tcW w:w="848" w:type="dxa"/>
                  <w:noWrap w:val="0"/>
                  <w:vAlign w:val="center"/>
                </w:tcPr>
                <w:p w14:paraId="4145ED43">
                  <w:pPr>
                    <w:spacing w:line="240" w:lineRule="auto"/>
                    <w:jc w:val="center"/>
                    <w:rPr>
                      <w:rFonts w:hint="eastAsia" w:cs="Times New Roman"/>
                      <w:bCs/>
                      <w:color w:val="auto"/>
                      <w:sz w:val="18"/>
                      <w:szCs w:val="18"/>
                      <w:highlight w:val="none"/>
                      <w:lang w:val="en-US" w:eastAsia="zh-CN"/>
                    </w:rPr>
                  </w:pPr>
                  <w:r>
                    <w:rPr>
                      <w:rFonts w:hint="eastAsia" w:cs="Times New Roman"/>
                      <w:bCs/>
                      <w:color w:val="auto"/>
                      <w:sz w:val="18"/>
                      <w:szCs w:val="18"/>
                      <w:highlight w:val="none"/>
                      <w:lang w:val="en-US" w:eastAsia="zh-CN"/>
                    </w:rPr>
                    <w:t>涂胶加热一体机</w:t>
                  </w:r>
                </w:p>
              </w:tc>
              <w:tc>
                <w:tcPr>
                  <w:tcW w:w="467" w:type="dxa"/>
                  <w:noWrap w:val="0"/>
                  <w:vAlign w:val="center"/>
                </w:tcPr>
                <w:p w14:paraId="6ECFDD4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1.4</w:t>
                  </w:r>
                </w:p>
              </w:tc>
              <w:tc>
                <w:tcPr>
                  <w:tcW w:w="529" w:type="dxa"/>
                  <w:noWrap w:val="0"/>
                  <w:vAlign w:val="center"/>
                </w:tcPr>
                <w:p w14:paraId="72693972">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2.0</w:t>
                  </w:r>
                </w:p>
              </w:tc>
              <w:tc>
                <w:tcPr>
                  <w:tcW w:w="615" w:type="dxa"/>
                  <w:noWrap w:val="0"/>
                  <w:vAlign w:val="center"/>
                </w:tcPr>
                <w:p w14:paraId="55A03EBD">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0.2</w:t>
                  </w:r>
                </w:p>
              </w:tc>
              <w:tc>
                <w:tcPr>
                  <w:tcW w:w="774" w:type="dxa"/>
                  <w:noWrap w:val="0"/>
                  <w:vAlign w:val="center"/>
                </w:tcPr>
                <w:p w14:paraId="5FBC0604">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0.3</w:t>
                  </w:r>
                </w:p>
              </w:tc>
              <w:tc>
                <w:tcPr>
                  <w:tcW w:w="1119" w:type="dxa"/>
                  <w:noWrap w:val="0"/>
                  <w:vAlign w:val="center"/>
                </w:tcPr>
                <w:p w14:paraId="2181AC86">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0.5m</w:t>
                  </w: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5</w:t>
                  </w:r>
                  <w:r>
                    <w:rPr>
                      <w:rFonts w:hint="default" w:ascii="Times New Roman" w:hAnsi="Times New Roman" w:eastAsia="宋体" w:cs="Times New Roman"/>
                      <w:i w:val="0"/>
                      <w:iCs w:val="0"/>
                      <w:color w:val="auto"/>
                      <w:kern w:val="0"/>
                      <w:sz w:val="18"/>
                      <w:szCs w:val="18"/>
                      <w:highlight w:val="none"/>
                      <w:u w:val="none"/>
                      <w:lang w:val="en-US" w:eastAsia="zh-CN" w:bidi="ar"/>
                    </w:rPr>
                    <w:t>m</w:t>
                  </w:r>
                </w:p>
              </w:tc>
              <w:tc>
                <w:tcPr>
                  <w:tcW w:w="985" w:type="dxa"/>
                  <w:noWrap w:val="0"/>
                  <w:vAlign w:val="center"/>
                </w:tcPr>
                <w:p w14:paraId="7ADC7C3E">
                  <w:pPr>
                    <w:keepNext w:val="0"/>
                    <w:keepLines w:val="0"/>
                    <w:widowControl/>
                    <w:suppressLineNumbers w:val="0"/>
                    <w:jc w:val="center"/>
                    <w:textAlignment w:val="center"/>
                    <w:rPr>
                      <w:rFonts w:hint="default"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604.8</w:t>
                  </w:r>
                </w:p>
              </w:tc>
              <w:tc>
                <w:tcPr>
                  <w:tcW w:w="600" w:type="dxa"/>
                  <w:noWrap w:val="0"/>
                  <w:vAlign w:val="center"/>
                </w:tcPr>
                <w:p w14:paraId="6F08F404">
                  <w:pPr>
                    <w:keepNext w:val="0"/>
                    <w:keepLines w:val="0"/>
                    <w:widowControl/>
                    <w:suppressLineNumbers w:val="0"/>
                    <w:spacing w:line="240" w:lineRule="auto"/>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w:t>
                  </w:r>
                </w:p>
              </w:tc>
              <w:tc>
                <w:tcPr>
                  <w:tcW w:w="657" w:type="dxa"/>
                  <w:noWrap w:val="0"/>
                  <w:vAlign w:val="center"/>
                </w:tcPr>
                <w:p w14:paraId="562C10E3">
                  <w:pPr>
                    <w:keepNext w:val="0"/>
                    <w:keepLines w:val="0"/>
                    <w:widowControl/>
                    <w:suppressLineNumbers w:val="0"/>
                    <w:spacing w:line="240" w:lineRule="auto"/>
                    <w:jc w:val="center"/>
                    <w:textAlignment w:val="center"/>
                    <w:rPr>
                      <w:rFonts w:hint="default" w:cs="Times New Roman"/>
                      <w:bCs/>
                      <w:color w:val="auto"/>
                      <w:sz w:val="18"/>
                      <w:szCs w:val="18"/>
                      <w:highlight w:val="none"/>
                      <w:lang w:val="en-US" w:eastAsia="zh-CN"/>
                    </w:rPr>
                  </w:pPr>
                  <w:r>
                    <w:rPr>
                      <w:rFonts w:hint="eastAsia" w:cs="Times New Roman"/>
                      <w:bCs/>
                      <w:color w:val="auto"/>
                      <w:sz w:val="18"/>
                      <w:szCs w:val="18"/>
                      <w:highlight w:val="none"/>
                      <w:lang w:val="en-US" w:eastAsia="zh-CN"/>
                    </w:rPr>
                    <w:t>4233.6</w:t>
                  </w:r>
                </w:p>
              </w:tc>
              <w:tc>
                <w:tcPr>
                  <w:tcW w:w="670" w:type="dxa"/>
                  <w:vMerge w:val="continue"/>
                  <w:noWrap w:val="0"/>
                  <w:vAlign w:val="center"/>
                </w:tcPr>
                <w:p w14:paraId="4B00EA03">
                  <w:pPr>
                    <w:keepNext w:val="0"/>
                    <w:keepLines w:val="0"/>
                    <w:widowControl/>
                    <w:suppressLineNumbers w:val="0"/>
                    <w:spacing w:line="240" w:lineRule="auto"/>
                    <w:jc w:val="center"/>
                    <w:textAlignment w:val="center"/>
                    <w:rPr>
                      <w:rFonts w:hint="eastAsia" w:cs="Times New Roman"/>
                      <w:bCs/>
                      <w:color w:val="auto"/>
                      <w:sz w:val="18"/>
                      <w:szCs w:val="18"/>
                      <w:highlight w:val="none"/>
                      <w:lang w:val="en-US" w:eastAsia="zh-CN"/>
                    </w:rPr>
                  </w:pPr>
                </w:p>
              </w:tc>
            </w:tr>
          </w:tbl>
          <w:p w14:paraId="19CC09E0">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color w:val="auto"/>
                <w:highlight w:val="none"/>
              </w:rPr>
            </w:pPr>
            <w:r>
              <w:rPr>
                <w:rFonts w:hint="eastAsia" w:ascii="Times New Roman" w:hAnsi="Times New Roman" w:eastAsia="宋体" w:cs="Times New Roman"/>
                <w:bCs/>
                <w:color w:val="auto"/>
                <w:sz w:val="24"/>
                <w:highlight w:val="none"/>
                <w:lang w:val="en-US" w:eastAsia="zh-CN"/>
              </w:rPr>
              <w:t>根据建设单位提供资料，注塑机、挤出机收集罩尺寸约为</w:t>
            </w:r>
            <w:r>
              <w:rPr>
                <w:rFonts w:hint="eastAsia" w:cs="Times New Roman"/>
                <w:bCs/>
                <w:color w:val="auto"/>
                <w:sz w:val="24"/>
                <w:highlight w:val="none"/>
                <w:lang w:val="en-US" w:eastAsia="zh-CN"/>
              </w:rPr>
              <w:t>0.4</w:t>
            </w: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4</w:t>
            </w:r>
            <w:r>
              <w:rPr>
                <w:rFonts w:ascii="Times New Roman" w:hAnsi="Times New Roman" w:eastAsia="宋体" w:cs="Times New Roman"/>
                <w:bCs/>
                <w:color w:val="auto"/>
                <w:sz w:val="24"/>
                <w:highlight w:val="none"/>
              </w:rPr>
              <w:t>m</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集气罩距污染源高度</w:t>
            </w:r>
            <w:r>
              <w:rPr>
                <w:rFonts w:hint="eastAsia" w:ascii="Times New Roman" w:hAnsi="Times New Roman" w:eastAsia="宋体" w:cs="Times New Roman"/>
                <w:bCs/>
                <w:color w:val="auto"/>
                <w:sz w:val="24"/>
                <w:highlight w:val="none"/>
                <w:lang w:val="en-US" w:eastAsia="zh-CN"/>
              </w:rPr>
              <w:t>按0.</w:t>
            </w:r>
            <w:r>
              <w:rPr>
                <w:rFonts w:hint="eastAsia"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val="en-US" w:eastAsia="zh-CN"/>
              </w:rPr>
              <w:t>m</w:t>
            </w:r>
            <w:r>
              <w:rPr>
                <w:rFonts w:hint="eastAsia" w:cs="Times New Roman"/>
                <w:bCs/>
                <w:color w:val="auto"/>
                <w:sz w:val="24"/>
                <w:highlight w:val="none"/>
                <w:lang w:val="en-US" w:eastAsia="zh-CN"/>
              </w:rPr>
              <w:t>，</w:t>
            </w:r>
            <w:r>
              <w:rPr>
                <w:rFonts w:ascii="Times New Roman" w:hAnsi="Times New Roman" w:eastAsia="宋体" w:cs="Times New Roman"/>
                <w:bCs/>
                <w:color w:val="auto"/>
                <w:sz w:val="24"/>
                <w:highlight w:val="none"/>
              </w:rPr>
              <w:t>罩口风速取0.</w:t>
            </w:r>
            <w:r>
              <w:rPr>
                <w:rFonts w:hint="eastAsia" w:cs="Times New Roman"/>
                <w:bCs/>
                <w:color w:val="auto"/>
                <w:sz w:val="24"/>
                <w:highlight w:val="none"/>
                <w:lang w:val="en-US" w:eastAsia="zh-CN"/>
              </w:rPr>
              <w:t>3</w:t>
            </w:r>
            <w:r>
              <w:rPr>
                <w:rFonts w:ascii="Times New Roman" w:hAnsi="Times New Roman" w:eastAsia="宋体" w:cs="Times New Roman"/>
                <w:bCs/>
                <w:color w:val="auto"/>
                <w:sz w:val="24"/>
                <w:highlight w:val="none"/>
              </w:rPr>
              <w:t>m/s</w:t>
            </w:r>
            <w:r>
              <w:rPr>
                <w:rFonts w:hint="eastAsia" w:ascii="Times New Roman" w:hAnsi="Times New Roman" w:eastAsia="宋体" w:cs="Times New Roman"/>
                <w:bCs/>
                <w:color w:val="auto"/>
                <w:sz w:val="24"/>
                <w:highlight w:val="none"/>
                <w:lang w:val="en-US" w:eastAsia="zh-CN"/>
              </w:rPr>
              <w:t>计</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则</w:t>
            </w:r>
            <w:r>
              <w:rPr>
                <w:rFonts w:hint="eastAsia" w:ascii="Times New Roman" w:hAnsi="Times New Roman" w:eastAsia="宋体" w:cs="Times New Roman"/>
                <w:bCs/>
                <w:color w:val="auto"/>
                <w:sz w:val="24"/>
                <w:highlight w:val="none"/>
                <w:lang w:val="en-US" w:eastAsia="zh-CN"/>
              </w:rPr>
              <w:t>计算得</w:t>
            </w:r>
            <w:r>
              <w:rPr>
                <w:rFonts w:hint="eastAsia" w:ascii="Times New Roman" w:hAnsi="Times New Roman" w:eastAsia="宋体" w:cs="Times New Roman"/>
                <w:bCs/>
                <w:color w:val="auto"/>
                <w:sz w:val="24"/>
                <w:highlight w:val="none"/>
                <w:lang w:eastAsia="zh-CN"/>
              </w:rPr>
              <w:t>单个集气罩所需风量约为</w:t>
            </w:r>
            <w:r>
              <w:rPr>
                <w:rFonts w:hint="eastAsia" w:cs="Times New Roman"/>
                <w:bCs/>
                <w:color w:val="auto"/>
                <w:sz w:val="24"/>
                <w:highlight w:val="none"/>
                <w:lang w:val="en-US" w:eastAsia="zh-CN"/>
              </w:rPr>
              <w:t>483.8</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/h；涂胶机收集罩尺寸约为</w:t>
            </w:r>
            <w:r>
              <w:rPr>
                <w:rFonts w:hint="eastAsia" w:cs="Times New Roman"/>
                <w:bCs/>
                <w:color w:val="auto"/>
                <w:sz w:val="24"/>
                <w:highlight w:val="none"/>
                <w:lang w:val="en-US" w:eastAsia="zh-CN"/>
              </w:rPr>
              <w:t>0.5</w:t>
            </w: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5</w:t>
            </w:r>
            <w:r>
              <w:rPr>
                <w:rFonts w:ascii="Times New Roman" w:hAnsi="Times New Roman" w:eastAsia="宋体" w:cs="Times New Roman"/>
                <w:bCs/>
                <w:color w:val="auto"/>
                <w:sz w:val="24"/>
                <w:highlight w:val="none"/>
              </w:rPr>
              <w:t>m</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集气罩距污染源高度</w:t>
            </w:r>
            <w:r>
              <w:rPr>
                <w:rFonts w:hint="eastAsia" w:ascii="Times New Roman" w:hAnsi="Times New Roman" w:eastAsia="宋体" w:cs="Times New Roman"/>
                <w:bCs/>
                <w:color w:val="auto"/>
                <w:sz w:val="24"/>
                <w:highlight w:val="none"/>
                <w:lang w:val="en-US" w:eastAsia="zh-CN"/>
              </w:rPr>
              <w:t>按0.</w:t>
            </w:r>
            <w:r>
              <w:rPr>
                <w:rFonts w:hint="eastAsia"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val="en-US" w:eastAsia="zh-CN"/>
              </w:rPr>
              <w:t>m</w:t>
            </w:r>
            <w:r>
              <w:rPr>
                <w:rFonts w:hint="eastAsia" w:cs="Times New Roman"/>
                <w:bCs/>
                <w:color w:val="auto"/>
                <w:sz w:val="24"/>
                <w:highlight w:val="none"/>
                <w:lang w:val="en-US" w:eastAsia="zh-CN"/>
              </w:rPr>
              <w:t>，</w:t>
            </w:r>
            <w:r>
              <w:rPr>
                <w:rFonts w:ascii="Times New Roman" w:hAnsi="Times New Roman" w:eastAsia="宋体" w:cs="Times New Roman"/>
                <w:bCs/>
                <w:color w:val="auto"/>
                <w:sz w:val="24"/>
                <w:highlight w:val="none"/>
              </w:rPr>
              <w:t>罩口风速取0.</w:t>
            </w:r>
            <w:r>
              <w:rPr>
                <w:rFonts w:hint="eastAsia" w:cs="Times New Roman"/>
                <w:bCs/>
                <w:color w:val="auto"/>
                <w:sz w:val="24"/>
                <w:highlight w:val="none"/>
                <w:lang w:val="en-US" w:eastAsia="zh-CN"/>
              </w:rPr>
              <w:t>3</w:t>
            </w:r>
            <w:r>
              <w:rPr>
                <w:rFonts w:ascii="Times New Roman" w:hAnsi="Times New Roman" w:eastAsia="宋体" w:cs="Times New Roman"/>
                <w:bCs/>
                <w:color w:val="auto"/>
                <w:sz w:val="24"/>
                <w:highlight w:val="none"/>
              </w:rPr>
              <w:t>m/s</w:t>
            </w:r>
            <w:r>
              <w:rPr>
                <w:rFonts w:hint="eastAsia" w:ascii="Times New Roman" w:hAnsi="Times New Roman" w:eastAsia="宋体" w:cs="Times New Roman"/>
                <w:bCs/>
                <w:color w:val="auto"/>
                <w:sz w:val="24"/>
                <w:highlight w:val="none"/>
                <w:lang w:val="en-US" w:eastAsia="zh-CN"/>
              </w:rPr>
              <w:t>计</w:t>
            </w:r>
            <w:r>
              <w:rPr>
                <w:rFonts w:hint="eastAsia" w:cs="Times New Roman"/>
                <w:bCs/>
                <w:color w:val="auto"/>
                <w:sz w:val="24"/>
                <w:highlight w:val="none"/>
                <w:lang w:eastAsia="zh-CN"/>
              </w:rPr>
              <w:t>，</w:t>
            </w:r>
            <w:r>
              <w:rPr>
                <w:rFonts w:ascii="Times New Roman" w:hAnsi="Times New Roman" w:eastAsia="宋体" w:cs="Times New Roman"/>
                <w:bCs/>
                <w:color w:val="auto"/>
                <w:sz w:val="24"/>
                <w:highlight w:val="none"/>
              </w:rPr>
              <w:t>则</w:t>
            </w:r>
            <w:r>
              <w:rPr>
                <w:rFonts w:hint="eastAsia" w:ascii="Times New Roman" w:hAnsi="Times New Roman" w:eastAsia="宋体" w:cs="Times New Roman"/>
                <w:bCs/>
                <w:color w:val="auto"/>
                <w:sz w:val="24"/>
                <w:highlight w:val="none"/>
                <w:lang w:val="en-US" w:eastAsia="zh-CN"/>
              </w:rPr>
              <w:t>计算得</w:t>
            </w:r>
            <w:r>
              <w:rPr>
                <w:rFonts w:hint="eastAsia" w:ascii="Times New Roman" w:hAnsi="Times New Roman" w:eastAsia="宋体" w:cs="Times New Roman"/>
                <w:bCs/>
                <w:color w:val="auto"/>
                <w:sz w:val="24"/>
                <w:highlight w:val="none"/>
                <w:lang w:eastAsia="zh-CN"/>
              </w:rPr>
              <w:t>单个集气罩所需风量约为</w:t>
            </w:r>
            <w:r>
              <w:rPr>
                <w:rFonts w:hint="eastAsia" w:cs="Times New Roman"/>
                <w:bCs/>
                <w:color w:val="auto"/>
                <w:sz w:val="24"/>
                <w:highlight w:val="none"/>
                <w:lang w:val="en-US" w:eastAsia="zh-CN"/>
              </w:rPr>
              <w:t>604.8</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/h；</w:t>
            </w:r>
            <w:r>
              <w:rPr>
                <w:rFonts w:hint="eastAsia" w:cs="Times New Roman"/>
                <w:bCs/>
                <w:color w:val="auto"/>
                <w:sz w:val="24"/>
                <w:highlight w:val="none"/>
                <w:lang w:val="en-US" w:eastAsia="zh-CN"/>
              </w:rPr>
              <w:t>计算排气筒DA002风机</w:t>
            </w:r>
            <w:r>
              <w:rPr>
                <w:rFonts w:hint="eastAsia" w:ascii="Times New Roman" w:hAnsi="Times New Roman" w:eastAsia="宋体" w:cs="Times New Roman"/>
                <w:bCs/>
                <w:color w:val="auto"/>
                <w:sz w:val="24"/>
                <w:highlight w:val="none"/>
                <w:lang w:val="en-US" w:eastAsia="zh-CN"/>
              </w:rPr>
              <w:t>总所需风量为</w:t>
            </w:r>
            <w:r>
              <w:rPr>
                <w:rFonts w:hint="eastAsia" w:cs="Times New Roman"/>
                <w:bCs/>
                <w:color w:val="auto"/>
                <w:sz w:val="24"/>
                <w:highlight w:val="none"/>
                <w:lang w:val="en-US" w:eastAsia="zh-CN"/>
              </w:rPr>
              <w:t>16812.4</w:t>
            </w:r>
            <w:r>
              <w:rPr>
                <w:rFonts w:hint="eastAsia" w:ascii="Times New Roman" w:hAnsi="Times New Roman" w:eastAsia="宋体" w:cs="Times New Roman"/>
                <w:bCs/>
                <w:color w:val="auto"/>
                <w:sz w:val="24"/>
                <w:highlight w:val="none"/>
                <w:lang w:val="en-US" w:eastAsia="zh-CN"/>
              </w:rPr>
              <w:t>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/h</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考虑风阻等因素，</w:t>
            </w:r>
            <w:r>
              <w:rPr>
                <w:rFonts w:ascii="Times New Roman" w:hAnsi="Times New Roman" w:eastAsia="宋体" w:cs="Times New Roman"/>
                <w:bCs/>
                <w:color w:val="auto"/>
                <w:sz w:val="24"/>
                <w:highlight w:val="none"/>
              </w:rPr>
              <w:t>配套</w:t>
            </w:r>
            <w:r>
              <w:rPr>
                <w:rFonts w:hint="eastAsia" w:ascii="Times New Roman" w:hAnsi="Times New Roman" w:eastAsia="宋体" w:cs="Times New Roman"/>
                <w:bCs/>
                <w:color w:val="auto"/>
                <w:sz w:val="24"/>
                <w:highlight w:val="none"/>
                <w:lang w:val="en-US" w:eastAsia="zh-CN"/>
              </w:rPr>
              <w:t>引风机</w:t>
            </w:r>
            <w:r>
              <w:rPr>
                <w:rFonts w:ascii="Times New Roman" w:hAnsi="Times New Roman" w:eastAsia="宋体" w:cs="Times New Roman"/>
                <w:bCs/>
                <w:color w:val="auto"/>
                <w:sz w:val="24"/>
                <w:highlight w:val="none"/>
              </w:rPr>
              <w:t>风量</w:t>
            </w:r>
            <w:r>
              <w:rPr>
                <w:rFonts w:hint="eastAsia" w:ascii="Times New Roman" w:hAnsi="Times New Roman" w:eastAsia="宋体" w:cs="Times New Roman"/>
                <w:bCs/>
                <w:color w:val="auto"/>
                <w:sz w:val="24"/>
                <w:highlight w:val="none"/>
                <w:lang w:val="en-US" w:eastAsia="zh-CN"/>
              </w:rPr>
              <w:t>按</w:t>
            </w:r>
            <w:r>
              <w:rPr>
                <w:rFonts w:hint="eastAsia" w:cs="Times New Roman"/>
                <w:bCs/>
                <w:color w:val="auto"/>
                <w:sz w:val="24"/>
                <w:highlight w:val="none"/>
                <w:lang w:val="en-US" w:eastAsia="zh-CN"/>
              </w:rPr>
              <w:t>20000</w:t>
            </w:r>
            <w:r>
              <w:rPr>
                <w:rFonts w:ascii="Times New Roman" w:hAnsi="Times New Roman" w:eastAsia="宋体" w:cs="Times New Roman"/>
                <w:bCs/>
                <w:color w:val="auto"/>
                <w:sz w:val="24"/>
                <w:highlight w:val="none"/>
              </w:rPr>
              <w:t>m</w:t>
            </w:r>
            <w:r>
              <w:rPr>
                <w:rFonts w:ascii="Times New Roman" w:hAnsi="Times New Roman" w:eastAsia="宋体" w:cs="Times New Roman"/>
                <w:bCs/>
                <w:color w:val="auto"/>
                <w:sz w:val="24"/>
                <w:highlight w:val="none"/>
                <w:vertAlign w:val="superscript"/>
              </w:rPr>
              <w:t>3</w:t>
            </w:r>
            <w:r>
              <w:rPr>
                <w:rFonts w:ascii="Times New Roman" w:hAnsi="Times New Roman" w:eastAsia="宋体" w:cs="Times New Roman"/>
                <w:bCs/>
                <w:color w:val="auto"/>
                <w:sz w:val="24"/>
                <w:highlight w:val="none"/>
              </w:rPr>
              <w:t>/h</w:t>
            </w:r>
            <w:r>
              <w:rPr>
                <w:rFonts w:hint="eastAsia" w:ascii="Times New Roman" w:hAnsi="Times New Roman" w:eastAsia="宋体" w:cs="Times New Roman"/>
                <w:bCs/>
                <w:color w:val="auto"/>
                <w:sz w:val="24"/>
                <w:highlight w:val="none"/>
                <w:lang w:val="en-US" w:eastAsia="zh-CN"/>
              </w:rPr>
              <w:t>计。</w:t>
            </w:r>
          </w:p>
          <w:p w14:paraId="37A30C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参考《广东省工业源挥发性有机物减排量核算方法》，废气产生源设置在密闭设备、密闭管道内，所有开口处，包括人员或物料进出口处呈负压时，废气收集效率为</w:t>
            </w:r>
            <w:r>
              <w:rPr>
                <w:rFonts w:hint="default" w:ascii="Times New Roman" w:hAnsi="Times New Roman" w:eastAsia="宋体" w:cs="Times New Roman"/>
                <w:bCs/>
                <w:color w:val="auto"/>
                <w:sz w:val="24"/>
                <w:lang w:val="en-US" w:eastAsia="zh-CN"/>
              </w:rPr>
              <w:t>90%</w:t>
            </w:r>
            <w:r>
              <w:rPr>
                <w:rFonts w:hint="eastAsia" w:ascii="Times New Roman" w:hAnsi="Times New Roman" w:eastAsia="宋体" w:cs="Times New Roman"/>
                <w:bCs/>
                <w:color w:val="auto"/>
                <w:sz w:val="24"/>
                <w:lang w:val="en-US" w:eastAsia="zh-CN"/>
              </w:rPr>
              <w:t>，</w:t>
            </w:r>
            <w:r>
              <w:rPr>
                <w:rFonts w:hint="eastAsia" w:eastAsia="宋体" w:cs="Times New Roman"/>
                <w:bCs/>
                <w:color w:val="auto"/>
                <w:sz w:val="24"/>
                <w:lang w:val="en-US" w:eastAsia="zh-CN"/>
              </w:rPr>
              <w:t>注塑</w:t>
            </w:r>
            <w:r>
              <w:rPr>
                <w:rFonts w:hint="eastAsia" w:cs="Times New Roman"/>
                <w:bCs/>
                <w:color w:val="auto"/>
                <w:sz w:val="24"/>
                <w:lang w:val="en-US" w:eastAsia="zh-CN"/>
              </w:rPr>
              <w:t>区</w:t>
            </w:r>
            <w:r>
              <w:rPr>
                <w:rFonts w:hint="eastAsia" w:eastAsia="宋体" w:cs="Times New Roman"/>
                <w:bCs/>
                <w:color w:val="auto"/>
                <w:sz w:val="24"/>
                <w:lang w:val="en-US" w:eastAsia="zh-CN"/>
              </w:rPr>
              <w:t>、挤出</w:t>
            </w:r>
            <w:r>
              <w:rPr>
                <w:rFonts w:hint="eastAsia" w:cs="Times New Roman"/>
                <w:bCs/>
                <w:color w:val="auto"/>
                <w:sz w:val="24"/>
                <w:lang w:val="en-US" w:eastAsia="zh-CN"/>
              </w:rPr>
              <w:t>区</w:t>
            </w:r>
            <w:r>
              <w:rPr>
                <w:rFonts w:hint="eastAsia" w:ascii="Times New Roman" w:hAnsi="Times New Roman" w:eastAsia="宋体" w:cs="Times New Roman"/>
                <w:bCs/>
                <w:color w:val="auto"/>
                <w:sz w:val="24"/>
                <w:lang w:val="en-US" w:eastAsia="zh-CN"/>
              </w:rPr>
              <w:t>总体封闭，只保留物料进出口</w:t>
            </w:r>
            <w:r>
              <w:rPr>
                <w:rFonts w:hint="eastAsia" w:cs="Times New Roman"/>
                <w:bCs/>
                <w:color w:val="auto"/>
                <w:sz w:val="24"/>
                <w:lang w:val="en-US" w:eastAsia="zh-CN"/>
              </w:rPr>
              <w:t>且</w:t>
            </w:r>
            <w:r>
              <w:rPr>
                <w:rFonts w:hint="eastAsia" w:ascii="Times New Roman" w:hAnsi="Times New Roman" w:eastAsia="宋体" w:cs="Times New Roman"/>
                <w:bCs/>
                <w:color w:val="auto"/>
                <w:sz w:val="24"/>
                <w:lang w:val="en-US" w:eastAsia="zh-CN"/>
              </w:rPr>
              <w:t>进出口处呈负压状态，收集效率取</w:t>
            </w:r>
            <w:r>
              <w:rPr>
                <w:rFonts w:hint="default" w:ascii="Times New Roman" w:hAnsi="Times New Roman" w:eastAsia="宋体" w:cs="Times New Roman"/>
                <w:bCs/>
                <w:color w:val="auto"/>
                <w:sz w:val="24"/>
                <w:lang w:val="en-US" w:eastAsia="zh-CN"/>
              </w:rPr>
              <w:t>90%</w:t>
            </w:r>
            <w:r>
              <w:rPr>
                <w:rFonts w:hint="eastAsia" w:ascii="Times New Roman" w:hAnsi="Times New Roman" w:eastAsia="宋体" w:cs="Times New Roman"/>
                <w:bCs/>
                <w:color w:val="auto"/>
                <w:sz w:val="24"/>
                <w:lang w:val="en-US" w:eastAsia="zh-CN"/>
              </w:rPr>
              <w:t>。</w:t>
            </w:r>
          </w:p>
          <w:p w14:paraId="06A51C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highlight w:val="none"/>
                <w:lang w:val="en-US" w:eastAsia="zh-CN"/>
              </w:rPr>
            </w:pPr>
            <w:r>
              <w:rPr>
                <w:rFonts w:hint="eastAsia" w:cs="Times New Roman"/>
                <w:color w:val="auto"/>
                <w:sz w:val="24"/>
                <w:highlight w:val="none"/>
                <w:lang w:val="en-US" w:eastAsia="zh-CN"/>
              </w:rPr>
              <w:t>根据</w:t>
            </w:r>
            <w:r>
              <w:rPr>
                <w:rFonts w:hint="eastAsia" w:ascii="Times New Roman" w:hAnsi="Times New Roman" w:eastAsia="宋体" w:cs="Times New Roman"/>
                <w:color w:val="auto"/>
                <w:sz w:val="24"/>
                <w:highlight w:val="none"/>
                <w:lang w:val="en-US" w:eastAsia="zh-CN"/>
              </w:rPr>
              <w:t>《活性炭纤维在挥发性有机废气处理中应用》（杨芬 刘品华）的试验结果表明，每公斤活性炭可吸附0.22-0.25kg的有机废气，本次环评取每公斤活性炭吸附有机废气量为0.25kg</w:t>
            </w:r>
            <w:r>
              <w:rPr>
                <w:rFonts w:hint="default" w:ascii="Times New Roman" w:hAnsi="Times New Roman" w:eastAsia="宋体" w:cs="Times New Roman"/>
                <w:color w:val="auto"/>
                <w:sz w:val="24"/>
                <w:highlight w:val="none"/>
                <w:lang w:val="en-US" w:eastAsia="zh-CN"/>
              </w:rPr>
              <w:t>作为废气处理设施VOCs削减量。本评价按</w:t>
            </w:r>
            <w:r>
              <w:rPr>
                <w:rFonts w:hint="default" w:ascii="Times New Roman" w:hAnsi="Times New Roman" w:cs="Times New Roman"/>
                <w:color w:val="auto"/>
                <w:sz w:val="24"/>
                <w:highlight w:val="none"/>
              </w:rPr>
              <w:t>活性炭吸附饱和率</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5%</w:t>
            </w:r>
            <w:r>
              <w:rPr>
                <w:rFonts w:hint="default" w:ascii="Times New Roman" w:hAnsi="Times New Roman" w:cs="Times New Roman"/>
                <w:color w:val="auto"/>
                <w:sz w:val="24"/>
                <w:highlight w:val="none"/>
                <w:lang w:val="en-US" w:eastAsia="zh-CN"/>
              </w:rPr>
              <w:t>取值</w:t>
            </w:r>
            <w:r>
              <w:rPr>
                <w:rFonts w:hint="default" w:ascii="Times New Roman" w:hAnsi="Times New Roman" w:cs="Times New Roman"/>
                <w:color w:val="auto"/>
                <w:sz w:val="24"/>
                <w:highlight w:val="none"/>
              </w:rPr>
              <w:t>，定期更换活性炭以保证VOCs治理效果</w:t>
            </w:r>
            <w:r>
              <w:rPr>
                <w:rFonts w:hint="eastAsia"/>
                <w:color w:val="auto"/>
                <w:sz w:val="24"/>
                <w:highlight w:val="none"/>
                <w:lang w:val="en-US" w:eastAsia="zh-CN"/>
              </w:rPr>
              <w:t>；“二级活性炭吸附装置”</w:t>
            </w:r>
            <w:r>
              <w:rPr>
                <w:rFonts w:hint="eastAsia" w:cs="Times New Roman"/>
                <w:color w:val="auto"/>
                <w:sz w:val="24"/>
                <w:szCs w:val="24"/>
                <w:highlight w:val="none"/>
                <w:lang w:val="en-US" w:eastAsia="zh-CN"/>
              </w:rPr>
              <w:t>处理有机废气</w:t>
            </w:r>
            <w:r>
              <w:rPr>
                <w:rFonts w:hint="eastAsia" w:cs="Times New Roman"/>
                <w:bCs/>
                <w:color w:val="auto"/>
                <w:sz w:val="24"/>
                <w:highlight w:val="none"/>
                <w:lang w:val="en-US" w:eastAsia="zh-CN"/>
              </w:rPr>
              <w:t>，</w:t>
            </w:r>
            <w:r>
              <w:rPr>
                <w:rFonts w:hint="eastAsia" w:cs="Times New Roman"/>
                <w:color w:val="auto"/>
                <w:sz w:val="24"/>
                <w:szCs w:val="24"/>
                <w:highlight w:val="none"/>
                <w:lang w:val="en-US" w:eastAsia="zh-CN"/>
              </w:rPr>
              <w:t>双级串联结构‌使废气依次通过二级活性炭床层，气体停留时间增加至≥1.2秒，远高于单级系统。这种设计确保污染物与活性炭的接触更充分，提升了吸附概率，二级炭床对一级处理后的低浓度废气进行“精吸附”。参照《工业园重点行业VOCs治理技术处理效果的研究》(苏伟健、徐绮坤、黎碧霞、罗建忠，《环境工程报》2016年第34卷增刊)，活性炭吸附平均效率为73.11%，，考虑到活性炭吸附过程中日趋饱和，吸附效果会有所下降，活性炭的碘值约为800mg/g，因此，一级活性炭吸附装置处理效率按60%计算，二级活性炭吸附装置处理效率按80%计。本项目</w:t>
            </w:r>
            <w:r>
              <w:rPr>
                <w:rFonts w:hint="eastAsia"/>
                <w:bCs/>
                <w:color w:val="auto"/>
                <w:sz w:val="24"/>
                <w:lang w:eastAsia="zh-CN"/>
              </w:rPr>
              <w:t>“</w:t>
            </w:r>
            <w:r>
              <w:rPr>
                <w:rFonts w:hint="eastAsia"/>
                <w:bCs/>
                <w:color w:val="auto"/>
                <w:sz w:val="24"/>
                <w:lang w:val="en-US" w:eastAsia="zh-CN"/>
              </w:rPr>
              <w:t>二级活性炭吸附</w:t>
            </w:r>
            <w:r>
              <w:rPr>
                <w:rFonts w:hint="eastAsia"/>
                <w:bCs/>
                <w:color w:val="auto"/>
                <w:sz w:val="24"/>
                <w:lang w:eastAsia="zh-CN"/>
              </w:rPr>
              <w:t>装置”对非甲烷总烃的去除效率按80%计</w:t>
            </w:r>
            <w:r>
              <w:rPr>
                <w:rFonts w:hint="eastAsia" w:cs="Times New Roman"/>
                <w:b w:val="0"/>
                <w:bCs w:val="0"/>
                <w:color w:val="auto"/>
                <w:sz w:val="24"/>
                <w:szCs w:val="24"/>
                <w:highlight w:val="none"/>
                <w:lang w:val="en-US" w:eastAsia="zh-CN"/>
              </w:rPr>
              <w:t>。</w:t>
            </w:r>
            <w:r>
              <w:rPr>
                <w:rFonts w:hint="eastAsia" w:cs="Times New Roman"/>
                <w:b/>
                <w:bCs/>
                <w:color w:val="auto"/>
                <w:sz w:val="24"/>
                <w:szCs w:val="24"/>
                <w:highlight w:val="none"/>
                <w:lang w:val="en-US" w:eastAsia="zh-CN"/>
              </w:rPr>
              <w:t>年工作时间为2400h</w:t>
            </w:r>
            <w:r>
              <w:rPr>
                <w:rFonts w:hint="eastAsia" w:cs="Times New Roman"/>
                <w:b w:val="0"/>
                <w:bCs w:val="0"/>
                <w:color w:val="auto"/>
                <w:sz w:val="24"/>
                <w:szCs w:val="24"/>
                <w:highlight w:val="none"/>
                <w:lang w:val="en-US" w:eastAsia="zh-CN"/>
              </w:rPr>
              <w:t>。</w:t>
            </w:r>
          </w:p>
          <w:p w14:paraId="2D8D35D9">
            <w:pPr>
              <w:overflowPunct w:val="0"/>
              <w:autoSpaceDE w:val="0"/>
              <w:autoSpaceDN w:val="0"/>
              <w:adjustRightInd w:val="0"/>
              <w:snapToGrid w:val="0"/>
              <w:jc w:val="center"/>
              <w:textAlignment w:val="baseline"/>
              <w:rPr>
                <w:rFonts w:hint="eastAsia" w:eastAsia="黑体"/>
                <w:color w:val="auto"/>
                <w:sz w:val="24"/>
                <w:highlight w:val="none"/>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7</w:t>
            </w:r>
            <w:r>
              <w:rPr>
                <w:rFonts w:eastAsia="黑体"/>
                <w:color w:val="auto"/>
                <w:sz w:val="24"/>
                <w:highlight w:val="none"/>
              </w:rPr>
              <w:t xml:space="preserve">  </w:t>
            </w:r>
            <w:r>
              <w:rPr>
                <w:rFonts w:hint="eastAsia" w:eastAsia="黑体"/>
                <w:color w:val="auto"/>
                <w:sz w:val="24"/>
                <w:highlight w:val="none"/>
                <w:lang w:val="en-US" w:eastAsia="zh-CN"/>
              </w:rPr>
              <w:t>项目有机</w:t>
            </w:r>
            <w:r>
              <w:rPr>
                <w:rFonts w:hint="eastAsia" w:eastAsia="黑体"/>
                <w:color w:val="auto"/>
                <w:sz w:val="24"/>
                <w:highlight w:val="none"/>
              </w:rPr>
              <w:t>废气产</w:t>
            </w:r>
            <w:r>
              <w:rPr>
                <w:rFonts w:hint="eastAsia" w:eastAsia="黑体"/>
                <w:color w:val="auto"/>
                <w:sz w:val="24"/>
                <w:highlight w:val="none"/>
                <w:lang w:eastAsia="zh-CN"/>
              </w:rPr>
              <w:t>排</w:t>
            </w:r>
            <w:r>
              <w:rPr>
                <w:rFonts w:hint="eastAsia" w:eastAsia="黑体"/>
                <w:color w:val="auto"/>
                <w:sz w:val="24"/>
                <w:highlight w:val="none"/>
              </w:rPr>
              <w:t>情况一览表</w:t>
            </w:r>
          </w:p>
          <w:tbl>
            <w:tblPr>
              <w:tblStyle w:val="36"/>
              <w:tblW w:w="500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564"/>
              <w:gridCol w:w="619"/>
              <w:gridCol w:w="659"/>
              <w:gridCol w:w="571"/>
              <w:gridCol w:w="659"/>
              <w:gridCol w:w="580"/>
              <w:gridCol w:w="700"/>
              <w:gridCol w:w="865"/>
              <w:gridCol w:w="949"/>
              <w:gridCol w:w="601"/>
              <w:gridCol w:w="682"/>
            </w:tblGrid>
            <w:tr w14:paraId="27BE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tcBorders>
                    <w:top w:val="single" w:color="auto" w:sz="12" w:space="0"/>
                  </w:tcBorders>
                  <w:noWrap w:val="0"/>
                  <w:vAlign w:val="center"/>
                </w:tcPr>
                <w:p w14:paraId="69B237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类别</w:t>
                  </w:r>
                </w:p>
              </w:tc>
              <w:tc>
                <w:tcPr>
                  <w:tcW w:w="354" w:type="pct"/>
                  <w:tcBorders>
                    <w:top w:val="single" w:color="auto" w:sz="12" w:space="0"/>
                  </w:tcBorders>
                  <w:noWrap w:val="0"/>
                  <w:vAlign w:val="center"/>
                </w:tcPr>
                <w:p w14:paraId="1594D3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排气筒</w:t>
                  </w:r>
                </w:p>
              </w:tc>
              <w:tc>
                <w:tcPr>
                  <w:tcW w:w="389" w:type="pct"/>
                  <w:tcBorders>
                    <w:top w:val="single" w:color="auto" w:sz="12" w:space="0"/>
                  </w:tcBorders>
                  <w:noWrap w:val="0"/>
                  <w:vAlign w:val="center"/>
                </w:tcPr>
                <w:p w14:paraId="3506F1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污染物种类</w:t>
                  </w:r>
                </w:p>
              </w:tc>
              <w:tc>
                <w:tcPr>
                  <w:tcW w:w="414" w:type="pct"/>
                  <w:tcBorders>
                    <w:top w:val="single" w:color="auto" w:sz="12" w:space="0"/>
                  </w:tcBorders>
                  <w:noWrap w:val="0"/>
                  <w:vAlign w:val="center"/>
                </w:tcPr>
                <w:p w14:paraId="553976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产生量t/a</w:t>
                  </w:r>
                </w:p>
              </w:tc>
              <w:tc>
                <w:tcPr>
                  <w:tcW w:w="359" w:type="pct"/>
                  <w:tcBorders>
                    <w:top w:val="single" w:color="auto" w:sz="12" w:space="0"/>
                  </w:tcBorders>
                  <w:noWrap w:val="0"/>
                  <w:vAlign w:val="center"/>
                </w:tcPr>
                <w:p w14:paraId="1D0A73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收集方式</w:t>
                  </w:r>
                </w:p>
              </w:tc>
              <w:tc>
                <w:tcPr>
                  <w:tcW w:w="414" w:type="pct"/>
                  <w:tcBorders>
                    <w:top w:val="single" w:color="auto" w:sz="12" w:space="0"/>
                  </w:tcBorders>
                  <w:noWrap w:val="0"/>
                  <w:vAlign w:val="center"/>
                </w:tcPr>
                <w:p w14:paraId="5EAC44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收集效率%</w:t>
                  </w:r>
                </w:p>
              </w:tc>
              <w:tc>
                <w:tcPr>
                  <w:tcW w:w="804" w:type="pct"/>
                  <w:gridSpan w:val="2"/>
                  <w:tcBorders>
                    <w:top w:val="single" w:color="auto" w:sz="12" w:space="0"/>
                  </w:tcBorders>
                  <w:noWrap w:val="0"/>
                  <w:vAlign w:val="center"/>
                </w:tcPr>
                <w:p w14:paraId="5A97A8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产生量t/a</w:t>
                  </w:r>
                </w:p>
              </w:tc>
              <w:tc>
                <w:tcPr>
                  <w:tcW w:w="543" w:type="pct"/>
                  <w:tcBorders>
                    <w:top w:val="single" w:color="auto" w:sz="12" w:space="0"/>
                  </w:tcBorders>
                  <w:noWrap w:val="0"/>
                  <w:vAlign w:val="center"/>
                </w:tcPr>
                <w:p w14:paraId="32E3DA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处理能力</w:t>
                  </w:r>
                  <w:r>
                    <w:rPr>
                      <w:rFonts w:hint="default" w:ascii="Times New Roman" w:hAnsi="Times New Roman" w:cs="Times New Roman"/>
                      <w:b w:val="0"/>
                      <w:bCs w:val="0"/>
                      <w:color w:val="auto"/>
                      <w:kern w:val="0"/>
                      <w:sz w:val="18"/>
                      <w:szCs w:val="18"/>
                      <w:highlight w:val="none"/>
                      <w:lang w:bidi="ar"/>
                    </w:rPr>
                    <w:t>Nm</w:t>
                  </w:r>
                  <w:r>
                    <w:rPr>
                      <w:rStyle w:val="139"/>
                      <w:rFonts w:hint="default" w:ascii="Times New Roman" w:hAnsi="Times New Roman" w:cs="Times New Roman"/>
                      <w:b w:val="0"/>
                      <w:bCs w:val="0"/>
                      <w:color w:val="auto"/>
                      <w:sz w:val="18"/>
                      <w:szCs w:val="18"/>
                      <w:highlight w:val="none"/>
                      <w:vertAlign w:val="superscript"/>
                      <w:lang w:bidi="ar"/>
                    </w:rPr>
                    <w:t>3</w:t>
                  </w:r>
                  <w:r>
                    <w:rPr>
                      <w:rFonts w:hint="default" w:ascii="Times New Roman" w:hAnsi="Times New Roman" w:cs="Times New Roman"/>
                      <w:b w:val="0"/>
                      <w:bCs w:val="0"/>
                      <w:color w:val="auto"/>
                      <w:kern w:val="0"/>
                      <w:sz w:val="18"/>
                      <w:szCs w:val="18"/>
                      <w:highlight w:val="none"/>
                      <w:lang w:bidi="ar"/>
                    </w:rPr>
                    <w:t>/h</w:t>
                  </w:r>
                </w:p>
              </w:tc>
              <w:tc>
                <w:tcPr>
                  <w:tcW w:w="596" w:type="pct"/>
                  <w:tcBorders>
                    <w:top w:val="single" w:color="auto" w:sz="12" w:space="0"/>
                  </w:tcBorders>
                  <w:noWrap w:val="0"/>
                  <w:vAlign w:val="center"/>
                </w:tcPr>
                <w:p w14:paraId="7EA2F3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处理工艺</w:t>
                  </w:r>
                </w:p>
              </w:tc>
              <w:tc>
                <w:tcPr>
                  <w:tcW w:w="377" w:type="pct"/>
                  <w:tcBorders>
                    <w:top w:val="single" w:color="auto" w:sz="12" w:space="0"/>
                  </w:tcBorders>
                  <w:noWrap w:val="0"/>
                  <w:vAlign w:val="center"/>
                </w:tcPr>
                <w:p w14:paraId="031A44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去除效率%</w:t>
                  </w:r>
                </w:p>
              </w:tc>
              <w:tc>
                <w:tcPr>
                  <w:tcW w:w="428" w:type="pct"/>
                  <w:tcBorders>
                    <w:top w:val="single" w:color="auto" w:sz="12" w:space="0"/>
                    <w:right w:val="nil"/>
                  </w:tcBorders>
                  <w:noWrap w:val="0"/>
                  <w:vAlign w:val="center"/>
                </w:tcPr>
                <w:p w14:paraId="1DBB56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排放量t/a</w:t>
                  </w:r>
                </w:p>
              </w:tc>
            </w:tr>
            <w:tr w14:paraId="0413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315" w:type="pct"/>
                  <w:vMerge w:val="restart"/>
                  <w:tcBorders>
                    <w:left w:val="nil"/>
                  </w:tcBorders>
                  <w:noWrap w:val="0"/>
                  <w:vAlign w:val="center"/>
                </w:tcPr>
                <w:p w14:paraId="343D33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注塑、复合、挤出、涂胶废气</w:t>
                  </w:r>
                </w:p>
              </w:tc>
              <w:tc>
                <w:tcPr>
                  <w:tcW w:w="354" w:type="pct"/>
                  <w:vMerge w:val="restart"/>
                  <w:noWrap w:val="0"/>
                  <w:vAlign w:val="center"/>
                </w:tcPr>
                <w:p w14:paraId="4475E5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DA002</w:t>
                  </w:r>
                </w:p>
              </w:tc>
              <w:tc>
                <w:tcPr>
                  <w:tcW w:w="389" w:type="pct"/>
                  <w:vMerge w:val="restart"/>
                  <w:noWrap w:val="0"/>
                  <w:vAlign w:val="center"/>
                </w:tcPr>
                <w:p w14:paraId="46AF84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非甲烷总烃</w:t>
                  </w:r>
                </w:p>
              </w:tc>
              <w:tc>
                <w:tcPr>
                  <w:tcW w:w="414" w:type="pct"/>
                  <w:vMerge w:val="restart"/>
                  <w:noWrap w:val="0"/>
                  <w:vAlign w:val="center"/>
                </w:tcPr>
                <w:p w14:paraId="7D8764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2.806</w:t>
                  </w:r>
                </w:p>
              </w:tc>
              <w:tc>
                <w:tcPr>
                  <w:tcW w:w="359" w:type="pct"/>
                  <w:vMerge w:val="restart"/>
                  <w:noWrap w:val="0"/>
                  <w:vAlign w:val="center"/>
                </w:tcPr>
                <w:p w14:paraId="67256D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ascii="Times New Roman" w:hAnsi="Times New Roman" w:eastAsia="宋体" w:cs="Times New Roman"/>
                      <w:b w:val="0"/>
                      <w:bCs w:val="0"/>
                      <w:color w:val="auto"/>
                      <w:kern w:val="2"/>
                      <w:sz w:val="18"/>
                      <w:szCs w:val="18"/>
                      <w:highlight w:val="none"/>
                      <w:vertAlign w:val="baseline"/>
                      <w:lang w:val="en-US" w:eastAsia="zh-CN" w:bidi="ar-SA"/>
                    </w:rPr>
                    <w:t>密闭空间+集气罩</w:t>
                  </w:r>
                </w:p>
              </w:tc>
              <w:tc>
                <w:tcPr>
                  <w:tcW w:w="414" w:type="pct"/>
                  <w:vMerge w:val="restart"/>
                  <w:noWrap w:val="0"/>
                  <w:vAlign w:val="center"/>
                </w:tcPr>
                <w:p w14:paraId="5B66DB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90</w:t>
                  </w:r>
                </w:p>
              </w:tc>
              <w:tc>
                <w:tcPr>
                  <w:tcW w:w="364" w:type="pct"/>
                  <w:noWrap w:val="0"/>
                  <w:vAlign w:val="center"/>
                </w:tcPr>
                <w:p w14:paraId="5CA12A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440" w:type="pct"/>
                  <w:noWrap w:val="0"/>
                  <w:vAlign w:val="center"/>
                </w:tcPr>
                <w:p w14:paraId="48D629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2.525</w:t>
                  </w:r>
                </w:p>
              </w:tc>
              <w:tc>
                <w:tcPr>
                  <w:tcW w:w="543" w:type="pct"/>
                  <w:noWrap w:val="0"/>
                  <w:vAlign w:val="center"/>
                </w:tcPr>
                <w:p w14:paraId="7EA3C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20000</w:t>
                  </w:r>
                </w:p>
              </w:tc>
              <w:tc>
                <w:tcPr>
                  <w:tcW w:w="596" w:type="pct"/>
                  <w:noWrap w:val="0"/>
                  <w:vAlign w:val="center"/>
                </w:tcPr>
                <w:p w14:paraId="6D2A1B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二级活性炭吸附装置</w:t>
                  </w:r>
                </w:p>
              </w:tc>
              <w:tc>
                <w:tcPr>
                  <w:tcW w:w="377" w:type="pct"/>
                  <w:noWrap w:val="0"/>
                  <w:vAlign w:val="center"/>
                </w:tcPr>
                <w:p w14:paraId="4A0D85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80</w:t>
                  </w:r>
                </w:p>
              </w:tc>
              <w:tc>
                <w:tcPr>
                  <w:tcW w:w="428" w:type="pct"/>
                  <w:tcBorders>
                    <w:right w:val="nil"/>
                  </w:tcBorders>
                  <w:noWrap w:val="0"/>
                  <w:vAlign w:val="center"/>
                </w:tcPr>
                <w:p w14:paraId="770202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0.505</w:t>
                  </w:r>
                </w:p>
              </w:tc>
            </w:tr>
            <w:tr w14:paraId="63E3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6A83AD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60A8B3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continue"/>
                  <w:noWrap w:val="0"/>
                  <w:vAlign w:val="center"/>
                </w:tcPr>
                <w:p w14:paraId="5BC1E4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740A49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59" w:type="pct"/>
                  <w:vMerge w:val="continue"/>
                  <w:noWrap w:val="0"/>
                  <w:vAlign w:val="center"/>
                </w:tcPr>
                <w:p w14:paraId="0BBDAC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53EB66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66995C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440" w:type="pct"/>
                  <w:noWrap w:val="0"/>
                  <w:vAlign w:val="center"/>
                </w:tcPr>
                <w:p w14:paraId="4EDD02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0.281</w:t>
                  </w:r>
                </w:p>
              </w:tc>
              <w:tc>
                <w:tcPr>
                  <w:tcW w:w="543" w:type="pct"/>
                  <w:noWrap w:val="0"/>
                  <w:vAlign w:val="center"/>
                </w:tcPr>
                <w:p w14:paraId="0D19E9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596" w:type="pct"/>
                  <w:noWrap w:val="0"/>
                  <w:vAlign w:val="center"/>
                </w:tcPr>
                <w:p w14:paraId="560CC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377" w:type="pct"/>
                  <w:noWrap w:val="0"/>
                  <w:vAlign w:val="center"/>
                </w:tcPr>
                <w:p w14:paraId="51B206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right w:val="nil"/>
                  </w:tcBorders>
                  <w:noWrap w:val="0"/>
                  <w:vAlign w:val="center"/>
                </w:tcPr>
                <w:p w14:paraId="69BDE8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0.281</w:t>
                  </w:r>
                </w:p>
              </w:tc>
            </w:tr>
            <w:tr w14:paraId="109C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1F0B5C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50C1F9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restart"/>
                  <w:noWrap w:val="0"/>
                  <w:vAlign w:val="center"/>
                </w:tcPr>
                <w:p w14:paraId="2B5C17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甲苯</w:t>
                  </w:r>
                </w:p>
              </w:tc>
              <w:tc>
                <w:tcPr>
                  <w:tcW w:w="414" w:type="pct"/>
                  <w:vMerge w:val="restart"/>
                  <w:noWrap w:val="0"/>
                  <w:vAlign w:val="center"/>
                </w:tcPr>
                <w:p w14:paraId="6F733D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0.095</w:t>
                  </w:r>
                </w:p>
              </w:tc>
              <w:tc>
                <w:tcPr>
                  <w:tcW w:w="359" w:type="pct"/>
                  <w:vMerge w:val="continue"/>
                  <w:noWrap w:val="0"/>
                  <w:vAlign w:val="center"/>
                </w:tcPr>
                <w:p w14:paraId="6B065C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381EE8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237B0C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440" w:type="pct"/>
                  <w:noWrap w:val="0"/>
                  <w:vAlign w:val="center"/>
                </w:tcPr>
                <w:p w14:paraId="1ED915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0.086</w:t>
                  </w:r>
                </w:p>
              </w:tc>
              <w:tc>
                <w:tcPr>
                  <w:tcW w:w="543" w:type="pct"/>
                  <w:noWrap w:val="0"/>
                  <w:vAlign w:val="center"/>
                </w:tcPr>
                <w:p w14:paraId="0B8227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20000</w:t>
                  </w:r>
                </w:p>
              </w:tc>
              <w:tc>
                <w:tcPr>
                  <w:tcW w:w="596" w:type="pct"/>
                  <w:noWrap w:val="0"/>
                  <w:vAlign w:val="center"/>
                </w:tcPr>
                <w:p w14:paraId="2CEFAF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二级活性炭吸附装置</w:t>
                  </w:r>
                </w:p>
              </w:tc>
              <w:tc>
                <w:tcPr>
                  <w:tcW w:w="377" w:type="pct"/>
                  <w:noWrap w:val="0"/>
                  <w:vAlign w:val="center"/>
                </w:tcPr>
                <w:p w14:paraId="6C5428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80</w:t>
                  </w:r>
                </w:p>
              </w:tc>
              <w:tc>
                <w:tcPr>
                  <w:tcW w:w="428" w:type="pct"/>
                  <w:tcBorders>
                    <w:right w:val="nil"/>
                  </w:tcBorders>
                  <w:noWrap w:val="0"/>
                  <w:vAlign w:val="center"/>
                </w:tcPr>
                <w:p w14:paraId="75878A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0.017</w:t>
                  </w:r>
                </w:p>
              </w:tc>
            </w:tr>
            <w:tr w14:paraId="4AD2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48FBCE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7637E1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continue"/>
                  <w:noWrap w:val="0"/>
                  <w:vAlign w:val="center"/>
                </w:tcPr>
                <w:p w14:paraId="70BF4F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383978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59" w:type="pct"/>
                  <w:vMerge w:val="continue"/>
                  <w:noWrap w:val="0"/>
                  <w:vAlign w:val="center"/>
                </w:tcPr>
                <w:p w14:paraId="597640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0DEBB5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540064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440" w:type="pct"/>
                  <w:noWrap w:val="0"/>
                  <w:vAlign w:val="center"/>
                </w:tcPr>
                <w:p w14:paraId="290491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0.009</w:t>
                  </w:r>
                </w:p>
              </w:tc>
              <w:tc>
                <w:tcPr>
                  <w:tcW w:w="543" w:type="pct"/>
                  <w:noWrap w:val="0"/>
                  <w:vAlign w:val="center"/>
                </w:tcPr>
                <w:p w14:paraId="4D1520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596" w:type="pct"/>
                  <w:noWrap w:val="0"/>
                  <w:vAlign w:val="center"/>
                </w:tcPr>
                <w:p w14:paraId="67F07B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377" w:type="pct"/>
                  <w:noWrap w:val="0"/>
                  <w:vAlign w:val="center"/>
                </w:tcPr>
                <w:p w14:paraId="1A473C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right w:val="nil"/>
                  </w:tcBorders>
                  <w:noWrap w:val="0"/>
                  <w:vAlign w:val="center"/>
                </w:tcPr>
                <w:p w14:paraId="472A96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0.009</w:t>
                  </w:r>
                </w:p>
              </w:tc>
            </w:tr>
            <w:tr w14:paraId="21ED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41840A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5AEEFA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restart"/>
                  <w:noWrap w:val="0"/>
                  <w:vAlign w:val="center"/>
                </w:tcPr>
                <w:p w14:paraId="1CACDA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苯系物</w:t>
                  </w:r>
                </w:p>
              </w:tc>
              <w:tc>
                <w:tcPr>
                  <w:tcW w:w="414" w:type="pct"/>
                  <w:vMerge w:val="restart"/>
                  <w:noWrap w:val="0"/>
                  <w:vAlign w:val="center"/>
                </w:tcPr>
                <w:p w14:paraId="5E5241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0.098</w:t>
                  </w:r>
                </w:p>
              </w:tc>
              <w:tc>
                <w:tcPr>
                  <w:tcW w:w="359" w:type="pct"/>
                  <w:vMerge w:val="continue"/>
                  <w:noWrap w:val="0"/>
                  <w:vAlign w:val="center"/>
                </w:tcPr>
                <w:p w14:paraId="2CF247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223BA7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038CCB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440" w:type="pct"/>
                  <w:noWrap w:val="0"/>
                  <w:vAlign w:val="center"/>
                </w:tcPr>
                <w:p w14:paraId="1CA15A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0.088</w:t>
                  </w:r>
                </w:p>
              </w:tc>
              <w:tc>
                <w:tcPr>
                  <w:tcW w:w="543" w:type="pct"/>
                  <w:noWrap w:val="0"/>
                  <w:vAlign w:val="center"/>
                </w:tcPr>
                <w:p w14:paraId="60309F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20000</w:t>
                  </w:r>
                </w:p>
              </w:tc>
              <w:tc>
                <w:tcPr>
                  <w:tcW w:w="596" w:type="pct"/>
                  <w:noWrap w:val="0"/>
                  <w:vAlign w:val="center"/>
                </w:tcPr>
                <w:p w14:paraId="4C7DAB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二级活性炭吸附装置</w:t>
                  </w:r>
                </w:p>
              </w:tc>
              <w:tc>
                <w:tcPr>
                  <w:tcW w:w="377" w:type="pct"/>
                  <w:noWrap w:val="0"/>
                  <w:vAlign w:val="center"/>
                </w:tcPr>
                <w:p w14:paraId="34059E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80</w:t>
                  </w:r>
                </w:p>
              </w:tc>
              <w:tc>
                <w:tcPr>
                  <w:tcW w:w="428" w:type="pct"/>
                  <w:tcBorders>
                    <w:right w:val="nil"/>
                  </w:tcBorders>
                  <w:noWrap w:val="0"/>
                  <w:vAlign w:val="center"/>
                </w:tcPr>
                <w:p w14:paraId="341C41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0.018</w:t>
                  </w:r>
                </w:p>
              </w:tc>
            </w:tr>
            <w:tr w14:paraId="7C60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tcBorders>
                  <w:noWrap w:val="0"/>
                  <w:vAlign w:val="center"/>
                </w:tcPr>
                <w:p w14:paraId="0D0840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35BF81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continue"/>
                  <w:noWrap w:val="0"/>
                  <w:vAlign w:val="center"/>
                </w:tcPr>
                <w:p w14:paraId="3FC812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75B870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59" w:type="pct"/>
                  <w:vMerge w:val="continue"/>
                  <w:noWrap w:val="0"/>
                  <w:vAlign w:val="center"/>
                </w:tcPr>
                <w:p w14:paraId="3A5276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2A199B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1C7CFD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440" w:type="pct"/>
                  <w:noWrap w:val="0"/>
                  <w:vAlign w:val="center"/>
                </w:tcPr>
                <w:p w14:paraId="3215B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w:t>
                  </w:r>
                </w:p>
              </w:tc>
              <w:tc>
                <w:tcPr>
                  <w:tcW w:w="543" w:type="pct"/>
                  <w:noWrap w:val="0"/>
                  <w:vAlign w:val="center"/>
                </w:tcPr>
                <w:p w14:paraId="0C864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w:t>
                  </w:r>
                </w:p>
              </w:tc>
              <w:tc>
                <w:tcPr>
                  <w:tcW w:w="596" w:type="pct"/>
                  <w:noWrap w:val="0"/>
                  <w:vAlign w:val="center"/>
                </w:tcPr>
                <w:p w14:paraId="5A016B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377" w:type="pct"/>
                  <w:noWrap w:val="0"/>
                  <w:vAlign w:val="center"/>
                </w:tcPr>
                <w:p w14:paraId="70A061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right w:val="nil"/>
                  </w:tcBorders>
                  <w:noWrap w:val="0"/>
                  <w:vAlign w:val="center"/>
                </w:tcPr>
                <w:p w14:paraId="3C8EC5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0.01</w:t>
                  </w:r>
                </w:p>
              </w:tc>
            </w:tr>
            <w:tr w14:paraId="1025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 w:type="pct"/>
                  <w:vMerge w:val="continue"/>
                  <w:tcBorders>
                    <w:left w:val="nil"/>
                  </w:tcBorders>
                  <w:noWrap w:val="0"/>
                  <w:vAlign w:val="center"/>
                </w:tcPr>
                <w:p w14:paraId="108FD4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noWrap w:val="0"/>
                  <w:vAlign w:val="center"/>
                </w:tcPr>
                <w:p w14:paraId="61D25C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restart"/>
                  <w:noWrap w:val="0"/>
                  <w:vAlign w:val="center"/>
                </w:tcPr>
                <w:p w14:paraId="4F1233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氯化氢</w:t>
                  </w:r>
                </w:p>
              </w:tc>
              <w:tc>
                <w:tcPr>
                  <w:tcW w:w="414" w:type="pct"/>
                  <w:vMerge w:val="restart"/>
                  <w:noWrap w:val="0"/>
                  <w:vAlign w:val="center"/>
                </w:tcPr>
                <w:p w14:paraId="31D4C2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0.03</w:t>
                  </w:r>
                </w:p>
              </w:tc>
              <w:tc>
                <w:tcPr>
                  <w:tcW w:w="359" w:type="pct"/>
                  <w:vMerge w:val="continue"/>
                  <w:noWrap w:val="0"/>
                  <w:vAlign w:val="center"/>
                </w:tcPr>
                <w:p w14:paraId="3C7964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noWrap w:val="0"/>
                  <w:vAlign w:val="center"/>
                </w:tcPr>
                <w:p w14:paraId="7E6710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noWrap w:val="0"/>
                  <w:vAlign w:val="center"/>
                </w:tcPr>
                <w:p w14:paraId="1A9A4E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有组织</w:t>
                  </w:r>
                </w:p>
              </w:tc>
              <w:tc>
                <w:tcPr>
                  <w:tcW w:w="440" w:type="pct"/>
                  <w:noWrap w:val="0"/>
                  <w:vAlign w:val="center"/>
                </w:tcPr>
                <w:p w14:paraId="597E20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0.027</w:t>
                  </w:r>
                </w:p>
              </w:tc>
              <w:tc>
                <w:tcPr>
                  <w:tcW w:w="543" w:type="pct"/>
                  <w:noWrap w:val="0"/>
                  <w:vAlign w:val="center"/>
                </w:tcPr>
                <w:p w14:paraId="309299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2"/>
                      <w:sz w:val="18"/>
                      <w:szCs w:val="18"/>
                      <w:highlight w:val="none"/>
                      <w:vertAlign w:val="baseline"/>
                      <w:lang w:val="en-US" w:eastAsia="zh-CN" w:bidi="ar-SA"/>
                    </w:rPr>
                    <w:t>20000</w:t>
                  </w:r>
                </w:p>
              </w:tc>
              <w:tc>
                <w:tcPr>
                  <w:tcW w:w="596" w:type="pct"/>
                  <w:noWrap w:val="0"/>
                  <w:vAlign w:val="center"/>
                </w:tcPr>
                <w:p w14:paraId="13DD16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二级活性炭吸附装置</w:t>
                  </w:r>
                </w:p>
              </w:tc>
              <w:tc>
                <w:tcPr>
                  <w:tcW w:w="377" w:type="pct"/>
                  <w:noWrap w:val="0"/>
                  <w:vAlign w:val="center"/>
                </w:tcPr>
                <w:p w14:paraId="383DC5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right w:val="nil"/>
                  </w:tcBorders>
                  <w:noWrap w:val="0"/>
                  <w:vAlign w:val="center"/>
                </w:tcPr>
                <w:p w14:paraId="140620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0.027</w:t>
                  </w:r>
                </w:p>
              </w:tc>
            </w:tr>
            <w:tr w14:paraId="43DE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Borders>
                    <w:left w:val="nil"/>
                    <w:bottom w:val="single" w:color="auto" w:sz="12" w:space="0"/>
                  </w:tcBorders>
                  <w:noWrap w:val="0"/>
                  <w:vAlign w:val="center"/>
                </w:tcPr>
                <w:p w14:paraId="047DBE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54" w:type="pct"/>
                  <w:vMerge w:val="continue"/>
                  <w:tcBorders>
                    <w:bottom w:val="single" w:color="auto" w:sz="12" w:space="0"/>
                  </w:tcBorders>
                  <w:noWrap w:val="0"/>
                  <w:vAlign w:val="center"/>
                </w:tcPr>
                <w:p w14:paraId="01A3F3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yellow"/>
                      <w:vertAlign w:val="baseline"/>
                      <w:lang w:val="en-US" w:eastAsia="zh-CN" w:bidi="ar-SA"/>
                    </w:rPr>
                  </w:pPr>
                </w:p>
              </w:tc>
              <w:tc>
                <w:tcPr>
                  <w:tcW w:w="389" w:type="pct"/>
                  <w:vMerge w:val="continue"/>
                  <w:tcBorders>
                    <w:bottom w:val="single" w:color="auto" w:sz="12" w:space="0"/>
                  </w:tcBorders>
                  <w:noWrap w:val="0"/>
                  <w:vAlign w:val="center"/>
                </w:tcPr>
                <w:p w14:paraId="7B6BC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tcBorders>
                    <w:bottom w:val="single" w:color="auto" w:sz="12" w:space="0"/>
                  </w:tcBorders>
                  <w:noWrap w:val="0"/>
                  <w:vAlign w:val="center"/>
                </w:tcPr>
                <w:p w14:paraId="6E5B19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59" w:type="pct"/>
                  <w:vMerge w:val="continue"/>
                  <w:tcBorders>
                    <w:bottom w:val="single" w:color="auto" w:sz="12" w:space="0"/>
                  </w:tcBorders>
                  <w:noWrap w:val="0"/>
                  <w:vAlign w:val="center"/>
                </w:tcPr>
                <w:p w14:paraId="0DFA7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414" w:type="pct"/>
                  <w:vMerge w:val="continue"/>
                  <w:tcBorders>
                    <w:bottom w:val="single" w:color="auto" w:sz="12" w:space="0"/>
                  </w:tcBorders>
                  <w:noWrap w:val="0"/>
                  <w:vAlign w:val="center"/>
                </w:tcPr>
                <w:p w14:paraId="05CA7A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p>
              </w:tc>
              <w:tc>
                <w:tcPr>
                  <w:tcW w:w="364" w:type="pct"/>
                  <w:tcBorders>
                    <w:bottom w:val="single" w:color="auto" w:sz="12" w:space="0"/>
                  </w:tcBorders>
                  <w:noWrap w:val="0"/>
                  <w:vAlign w:val="center"/>
                </w:tcPr>
                <w:p w14:paraId="37810B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w:t>
                  </w:r>
                </w:p>
              </w:tc>
              <w:tc>
                <w:tcPr>
                  <w:tcW w:w="440" w:type="pct"/>
                  <w:tcBorders>
                    <w:bottom w:val="single" w:color="auto" w:sz="12" w:space="0"/>
                  </w:tcBorders>
                  <w:noWrap w:val="0"/>
                  <w:vAlign w:val="center"/>
                </w:tcPr>
                <w:p w14:paraId="36C550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0.003</w:t>
                  </w:r>
                </w:p>
              </w:tc>
              <w:tc>
                <w:tcPr>
                  <w:tcW w:w="543" w:type="pct"/>
                  <w:tcBorders>
                    <w:bottom w:val="single" w:color="auto" w:sz="12" w:space="0"/>
                  </w:tcBorders>
                  <w:noWrap w:val="0"/>
                  <w:vAlign w:val="center"/>
                </w:tcPr>
                <w:p w14:paraId="301821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596" w:type="pct"/>
                  <w:tcBorders>
                    <w:bottom w:val="single" w:color="auto" w:sz="12" w:space="0"/>
                  </w:tcBorders>
                  <w:noWrap w:val="0"/>
                  <w:vAlign w:val="center"/>
                </w:tcPr>
                <w:p w14:paraId="320E3C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377" w:type="pct"/>
                  <w:tcBorders>
                    <w:bottom w:val="single" w:color="auto" w:sz="12" w:space="0"/>
                  </w:tcBorders>
                  <w:noWrap w:val="0"/>
                  <w:vAlign w:val="center"/>
                </w:tcPr>
                <w:p w14:paraId="32D43B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w:t>
                  </w:r>
                </w:p>
              </w:tc>
              <w:tc>
                <w:tcPr>
                  <w:tcW w:w="428" w:type="pct"/>
                  <w:tcBorders>
                    <w:bottom w:val="single" w:color="auto" w:sz="12" w:space="0"/>
                    <w:right w:val="nil"/>
                  </w:tcBorders>
                  <w:noWrap w:val="0"/>
                  <w:vAlign w:val="center"/>
                </w:tcPr>
                <w:p w14:paraId="3E8BA6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0.003</w:t>
                  </w:r>
                </w:p>
              </w:tc>
            </w:tr>
          </w:tbl>
          <w:p w14:paraId="5621FDD4">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565B3155">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6EABC5D5">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44FFA3F2">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68473EC8">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4097F24C">
            <w:pPr>
              <w:overflowPunct w:val="0"/>
              <w:autoSpaceDE w:val="0"/>
              <w:autoSpaceDN w:val="0"/>
              <w:adjustRightInd w:val="0"/>
              <w:snapToGrid w:val="0"/>
              <w:jc w:val="center"/>
              <w:textAlignment w:val="baseline"/>
              <w:rPr>
                <w:rFonts w:hint="default" w:ascii="Times New Roman" w:hAnsi="Times New Roman" w:eastAsia="黑体" w:cs="Times New Roman"/>
                <w:color w:val="auto"/>
                <w:sz w:val="24"/>
                <w:szCs w:val="24"/>
                <w:highlight w:val="none"/>
                <w:lang w:eastAsia="zh-CN"/>
              </w:rPr>
            </w:pPr>
          </w:p>
          <w:p w14:paraId="3A970D30">
            <w:pPr>
              <w:overflowPunct w:val="0"/>
              <w:autoSpaceDE w:val="0"/>
              <w:autoSpaceDN w:val="0"/>
              <w:adjustRightInd w:val="0"/>
              <w:snapToGrid w:val="0"/>
              <w:jc w:val="center"/>
              <w:textAlignment w:val="baseline"/>
              <w:rPr>
                <w:rFonts w:hint="eastAsia" w:eastAsia="黑体"/>
                <w:color w:val="auto"/>
                <w:sz w:val="24"/>
                <w:highlight w:val="none"/>
              </w:rPr>
            </w:pPr>
            <w:r>
              <w:rPr>
                <w:rFonts w:hint="default" w:ascii="Times New Roman" w:hAnsi="Times New Roman" w:eastAsia="黑体" w:cs="Times New Roman"/>
                <w:color w:val="auto"/>
                <w:sz w:val="24"/>
                <w:szCs w:val="24"/>
                <w:highlight w:val="none"/>
                <w:lang w:eastAsia="zh-CN"/>
              </w:rPr>
              <w:t>表</w:t>
            </w:r>
            <w:r>
              <w:rPr>
                <w:rFonts w:hint="default" w:ascii="Times New Roman" w:hAnsi="Times New Roman" w:eastAsia="黑体" w:cs="Times New Roman"/>
                <w:color w:val="auto"/>
                <w:sz w:val="24"/>
                <w:szCs w:val="24"/>
                <w:highlight w:val="none"/>
                <w:lang w:val="en-US" w:eastAsia="zh-CN"/>
              </w:rPr>
              <w:t>4-</w:t>
            </w:r>
            <w:r>
              <w:rPr>
                <w:rFonts w:hint="eastAsia" w:eastAsia="黑体" w:cs="Times New Roman"/>
                <w:color w:val="auto"/>
                <w:sz w:val="24"/>
                <w:szCs w:val="24"/>
                <w:highlight w:val="none"/>
                <w:lang w:val="en-US" w:eastAsia="zh-CN"/>
              </w:rPr>
              <w:t>8</w:t>
            </w:r>
            <w:r>
              <w:rPr>
                <w:rFonts w:eastAsia="黑体"/>
                <w:color w:val="auto"/>
                <w:sz w:val="24"/>
                <w:highlight w:val="none"/>
              </w:rPr>
              <w:t xml:space="preserve">  </w:t>
            </w:r>
            <w:r>
              <w:rPr>
                <w:rFonts w:hint="eastAsia" w:eastAsia="黑体"/>
                <w:color w:val="auto"/>
                <w:sz w:val="24"/>
                <w:highlight w:val="none"/>
                <w:lang w:val="en-US" w:eastAsia="zh-CN"/>
              </w:rPr>
              <w:t>项目粉尘</w:t>
            </w:r>
            <w:r>
              <w:rPr>
                <w:rFonts w:hint="eastAsia" w:eastAsia="黑体"/>
                <w:color w:val="auto"/>
                <w:sz w:val="24"/>
                <w:highlight w:val="none"/>
              </w:rPr>
              <w:t>产</w:t>
            </w:r>
            <w:r>
              <w:rPr>
                <w:rFonts w:hint="eastAsia" w:eastAsia="黑体"/>
                <w:color w:val="auto"/>
                <w:sz w:val="24"/>
                <w:highlight w:val="none"/>
                <w:lang w:eastAsia="zh-CN"/>
              </w:rPr>
              <w:t>排</w:t>
            </w:r>
            <w:r>
              <w:rPr>
                <w:rFonts w:hint="eastAsia" w:eastAsia="黑体"/>
                <w:color w:val="auto"/>
                <w:sz w:val="24"/>
                <w:highlight w:val="none"/>
              </w:rPr>
              <w:t>情况一览表</w:t>
            </w:r>
          </w:p>
          <w:tbl>
            <w:tblPr>
              <w:tblStyle w:val="36"/>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79"/>
              <w:gridCol w:w="911"/>
              <w:gridCol w:w="960"/>
              <w:gridCol w:w="1281"/>
              <w:gridCol w:w="789"/>
              <w:gridCol w:w="994"/>
              <w:gridCol w:w="1183"/>
            </w:tblGrid>
            <w:tr w14:paraId="68D39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 w:type="pct"/>
                  <w:tcBorders>
                    <w:tl2br w:val="nil"/>
                    <w:tr2bl w:val="nil"/>
                  </w:tcBorders>
                  <w:vAlign w:val="center"/>
                </w:tcPr>
                <w:p w14:paraId="69574A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类别</w:t>
                  </w:r>
                </w:p>
              </w:tc>
              <w:tc>
                <w:tcPr>
                  <w:tcW w:w="553" w:type="pct"/>
                  <w:tcBorders>
                    <w:tl2br w:val="nil"/>
                    <w:tr2bl w:val="nil"/>
                  </w:tcBorders>
                  <w:vAlign w:val="center"/>
                </w:tcPr>
                <w:p w14:paraId="328202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污染物种类</w:t>
                  </w:r>
                </w:p>
              </w:tc>
              <w:tc>
                <w:tcPr>
                  <w:tcW w:w="573" w:type="pct"/>
                  <w:tcBorders>
                    <w:tl2br w:val="nil"/>
                    <w:tr2bl w:val="nil"/>
                  </w:tcBorders>
                  <w:vAlign w:val="center"/>
                </w:tcPr>
                <w:p w14:paraId="5EFAF3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产生量t/a</w:t>
                  </w:r>
                </w:p>
              </w:tc>
              <w:tc>
                <w:tcPr>
                  <w:tcW w:w="604" w:type="pct"/>
                  <w:tcBorders>
                    <w:tl2br w:val="nil"/>
                    <w:tr2bl w:val="nil"/>
                  </w:tcBorders>
                  <w:vAlign w:val="center"/>
                </w:tcPr>
                <w:p w14:paraId="0C9BC4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收集效率%</w:t>
                  </w:r>
                </w:p>
              </w:tc>
              <w:tc>
                <w:tcPr>
                  <w:tcW w:w="805" w:type="pct"/>
                  <w:tcBorders>
                    <w:tl2br w:val="nil"/>
                    <w:tr2bl w:val="nil"/>
                  </w:tcBorders>
                  <w:vAlign w:val="center"/>
                </w:tcPr>
                <w:p w14:paraId="05EEA8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处理工艺</w:t>
                  </w:r>
                </w:p>
              </w:tc>
              <w:tc>
                <w:tcPr>
                  <w:tcW w:w="496" w:type="pct"/>
                  <w:tcBorders>
                    <w:tl2br w:val="nil"/>
                    <w:tr2bl w:val="nil"/>
                  </w:tcBorders>
                  <w:vAlign w:val="center"/>
                </w:tcPr>
                <w:p w14:paraId="4EF2F0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去除效率%</w:t>
                  </w:r>
                </w:p>
              </w:tc>
              <w:tc>
                <w:tcPr>
                  <w:tcW w:w="625" w:type="pct"/>
                  <w:tcBorders>
                    <w:tl2br w:val="nil"/>
                    <w:tr2bl w:val="nil"/>
                  </w:tcBorders>
                  <w:vAlign w:val="center"/>
                </w:tcPr>
                <w:p w14:paraId="6072D7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无组织排放量t/a</w:t>
                  </w:r>
                </w:p>
              </w:tc>
              <w:tc>
                <w:tcPr>
                  <w:tcW w:w="744" w:type="pct"/>
                  <w:tcBorders>
                    <w:tl2br w:val="nil"/>
                    <w:tr2bl w:val="nil"/>
                  </w:tcBorders>
                  <w:vAlign w:val="center"/>
                </w:tcPr>
                <w:p w14:paraId="571292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排放速率kg/h</w:t>
                  </w:r>
                </w:p>
              </w:tc>
            </w:tr>
            <w:tr w14:paraId="0558F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 w:type="pct"/>
                  <w:tcBorders>
                    <w:tl2br w:val="nil"/>
                    <w:tr2bl w:val="nil"/>
                  </w:tcBorders>
                  <w:vAlign w:val="center"/>
                </w:tcPr>
                <w:p w14:paraId="5A205D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破碎、焊接粉尘</w:t>
                  </w:r>
                </w:p>
              </w:tc>
              <w:tc>
                <w:tcPr>
                  <w:tcW w:w="553" w:type="pct"/>
                  <w:tcBorders>
                    <w:tl2br w:val="nil"/>
                    <w:tr2bl w:val="nil"/>
                  </w:tcBorders>
                  <w:vAlign w:val="center"/>
                </w:tcPr>
                <w:p w14:paraId="50E65D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颗粒物</w:t>
                  </w:r>
                </w:p>
              </w:tc>
              <w:tc>
                <w:tcPr>
                  <w:tcW w:w="573" w:type="pct"/>
                  <w:tcBorders>
                    <w:tl2br w:val="nil"/>
                    <w:tr2bl w:val="nil"/>
                  </w:tcBorders>
                  <w:vAlign w:val="center"/>
                </w:tcPr>
                <w:p w14:paraId="4D1572B5">
                  <w:pPr>
                    <w:widowControl/>
                    <w:jc w:val="center"/>
                    <w:textAlignment w:val="center"/>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0.008</w:t>
                  </w:r>
                </w:p>
              </w:tc>
              <w:tc>
                <w:tcPr>
                  <w:tcW w:w="604" w:type="pct"/>
                  <w:tcBorders>
                    <w:tl2br w:val="nil"/>
                    <w:tr2bl w:val="nil"/>
                  </w:tcBorders>
                  <w:vAlign w:val="center"/>
                </w:tcPr>
                <w:p w14:paraId="290EAF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80</w:t>
                  </w:r>
                </w:p>
              </w:tc>
              <w:tc>
                <w:tcPr>
                  <w:tcW w:w="805" w:type="pct"/>
                  <w:tcBorders>
                    <w:tl2br w:val="nil"/>
                    <w:tr2bl w:val="nil"/>
                  </w:tcBorders>
                  <w:vAlign w:val="center"/>
                </w:tcPr>
                <w:p w14:paraId="2118FF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袋式除尘器、移动式焊接烟尘</w:t>
                  </w:r>
                </w:p>
              </w:tc>
              <w:tc>
                <w:tcPr>
                  <w:tcW w:w="496" w:type="pct"/>
                  <w:tcBorders>
                    <w:tl2br w:val="nil"/>
                    <w:tr2bl w:val="nil"/>
                  </w:tcBorders>
                  <w:vAlign w:val="center"/>
                </w:tcPr>
                <w:p w14:paraId="47CCB0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95</w:t>
                  </w:r>
                </w:p>
              </w:tc>
              <w:tc>
                <w:tcPr>
                  <w:tcW w:w="625" w:type="pct"/>
                  <w:tcBorders>
                    <w:tl2br w:val="nil"/>
                    <w:tr2bl w:val="nil"/>
                  </w:tcBorders>
                  <w:vAlign w:val="center"/>
                </w:tcPr>
                <w:p w14:paraId="73EC163A">
                  <w:pPr>
                    <w:widowControl/>
                    <w:jc w:val="center"/>
                    <w:textAlignment w:val="center"/>
                    <w:rPr>
                      <w:rFonts w:hint="default" w:cs="Times New Roman"/>
                      <w:b w:val="0"/>
                      <w:bCs w:val="0"/>
                      <w:color w:val="auto"/>
                      <w:kern w:val="2"/>
                      <w:sz w:val="18"/>
                      <w:szCs w:val="18"/>
                      <w:highlight w:val="none"/>
                      <w:vertAlign w:val="baseline"/>
                      <w:lang w:val="en-US" w:eastAsia="zh-CN" w:bidi="ar-SA"/>
                    </w:rPr>
                  </w:pPr>
                  <w:r>
                    <w:rPr>
                      <w:rFonts w:hint="eastAsia" w:cs="Times New Roman"/>
                      <w:b w:val="0"/>
                      <w:bCs w:val="0"/>
                      <w:color w:val="auto"/>
                      <w:kern w:val="0"/>
                      <w:sz w:val="18"/>
                      <w:szCs w:val="18"/>
                      <w:highlight w:val="none"/>
                      <w:lang w:val="en-US" w:eastAsia="zh-CN" w:bidi="ar"/>
                    </w:rPr>
                    <w:t>0.002</w:t>
                  </w:r>
                </w:p>
              </w:tc>
              <w:tc>
                <w:tcPr>
                  <w:tcW w:w="744" w:type="pct"/>
                  <w:tcBorders>
                    <w:tl2br w:val="nil"/>
                    <w:tr2bl w:val="nil"/>
                  </w:tcBorders>
                  <w:vAlign w:val="center"/>
                </w:tcPr>
                <w:p w14:paraId="4C807549">
                  <w:pPr>
                    <w:widowControl/>
                    <w:jc w:val="center"/>
                    <w:textAlignment w:val="center"/>
                    <w:rPr>
                      <w:rFonts w:hint="default" w:cs="Times New Roman"/>
                      <w:b w:val="0"/>
                      <w:bCs w:val="0"/>
                      <w:color w:val="auto"/>
                      <w:kern w:val="2"/>
                      <w:sz w:val="18"/>
                      <w:szCs w:val="18"/>
                      <w:highlight w:val="yellow"/>
                      <w:vertAlign w:val="baseline"/>
                      <w:lang w:val="en-US" w:eastAsia="zh-CN" w:bidi="ar-SA"/>
                    </w:rPr>
                  </w:pPr>
                  <w:r>
                    <w:rPr>
                      <w:rFonts w:hint="eastAsia" w:cs="Times New Roman"/>
                      <w:b w:val="0"/>
                      <w:bCs w:val="0"/>
                      <w:color w:val="auto"/>
                      <w:kern w:val="2"/>
                      <w:sz w:val="18"/>
                      <w:szCs w:val="18"/>
                      <w:highlight w:val="none"/>
                      <w:vertAlign w:val="baseline"/>
                      <w:lang w:val="en-US" w:eastAsia="zh-CN" w:bidi="ar-SA"/>
                    </w:rPr>
                    <w:t>0.001</w:t>
                  </w:r>
                </w:p>
              </w:tc>
            </w:tr>
          </w:tbl>
          <w:p w14:paraId="1795DFE0">
            <w:pPr>
              <w:adjustRightInd w:val="0"/>
              <w:snapToGrid w:val="0"/>
              <w:spacing w:line="360" w:lineRule="auto"/>
              <w:ind w:firstLine="480" w:firstLineChars="200"/>
              <w:rPr>
                <w:rFonts w:hint="default" w:ascii="Times New Roman" w:hAnsi="Times New Roman" w:eastAsia="宋体" w:cs="Times New Roman"/>
                <w:color w:val="auto"/>
                <w:kern w:val="0"/>
                <w:sz w:val="24"/>
                <w:szCs w:val="20"/>
                <w:lang w:val="en-US" w:eastAsia="zh-CN" w:bidi="ar-SA"/>
              </w:rPr>
            </w:pPr>
          </w:p>
          <w:p w14:paraId="092E06DE">
            <w:pPr>
              <w:adjustRightInd w:val="0"/>
              <w:snapToGrid w:val="0"/>
              <w:spacing w:line="360" w:lineRule="auto"/>
              <w:ind w:firstLine="480" w:firstLineChars="200"/>
              <w:rPr>
                <w:color w:val="auto"/>
              </w:rPr>
            </w:pPr>
            <w:r>
              <w:rPr>
                <w:rFonts w:hint="default" w:ascii="Times New Roman" w:hAnsi="Times New Roman" w:eastAsia="宋体" w:cs="Times New Roman"/>
                <w:color w:val="auto"/>
                <w:kern w:val="0"/>
                <w:sz w:val="24"/>
                <w:szCs w:val="20"/>
                <w:lang w:val="en-US" w:eastAsia="zh-CN" w:bidi="ar-SA"/>
              </w:rPr>
              <w:t>项目废气污染源源强核算结果及相关参数一览表4-</w:t>
            </w:r>
            <w:r>
              <w:rPr>
                <w:rFonts w:hint="eastAsia" w:cs="Times New Roman"/>
                <w:color w:val="auto"/>
                <w:kern w:val="0"/>
                <w:sz w:val="24"/>
                <w:szCs w:val="20"/>
                <w:lang w:val="en-US" w:eastAsia="zh-CN" w:bidi="ar-SA"/>
              </w:rPr>
              <w:t>9</w:t>
            </w:r>
            <w:r>
              <w:rPr>
                <w:rFonts w:hint="default" w:ascii="Times New Roman" w:hAnsi="Times New Roman" w:eastAsia="宋体" w:cs="Times New Roman"/>
                <w:color w:val="auto"/>
                <w:kern w:val="0"/>
                <w:sz w:val="24"/>
                <w:szCs w:val="20"/>
                <w:lang w:val="en-US" w:eastAsia="zh-CN" w:bidi="ar-SA"/>
              </w:rPr>
              <w:t>。</w:t>
            </w:r>
          </w:p>
        </w:tc>
      </w:tr>
    </w:tbl>
    <w:p w14:paraId="1012579A">
      <w:pPr>
        <w:pStyle w:val="30"/>
        <w:jc w:val="both"/>
        <w:outlineLvl w:val="0"/>
        <w:rPr>
          <w:rFonts w:ascii="Times New Roman" w:hAnsi="Times New Roman" w:eastAsia="黑体"/>
          <w:snapToGrid w:val="0"/>
          <w:color w:val="auto"/>
          <w:sz w:val="30"/>
          <w:szCs w:val="30"/>
        </w:rPr>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3608"/>
      </w:tblGrid>
      <w:tr w14:paraId="7185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6" w:hRule="atLeast"/>
        </w:trPr>
        <w:tc>
          <w:tcPr>
            <w:tcW w:w="215" w:type="pct"/>
            <w:noWrap w:val="0"/>
            <w:vAlign w:val="center"/>
          </w:tcPr>
          <w:p w14:paraId="51743BD1">
            <w:pPr>
              <w:adjustRightInd w:val="0"/>
              <w:snapToGrid w:val="0"/>
              <w:jc w:val="center"/>
              <w:rPr>
                <w:bCs/>
                <w:color w:val="auto"/>
                <w:szCs w:val="21"/>
              </w:rPr>
            </w:pPr>
            <w:r>
              <w:rPr>
                <w:bCs/>
                <w:color w:val="auto"/>
                <w:szCs w:val="21"/>
              </w:rPr>
              <w:t>运营</w:t>
            </w:r>
          </w:p>
          <w:p w14:paraId="36435299">
            <w:pPr>
              <w:adjustRightInd w:val="0"/>
              <w:snapToGrid w:val="0"/>
              <w:jc w:val="center"/>
              <w:rPr>
                <w:bCs/>
                <w:color w:val="auto"/>
                <w:szCs w:val="21"/>
              </w:rPr>
            </w:pPr>
            <w:r>
              <w:rPr>
                <w:bCs/>
                <w:color w:val="auto"/>
                <w:szCs w:val="21"/>
              </w:rPr>
              <w:t>期环</w:t>
            </w:r>
          </w:p>
          <w:p w14:paraId="6E9CAFD2">
            <w:pPr>
              <w:adjustRightInd w:val="0"/>
              <w:snapToGrid w:val="0"/>
              <w:jc w:val="center"/>
              <w:rPr>
                <w:bCs/>
                <w:color w:val="auto"/>
                <w:szCs w:val="21"/>
              </w:rPr>
            </w:pPr>
            <w:r>
              <w:rPr>
                <w:bCs/>
                <w:color w:val="auto"/>
                <w:szCs w:val="21"/>
              </w:rPr>
              <w:t>境影</w:t>
            </w:r>
          </w:p>
          <w:p w14:paraId="77474106">
            <w:pPr>
              <w:adjustRightInd w:val="0"/>
              <w:snapToGrid w:val="0"/>
              <w:jc w:val="center"/>
              <w:rPr>
                <w:bCs/>
                <w:color w:val="auto"/>
                <w:szCs w:val="21"/>
              </w:rPr>
            </w:pPr>
            <w:r>
              <w:rPr>
                <w:bCs/>
                <w:color w:val="auto"/>
                <w:szCs w:val="21"/>
              </w:rPr>
              <w:t>响和</w:t>
            </w:r>
          </w:p>
          <w:p w14:paraId="1546BF5C">
            <w:pPr>
              <w:adjustRightInd w:val="0"/>
              <w:snapToGrid w:val="0"/>
              <w:jc w:val="center"/>
              <w:rPr>
                <w:bCs/>
                <w:color w:val="auto"/>
                <w:szCs w:val="21"/>
              </w:rPr>
            </w:pPr>
            <w:r>
              <w:rPr>
                <w:bCs/>
                <w:color w:val="auto"/>
                <w:szCs w:val="21"/>
              </w:rPr>
              <w:t>保护</w:t>
            </w:r>
          </w:p>
          <w:p w14:paraId="2C20B08A">
            <w:pPr>
              <w:adjustRightInd w:val="0"/>
              <w:snapToGrid w:val="0"/>
              <w:jc w:val="center"/>
              <w:rPr>
                <w:rFonts w:eastAsia="黑体"/>
                <w:color w:val="auto"/>
                <w:sz w:val="24"/>
              </w:rPr>
            </w:pPr>
            <w:r>
              <w:rPr>
                <w:bCs/>
                <w:color w:val="auto"/>
                <w:szCs w:val="21"/>
              </w:rPr>
              <w:t>措施</w:t>
            </w:r>
          </w:p>
        </w:tc>
        <w:tc>
          <w:tcPr>
            <w:tcW w:w="4784" w:type="pct"/>
            <w:noWrap w:val="0"/>
            <w:vAlign w:val="center"/>
          </w:tcPr>
          <w:p w14:paraId="1C350AAF">
            <w:pPr>
              <w:spacing w:before="120" w:beforeLines="50"/>
              <w:jc w:val="center"/>
              <w:rPr>
                <w:rFonts w:eastAsia="黑体"/>
                <w:color w:val="auto"/>
                <w:sz w:val="24"/>
              </w:rPr>
            </w:pPr>
            <w:r>
              <w:rPr>
                <w:rFonts w:eastAsia="黑体"/>
                <w:color w:val="auto"/>
                <w:sz w:val="24"/>
              </w:rPr>
              <w:t>表4-</w:t>
            </w:r>
            <w:r>
              <w:rPr>
                <w:rFonts w:hint="eastAsia" w:eastAsia="黑体"/>
                <w:color w:val="auto"/>
                <w:sz w:val="24"/>
                <w:lang w:val="en-US" w:eastAsia="zh-CN"/>
              </w:rPr>
              <w:t>9</w:t>
            </w:r>
            <w:r>
              <w:rPr>
                <w:rFonts w:eastAsia="黑体"/>
                <w:color w:val="auto"/>
                <w:sz w:val="24"/>
              </w:rPr>
              <w:t xml:space="preserve"> 项目废气污染源源强核算结果及相关参数一览表</w:t>
            </w:r>
          </w:p>
          <w:tbl>
            <w:tblPr>
              <w:tblStyle w:val="35"/>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453"/>
              <w:gridCol w:w="615"/>
              <w:gridCol w:w="735"/>
              <w:gridCol w:w="630"/>
              <w:gridCol w:w="720"/>
              <w:gridCol w:w="705"/>
              <w:gridCol w:w="525"/>
              <w:gridCol w:w="555"/>
              <w:gridCol w:w="615"/>
              <w:gridCol w:w="645"/>
              <w:gridCol w:w="735"/>
              <w:gridCol w:w="675"/>
              <w:gridCol w:w="645"/>
              <w:gridCol w:w="735"/>
              <w:gridCol w:w="428"/>
              <w:gridCol w:w="471"/>
              <w:gridCol w:w="439"/>
              <w:gridCol w:w="553"/>
              <w:gridCol w:w="696"/>
              <w:gridCol w:w="547"/>
              <w:gridCol w:w="694"/>
            </w:tblGrid>
            <w:tr w14:paraId="08F727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restart"/>
                  <w:tcBorders>
                    <w:tl2br w:val="nil"/>
                    <w:tr2bl w:val="nil"/>
                  </w:tcBorders>
                  <w:shd w:val="clear" w:color="auto" w:fill="auto"/>
                  <w:vAlign w:val="center"/>
                </w:tcPr>
                <w:p w14:paraId="39C296E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产排污环节</w:t>
                  </w:r>
                </w:p>
              </w:tc>
              <w:tc>
                <w:tcPr>
                  <w:tcW w:w="453" w:type="dxa"/>
                  <w:vMerge w:val="restart"/>
                  <w:tcBorders>
                    <w:tl2br w:val="nil"/>
                    <w:tr2bl w:val="nil"/>
                  </w:tcBorders>
                  <w:shd w:val="clear" w:color="auto" w:fill="auto"/>
                  <w:vAlign w:val="center"/>
                </w:tcPr>
                <w:p w14:paraId="4760C0A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排放形式</w:t>
                  </w:r>
                </w:p>
              </w:tc>
              <w:tc>
                <w:tcPr>
                  <w:tcW w:w="615" w:type="dxa"/>
                  <w:vMerge w:val="restart"/>
                  <w:tcBorders>
                    <w:tl2br w:val="nil"/>
                    <w:tr2bl w:val="nil"/>
                  </w:tcBorders>
                  <w:shd w:val="clear" w:color="auto" w:fill="auto"/>
                  <w:vAlign w:val="center"/>
                </w:tcPr>
                <w:p w14:paraId="7E0A51A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污染物种类</w:t>
                  </w:r>
                </w:p>
              </w:tc>
              <w:tc>
                <w:tcPr>
                  <w:tcW w:w="2085" w:type="dxa"/>
                  <w:gridSpan w:val="3"/>
                  <w:tcBorders>
                    <w:tl2br w:val="nil"/>
                    <w:tr2bl w:val="nil"/>
                  </w:tcBorders>
                  <w:shd w:val="clear" w:color="auto" w:fill="auto"/>
                  <w:vAlign w:val="center"/>
                </w:tcPr>
                <w:p w14:paraId="45D2794C">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污染物产生量和浓度</w:t>
                  </w:r>
                </w:p>
              </w:tc>
              <w:tc>
                <w:tcPr>
                  <w:tcW w:w="3045" w:type="dxa"/>
                  <w:gridSpan w:val="5"/>
                  <w:tcBorders>
                    <w:tl2br w:val="nil"/>
                    <w:tr2bl w:val="nil"/>
                  </w:tcBorders>
                  <w:shd w:val="clear" w:color="auto" w:fill="auto"/>
                  <w:vAlign w:val="center"/>
                </w:tcPr>
                <w:p w14:paraId="30466D9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污染治理设施</w:t>
                  </w:r>
                </w:p>
              </w:tc>
              <w:tc>
                <w:tcPr>
                  <w:tcW w:w="2055" w:type="dxa"/>
                  <w:gridSpan w:val="3"/>
                  <w:tcBorders>
                    <w:tl2br w:val="nil"/>
                    <w:tr2bl w:val="nil"/>
                  </w:tcBorders>
                  <w:shd w:val="clear" w:color="auto" w:fill="auto"/>
                  <w:vAlign w:val="center"/>
                </w:tcPr>
                <w:p w14:paraId="04C6FFA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污染物排放量和浓度</w:t>
                  </w:r>
                </w:p>
              </w:tc>
              <w:tc>
                <w:tcPr>
                  <w:tcW w:w="2626" w:type="dxa"/>
                  <w:gridSpan w:val="5"/>
                  <w:tcBorders>
                    <w:tl2br w:val="nil"/>
                    <w:tr2bl w:val="nil"/>
                  </w:tcBorders>
                  <w:shd w:val="clear" w:color="auto" w:fill="auto"/>
                  <w:vAlign w:val="center"/>
                </w:tcPr>
                <w:p w14:paraId="205BA22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排放口基本情况</w:t>
                  </w:r>
                </w:p>
              </w:tc>
              <w:tc>
                <w:tcPr>
                  <w:tcW w:w="1243" w:type="dxa"/>
                  <w:gridSpan w:val="2"/>
                  <w:tcBorders>
                    <w:tl2br w:val="nil"/>
                    <w:tr2bl w:val="nil"/>
                  </w:tcBorders>
                  <w:shd w:val="clear" w:color="auto" w:fill="auto"/>
                  <w:vAlign w:val="center"/>
                </w:tcPr>
                <w:p w14:paraId="54DA51B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排放标准</w:t>
                  </w:r>
                </w:p>
              </w:tc>
              <w:tc>
                <w:tcPr>
                  <w:tcW w:w="694" w:type="dxa"/>
                  <w:vMerge w:val="restart"/>
                  <w:tcBorders>
                    <w:tl2br w:val="nil"/>
                    <w:tr2bl w:val="nil"/>
                  </w:tcBorders>
                  <w:shd w:val="clear" w:color="auto" w:fill="auto"/>
                  <w:vAlign w:val="center"/>
                </w:tcPr>
                <w:p w14:paraId="5111163A">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eastAsia="zh-CN" w:bidi="ar"/>
                    </w:rPr>
                    <w:t>年工作时间</w:t>
                  </w:r>
                </w:p>
              </w:tc>
            </w:tr>
            <w:tr w14:paraId="396880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576" w:type="dxa"/>
                  <w:vMerge w:val="continue"/>
                  <w:tcBorders>
                    <w:tl2br w:val="nil"/>
                    <w:tr2bl w:val="nil"/>
                  </w:tcBorders>
                  <w:shd w:val="clear" w:color="auto" w:fill="auto"/>
                  <w:vAlign w:val="center"/>
                </w:tcPr>
                <w:p w14:paraId="4DA00C96">
                  <w:pPr>
                    <w:jc w:val="center"/>
                    <w:rPr>
                      <w:rFonts w:hint="default" w:ascii="Times New Roman" w:hAnsi="Times New Roman" w:cs="Times New Roman"/>
                      <w:b w:val="0"/>
                      <w:bCs w:val="0"/>
                      <w:color w:val="auto"/>
                      <w:sz w:val="18"/>
                      <w:szCs w:val="18"/>
                      <w:highlight w:val="none"/>
                    </w:rPr>
                  </w:pPr>
                </w:p>
              </w:tc>
              <w:tc>
                <w:tcPr>
                  <w:tcW w:w="453" w:type="dxa"/>
                  <w:vMerge w:val="continue"/>
                  <w:tcBorders>
                    <w:tl2br w:val="nil"/>
                    <w:tr2bl w:val="nil"/>
                  </w:tcBorders>
                  <w:shd w:val="clear" w:color="auto" w:fill="auto"/>
                  <w:vAlign w:val="center"/>
                </w:tcPr>
                <w:p w14:paraId="76E93A47">
                  <w:pPr>
                    <w:jc w:val="center"/>
                    <w:rPr>
                      <w:rFonts w:hint="default" w:ascii="Times New Roman" w:hAnsi="Times New Roman" w:cs="Times New Roman"/>
                      <w:b w:val="0"/>
                      <w:bCs w:val="0"/>
                      <w:color w:val="auto"/>
                      <w:sz w:val="18"/>
                      <w:szCs w:val="18"/>
                      <w:highlight w:val="none"/>
                    </w:rPr>
                  </w:pPr>
                </w:p>
              </w:tc>
              <w:tc>
                <w:tcPr>
                  <w:tcW w:w="615" w:type="dxa"/>
                  <w:vMerge w:val="continue"/>
                  <w:tcBorders>
                    <w:tl2br w:val="nil"/>
                    <w:tr2bl w:val="nil"/>
                  </w:tcBorders>
                  <w:shd w:val="clear" w:color="auto" w:fill="auto"/>
                  <w:vAlign w:val="center"/>
                </w:tcPr>
                <w:p w14:paraId="7C6A9E03">
                  <w:pPr>
                    <w:jc w:val="center"/>
                    <w:rPr>
                      <w:rFonts w:hint="default" w:ascii="Times New Roman" w:hAnsi="Times New Roman" w:cs="Times New Roman"/>
                      <w:b w:val="0"/>
                      <w:bCs w:val="0"/>
                      <w:color w:val="auto"/>
                      <w:sz w:val="18"/>
                      <w:szCs w:val="18"/>
                      <w:highlight w:val="none"/>
                    </w:rPr>
                  </w:pPr>
                </w:p>
              </w:tc>
              <w:tc>
                <w:tcPr>
                  <w:tcW w:w="735" w:type="dxa"/>
                  <w:tcBorders>
                    <w:tl2br w:val="nil"/>
                    <w:tr2bl w:val="nil"/>
                  </w:tcBorders>
                  <w:shd w:val="clear" w:color="auto" w:fill="auto"/>
                  <w:vAlign w:val="center"/>
                </w:tcPr>
                <w:p w14:paraId="484C505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产生浓度</w:t>
                  </w:r>
                </w:p>
              </w:tc>
              <w:tc>
                <w:tcPr>
                  <w:tcW w:w="1350" w:type="dxa"/>
                  <w:gridSpan w:val="2"/>
                  <w:tcBorders>
                    <w:tl2br w:val="nil"/>
                    <w:tr2bl w:val="nil"/>
                  </w:tcBorders>
                  <w:shd w:val="clear" w:color="auto" w:fill="auto"/>
                  <w:vAlign w:val="center"/>
                </w:tcPr>
                <w:p w14:paraId="0C35453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产生量</w:t>
                  </w:r>
                </w:p>
              </w:tc>
              <w:tc>
                <w:tcPr>
                  <w:tcW w:w="705" w:type="dxa"/>
                  <w:tcBorders>
                    <w:tl2br w:val="nil"/>
                    <w:tr2bl w:val="nil"/>
                  </w:tcBorders>
                  <w:shd w:val="clear" w:color="auto" w:fill="auto"/>
                  <w:vAlign w:val="center"/>
                </w:tcPr>
                <w:p w14:paraId="71C60F1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处理能力</w:t>
                  </w:r>
                </w:p>
              </w:tc>
              <w:tc>
                <w:tcPr>
                  <w:tcW w:w="525" w:type="dxa"/>
                  <w:tcBorders>
                    <w:tl2br w:val="nil"/>
                    <w:tr2bl w:val="nil"/>
                  </w:tcBorders>
                  <w:shd w:val="clear" w:color="auto" w:fill="auto"/>
                  <w:vAlign w:val="center"/>
                </w:tcPr>
                <w:p w14:paraId="2BDEFA0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收集效率</w:t>
                  </w:r>
                </w:p>
              </w:tc>
              <w:tc>
                <w:tcPr>
                  <w:tcW w:w="555" w:type="dxa"/>
                  <w:tcBorders>
                    <w:tl2br w:val="nil"/>
                    <w:tr2bl w:val="nil"/>
                  </w:tcBorders>
                  <w:shd w:val="clear" w:color="auto" w:fill="auto"/>
                  <w:vAlign w:val="center"/>
                </w:tcPr>
                <w:p w14:paraId="7614FB6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去除效率</w:t>
                  </w:r>
                </w:p>
              </w:tc>
              <w:tc>
                <w:tcPr>
                  <w:tcW w:w="615" w:type="dxa"/>
                  <w:vMerge w:val="restart"/>
                  <w:tcBorders>
                    <w:tl2br w:val="nil"/>
                    <w:tr2bl w:val="nil"/>
                  </w:tcBorders>
                  <w:shd w:val="clear" w:color="auto" w:fill="auto"/>
                  <w:vAlign w:val="center"/>
                </w:tcPr>
                <w:p w14:paraId="25C4EA5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是否可行技术</w:t>
                  </w:r>
                </w:p>
              </w:tc>
              <w:tc>
                <w:tcPr>
                  <w:tcW w:w="645" w:type="dxa"/>
                  <w:vMerge w:val="restart"/>
                  <w:tcBorders>
                    <w:tl2br w:val="nil"/>
                    <w:tr2bl w:val="nil"/>
                  </w:tcBorders>
                  <w:shd w:val="clear" w:color="auto" w:fill="auto"/>
                  <w:vAlign w:val="center"/>
                </w:tcPr>
                <w:p w14:paraId="3A34323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处理工艺</w:t>
                  </w:r>
                </w:p>
              </w:tc>
              <w:tc>
                <w:tcPr>
                  <w:tcW w:w="735" w:type="dxa"/>
                  <w:tcBorders>
                    <w:tl2br w:val="nil"/>
                    <w:tr2bl w:val="nil"/>
                  </w:tcBorders>
                  <w:shd w:val="clear" w:color="auto" w:fill="auto"/>
                  <w:vAlign w:val="center"/>
                </w:tcPr>
                <w:p w14:paraId="6C0E4D0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排放浓度</w:t>
                  </w:r>
                </w:p>
              </w:tc>
              <w:tc>
                <w:tcPr>
                  <w:tcW w:w="1320" w:type="dxa"/>
                  <w:gridSpan w:val="2"/>
                  <w:tcBorders>
                    <w:tl2br w:val="nil"/>
                    <w:tr2bl w:val="nil"/>
                  </w:tcBorders>
                  <w:shd w:val="clear" w:color="auto" w:fill="auto"/>
                  <w:vAlign w:val="center"/>
                </w:tcPr>
                <w:p w14:paraId="46EAAB8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排放量</w:t>
                  </w:r>
                </w:p>
              </w:tc>
              <w:tc>
                <w:tcPr>
                  <w:tcW w:w="735" w:type="dxa"/>
                  <w:tcBorders>
                    <w:tl2br w:val="nil"/>
                    <w:tr2bl w:val="nil"/>
                  </w:tcBorders>
                  <w:shd w:val="clear" w:color="auto" w:fill="auto"/>
                  <w:vAlign w:val="center"/>
                </w:tcPr>
                <w:p w14:paraId="27D9823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编号及名称</w:t>
                  </w:r>
                </w:p>
              </w:tc>
              <w:tc>
                <w:tcPr>
                  <w:tcW w:w="428" w:type="dxa"/>
                  <w:tcBorders>
                    <w:tl2br w:val="nil"/>
                    <w:tr2bl w:val="nil"/>
                  </w:tcBorders>
                  <w:shd w:val="clear" w:color="auto" w:fill="auto"/>
                  <w:vAlign w:val="center"/>
                </w:tcPr>
                <w:p w14:paraId="72643C88">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高度</w:t>
                  </w:r>
                </w:p>
              </w:tc>
              <w:tc>
                <w:tcPr>
                  <w:tcW w:w="471" w:type="dxa"/>
                  <w:tcBorders>
                    <w:tl2br w:val="nil"/>
                    <w:tr2bl w:val="nil"/>
                  </w:tcBorders>
                  <w:shd w:val="clear" w:color="auto" w:fill="auto"/>
                  <w:vAlign w:val="center"/>
                </w:tcPr>
                <w:p w14:paraId="1938D4C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内径</w:t>
                  </w:r>
                </w:p>
              </w:tc>
              <w:tc>
                <w:tcPr>
                  <w:tcW w:w="439" w:type="dxa"/>
                  <w:tcBorders>
                    <w:tl2br w:val="nil"/>
                    <w:tr2bl w:val="nil"/>
                  </w:tcBorders>
                  <w:shd w:val="clear" w:color="auto" w:fill="auto"/>
                  <w:vAlign w:val="center"/>
                </w:tcPr>
                <w:p w14:paraId="2F10EDF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温度</w:t>
                  </w:r>
                </w:p>
              </w:tc>
              <w:tc>
                <w:tcPr>
                  <w:tcW w:w="553" w:type="dxa"/>
                  <w:tcBorders>
                    <w:tl2br w:val="nil"/>
                    <w:tr2bl w:val="nil"/>
                  </w:tcBorders>
                  <w:shd w:val="clear" w:color="auto" w:fill="auto"/>
                  <w:vAlign w:val="center"/>
                </w:tcPr>
                <w:p w14:paraId="2D004C9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类型</w:t>
                  </w:r>
                </w:p>
              </w:tc>
              <w:tc>
                <w:tcPr>
                  <w:tcW w:w="696" w:type="dxa"/>
                  <w:tcBorders>
                    <w:tl2br w:val="nil"/>
                    <w:tr2bl w:val="nil"/>
                  </w:tcBorders>
                  <w:shd w:val="clear" w:color="auto" w:fill="auto"/>
                  <w:vAlign w:val="center"/>
                </w:tcPr>
                <w:p w14:paraId="434B659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浓度</w:t>
                  </w:r>
                </w:p>
              </w:tc>
              <w:tc>
                <w:tcPr>
                  <w:tcW w:w="547" w:type="dxa"/>
                  <w:tcBorders>
                    <w:tl2br w:val="nil"/>
                    <w:tr2bl w:val="nil"/>
                  </w:tcBorders>
                  <w:shd w:val="clear" w:color="auto" w:fill="auto"/>
                  <w:vAlign w:val="center"/>
                </w:tcPr>
                <w:p w14:paraId="79F816C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速率</w:t>
                  </w:r>
                </w:p>
              </w:tc>
              <w:tc>
                <w:tcPr>
                  <w:tcW w:w="694" w:type="dxa"/>
                  <w:vMerge w:val="continue"/>
                  <w:tcBorders>
                    <w:tl2br w:val="nil"/>
                    <w:tr2bl w:val="nil"/>
                  </w:tcBorders>
                  <w:shd w:val="clear" w:color="auto" w:fill="auto"/>
                  <w:vAlign w:val="center"/>
                </w:tcPr>
                <w:p w14:paraId="62716B67">
                  <w:pPr>
                    <w:widowControl/>
                    <w:jc w:val="center"/>
                    <w:textAlignment w:val="center"/>
                    <w:rPr>
                      <w:rFonts w:hint="default" w:ascii="Times New Roman" w:hAnsi="Times New Roman" w:cs="Times New Roman"/>
                      <w:b w:val="0"/>
                      <w:bCs w:val="0"/>
                      <w:color w:val="auto"/>
                      <w:kern w:val="0"/>
                      <w:sz w:val="18"/>
                      <w:szCs w:val="18"/>
                      <w:highlight w:val="none"/>
                      <w:lang w:bidi="ar"/>
                    </w:rPr>
                  </w:pPr>
                </w:p>
              </w:tc>
            </w:tr>
            <w:tr w14:paraId="2BD26C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6A4B277C">
                  <w:pPr>
                    <w:jc w:val="center"/>
                    <w:rPr>
                      <w:rFonts w:hint="default" w:ascii="Times New Roman" w:hAnsi="Times New Roman" w:cs="Times New Roman"/>
                      <w:b w:val="0"/>
                      <w:bCs w:val="0"/>
                      <w:color w:val="auto"/>
                      <w:sz w:val="18"/>
                      <w:szCs w:val="18"/>
                      <w:highlight w:val="none"/>
                    </w:rPr>
                  </w:pPr>
                </w:p>
              </w:tc>
              <w:tc>
                <w:tcPr>
                  <w:tcW w:w="453" w:type="dxa"/>
                  <w:vMerge w:val="continue"/>
                  <w:tcBorders>
                    <w:tl2br w:val="nil"/>
                    <w:tr2bl w:val="nil"/>
                  </w:tcBorders>
                  <w:shd w:val="clear" w:color="auto" w:fill="auto"/>
                  <w:vAlign w:val="center"/>
                </w:tcPr>
                <w:p w14:paraId="056DC4F2">
                  <w:pPr>
                    <w:jc w:val="center"/>
                    <w:rPr>
                      <w:rFonts w:hint="default" w:ascii="Times New Roman" w:hAnsi="Times New Roman" w:cs="Times New Roman"/>
                      <w:b w:val="0"/>
                      <w:bCs w:val="0"/>
                      <w:color w:val="auto"/>
                      <w:sz w:val="18"/>
                      <w:szCs w:val="18"/>
                      <w:highlight w:val="none"/>
                    </w:rPr>
                  </w:pPr>
                </w:p>
              </w:tc>
              <w:tc>
                <w:tcPr>
                  <w:tcW w:w="615" w:type="dxa"/>
                  <w:vMerge w:val="continue"/>
                  <w:tcBorders>
                    <w:tl2br w:val="nil"/>
                    <w:tr2bl w:val="nil"/>
                  </w:tcBorders>
                  <w:shd w:val="clear" w:color="auto" w:fill="auto"/>
                  <w:vAlign w:val="center"/>
                </w:tcPr>
                <w:p w14:paraId="0BB0379F">
                  <w:pPr>
                    <w:jc w:val="center"/>
                    <w:rPr>
                      <w:rFonts w:hint="default" w:ascii="Times New Roman" w:hAnsi="Times New Roman" w:cs="Times New Roman"/>
                      <w:b w:val="0"/>
                      <w:bCs w:val="0"/>
                      <w:color w:val="auto"/>
                      <w:sz w:val="18"/>
                      <w:szCs w:val="18"/>
                      <w:highlight w:val="none"/>
                    </w:rPr>
                  </w:pPr>
                </w:p>
              </w:tc>
              <w:tc>
                <w:tcPr>
                  <w:tcW w:w="735" w:type="dxa"/>
                  <w:tcBorders>
                    <w:tl2br w:val="nil"/>
                    <w:tr2bl w:val="nil"/>
                  </w:tcBorders>
                  <w:shd w:val="clear" w:color="auto" w:fill="auto"/>
                  <w:vAlign w:val="center"/>
                </w:tcPr>
                <w:p w14:paraId="00CC636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630" w:type="dxa"/>
                  <w:tcBorders>
                    <w:tl2br w:val="nil"/>
                    <w:tr2bl w:val="nil"/>
                  </w:tcBorders>
                  <w:shd w:val="clear" w:color="auto" w:fill="auto"/>
                  <w:vAlign w:val="center"/>
                </w:tcPr>
                <w:p w14:paraId="7A064EE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720" w:type="dxa"/>
                  <w:tcBorders>
                    <w:tl2br w:val="nil"/>
                    <w:tr2bl w:val="nil"/>
                  </w:tcBorders>
                  <w:shd w:val="clear" w:color="auto" w:fill="auto"/>
                  <w:vAlign w:val="center"/>
                </w:tcPr>
                <w:p w14:paraId="268AAAF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t/a</w:t>
                  </w:r>
                </w:p>
              </w:tc>
              <w:tc>
                <w:tcPr>
                  <w:tcW w:w="705" w:type="dxa"/>
                  <w:tcBorders>
                    <w:tl2br w:val="nil"/>
                    <w:tr2bl w:val="nil"/>
                  </w:tcBorders>
                  <w:shd w:val="clear" w:color="auto" w:fill="auto"/>
                  <w:vAlign w:val="center"/>
                </w:tcPr>
                <w:p w14:paraId="68D0CE6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Nm</w:t>
                  </w:r>
                  <w:r>
                    <w:rPr>
                      <w:rStyle w:val="139"/>
                      <w:rFonts w:hint="default" w:ascii="Times New Roman" w:hAnsi="Times New Roman" w:cs="Times New Roman"/>
                      <w:b w:val="0"/>
                      <w:bCs w:val="0"/>
                      <w:color w:val="auto"/>
                      <w:sz w:val="18"/>
                      <w:szCs w:val="18"/>
                      <w:highlight w:val="none"/>
                      <w:vertAlign w:val="superscript"/>
                      <w:lang w:bidi="ar"/>
                    </w:rPr>
                    <w:t>3</w:t>
                  </w:r>
                  <w:r>
                    <w:rPr>
                      <w:rFonts w:hint="default" w:ascii="Times New Roman" w:hAnsi="Times New Roman" w:cs="Times New Roman"/>
                      <w:b w:val="0"/>
                      <w:bCs w:val="0"/>
                      <w:color w:val="auto"/>
                      <w:kern w:val="0"/>
                      <w:sz w:val="18"/>
                      <w:szCs w:val="18"/>
                      <w:highlight w:val="none"/>
                      <w:lang w:bidi="ar"/>
                    </w:rPr>
                    <w:t>/h</w:t>
                  </w:r>
                </w:p>
              </w:tc>
              <w:tc>
                <w:tcPr>
                  <w:tcW w:w="525" w:type="dxa"/>
                  <w:tcBorders>
                    <w:tl2br w:val="nil"/>
                    <w:tr2bl w:val="nil"/>
                  </w:tcBorders>
                  <w:shd w:val="clear" w:color="auto" w:fill="auto"/>
                  <w:vAlign w:val="center"/>
                </w:tcPr>
                <w:p w14:paraId="1C087E7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22B376A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15" w:type="dxa"/>
                  <w:vMerge w:val="continue"/>
                  <w:tcBorders>
                    <w:tl2br w:val="nil"/>
                    <w:tr2bl w:val="nil"/>
                  </w:tcBorders>
                  <w:shd w:val="clear" w:color="auto" w:fill="auto"/>
                  <w:vAlign w:val="center"/>
                </w:tcPr>
                <w:p w14:paraId="5242D4A5">
                  <w:pPr>
                    <w:jc w:val="center"/>
                    <w:rPr>
                      <w:rFonts w:hint="default" w:ascii="Times New Roman" w:hAnsi="Times New Roman" w:cs="Times New Roman"/>
                      <w:b w:val="0"/>
                      <w:bCs w:val="0"/>
                      <w:color w:val="auto"/>
                      <w:sz w:val="18"/>
                      <w:szCs w:val="18"/>
                      <w:highlight w:val="none"/>
                    </w:rPr>
                  </w:pPr>
                </w:p>
              </w:tc>
              <w:tc>
                <w:tcPr>
                  <w:tcW w:w="645" w:type="dxa"/>
                  <w:vMerge w:val="continue"/>
                  <w:tcBorders>
                    <w:tl2br w:val="nil"/>
                    <w:tr2bl w:val="nil"/>
                  </w:tcBorders>
                  <w:shd w:val="clear" w:color="auto" w:fill="auto"/>
                  <w:vAlign w:val="center"/>
                </w:tcPr>
                <w:p w14:paraId="7E657AEA">
                  <w:pPr>
                    <w:jc w:val="center"/>
                    <w:rPr>
                      <w:rFonts w:hint="default" w:ascii="Times New Roman" w:hAnsi="Times New Roman" w:cs="Times New Roman"/>
                      <w:b w:val="0"/>
                      <w:bCs w:val="0"/>
                      <w:color w:val="auto"/>
                      <w:sz w:val="18"/>
                      <w:szCs w:val="18"/>
                      <w:highlight w:val="none"/>
                    </w:rPr>
                  </w:pPr>
                </w:p>
              </w:tc>
              <w:tc>
                <w:tcPr>
                  <w:tcW w:w="735" w:type="dxa"/>
                  <w:tcBorders>
                    <w:tl2br w:val="nil"/>
                    <w:tr2bl w:val="nil"/>
                  </w:tcBorders>
                  <w:shd w:val="clear" w:color="auto" w:fill="auto"/>
                  <w:vAlign w:val="center"/>
                </w:tcPr>
                <w:p w14:paraId="1C46397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675" w:type="dxa"/>
                  <w:tcBorders>
                    <w:tl2br w:val="nil"/>
                    <w:tr2bl w:val="nil"/>
                  </w:tcBorders>
                  <w:shd w:val="clear" w:color="auto" w:fill="auto"/>
                  <w:vAlign w:val="center"/>
                </w:tcPr>
                <w:p w14:paraId="25673B2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645" w:type="dxa"/>
                  <w:tcBorders>
                    <w:tl2br w:val="nil"/>
                    <w:tr2bl w:val="nil"/>
                  </w:tcBorders>
                  <w:shd w:val="clear" w:color="auto" w:fill="auto"/>
                  <w:vAlign w:val="center"/>
                </w:tcPr>
                <w:p w14:paraId="194D56F2">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t/a</w:t>
                  </w:r>
                </w:p>
              </w:tc>
              <w:tc>
                <w:tcPr>
                  <w:tcW w:w="735" w:type="dxa"/>
                  <w:tcBorders>
                    <w:tl2br w:val="nil"/>
                    <w:tr2bl w:val="nil"/>
                  </w:tcBorders>
                  <w:shd w:val="clear" w:color="auto" w:fill="auto"/>
                  <w:vAlign w:val="center"/>
                </w:tcPr>
                <w:p w14:paraId="4ED4519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28" w:type="dxa"/>
                  <w:tcBorders>
                    <w:tl2br w:val="nil"/>
                    <w:tr2bl w:val="nil"/>
                  </w:tcBorders>
                  <w:shd w:val="clear" w:color="auto" w:fill="auto"/>
                  <w:vAlign w:val="center"/>
                </w:tcPr>
                <w:p w14:paraId="5FA290DE">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w:t>
                  </w:r>
                </w:p>
              </w:tc>
              <w:tc>
                <w:tcPr>
                  <w:tcW w:w="471" w:type="dxa"/>
                  <w:tcBorders>
                    <w:tl2br w:val="nil"/>
                    <w:tr2bl w:val="nil"/>
                  </w:tcBorders>
                  <w:shd w:val="clear" w:color="auto" w:fill="auto"/>
                  <w:vAlign w:val="center"/>
                </w:tcPr>
                <w:p w14:paraId="67B0859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w:t>
                  </w:r>
                </w:p>
              </w:tc>
              <w:tc>
                <w:tcPr>
                  <w:tcW w:w="439" w:type="dxa"/>
                  <w:tcBorders>
                    <w:tl2br w:val="nil"/>
                    <w:tr2bl w:val="nil"/>
                  </w:tcBorders>
                  <w:shd w:val="clear" w:color="auto" w:fill="auto"/>
                  <w:vAlign w:val="center"/>
                </w:tcPr>
                <w:p w14:paraId="2C6B8E7C">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597CA6B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355B22EA">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mg/m</w:t>
                  </w:r>
                  <w:r>
                    <w:rPr>
                      <w:rStyle w:val="139"/>
                      <w:rFonts w:hint="default" w:ascii="Times New Roman" w:hAnsi="Times New Roman" w:cs="Times New Roman"/>
                      <w:b w:val="0"/>
                      <w:bCs w:val="0"/>
                      <w:color w:val="auto"/>
                      <w:sz w:val="18"/>
                      <w:szCs w:val="18"/>
                      <w:highlight w:val="none"/>
                      <w:vertAlign w:val="superscript"/>
                      <w:lang w:bidi="ar"/>
                    </w:rPr>
                    <w:t>3</w:t>
                  </w:r>
                </w:p>
              </w:tc>
              <w:tc>
                <w:tcPr>
                  <w:tcW w:w="547" w:type="dxa"/>
                  <w:tcBorders>
                    <w:tl2br w:val="nil"/>
                    <w:tr2bl w:val="nil"/>
                  </w:tcBorders>
                  <w:shd w:val="clear" w:color="auto" w:fill="auto"/>
                  <w:vAlign w:val="center"/>
                </w:tcPr>
                <w:p w14:paraId="645EBA1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kg/h</w:t>
                  </w:r>
                </w:p>
              </w:tc>
              <w:tc>
                <w:tcPr>
                  <w:tcW w:w="694" w:type="dxa"/>
                  <w:tcBorders>
                    <w:tl2br w:val="nil"/>
                    <w:tr2bl w:val="nil"/>
                  </w:tcBorders>
                  <w:shd w:val="clear" w:color="auto" w:fill="auto"/>
                  <w:vAlign w:val="center"/>
                </w:tcPr>
                <w:p w14:paraId="174C27F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val="en-US" w:eastAsia="zh-CN" w:bidi="ar"/>
                    </w:rPr>
                    <w:t>h</w:t>
                  </w:r>
                </w:p>
              </w:tc>
            </w:tr>
            <w:tr w14:paraId="02B4B4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restart"/>
                  <w:tcBorders>
                    <w:tl2br w:val="nil"/>
                    <w:tr2bl w:val="nil"/>
                  </w:tcBorders>
                  <w:shd w:val="clear" w:color="auto" w:fill="auto"/>
                  <w:vAlign w:val="center"/>
                </w:tcPr>
                <w:p w14:paraId="621242B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注塑、挤出、复合、涂胶</w:t>
                  </w:r>
                </w:p>
              </w:tc>
              <w:tc>
                <w:tcPr>
                  <w:tcW w:w="453" w:type="dxa"/>
                  <w:vMerge w:val="restart"/>
                  <w:tcBorders>
                    <w:tl2br w:val="nil"/>
                    <w:tr2bl w:val="nil"/>
                  </w:tcBorders>
                  <w:shd w:val="clear" w:color="auto" w:fill="auto"/>
                  <w:vAlign w:val="center"/>
                </w:tcPr>
                <w:p w14:paraId="17335514">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有组织</w:t>
                  </w:r>
                </w:p>
              </w:tc>
              <w:tc>
                <w:tcPr>
                  <w:tcW w:w="615" w:type="dxa"/>
                  <w:tcBorders>
                    <w:tl2br w:val="nil"/>
                    <w:tr2bl w:val="nil"/>
                  </w:tcBorders>
                  <w:shd w:val="clear" w:color="auto" w:fill="auto"/>
                  <w:vAlign w:val="center"/>
                </w:tcPr>
                <w:p w14:paraId="312B7224">
                  <w:pPr>
                    <w:widowControl/>
                    <w:jc w:val="center"/>
                    <w:textAlignment w:val="center"/>
                    <w:rPr>
                      <w:rFonts w:hint="eastAsia"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非甲烷总烃</w:t>
                  </w:r>
                </w:p>
              </w:tc>
              <w:tc>
                <w:tcPr>
                  <w:tcW w:w="735" w:type="dxa"/>
                  <w:tcBorders>
                    <w:tl2br w:val="nil"/>
                    <w:tr2bl w:val="nil"/>
                  </w:tcBorders>
                  <w:shd w:val="clear" w:color="auto" w:fill="auto"/>
                  <w:vAlign w:val="center"/>
                </w:tcPr>
                <w:p w14:paraId="39AB3B66">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52.6</w:t>
                  </w:r>
                </w:p>
              </w:tc>
              <w:tc>
                <w:tcPr>
                  <w:tcW w:w="630" w:type="dxa"/>
                  <w:tcBorders>
                    <w:tl2br w:val="nil"/>
                    <w:tr2bl w:val="nil"/>
                  </w:tcBorders>
                  <w:shd w:val="clear" w:color="auto" w:fill="auto"/>
                  <w:vAlign w:val="center"/>
                </w:tcPr>
                <w:p w14:paraId="31E78059">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1.052</w:t>
                  </w:r>
                </w:p>
              </w:tc>
              <w:tc>
                <w:tcPr>
                  <w:tcW w:w="720" w:type="dxa"/>
                  <w:tcBorders>
                    <w:tl2br w:val="nil"/>
                    <w:tr2bl w:val="nil"/>
                  </w:tcBorders>
                  <w:shd w:val="clear" w:color="auto" w:fill="auto"/>
                  <w:vAlign w:val="center"/>
                </w:tcPr>
                <w:p w14:paraId="0E6B7415">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2.525</w:t>
                  </w:r>
                </w:p>
              </w:tc>
              <w:tc>
                <w:tcPr>
                  <w:tcW w:w="705" w:type="dxa"/>
                  <w:vMerge w:val="restart"/>
                  <w:tcBorders>
                    <w:tl2br w:val="nil"/>
                    <w:tr2bl w:val="nil"/>
                  </w:tcBorders>
                  <w:shd w:val="clear" w:color="auto" w:fill="auto"/>
                  <w:vAlign w:val="center"/>
                </w:tcPr>
                <w:p w14:paraId="018D5931">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20000</w:t>
                  </w:r>
                </w:p>
              </w:tc>
              <w:tc>
                <w:tcPr>
                  <w:tcW w:w="525" w:type="dxa"/>
                  <w:vMerge w:val="restart"/>
                  <w:tcBorders>
                    <w:tl2br w:val="nil"/>
                    <w:tr2bl w:val="nil"/>
                  </w:tcBorders>
                  <w:shd w:val="clear" w:color="auto" w:fill="auto"/>
                  <w:vAlign w:val="center"/>
                </w:tcPr>
                <w:p w14:paraId="4F7C2DDD">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90</w:t>
                  </w:r>
                </w:p>
              </w:tc>
              <w:tc>
                <w:tcPr>
                  <w:tcW w:w="555" w:type="dxa"/>
                  <w:vMerge w:val="restart"/>
                  <w:tcBorders>
                    <w:tl2br w:val="nil"/>
                    <w:tr2bl w:val="nil"/>
                  </w:tcBorders>
                  <w:shd w:val="clear" w:color="auto" w:fill="auto"/>
                  <w:vAlign w:val="center"/>
                </w:tcPr>
                <w:p w14:paraId="5B73822C">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80</w:t>
                  </w:r>
                </w:p>
              </w:tc>
              <w:tc>
                <w:tcPr>
                  <w:tcW w:w="615" w:type="dxa"/>
                  <w:vMerge w:val="restart"/>
                  <w:tcBorders>
                    <w:tl2br w:val="nil"/>
                    <w:tr2bl w:val="nil"/>
                  </w:tcBorders>
                  <w:shd w:val="clear" w:color="auto" w:fill="auto"/>
                  <w:vAlign w:val="center"/>
                </w:tcPr>
                <w:p w14:paraId="178117EC">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是</w:t>
                  </w:r>
                </w:p>
              </w:tc>
              <w:tc>
                <w:tcPr>
                  <w:tcW w:w="645" w:type="dxa"/>
                  <w:vMerge w:val="restart"/>
                  <w:tcBorders>
                    <w:tl2br w:val="nil"/>
                    <w:tr2bl w:val="nil"/>
                  </w:tcBorders>
                  <w:shd w:val="clear" w:color="auto" w:fill="auto"/>
                  <w:vAlign w:val="center"/>
                </w:tcPr>
                <w:p w14:paraId="510CB209">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cs="Times New Roman"/>
                      <w:b w:val="0"/>
                      <w:bCs w:val="0"/>
                      <w:color w:val="auto"/>
                      <w:kern w:val="0"/>
                      <w:sz w:val="18"/>
                      <w:szCs w:val="18"/>
                      <w:highlight w:val="none"/>
                      <w:lang w:val="en-US" w:eastAsia="zh-CN" w:bidi="ar"/>
                    </w:rPr>
                    <w:t>二级活性炭吸附装置</w:t>
                  </w:r>
                </w:p>
              </w:tc>
              <w:tc>
                <w:tcPr>
                  <w:tcW w:w="735" w:type="dxa"/>
                  <w:tcBorders>
                    <w:tl2br w:val="nil"/>
                    <w:tr2bl w:val="nil"/>
                  </w:tcBorders>
                  <w:shd w:val="clear" w:color="auto" w:fill="auto"/>
                  <w:vAlign w:val="center"/>
                </w:tcPr>
                <w:p w14:paraId="43142E7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10.6</w:t>
                  </w:r>
                </w:p>
              </w:tc>
              <w:tc>
                <w:tcPr>
                  <w:tcW w:w="675" w:type="dxa"/>
                  <w:tcBorders>
                    <w:tl2br w:val="nil"/>
                    <w:tr2bl w:val="nil"/>
                  </w:tcBorders>
                  <w:shd w:val="clear" w:color="auto" w:fill="auto"/>
                  <w:vAlign w:val="center"/>
                </w:tcPr>
                <w:p w14:paraId="44A2943E">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0.211</w:t>
                  </w:r>
                </w:p>
              </w:tc>
              <w:tc>
                <w:tcPr>
                  <w:tcW w:w="645" w:type="dxa"/>
                  <w:tcBorders>
                    <w:tl2br w:val="nil"/>
                    <w:tr2bl w:val="nil"/>
                  </w:tcBorders>
                  <w:shd w:val="clear" w:color="auto" w:fill="auto"/>
                  <w:vAlign w:val="center"/>
                </w:tcPr>
                <w:p w14:paraId="0F7F985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0.505</w:t>
                  </w:r>
                </w:p>
              </w:tc>
              <w:tc>
                <w:tcPr>
                  <w:tcW w:w="735" w:type="dxa"/>
                  <w:vMerge w:val="restart"/>
                  <w:tcBorders>
                    <w:tl2br w:val="nil"/>
                    <w:tr2bl w:val="nil"/>
                  </w:tcBorders>
                  <w:shd w:val="clear" w:color="auto" w:fill="auto"/>
                  <w:vAlign w:val="center"/>
                </w:tcPr>
                <w:p w14:paraId="6C2BF2C7">
                  <w:pPr>
                    <w:widowControl/>
                    <w:jc w:val="center"/>
                    <w:textAlignment w:val="center"/>
                    <w:rPr>
                      <w:rFonts w:hint="eastAsia" w:ascii="Times New Roman" w:hAnsi="Times New Roman" w:cs="Times New Roman"/>
                      <w:b w:val="0"/>
                      <w:bCs w:val="0"/>
                      <w:color w:val="auto"/>
                      <w:kern w:val="0"/>
                      <w:sz w:val="18"/>
                      <w:szCs w:val="18"/>
                      <w:highlight w:val="none"/>
                      <w:lang w:val="en-US" w:eastAsia="zh-CN" w:bidi="ar"/>
                    </w:rPr>
                  </w:pPr>
                  <w:r>
                    <w:rPr>
                      <w:rFonts w:hint="default" w:ascii="Times New Roman" w:hAnsi="Times New Roman" w:cs="Times New Roman"/>
                      <w:b w:val="0"/>
                      <w:bCs w:val="0"/>
                      <w:color w:val="auto"/>
                      <w:kern w:val="0"/>
                      <w:sz w:val="18"/>
                      <w:szCs w:val="18"/>
                      <w:highlight w:val="none"/>
                      <w:lang w:bidi="ar"/>
                    </w:rPr>
                    <w:t>DA00</w:t>
                  </w:r>
                  <w:r>
                    <w:rPr>
                      <w:rFonts w:hint="eastAsia" w:ascii="Times New Roman" w:hAnsi="Times New Roman" w:cs="Times New Roman"/>
                      <w:b w:val="0"/>
                      <w:bCs w:val="0"/>
                      <w:color w:val="auto"/>
                      <w:kern w:val="0"/>
                      <w:sz w:val="18"/>
                      <w:szCs w:val="18"/>
                      <w:highlight w:val="none"/>
                      <w:lang w:val="en-US" w:eastAsia="zh-CN" w:bidi="ar"/>
                    </w:rPr>
                    <w:t>2</w:t>
                  </w:r>
                </w:p>
                <w:p w14:paraId="73B5EE4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排气筒</w:t>
                  </w:r>
                </w:p>
              </w:tc>
              <w:tc>
                <w:tcPr>
                  <w:tcW w:w="428" w:type="dxa"/>
                  <w:vMerge w:val="restart"/>
                  <w:tcBorders>
                    <w:tl2br w:val="nil"/>
                    <w:tr2bl w:val="nil"/>
                  </w:tcBorders>
                  <w:shd w:val="clear" w:color="auto" w:fill="auto"/>
                  <w:vAlign w:val="center"/>
                </w:tcPr>
                <w:p w14:paraId="07CF2BE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25</w:t>
                  </w:r>
                </w:p>
              </w:tc>
              <w:tc>
                <w:tcPr>
                  <w:tcW w:w="471" w:type="dxa"/>
                  <w:vMerge w:val="restart"/>
                  <w:tcBorders>
                    <w:tl2br w:val="nil"/>
                    <w:tr2bl w:val="nil"/>
                  </w:tcBorders>
                  <w:shd w:val="clear" w:color="auto" w:fill="auto"/>
                  <w:vAlign w:val="center"/>
                </w:tcPr>
                <w:p w14:paraId="76D95BF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0.7</w:t>
                  </w:r>
                </w:p>
              </w:tc>
              <w:tc>
                <w:tcPr>
                  <w:tcW w:w="439" w:type="dxa"/>
                  <w:vMerge w:val="restart"/>
                  <w:tcBorders>
                    <w:tl2br w:val="nil"/>
                    <w:tr2bl w:val="nil"/>
                  </w:tcBorders>
                  <w:shd w:val="clear" w:color="auto" w:fill="auto"/>
                  <w:vAlign w:val="center"/>
                </w:tcPr>
                <w:p w14:paraId="4C322CAF">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常温</w:t>
                  </w:r>
                </w:p>
              </w:tc>
              <w:tc>
                <w:tcPr>
                  <w:tcW w:w="553" w:type="dxa"/>
                  <w:vMerge w:val="restart"/>
                  <w:tcBorders>
                    <w:tl2br w:val="nil"/>
                    <w:tr2bl w:val="nil"/>
                  </w:tcBorders>
                  <w:shd w:val="clear" w:color="auto" w:fill="auto"/>
                  <w:vAlign w:val="center"/>
                </w:tcPr>
                <w:p w14:paraId="5B0267F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一般排放口</w:t>
                  </w:r>
                </w:p>
              </w:tc>
              <w:tc>
                <w:tcPr>
                  <w:tcW w:w="696" w:type="dxa"/>
                  <w:tcBorders>
                    <w:tl2br w:val="nil"/>
                    <w:tr2bl w:val="nil"/>
                  </w:tcBorders>
                  <w:shd w:val="clear" w:color="auto" w:fill="auto"/>
                  <w:vAlign w:val="center"/>
                </w:tcPr>
                <w:p w14:paraId="1D95218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60</w:t>
                  </w:r>
                </w:p>
              </w:tc>
              <w:tc>
                <w:tcPr>
                  <w:tcW w:w="547" w:type="dxa"/>
                  <w:tcBorders>
                    <w:tl2br w:val="nil"/>
                    <w:tr2bl w:val="nil"/>
                  </w:tcBorders>
                  <w:shd w:val="clear" w:color="auto" w:fill="auto"/>
                  <w:vAlign w:val="center"/>
                </w:tcPr>
                <w:p w14:paraId="7CF6B77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10.3</w:t>
                  </w:r>
                </w:p>
              </w:tc>
              <w:tc>
                <w:tcPr>
                  <w:tcW w:w="694" w:type="dxa"/>
                  <w:tcBorders>
                    <w:tl2br w:val="nil"/>
                    <w:tr2bl w:val="nil"/>
                  </w:tcBorders>
                  <w:shd w:val="clear" w:color="auto" w:fill="auto"/>
                  <w:vAlign w:val="center"/>
                </w:tcPr>
                <w:p w14:paraId="0C323AE3">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77B50A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continue"/>
                  <w:tcBorders>
                    <w:tl2br w:val="nil"/>
                    <w:tr2bl w:val="nil"/>
                  </w:tcBorders>
                  <w:shd w:val="clear" w:color="auto" w:fill="auto"/>
                  <w:vAlign w:val="center"/>
                </w:tcPr>
                <w:p w14:paraId="370A2A42">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028825F5">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09ACB0BA">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甲苯</w:t>
                  </w:r>
                </w:p>
              </w:tc>
              <w:tc>
                <w:tcPr>
                  <w:tcW w:w="735" w:type="dxa"/>
                  <w:tcBorders>
                    <w:tl2br w:val="nil"/>
                    <w:tr2bl w:val="nil"/>
                  </w:tcBorders>
                  <w:shd w:val="clear" w:color="auto" w:fill="auto"/>
                  <w:vAlign w:val="center"/>
                </w:tcPr>
                <w:p w14:paraId="0F1FC410">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1.8</w:t>
                  </w:r>
                </w:p>
              </w:tc>
              <w:tc>
                <w:tcPr>
                  <w:tcW w:w="630" w:type="dxa"/>
                  <w:tcBorders>
                    <w:tl2br w:val="nil"/>
                    <w:tr2bl w:val="nil"/>
                  </w:tcBorders>
                  <w:shd w:val="clear" w:color="auto" w:fill="auto"/>
                  <w:vAlign w:val="center"/>
                </w:tcPr>
                <w:p w14:paraId="6CE79683">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0.036</w:t>
                  </w:r>
                </w:p>
              </w:tc>
              <w:tc>
                <w:tcPr>
                  <w:tcW w:w="720" w:type="dxa"/>
                  <w:tcBorders>
                    <w:tl2br w:val="nil"/>
                    <w:tr2bl w:val="nil"/>
                  </w:tcBorders>
                  <w:shd w:val="clear" w:color="auto" w:fill="auto"/>
                  <w:vAlign w:val="center"/>
                </w:tcPr>
                <w:p w14:paraId="4FFD3803">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0.086</w:t>
                  </w:r>
                </w:p>
              </w:tc>
              <w:tc>
                <w:tcPr>
                  <w:tcW w:w="705" w:type="dxa"/>
                  <w:vMerge w:val="continue"/>
                  <w:tcBorders>
                    <w:tl2br w:val="nil"/>
                    <w:tr2bl w:val="nil"/>
                  </w:tcBorders>
                  <w:shd w:val="clear" w:color="auto" w:fill="auto"/>
                  <w:vAlign w:val="center"/>
                </w:tcPr>
                <w:p w14:paraId="2495064C">
                  <w:pPr>
                    <w:widowControl/>
                    <w:jc w:val="center"/>
                    <w:textAlignment w:val="center"/>
                    <w:rPr>
                      <w:rFonts w:hint="eastAsia" w:cs="Times New Roman"/>
                      <w:b w:val="0"/>
                      <w:bCs w:val="0"/>
                      <w:color w:val="auto"/>
                      <w:kern w:val="0"/>
                      <w:sz w:val="18"/>
                      <w:szCs w:val="18"/>
                      <w:highlight w:val="none"/>
                      <w:lang w:val="en-US" w:eastAsia="zh-CN" w:bidi="ar"/>
                    </w:rPr>
                  </w:pPr>
                </w:p>
              </w:tc>
              <w:tc>
                <w:tcPr>
                  <w:tcW w:w="525" w:type="dxa"/>
                  <w:vMerge w:val="continue"/>
                  <w:tcBorders>
                    <w:tl2br w:val="nil"/>
                    <w:tr2bl w:val="nil"/>
                  </w:tcBorders>
                  <w:shd w:val="clear" w:color="auto" w:fill="auto"/>
                  <w:vAlign w:val="center"/>
                </w:tcPr>
                <w:p w14:paraId="78809AE1">
                  <w:pPr>
                    <w:widowControl/>
                    <w:jc w:val="center"/>
                    <w:textAlignment w:val="center"/>
                    <w:rPr>
                      <w:rFonts w:hint="eastAsia" w:cs="Times New Roman"/>
                      <w:b w:val="0"/>
                      <w:bCs w:val="0"/>
                      <w:color w:val="auto"/>
                      <w:kern w:val="0"/>
                      <w:sz w:val="18"/>
                      <w:szCs w:val="18"/>
                      <w:highlight w:val="none"/>
                      <w:lang w:val="en-US" w:eastAsia="zh-CN" w:bidi="ar"/>
                    </w:rPr>
                  </w:pPr>
                </w:p>
              </w:tc>
              <w:tc>
                <w:tcPr>
                  <w:tcW w:w="555" w:type="dxa"/>
                  <w:vMerge w:val="continue"/>
                  <w:tcBorders>
                    <w:tl2br w:val="nil"/>
                    <w:tr2bl w:val="nil"/>
                  </w:tcBorders>
                  <w:shd w:val="clear" w:color="auto" w:fill="auto"/>
                  <w:vAlign w:val="center"/>
                </w:tcPr>
                <w:p w14:paraId="54B8CFB7">
                  <w:pPr>
                    <w:widowControl/>
                    <w:jc w:val="center"/>
                    <w:textAlignment w:val="center"/>
                    <w:rPr>
                      <w:rFonts w:hint="eastAsia" w:cs="Times New Roman"/>
                      <w:b w:val="0"/>
                      <w:bCs w:val="0"/>
                      <w:color w:val="auto"/>
                      <w:kern w:val="0"/>
                      <w:sz w:val="18"/>
                      <w:szCs w:val="18"/>
                      <w:highlight w:val="none"/>
                      <w:lang w:val="en-US" w:eastAsia="zh-CN" w:bidi="ar"/>
                    </w:rPr>
                  </w:pPr>
                </w:p>
              </w:tc>
              <w:tc>
                <w:tcPr>
                  <w:tcW w:w="615" w:type="dxa"/>
                  <w:vMerge w:val="continue"/>
                  <w:tcBorders>
                    <w:tl2br w:val="nil"/>
                    <w:tr2bl w:val="nil"/>
                  </w:tcBorders>
                  <w:shd w:val="clear" w:color="auto" w:fill="auto"/>
                  <w:vAlign w:val="center"/>
                </w:tcPr>
                <w:p w14:paraId="282BE5AD">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45" w:type="dxa"/>
                  <w:vMerge w:val="continue"/>
                  <w:tcBorders>
                    <w:tl2br w:val="nil"/>
                    <w:tr2bl w:val="nil"/>
                  </w:tcBorders>
                  <w:shd w:val="clear" w:color="auto" w:fill="auto"/>
                  <w:vAlign w:val="center"/>
                </w:tcPr>
                <w:p w14:paraId="15903249">
                  <w:pPr>
                    <w:widowControl/>
                    <w:jc w:val="center"/>
                    <w:textAlignment w:val="center"/>
                    <w:rPr>
                      <w:rFonts w:hint="eastAsia" w:cs="Times New Roman"/>
                      <w:b w:val="0"/>
                      <w:bCs w:val="0"/>
                      <w:color w:val="auto"/>
                      <w:kern w:val="0"/>
                      <w:sz w:val="18"/>
                      <w:szCs w:val="18"/>
                      <w:highlight w:val="none"/>
                      <w:lang w:val="en-US" w:eastAsia="zh-CN" w:bidi="ar"/>
                    </w:rPr>
                  </w:pPr>
                </w:p>
              </w:tc>
              <w:tc>
                <w:tcPr>
                  <w:tcW w:w="735" w:type="dxa"/>
                  <w:tcBorders>
                    <w:tl2br w:val="nil"/>
                    <w:tr2bl w:val="nil"/>
                  </w:tcBorders>
                  <w:shd w:val="clear" w:color="auto" w:fill="auto"/>
                  <w:vAlign w:val="center"/>
                </w:tcPr>
                <w:p w14:paraId="20A25CF5">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0.4</w:t>
                  </w:r>
                </w:p>
              </w:tc>
              <w:tc>
                <w:tcPr>
                  <w:tcW w:w="675" w:type="dxa"/>
                  <w:tcBorders>
                    <w:tl2br w:val="nil"/>
                    <w:tr2bl w:val="nil"/>
                  </w:tcBorders>
                  <w:shd w:val="clear" w:color="auto" w:fill="auto"/>
                  <w:vAlign w:val="center"/>
                </w:tcPr>
                <w:p w14:paraId="2469C0C9">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0.007</w:t>
                  </w:r>
                </w:p>
              </w:tc>
              <w:tc>
                <w:tcPr>
                  <w:tcW w:w="645" w:type="dxa"/>
                  <w:tcBorders>
                    <w:tl2br w:val="nil"/>
                    <w:tr2bl w:val="nil"/>
                  </w:tcBorders>
                  <w:shd w:val="clear" w:color="auto" w:fill="auto"/>
                  <w:vAlign w:val="center"/>
                </w:tcPr>
                <w:p w14:paraId="246B273B">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0.017</w:t>
                  </w:r>
                </w:p>
              </w:tc>
              <w:tc>
                <w:tcPr>
                  <w:tcW w:w="735" w:type="dxa"/>
                  <w:vMerge w:val="continue"/>
                  <w:tcBorders>
                    <w:tl2br w:val="nil"/>
                    <w:tr2bl w:val="nil"/>
                  </w:tcBorders>
                  <w:shd w:val="clear" w:color="auto" w:fill="auto"/>
                  <w:vAlign w:val="center"/>
                </w:tcPr>
                <w:p w14:paraId="4B74223C">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428" w:type="dxa"/>
                  <w:vMerge w:val="continue"/>
                  <w:tcBorders>
                    <w:tl2br w:val="nil"/>
                    <w:tr2bl w:val="nil"/>
                  </w:tcBorders>
                  <w:shd w:val="clear" w:color="auto" w:fill="auto"/>
                  <w:vAlign w:val="center"/>
                </w:tcPr>
                <w:p w14:paraId="5B3798AD">
                  <w:pPr>
                    <w:widowControl/>
                    <w:jc w:val="center"/>
                    <w:textAlignment w:val="center"/>
                    <w:rPr>
                      <w:rFonts w:hint="eastAsia" w:cs="Times New Roman"/>
                      <w:b w:val="0"/>
                      <w:bCs w:val="0"/>
                      <w:color w:val="auto"/>
                      <w:kern w:val="0"/>
                      <w:sz w:val="18"/>
                      <w:szCs w:val="18"/>
                      <w:highlight w:val="none"/>
                      <w:lang w:val="en-US" w:eastAsia="zh-CN" w:bidi="ar"/>
                    </w:rPr>
                  </w:pPr>
                </w:p>
              </w:tc>
              <w:tc>
                <w:tcPr>
                  <w:tcW w:w="471" w:type="dxa"/>
                  <w:vMerge w:val="continue"/>
                  <w:tcBorders>
                    <w:tl2br w:val="nil"/>
                    <w:tr2bl w:val="nil"/>
                  </w:tcBorders>
                  <w:shd w:val="clear" w:color="auto" w:fill="auto"/>
                  <w:vAlign w:val="center"/>
                </w:tcPr>
                <w:p w14:paraId="67385B30">
                  <w:pPr>
                    <w:widowControl/>
                    <w:jc w:val="center"/>
                    <w:textAlignment w:val="center"/>
                    <w:rPr>
                      <w:rFonts w:hint="eastAsia" w:cs="Times New Roman"/>
                      <w:b w:val="0"/>
                      <w:bCs w:val="0"/>
                      <w:color w:val="auto"/>
                      <w:kern w:val="0"/>
                      <w:sz w:val="18"/>
                      <w:szCs w:val="18"/>
                      <w:highlight w:val="none"/>
                      <w:lang w:val="en-US" w:eastAsia="zh-CN" w:bidi="ar"/>
                    </w:rPr>
                  </w:pPr>
                </w:p>
              </w:tc>
              <w:tc>
                <w:tcPr>
                  <w:tcW w:w="439" w:type="dxa"/>
                  <w:vMerge w:val="continue"/>
                  <w:tcBorders>
                    <w:tl2br w:val="nil"/>
                    <w:tr2bl w:val="nil"/>
                  </w:tcBorders>
                  <w:shd w:val="clear" w:color="auto" w:fill="auto"/>
                  <w:vAlign w:val="center"/>
                </w:tcPr>
                <w:p w14:paraId="52EC73F7">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553" w:type="dxa"/>
                  <w:vMerge w:val="continue"/>
                  <w:tcBorders>
                    <w:tl2br w:val="nil"/>
                    <w:tr2bl w:val="nil"/>
                  </w:tcBorders>
                  <w:shd w:val="clear" w:color="auto" w:fill="auto"/>
                  <w:vAlign w:val="center"/>
                </w:tcPr>
                <w:p w14:paraId="4CEEE8B6">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96" w:type="dxa"/>
                  <w:tcBorders>
                    <w:tl2br w:val="nil"/>
                    <w:tr2bl w:val="nil"/>
                  </w:tcBorders>
                  <w:shd w:val="clear" w:color="auto" w:fill="auto"/>
                  <w:vAlign w:val="center"/>
                </w:tcPr>
                <w:p w14:paraId="29C4D38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15</w:t>
                  </w:r>
                </w:p>
              </w:tc>
              <w:tc>
                <w:tcPr>
                  <w:tcW w:w="547" w:type="dxa"/>
                  <w:tcBorders>
                    <w:tl2br w:val="nil"/>
                    <w:tr2bl w:val="nil"/>
                  </w:tcBorders>
                  <w:shd w:val="clear" w:color="auto" w:fill="auto"/>
                  <w:vAlign w:val="center"/>
                </w:tcPr>
                <w:p w14:paraId="5FB0E757">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2.2</w:t>
                  </w:r>
                </w:p>
              </w:tc>
              <w:tc>
                <w:tcPr>
                  <w:tcW w:w="694" w:type="dxa"/>
                  <w:tcBorders>
                    <w:tl2br w:val="nil"/>
                    <w:tr2bl w:val="nil"/>
                  </w:tcBorders>
                  <w:shd w:val="clear" w:color="auto" w:fill="auto"/>
                  <w:vAlign w:val="center"/>
                </w:tcPr>
                <w:p w14:paraId="7C4AA7FC">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24F7F3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continue"/>
                  <w:tcBorders>
                    <w:tl2br w:val="nil"/>
                    <w:tr2bl w:val="nil"/>
                  </w:tcBorders>
                  <w:shd w:val="clear" w:color="auto" w:fill="auto"/>
                  <w:vAlign w:val="center"/>
                </w:tcPr>
                <w:p w14:paraId="0ABC2737">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30E5FE32">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74B9D5A7">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ascii="Times New Roman" w:hAnsi="Times New Roman" w:cs="Times New Roman"/>
                      <w:b w:val="0"/>
                      <w:bCs w:val="0"/>
                      <w:color w:val="auto"/>
                      <w:kern w:val="0"/>
                      <w:sz w:val="18"/>
                      <w:szCs w:val="18"/>
                      <w:highlight w:val="none"/>
                      <w:lang w:val="en-US" w:eastAsia="zh-CN" w:bidi="ar"/>
                    </w:rPr>
                    <w:t>苯系物</w:t>
                  </w:r>
                </w:p>
              </w:tc>
              <w:tc>
                <w:tcPr>
                  <w:tcW w:w="735" w:type="dxa"/>
                  <w:tcBorders>
                    <w:tl2br w:val="nil"/>
                    <w:tr2bl w:val="nil"/>
                  </w:tcBorders>
                  <w:shd w:val="clear" w:color="auto" w:fill="auto"/>
                  <w:vAlign w:val="center"/>
                </w:tcPr>
                <w:p w14:paraId="00D4FED0">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1.9</w:t>
                  </w:r>
                </w:p>
              </w:tc>
              <w:tc>
                <w:tcPr>
                  <w:tcW w:w="630" w:type="dxa"/>
                  <w:tcBorders>
                    <w:tl2br w:val="nil"/>
                    <w:tr2bl w:val="nil"/>
                  </w:tcBorders>
                  <w:shd w:val="clear" w:color="auto" w:fill="auto"/>
                  <w:vAlign w:val="center"/>
                </w:tcPr>
                <w:p w14:paraId="5DE8F2B8">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0.037</w:t>
                  </w:r>
                </w:p>
              </w:tc>
              <w:tc>
                <w:tcPr>
                  <w:tcW w:w="720" w:type="dxa"/>
                  <w:tcBorders>
                    <w:tl2br w:val="nil"/>
                    <w:tr2bl w:val="nil"/>
                  </w:tcBorders>
                  <w:shd w:val="clear" w:color="auto" w:fill="auto"/>
                  <w:vAlign w:val="center"/>
                </w:tcPr>
                <w:p w14:paraId="7F156FCD">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0.088</w:t>
                  </w:r>
                </w:p>
              </w:tc>
              <w:tc>
                <w:tcPr>
                  <w:tcW w:w="705" w:type="dxa"/>
                  <w:vMerge w:val="continue"/>
                  <w:tcBorders>
                    <w:tl2br w:val="nil"/>
                    <w:tr2bl w:val="nil"/>
                  </w:tcBorders>
                  <w:shd w:val="clear" w:color="auto" w:fill="auto"/>
                  <w:vAlign w:val="center"/>
                </w:tcPr>
                <w:p w14:paraId="18BAE68E">
                  <w:pPr>
                    <w:widowControl/>
                    <w:jc w:val="center"/>
                    <w:textAlignment w:val="center"/>
                    <w:rPr>
                      <w:rFonts w:hint="eastAsia" w:cs="Times New Roman"/>
                      <w:b w:val="0"/>
                      <w:bCs w:val="0"/>
                      <w:color w:val="auto"/>
                      <w:kern w:val="0"/>
                      <w:sz w:val="18"/>
                      <w:szCs w:val="18"/>
                      <w:highlight w:val="none"/>
                      <w:lang w:val="en-US" w:eastAsia="zh-CN" w:bidi="ar"/>
                    </w:rPr>
                  </w:pPr>
                </w:p>
              </w:tc>
              <w:tc>
                <w:tcPr>
                  <w:tcW w:w="525" w:type="dxa"/>
                  <w:vMerge w:val="continue"/>
                  <w:tcBorders>
                    <w:tl2br w:val="nil"/>
                    <w:tr2bl w:val="nil"/>
                  </w:tcBorders>
                  <w:shd w:val="clear" w:color="auto" w:fill="auto"/>
                  <w:vAlign w:val="center"/>
                </w:tcPr>
                <w:p w14:paraId="0F0A3811">
                  <w:pPr>
                    <w:widowControl/>
                    <w:jc w:val="center"/>
                    <w:textAlignment w:val="center"/>
                    <w:rPr>
                      <w:rFonts w:hint="eastAsia" w:cs="Times New Roman"/>
                      <w:b w:val="0"/>
                      <w:bCs w:val="0"/>
                      <w:color w:val="auto"/>
                      <w:kern w:val="0"/>
                      <w:sz w:val="18"/>
                      <w:szCs w:val="18"/>
                      <w:highlight w:val="none"/>
                      <w:lang w:val="en-US" w:eastAsia="zh-CN" w:bidi="ar"/>
                    </w:rPr>
                  </w:pPr>
                </w:p>
              </w:tc>
              <w:tc>
                <w:tcPr>
                  <w:tcW w:w="555" w:type="dxa"/>
                  <w:vMerge w:val="continue"/>
                  <w:tcBorders>
                    <w:tl2br w:val="nil"/>
                    <w:tr2bl w:val="nil"/>
                  </w:tcBorders>
                  <w:shd w:val="clear" w:color="auto" w:fill="auto"/>
                  <w:vAlign w:val="center"/>
                </w:tcPr>
                <w:p w14:paraId="35718EA0">
                  <w:pPr>
                    <w:widowControl/>
                    <w:jc w:val="center"/>
                    <w:textAlignment w:val="center"/>
                    <w:rPr>
                      <w:rFonts w:hint="eastAsia" w:cs="Times New Roman"/>
                      <w:b w:val="0"/>
                      <w:bCs w:val="0"/>
                      <w:color w:val="auto"/>
                      <w:kern w:val="0"/>
                      <w:sz w:val="18"/>
                      <w:szCs w:val="18"/>
                      <w:highlight w:val="none"/>
                      <w:lang w:val="en-US" w:eastAsia="zh-CN" w:bidi="ar"/>
                    </w:rPr>
                  </w:pPr>
                </w:p>
              </w:tc>
              <w:tc>
                <w:tcPr>
                  <w:tcW w:w="615" w:type="dxa"/>
                  <w:vMerge w:val="continue"/>
                  <w:tcBorders>
                    <w:tl2br w:val="nil"/>
                    <w:tr2bl w:val="nil"/>
                  </w:tcBorders>
                  <w:shd w:val="clear" w:color="auto" w:fill="auto"/>
                  <w:vAlign w:val="center"/>
                </w:tcPr>
                <w:p w14:paraId="7715D065">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45" w:type="dxa"/>
                  <w:vMerge w:val="continue"/>
                  <w:tcBorders>
                    <w:tl2br w:val="nil"/>
                    <w:tr2bl w:val="nil"/>
                  </w:tcBorders>
                  <w:shd w:val="clear" w:color="auto" w:fill="auto"/>
                  <w:vAlign w:val="center"/>
                </w:tcPr>
                <w:p w14:paraId="04540C72">
                  <w:pPr>
                    <w:widowControl/>
                    <w:jc w:val="center"/>
                    <w:textAlignment w:val="center"/>
                    <w:rPr>
                      <w:rFonts w:hint="eastAsia" w:cs="Times New Roman"/>
                      <w:b w:val="0"/>
                      <w:bCs w:val="0"/>
                      <w:color w:val="auto"/>
                      <w:kern w:val="0"/>
                      <w:sz w:val="18"/>
                      <w:szCs w:val="18"/>
                      <w:highlight w:val="none"/>
                      <w:lang w:val="en-US" w:eastAsia="zh-CN" w:bidi="ar"/>
                    </w:rPr>
                  </w:pPr>
                </w:p>
              </w:tc>
              <w:tc>
                <w:tcPr>
                  <w:tcW w:w="735" w:type="dxa"/>
                  <w:tcBorders>
                    <w:tl2br w:val="nil"/>
                    <w:tr2bl w:val="nil"/>
                  </w:tcBorders>
                  <w:shd w:val="clear" w:color="auto" w:fill="auto"/>
                  <w:vAlign w:val="center"/>
                </w:tcPr>
                <w:p w14:paraId="050069D9">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0.4</w:t>
                  </w:r>
                </w:p>
              </w:tc>
              <w:tc>
                <w:tcPr>
                  <w:tcW w:w="675" w:type="dxa"/>
                  <w:tcBorders>
                    <w:tl2br w:val="nil"/>
                    <w:tr2bl w:val="nil"/>
                  </w:tcBorders>
                  <w:shd w:val="clear" w:color="auto" w:fill="auto"/>
                  <w:vAlign w:val="center"/>
                </w:tcPr>
                <w:p w14:paraId="410813EF">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0.008</w:t>
                  </w:r>
                </w:p>
              </w:tc>
              <w:tc>
                <w:tcPr>
                  <w:tcW w:w="645" w:type="dxa"/>
                  <w:tcBorders>
                    <w:tl2br w:val="nil"/>
                    <w:tr2bl w:val="nil"/>
                  </w:tcBorders>
                  <w:shd w:val="clear" w:color="auto" w:fill="auto"/>
                  <w:vAlign w:val="center"/>
                </w:tcPr>
                <w:p w14:paraId="56FC4685">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0.018</w:t>
                  </w:r>
                </w:p>
              </w:tc>
              <w:tc>
                <w:tcPr>
                  <w:tcW w:w="735" w:type="dxa"/>
                  <w:vMerge w:val="continue"/>
                  <w:tcBorders>
                    <w:tl2br w:val="nil"/>
                    <w:tr2bl w:val="nil"/>
                  </w:tcBorders>
                  <w:shd w:val="clear" w:color="auto" w:fill="auto"/>
                  <w:vAlign w:val="center"/>
                </w:tcPr>
                <w:p w14:paraId="2A9D0074">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428" w:type="dxa"/>
                  <w:vMerge w:val="continue"/>
                  <w:tcBorders>
                    <w:tl2br w:val="nil"/>
                    <w:tr2bl w:val="nil"/>
                  </w:tcBorders>
                  <w:shd w:val="clear" w:color="auto" w:fill="auto"/>
                  <w:vAlign w:val="center"/>
                </w:tcPr>
                <w:p w14:paraId="075B4276">
                  <w:pPr>
                    <w:widowControl/>
                    <w:jc w:val="center"/>
                    <w:textAlignment w:val="center"/>
                    <w:rPr>
                      <w:rFonts w:hint="eastAsia" w:cs="Times New Roman"/>
                      <w:b w:val="0"/>
                      <w:bCs w:val="0"/>
                      <w:color w:val="auto"/>
                      <w:kern w:val="0"/>
                      <w:sz w:val="18"/>
                      <w:szCs w:val="18"/>
                      <w:highlight w:val="none"/>
                      <w:lang w:val="en-US" w:eastAsia="zh-CN" w:bidi="ar"/>
                    </w:rPr>
                  </w:pPr>
                </w:p>
              </w:tc>
              <w:tc>
                <w:tcPr>
                  <w:tcW w:w="471" w:type="dxa"/>
                  <w:vMerge w:val="continue"/>
                  <w:tcBorders>
                    <w:tl2br w:val="nil"/>
                    <w:tr2bl w:val="nil"/>
                  </w:tcBorders>
                  <w:shd w:val="clear" w:color="auto" w:fill="auto"/>
                  <w:vAlign w:val="center"/>
                </w:tcPr>
                <w:p w14:paraId="0612D195">
                  <w:pPr>
                    <w:widowControl/>
                    <w:jc w:val="center"/>
                    <w:textAlignment w:val="center"/>
                    <w:rPr>
                      <w:rFonts w:hint="eastAsia" w:cs="Times New Roman"/>
                      <w:b w:val="0"/>
                      <w:bCs w:val="0"/>
                      <w:color w:val="auto"/>
                      <w:kern w:val="0"/>
                      <w:sz w:val="18"/>
                      <w:szCs w:val="18"/>
                      <w:highlight w:val="none"/>
                      <w:lang w:val="en-US" w:eastAsia="zh-CN" w:bidi="ar"/>
                    </w:rPr>
                  </w:pPr>
                </w:p>
              </w:tc>
              <w:tc>
                <w:tcPr>
                  <w:tcW w:w="439" w:type="dxa"/>
                  <w:vMerge w:val="continue"/>
                  <w:tcBorders>
                    <w:tl2br w:val="nil"/>
                    <w:tr2bl w:val="nil"/>
                  </w:tcBorders>
                  <w:shd w:val="clear" w:color="auto" w:fill="auto"/>
                  <w:vAlign w:val="center"/>
                </w:tcPr>
                <w:p w14:paraId="19E4DE4F">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553" w:type="dxa"/>
                  <w:vMerge w:val="continue"/>
                  <w:tcBorders>
                    <w:tl2br w:val="nil"/>
                    <w:tr2bl w:val="nil"/>
                  </w:tcBorders>
                  <w:shd w:val="clear" w:color="auto" w:fill="auto"/>
                  <w:vAlign w:val="center"/>
                </w:tcPr>
                <w:p w14:paraId="49E9A425">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96" w:type="dxa"/>
                  <w:tcBorders>
                    <w:tl2br w:val="nil"/>
                    <w:tr2bl w:val="nil"/>
                  </w:tcBorders>
                  <w:shd w:val="clear" w:color="auto" w:fill="auto"/>
                  <w:vAlign w:val="center"/>
                </w:tcPr>
                <w:p w14:paraId="028D43D1">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30</w:t>
                  </w:r>
                </w:p>
              </w:tc>
              <w:tc>
                <w:tcPr>
                  <w:tcW w:w="547" w:type="dxa"/>
                  <w:tcBorders>
                    <w:tl2br w:val="nil"/>
                    <w:tr2bl w:val="nil"/>
                  </w:tcBorders>
                  <w:shd w:val="clear" w:color="auto" w:fill="auto"/>
                  <w:vAlign w:val="center"/>
                </w:tcPr>
                <w:p w14:paraId="0152B988">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6.6</w:t>
                  </w:r>
                </w:p>
              </w:tc>
              <w:tc>
                <w:tcPr>
                  <w:tcW w:w="694" w:type="dxa"/>
                  <w:tcBorders>
                    <w:tl2br w:val="nil"/>
                    <w:tr2bl w:val="nil"/>
                  </w:tcBorders>
                  <w:shd w:val="clear" w:color="auto" w:fill="auto"/>
                  <w:vAlign w:val="center"/>
                </w:tcPr>
                <w:p w14:paraId="5446A22C">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7141B3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576" w:type="dxa"/>
                  <w:vMerge w:val="continue"/>
                  <w:tcBorders>
                    <w:tl2br w:val="nil"/>
                    <w:tr2bl w:val="nil"/>
                  </w:tcBorders>
                  <w:shd w:val="clear" w:color="auto" w:fill="auto"/>
                  <w:vAlign w:val="center"/>
                </w:tcPr>
                <w:p w14:paraId="1D348B15">
                  <w:pPr>
                    <w:widowControl/>
                    <w:jc w:val="center"/>
                    <w:textAlignment w:val="center"/>
                    <w:rPr>
                      <w:rFonts w:hint="eastAsia" w:cs="Times New Roman"/>
                      <w:b w:val="0"/>
                      <w:bCs w:val="0"/>
                      <w:color w:val="auto"/>
                      <w:kern w:val="0"/>
                      <w:sz w:val="18"/>
                      <w:szCs w:val="18"/>
                      <w:highlight w:val="none"/>
                      <w:lang w:val="en-US" w:eastAsia="zh-CN" w:bidi="ar"/>
                    </w:rPr>
                  </w:pPr>
                </w:p>
              </w:tc>
              <w:tc>
                <w:tcPr>
                  <w:tcW w:w="453" w:type="dxa"/>
                  <w:vMerge w:val="continue"/>
                  <w:tcBorders>
                    <w:tl2br w:val="nil"/>
                    <w:tr2bl w:val="nil"/>
                  </w:tcBorders>
                  <w:shd w:val="clear" w:color="auto" w:fill="auto"/>
                  <w:vAlign w:val="center"/>
                </w:tcPr>
                <w:p w14:paraId="42413D39">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0D630CAC">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氯化氢</w:t>
                  </w:r>
                </w:p>
              </w:tc>
              <w:tc>
                <w:tcPr>
                  <w:tcW w:w="735" w:type="dxa"/>
                  <w:tcBorders>
                    <w:tl2br w:val="nil"/>
                    <w:tr2bl w:val="nil"/>
                  </w:tcBorders>
                  <w:shd w:val="clear" w:color="auto" w:fill="auto"/>
                  <w:vAlign w:val="center"/>
                </w:tcPr>
                <w:p w14:paraId="52F72883">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0.55</w:t>
                  </w:r>
                </w:p>
              </w:tc>
              <w:tc>
                <w:tcPr>
                  <w:tcW w:w="630" w:type="dxa"/>
                  <w:tcBorders>
                    <w:tl2br w:val="nil"/>
                    <w:tr2bl w:val="nil"/>
                  </w:tcBorders>
                  <w:shd w:val="clear" w:color="auto" w:fill="auto"/>
                  <w:vAlign w:val="center"/>
                </w:tcPr>
                <w:p w14:paraId="5556C957">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720" w:type="dxa"/>
                  <w:tcBorders>
                    <w:tl2br w:val="nil"/>
                    <w:tr2bl w:val="nil"/>
                  </w:tcBorders>
                  <w:shd w:val="clear" w:color="auto" w:fill="auto"/>
                  <w:vAlign w:val="center"/>
                </w:tcPr>
                <w:p w14:paraId="4E90A661">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0.027</w:t>
                  </w:r>
                </w:p>
              </w:tc>
              <w:tc>
                <w:tcPr>
                  <w:tcW w:w="705" w:type="dxa"/>
                  <w:vMerge w:val="continue"/>
                  <w:tcBorders>
                    <w:tl2br w:val="nil"/>
                    <w:tr2bl w:val="nil"/>
                  </w:tcBorders>
                  <w:shd w:val="clear" w:color="auto" w:fill="auto"/>
                  <w:vAlign w:val="center"/>
                </w:tcPr>
                <w:p w14:paraId="32986888">
                  <w:pPr>
                    <w:widowControl/>
                    <w:jc w:val="center"/>
                    <w:textAlignment w:val="center"/>
                    <w:rPr>
                      <w:rFonts w:hint="eastAsia" w:cs="Times New Roman"/>
                      <w:b w:val="0"/>
                      <w:bCs w:val="0"/>
                      <w:color w:val="auto"/>
                      <w:kern w:val="0"/>
                      <w:sz w:val="18"/>
                      <w:szCs w:val="18"/>
                      <w:highlight w:val="none"/>
                      <w:lang w:val="en-US" w:eastAsia="zh-CN" w:bidi="ar"/>
                    </w:rPr>
                  </w:pPr>
                </w:p>
              </w:tc>
              <w:tc>
                <w:tcPr>
                  <w:tcW w:w="525" w:type="dxa"/>
                  <w:vMerge w:val="continue"/>
                  <w:tcBorders>
                    <w:tl2br w:val="nil"/>
                    <w:tr2bl w:val="nil"/>
                  </w:tcBorders>
                  <w:shd w:val="clear" w:color="auto" w:fill="auto"/>
                  <w:vAlign w:val="center"/>
                </w:tcPr>
                <w:p w14:paraId="526FE011">
                  <w:pPr>
                    <w:widowControl/>
                    <w:jc w:val="center"/>
                    <w:textAlignment w:val="center"/>
                    <w:rPr>
                      <w:rFonts w:hint="eastAsia" w:cs="Times New Roman"/>
                      <w:b w:val="0"/>
                      <w:bCs w:val="0"/>
                      <w:color w:val="auto"/>
                      <w:kern w:val="0"/>
                      <w:sz w:val="18"/>
                      <w:szCs w:val="18"/>
                      <w:highlight w:val="none"/>
                      <w:lang w:val="en-US" w:eastAsia="zh-CN" w:bidi="ar"/>
                    </w:rPr>
                  </w:pPr>
                </w:p>
              </w:tc>
              <w:tc>
                <w:tcPr>
                  <w:tcW w:w="555" w:type="dxa"/>
                  <w:tcBorders>
                    <w:tl2br w:val="nil"/>
                    <w:tr2bl w:val="nil"/>
                  </w:tcBorders>
                  <w:shd w:val="clear" w:color="auto" w:fill="auto"/>
                  <w:vAlign w:val="center"/>
                </w:tcPr>
                <w:p w14:paraId="18F5C313">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15" w:type="dxa"/>
                  <w:tcBorders>
                    <w:tl2br w:val="nil"/>
                    <w:tr2bl w:val="nil"/>
                  </w:tcBorders>
                  <w:shd w:val="clear" w:color="auto" w:fill="auto"/>
                  <w:vAlign w:val="center"/>
                </w:tcPr>
                <w:p w14:paraId="06502435">
                  <w:pPr>
                    <w:widowControl/>
                    <w:jc w:val="center"/>
                    <w:textAlignment w:val="center"/>
                    <w:rPr>
                      <w:rFonts w:hint="eastAsia" w:ascii="Times New Roman" w:hAnsi="Times New Roman" w:eastAsia="宋体"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45" w:type="dxa"/>
                  <w:vMerge w:val="continue"/>
                  <w:tcBorders>
                    <w:tl2br w:val="nil"/>
                    <w:tr2bl w:val="nil"/>
                  </w:tcBorders>
                  <w:shd w:val="clear" w:color="auto" w:fill="auto"/>
                  <w:vAlign w:val="center"/>
                </w:tcPr>
                <w:p w14:paraId="64B719B1">
                  <w:pPr>
                    <w:widowControl/>
                    <w:jc w:val="center"/>
                    <w:textAlignment w:val="center"/>
                    <w:rPr>
                      <w:rFonts w:hint="eastAsia" w:cs="Times New Roman"/>
                      <w:b w:val="0"/>
                      <w:bCs w:val="0"/>
                      <w:color w:val="auto"/>
                      <w:kern w:val="0"/>
                      <w:sz w:val="18"/>
                      <w:szCs w:val="18"/>
                      <w:highlight w:val="none"/>
                      <w:lang w:val="en-US" w:eastAsia="zh-CN" w:bidi="ar"/>
                    </w:rPr>
                  </w:pPr>
                </w:p>
              </w:tc>
              <w:tc>
                <w:tcPr>
                  <w:tcW w:w="735" w:type="dxa"/>
                  <w:tcBorders>
                    <w:tl2br w:val="nil"/>
                    <w:tr2bl w:val="nil"/>
                  </w:tcBorders>
                  <w:shd w:val="clear" w:color="auto" w:fill="auto"/>
                  <w:vAlign w:val="center"/>
                </w:tcPr>
                <w:p w14:paraId="4871828A">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0.55</w:t>
                  </w:r>
                </w:p>
              </w:tc>
              <w:tc>
                <w:tcPr>
                  <w:tcW w:w="675" w:type="dxa"/>
                  <w:tcBorders>
                    <w:tl2br w:val="nil"/>
                    <w:tr2bl w:val="nil"/>
                  </w:tcBorders>
                  <w:shd w:val="clear" w:color="auto" w:fill="auto"/>
                  <w:vAlign w:val="center"/>
                </w:tcPr>
                <w:p w14:paraId="1F3B985C">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645" w:type="dxa"/>
                  <w:tcBorders>
                    <w:tl2br w:val="nil"/>
                    <w:tr2bl w:val="nil"/>
                  </w:tcBorders>
                  <w:shd w:val="clear" w:color="auto" w:fill="auto"/>
                  <w:vAlign w:val="center"/>
                </w:tcPr>
                <w:p w14:paraId="0909D9E9">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0.027</w:t>
                  </w:r>
                </w:p>
              </w:tc>
              <w:tc>
                <w:tcPr>
                  <w:tcW w:w="735" w:type="dxa"/>
                  <w:vMerge w:val="continue"/>
                  <w:tcBorders>
                    <w:tl2br w:val="nil"/>
                    <w:tr2bl w:val="nil"/>
                  </w:tcBorders>
                  <w:shd w:val="clear" w:color="auto" w:fill="auto"/>
                  <w:vAlign w:val="center"/>
                </w:tcPr>
                <w:p w14:paraId="1CD0DC92">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428" w:type="dxa"/>
                  <w:vMerge w:val="continue"/>
                  <w:tcBorders>
                    <w:tl2br w:val="nil"/>
                    <w:tr2bl w:val="nil"/>
                  </w:tcBorders>
                  <w:shd w:val="clear" w:color="auto" w:fill="auto"/>
                  <w:vAlign w:val="center"/>
                </w:tcPr>
                <w:p w14:paraId="46CB8F1C">
                  <w:pPr>
                    <w:widowControl/>
                    <w:jc w:val="center"/>
                    <w:textAlignment w:val="center"/>
                    <w:rPr>
                      <w:rFonts w:hint="eastAsia" w:cs="Times New Roman"/>
                      <w:b w:val="0"/>
                      <w:bCs w:val="0"/>
                      <w:color w:val="auto"/>
                      <w:kern w:val="0"/>
                      <w:sz w:val="18"/>
                      <w:szCs w:val="18"/>
                      <w:highlight w:val="none"/>
                      <w:lang w:val="en-US" w:eastAsia="zh-CN" w:bidi="ar"/>
                    </w:rPr>
                  </w:pPr>
                </w:p>
              </w:tc>
              <w:tc>
                <w:tcPr>
                  <w:tcW w:w="471" w:type="dxa"/>
                  <w:vMerge w:val="continue"/>
                  <w:tcBorders>
                    <w:tl2br w:val="nil"/>
                    <w:tr2bl w:val="nil"/>
                  </w:tcBorders>
                  <w:shd w:val="clear" w:color="auto" w:fill="auto"/>
                  <w:vAlign w:val="center"/>
                </w:tcPr>
                <w:p w14:paraId="084F9C46">
                  <w:pPr>
                    <w:widowControl/>
                    <w:jc w:val="center"/>
                    <w:textAlignment w:val="center"/>
                    <w:rPr>
                      <w:rFonts w:hint="eastAsia" w:cs="Times New Roman"/>
                      <w:b w:val="0"/>
                      <w:bCs w:val="0"/>
                      <w:color w:val="auto"/>
                      <w:kern w:val="0"/>
                      <w:sz w:val="18"/>
                      <w:szCs w:val="18"/>
                      <w:highlight w:val="none"/>
                      <w:lang w:val="en-US" w:eastAsia="zh-CN" w:bidi="ar"/>
                    </w:rPr>
                  </w:pPr>
                </w:p>
              </w:tc>
              <w:tc>
                <w:tcPr>
                  <w:tcW w:w="439" w:type="dxa"/>
                  <w:vMerge w:val="continue"/>
                  <w:tcBorders>
                    <w:tl2br w:val="nil"/>
                    <w:tr2bl w:val="nil"/>
                  </w:tcBorders>
                  <w:shd w:val="clear" w:color="auto" w:fill="auto"/>
                  <w:vAlign w:val="center"/>
                </w:tcPr>
                <w:p w14:paraId="56E4AA47">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553" w:type="dxa"/>
                  <w:vMerge w:val="continue"/>
                  <w:tcBorders>
                    <w:tl2br w:val="nil"/>
                    <w:tr2bl w:val="nil"/>
                  </w:tcBorders>
                  <w:shd w:val="clear" w:color="auto" w:fill="auto"/>
                  <w:vAlign w:val="center"/>
                </w:tcPr>
                <w:p w14:paraId="10B0B993">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96" w:type="dxa"/>
                  <w:tcBorders>
                    <w:tl2br w:val="nil"/>
                    <w:tr2bl w:val="nil"/>
                  </w:tcBorders>
                  <w:shd w:val="clear" w:color="auto" w:fill="auto"/>
                  <w:vAlign w:val="center"/>
                </w:tcPr>
                <w:p w14:paraId="5FE5F167">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20</w:t>
                  </w:r>
                </w:p>
              </w:tc>
              <w:tc>
                <w:tcPr>
                  <w:tcW w:w="547" w:type="dxa"/>
                  <w:tcBorders>
                    <w:tl2br w:val="nil"/>
                    <w:tr2bl w:val="nil"/>
                  </w:tcBorders>
                  <w:shd w:val="clear" w:color="auto" w:fill="auto"/>
                  <w:vAlign w:val="center"/>
                </w:tcPr>
                <w:p w14:paraId="387FF854">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w:t>
                  </w:r>
                </w:p>
              </w:tc>
              <w:tc>
                <w:tcPr>
                  <w:tcW w:w="694" w:type="dxa"/>
                  <w:tcBorders>
                    <w:tl2br w:val="nil"/>
                    <w:tr2bl w:val="nil"/>
                  </w:tcBorders>
                  <w:shd w:val="clear" w:color="auto" w:fill="auto"/>
                  <w:vAlign w:val="center"/>
                </w:tcPr>
                <w:p w14:paraId="46E0788E">
                  <w:pPr>
                    <w:widowControl/>
                    <w:jc w:val="center"/>
                    <w:textAlignment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26E847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576" w:type="dxa"/>
                  <w:vMerge w:val="restart"/>
                  <w:tcBorders>
                    <w:tl2br w:val="nil"/>
                    <w:tr2bl w:val="nil"/>
                  </w:tcBorders>
                  <w:shd w:val="clear" w:color="auto" w:fill="auto"/>
                  <w:vAlign w:val="center"/>
                </w:tcPr>
                <w:p w14:paraId="1A509767">
                  <w:pPr>
                    <w:widowControl/>
                    <w:jc w:val="center"/>
                    <w:textAlignment w:val="center"/>
                    <w:rPr>
                      <w:rFonts w:hint="default" w:ascii="Times New Roman" w:hAnsi="Times New Roman" w:cs="Times New Roman"/>
                      <w:b w:val="0"/>
                      <w:bCs w:val="0"/>
                      <w:color w:val="auto"/>
                      <w:sz w:val="18"/>
                      <w:szCs w:val="18"/>
                      <w:highlight w:val="none"/>
                    </w:rPr>
                  </w:pPr>
                  <w:r>
                    <w:rPr>
                      <w:rFonts w:hint="eastAsia" w:cs="Times New Roman"/>
                      <w:b w:val="0"/>
                      <w:bCs w:val="0"/>
                      <w:color w:val="auto"/>
                      <w:kern w:val="0"/>
                      <w:sz w:val="18"/>
                      <w:szCs w:val="18"/>
                      <w:highlight w:val="none"/>
                      <w:lang w:val="en-US" w:eastAsia="zh-CN" w:bidi="ar"/>
                    </w:rPr>
                    <w:t>车间</w:t>
                  </w:r>
                </w:p>
              </w:tc>
              <w:tc>
                <w:tcPr>
                  <w:tcW w:w="453" w:type="dxa"/>
                  <w:tcBorders>
                    <w:tl2br w:val="nil"/>
                    <w:tr2bl w:val="nil"/>
                  </w:tcBorders>
                  <w:shd w:val="clear" w:color="auto" w:fill="auto"/>
                  <w:vAlign w:val="center"/>
                </w:tcPr>
                <w:p w14:paraId="67897F7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无组织</w:t>
                  </w:r>
                </w:p>
              </w:tc>
              <w:tc>
                <w:tcPr>
                  <w:tcW w:w="615" w:type="dxa"/>
                  <w:tcBorders>
                    <w:tl2br w:val="nil"/>
                    <w:tr2bl w:val="nil"/>
                  </w:tcBorders>
                  <w:shd w:val="clear" w:color="auto" w:fill="auto"/>
                  <w:vAlign w:val="center"/>
                </w:tcPr>
                <w:p w14:paraId="7A70326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颗粒物</w:t>
                  </w:r>
                </w:p>
              </w:tc>
              <w:tc>
                <w:tcPr>
                  <w:tcW w:w="735" w:type="dxa"/>
                  <w:tcBorders>
                    <w:tl2br w:val="nil"/>
                    <w:tr2bl w:val="nil"/>
                  </w:tcBorders>
                  <w:shd w:val="clear" w:color="auto" w:fill="auto"/>
                  <w:vAlign w:val="center"/>
                </w:tcPr>
                <w:p w14:paraId="03753E7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52E3CBF7">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0.003</w:t>
                  </w:r>
                </w:p>
              </w:tc>
              <w:tc>
                <w:tcPr>
                  <w:tcW w:w="720" w:type="dxa"/>
                  <w:tcBorders>
                    <w:tl2br w:val="nil"/>
                    <w:tr2bl w:val="nil"/>
                  </w:tcBorders>
                  <w:shd w:val="clear" w:color="auto" w:fill="auto"/>
                  <w:vAlign w:val="center"/>
                </w:tcPr>
                <w:p w14:paraId="2CC550AB">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0.008</w:t>
                  </w:r>
                </w:p>
              </w:tc>
              <w:tc>
                <w:tcPr>
                  <w:tcW w:w="705" w:type="dxa"/>
                  <w:tcBorders>
                    <w:tl2br w:val="nil"/>
                    <w:tr2bl w:val="nil"/>
                  </w:tcBorders>
                  <w:shd w:val="clear" w:color="auto" w:fill="auto"/>
                  <w:vAlign w:val="center"/>
                </w:tcPr>
                <w:p w14:paraId="437C56A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472EFFC2">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80</w:t>
                  </w:r>
                </w:p>
              </w:tc>
              <w:tc>
                <w:tcPr>
                  <w:tcW w:w="555" w:type="dxa"/>
                  <w:tcBorders>
                    <w:tl2br w:val="nil"/>
                    <w:tr2bl w:val="nil"/>
                  </w:tcBorders>
                  <w:shd w:val="clear" w:color="auto" w:fill="auto"/>
                  <w:vAlign w:val="center"/>
                </w:tcPr>
                <w:p w14:paraId="4A691063">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95</w:t>
                  </w:r>
                </w:p>
              </w:tc>
              <w:tc>
                <w:tcPr>
                  <w:tcW w:w="615" w:type="dxa"/>
                  <w:tcBorders>
                    <w:tl2br w:val="nil"/>
                    <w:tr2bl w:val="nil"/>
                  </w:tcBorders>
                  <w:shd w:val="clear" w:color="auto" w:fill="auto"/>
                  <w:vAlign w:val="center"/>
                </w:tcPr>
                <w:p w14:paraId="3441200F">
                  <w:pPr>
                    <w:widowControl/>
                    <w:jc w:val="center"/>
                    <w:textAlignment w:val="center"/>
                    <w:rPr>
                      <w:rFonts w:hint="eastAsia" w:ascii="Times New Roman" w:hAnsi="Times New Roman" w:eastAsia="宋体" w:cs="Times New Roman"/>
                      <w:b w:val="0"/>
                      <w:bCs w:val="0"/>
                      <w:color w:val="auto"/>
                      <w:sz w:val="18"/>
                      <w:szCs w:val="18"/>
                      <w:highlight w:val="none"/>
                      <w:lang w:eastAsia="zh-CN"/>
                    </w:rPr>
                  </w:pPr>
                  <w:r>
                    <w:rPr>
                      <w:rFonts w:hint="eastAsia" w:cs="Times New Roman"/>
                      <w:b w:val="0"/>
                      <w:bCs w:val="0"/>
                      <w:color w:val="auto"/>
                      <w:kern w:val="0"/>
                      <w:sz w:val="18"/>
                      <w:szCs w:val="18"/>
                      <w:highlight w:val="none"/>
                      <w:lang w:eastAsia="zh-CN" w:bidi="ar"/>
                    </w:rPr>
                    <w:t>是</w:t>
                  </w:r>
                </w:p>
              </w:tc>
              <w:tc>
                <w:tcPr>
                  <w:tcW w:w="645" w:type="dxa"/>
                  <w:tcBorders>
                    <w:tl2br w:val="nil"/>
                    <w:tr2bl w:val="nil"/>
                  </w:tcBorders>
                  <w:shd w:val="clear" w:color="auto" w:fill="auto"/>
                  <w:vAlign w:val="center"/>
                </w:tcPr>
                <w:p w14:paraId="0B4846EF">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袋式除尘/移动式焊接烟尘收集器</w:t>
                  </w:r>
                </w:p>
              </w:tc>
              <w:tc>
                <w:tcPr>
                  <w:tcW w:w="735" w:type="dxa"/>
                  <w:tcBorders>
                    <w:tl2br w:val="nil"/>
                    <w:tr2bl w:val="nil"/>
                  </w:tcBorders>
                  <w:shd w:val="clear" w:color="auto" w:fill="auto"/>
                  <w:vAlign w:val="center"/>
                </w:tcPr>
                <w:p w14:paraId="681D481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3CD295E6">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1</w:t>
                  </w:r>
                </w:p>
              </w:tc>
              <w:tc>
                <w:tcPr>
                  <w:tcW w:w="645" w:type="dxa"/>
                  <w:tcBorders>
                    <w:tl2br w:val="nil"/>
                    <w:tr2bl w:val="nil"/>
                  </w:tcBorders>
                  <w:shd w:val="clear" w:color="auto" w:fill="auto"/>
                  <w:vAlign w:val="center"/>
                </w:tcPr>
                <w:p w14:paraId="5B2D97AA">
                  <w:pPr>
                    <w:widowControl/>
                    <w:jc w:val="center"/>
                    <w:textAlignment w:val="center"/>
                    <w:rPr>
                      <w:rFonts w:hint="default" w:ascii="Times New Roman" w:hAnsi="Times New Roman"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0.00</w:t>
                  </w:r>
                  <w:r>
                    <w:rPr>
                      <w:rFonts w:hint="eastAsia" w:cs="Times New Roman"/>
                      <w:b w:val="0"/>
                      <w:bCs w:val="0"/>
                      <w:color w:val="auto"/>
                      <w:sz w:val="18"/>
                      <w:szCs w:val="18"/>
                      <w:highlight w:val="none"/>
                      <w:lang w:val="en-US" w:eastAsia="zh-CN"/>
                    </w:rPr>
                    <w:t>2</w:t>
                  </w:r>
                </w:p>
              </w:tc>
              <w:tc>
                <w:tcPr>
                  <w:tcW w:w="735" w:type="dxa"/>
                  <w:vMerge w:val="restart"/>
                  <w:tcBorders>
                    <w:tl2br w:val="nil"/>
                    <w:tr2bl w:val="nil"/>
                  </w:tcBorders>
                  <w:shd w:val="clear" w:color="auto" w:fill="auto"/>
                  <w:vAlign w:val="center"/>
                </w:tcPr>
                <w:p w14:paraId="74391B34">
                  <w:pPr>
                    <w:jc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厂界无组织</w:t>
                  </w:r>
                </w:p>
              </w:tc>
              <w:tc>
                <w:tcPr>
                  <w:tcW w:w="428" w:type="dxa"/>
                  <w:tcBorders>
                    <w:tl2br w:val="nil"/>
                    <w:tr2bl w:val="nil"/>
                  </w:tcBorders>
                  <w:shd w:val="clear" w:color="auto" w:fill="auto"/>
                  <w:vAlign w:val="center"/>
                </w:tcPr>
                <w:p w14:paraId="402DAFD5">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12281F9F">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3618335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71144E69">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2A9C4109">
                  <w:pPr>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1.0</w:t>
                  </w:r>
                </w:p>
              </w:tc>
              <w:tc>
                <w:tcPr>
                  <w:tcW w:w="547" w:type="dxa"/>
                  <w:tcBorders>
                    <w:tl2br w:val="nil"/>
                    <w:tr2bl w:val="nil"/>
                  </w:tcBorders>
                  <w:shd w:val="clear" w:color="auto" w:fill="auto"/>
                  <w:vAlign w:val="center"/>
                </w:tcPr>
                <w:p w14:paraId="11F1E03B">
                  <w:pPr>
                    <w:jc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5588B4FE">
                  <w:pPr>
                    <w:jc w:val="center"/>
                    <w:rPr>
                      <w:rFonts w:hint="default"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2400</w:t>
                  </w:r>
                </w:p>
              </w:tc>
            </w:tr>
            <w:tr w14:paraId="645434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76" w:type="dxa"/>
                  <w:vMerge w:val="continue"/>
                  <w:tcBorders>
                    <w:tl2br w:val="nil"/>
                    <w:tr2bl w:val="nil"/>
                  </w:tcBorders>
                  <w:shd w:val="clear" w:color="auto" w:fill="auto"/>
                  <w:vAlign w:val="center"/>
                </w:tcPr>
                <w:p w14:paraId="049F0F33">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restart"/>
                  <w:tcBorders>
                    <w:tl2br w:val="nil"/>
                    <w:tr2bl w:val="nil"/>
                  </w:tcBorders>
                  <w:shd w:val="clear" w:color="auto" w:fill="auto"/>
                  <w:vAlign w:val="center"/>
                </w:tcPr>
                <w:p w14:paraId="72C864F8">
                  <w:pPr>
                    <w:widowControl/>
                    <w:jc w:val="center"/>
                    <w:textAlignment w:val="center"/>
                    <w:rPr>
                      <w:rFonts w:hint="eastAsia" w:ascii="Times New Roman" w:hAnsi="Times New Roman" w:eastAsia="宋体" w:cs="Times New Roman"/>
                      <w:b w:val="0"/>
                      <w:bCs w:val="0"/>
                      <w:color w:val="auto"/>
                      <w:kern w:val="0"/>
                      <w:sz w:val="18"/>
                      <w:szCs w:val="18"/>
                      <w:highlight w:val="none"/>
                      <w:lang w:val="en-US" w:eastAsia="zh-CN" w:bidi="ar"/>
                    </w:rPr>
                  </w:pPr>
                  <w:r>
                    <w:rPr>
                      <w:rFonts w:hint="default" w:ascii="Times New Roman" w:hAnsi="Times New Roman" w:cs="Times New Roman"/>
                      <w:b w:val="0"/>
                      <w:bCs w:val="0"/>
                      <w:color w:val="auto"/>
                      <w:kern w:val="0"/>
                      <w:sz w:val="18"/>
                      <w:szCs w:val="18"/>
                      <w:highlight w:val="none"/>
                      <w:lang w:bidi="ar"/>
                    </w:rPr>
                    <w:t>无组织</w:t>
                  </w:r>
                </w:p>
              </w:tc>
              <w:tc>
                <w:tcPr>
                  <w:tcW w:w="615" w:type="dxa"/>
                  <w:tcBorders>
                    <w:tl2br w:val="nil"/>
                    <w:tr2bl w:val="nil"/>
                  </w:tcBorders>
                  <w:shd w:val="clear" w:color="auto" w:fill="auto"/>
                  <w:vAlign w:val="center"/>
                </w:tcPr>
                <w:p w14:paraId="6C3D5BB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非甲烷总烃</w:t>
                  </w:r>
                </w:p>
              </w:tc>
              <w:tc>
                <w:tcPr>
                  <w:tcW w:w="735" w:type="dxa"/>
                  <w:tcBorders>
                    <w:tl2br w:val="nil"/>
                    <w:tr2bl w:val="nil"/>
                  </w:tcBorders>
                  <w:shd w:val="clear" w:color="auto" w:fill="auto"/>
                  <w:vAlign w:val="center"/>
                </w:tcPr>
                <w:p w14:paraId="6E41D5BB">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4D2EC33B">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0.117</w:t>
                  </w:r>
                </w:p>
              </w:tc>
              <w:tc>
                <w:tcPr>
                  <w:tcW w:w="720" w:type="dxa"/>
                  <w:tcBorders>
                    <w:tl2br w:val="nil"/>
                    <w:tr2bl w:val="nil"/>
                  </w:tcBorders>
                  <w:shd w:val="clear" w:color="auto" w:fill="auto"/>
                  <w:vAlign w:val="center"/>
                </w:tcPr>
                <w:p w14:paraId="2629935E">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0.281</w:t>
                  </w:r>
                </w:p>
              </w:tc>
              <w:tc>
                <w:tcPr>
                  <w:tcW w:w="705" w:type="dxa"/>
                  <w:tcBorders>
                    <w:tl2br w:val="nil"/>
                    <w:tr2bl w:val="nil"/>
                  </w:tcBorders>
                  <w:shd w:val="clear" w:color="auto" w:fill="auto"/>
                  <w:vAlign w:val="center"/>
                </w:tcPr>
                <w:p w14:paraId="2BE24AD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4F0C39E8">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05078D33">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39035B8D">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49A19B76">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281B894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008EF13D">
                  <w:pPr>
                    <w:widowControl/>
                    <w:jc w:val="center"/>
                    <w:textAlignment w:val="center"/>
                    <w:rPr>
                      <w:rFonts w:hint="default" w:ascii="Times New Roman" w:hAnsi="Times New Roman"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0.117</w:t>
                  </w:r>
                </w:p>
              </w:tc>
              <w:tc>
                <w:tcPr>
                  <w:tcW w:w="645" w:type="dxa"/>
                  <w:tcBorders>
                    <w:tl2br w:val="nil"/>
                    <w:tr2bl w:val="nil"/>
                  </w:tcBorders>
                  <w:shd w:val="clear" w:color="auto" w:fill="auto"/>
                  <w:vAlign w:val="center"/>
                </w:tcPr>
                <w:p w14:paraId="3880F2A0">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0.281</w:t>
                  </w:r>
                </w:p>
              </w:tc>
              <w:tc>
                <w:tcPr>
                  <w:tcW w:w="735" w:type="dxa"/>
                  <w:vMerge w:val="continue"/>
                  <w:tcBorders>
                    <w:tl2br w:val="nil"/>
                    <w:tr2bl w:val="nil"/>
                  </w:tcBorders>
                  <w:shd w:val="clear" w:color="auto" w:fill="auto"/>
                  <w:vAlign w:val="center"/>
                </w:tcPr>
                <w:p w14:paraId="147594F0">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5A5B0DA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2E8DACE0">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14623867">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12BA6F91">
                  <w:pPr>
                    <w:widowControl/>
                    <w:jc w:val="center"/>
                    <w:textAlignment w:val="center"/>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773BAB9F">
                  <w:pPr>
                    <w:jc w:val="center"/>
                    <w:rPr>
                      <w:rFonts w:hint="default" w:ascii="Times New Roman" w:hAnsi="Times New Roman" w:cs="Times New Roman"/>
                      <w:b w:val="0"/>
                      <w:bCs w:val="0"/>
                      <w:color w:val="auto"/>
                      <w:sz w:val="18"/>
                      <w:szCs w:val="18"/>
                      <w:highlight w:val="none"/>
                    </w:rPr>
                  </w:pPr>
                  <w:r>
                    <w:rPr>
                      <w:rFonts w:hint="eastAsia" w:cs="Times New Roman"/>
                      <w:b w:val="0"/>
                      <w:bCs w:val="0"/>
                      <w:color w:val="auto"/>
                      <w:sz w:val="18"/>
                      <w:szCs w:val="18"/>
                      <w:highlight w:val="none"/>
                      <w:lang w:val="en-US" w:eastAsia="zh-CN"/>
                    </w:rPr>
                    <w:t>4.0</w:t>
                  </w:r>
                </w:p>
              </w:tc>
              <w:tc>
                <w:tcPr>
                  <w:tcW w:w="547" w:type="dxa"/>
                  <w:tcBorders>
                    <w:tl2br w:val="nil"/>
                    <w:tr2bl w:val="nil"/>
                  </w:tcBorders>
                  <w:shd w:val="clear" w:color="auto" w:fill="auto"/>
                  <w:vAlign w:val="center"/>
                </w:tcPr>
                <w:p w14:paraId="2F5A69F2">
                  <w:pPr>
                    <w:jc w:val="center"/>
                    <w:rPr>
                      <w:rFonts w:hint="default" w:ascii="Times New Roman" w:hAnsi="Times New Roman" w:cs="Times New Roman"/>
                      <w:b w:val="0"/>
                      <w:bCs w:val="0"/>
                      <w:color w:val="auto"/>
                      <w:sz w:val="18"/>
                      <w:szCs w:val="18"/>
                      <w:highlight w:val="none"/>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3F30888D">
                  <w:pPr>
                    <w:jc w:val="center"/>
                    <w:rPr>
                      <w:rFonts w:hint="default" w:cs="Times New Roman"/>
                      <w:b w:val="0"/>
                      <w:bCs w:val="0"/>
                      <w:color w:val="auto"/>
                      <w:sz w:val="18"/>
                      <w:szCs w:val="18"/>
                      <w:highlight w:val="none"/>
                      <w:lang w:val="en-US" w:eastAsia="zh-CN"/>
                    </w:rPr>
                  </w:pPr>
                  <w:r>
                    <w:rPr>
                      <w:rFonts w:hint="eastAsia" w:cs="Times New Roman"/>
                      <w:b w:val="0"/>
                      <w:bCs w:val="0"/>
                      <w:color w:val="auto"/>
                      <w:kern w:val="0"/>
                      <w:sz w:val="18"/>
                      <w:szCs w:val="18"/>
                      <w:highlight w:val="none"/>
                      <w:lang w:val="en-US" w:eastAsia="zh-CN" w:bidi="ar"/>
                    </w:rPr>
                    <w:t>2400</w:t>
                  </w:r>
                </w:p>
              </w:tc>
            </w:tr>
            <w:tr w14:paraId="76B3BF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635E343C">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continue"/>
                  <w:tcBorders>
                    <w:tl2br w:val="nil"/>
                    <w:tr2bl w:val="nil"/>
                  </w:tcBorders>
                  <w:shd w:val="clear" w:color="auto" w:fill="auto"/>
                  <w:vAlign w:val="center"/>
                </w:tcPr>
                <w:p w14:paraId="0F480F0B">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73979311">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ascii="Times New Roman" w:hAnsi="Times New Roman" w:cs="Times New Roman"/>
                      <w:b w:val="0"/>
                      <w:bCs w:val="0"/>
                      <w:color w:val="auto"/>
                      <w:kern w:val="0"/>
                      <w:sz w:val="18"/>
                      <w:szCs w:val="18"/>
                      <w:highlight w:val="none"/>
                      <w:lang w:val="en-US" w:eastAsia="zh-CN" w:bidi="ar"/>
                    </w:rPr>
                    <w:t>甲苯</w:t>
                  </w:r>
                </w:p>
              </w:tc>
              <w:tc>
                <w:tcPr>
                  <w:tcW w:w="735" w:type="dxa"/>
                  <w:tcBorders>
                    <w:tl2br w:val="nil"/>
                    <w:tr2bl w:val="nil"/>
                  </w:tcBorders>
                  <w:shd w:val="clear" w:color="auto" w:fill="auto"/>
                  <w:vAlign w:val="center"/>
                </w:tcPr>
                <w:p w14:paraId="3F1943D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552C968D">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0.004</w:t>
                  </w:r>
                </w:p>
              </w:tc>
              <w:tc>
                <w:tcPr>
                  <w:tcW w:w="720" w:type="dxa"/>
                  <w:tcBorders>
                    <w:tl2br w:val="nil"/>
                    <w:tr2bl w:val="nil"/>
                  </w:tcBorders>
                  <w:shd w:val="clear" w:color="auto" w:fill="auto"/>
                  <w:vAlign w:val="center"/>
                </w:tcPr>
                <w:p w14:paraId="2072365D">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0.009</w:t>
                  </w:r>
                </w:p>
              </w:tc>
              <w:tc>
                <w:tcPr>
                  <w:tcW w:w="705" w:type="dxa"/>
                  <w:tcBorders>
                    <w:tl2br w:val="nil"/>
                    <w:tr2bl w:val="nil"/>
                  </w:tcBorders>
                  <w:shd w:val="clear" w:color="auto" w:fill="auto"/>
                  <w:vAlign w:val="center"/>
                </w:tcPr>
                <w:p w14:paraId="0589A46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30194979">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51C134D6">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25DF3D0F">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5E4B4DAB">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786B9042">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0AF57263">
                  <w:pPr>
                    <w:widowControl/>
                    <w:jc w:val="center"/>
                    <w:textAlignment w:val="center"/>
                    <w:rPr>
                      <w:rFonts w:hint="default" w:ascii="Times New Roman" w:hAnsi="Times New Roman"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0.004</w:t>
                  </w:r>
                </w:p>
              </w:tc>
              <w:tc>
                <w:tcPr>
                  <w:tcW w:w="645" w:type="dxa"/>
                  <w:tcBorders>
                    <w:tl2br w:val="nil"/>
                    <w:tr2bl w:val="nil"/>
                  </w:tcBorders>
                  <w:shd w:val="clear" w:color="auto" w:fill="auto"/>
                  <w:vAlign w:val="center"/>
                </w:tcPr>
                <w:p w14:paraId="7AB36B24">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0.009</w:t>
                  </w:r>
                </w:p>
              </w:tc>
              <w:tc>
                <w:tcPr>
                  <w:tcW w:w="735" w:type="dxa"/>
                  <w:vMerge w:val="continue"/>
                  <w:tcBorders>
                    <w:tl2br w:val="nil"/>
                    <w:tr2bl w:val="nil"/>
                  </w:tcBorders>
                  <w:shd w:val="clear" w:color="auto" w:fill="auto"/>
                  <w:vAlign w:val="center"/>
                </w:tcPr>
                <w:p w14:paraId="59130967">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5260A968">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2242FE5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1A701906">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0D97077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5685FE1C">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0.6</w:t>
                  </w:r>
                </w:p>
              </w:tc>
              <w:tc>
                <w:tcPr>
                  <w:tcW w:w="547" w:type="dxa"/>
                  <w:tcBorders>
                    <w:tl2br w:val="nil"/>
                    <w:tr2bl w:val="nil"/>
                  </w:tcBorders>
                  <w:shd w:val="clear" w:color="auto" w:fill="auto"/>
                  <w:vAlign w:val="center"/>
                </w:tcPr>
                <w:p w14:paraId="6D3631A0">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3F225A59">
                  <w:pPr>
                    <w:jc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6B690F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0CC45F84">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continue"/>
                  <w:tcBorders>
                    <w:tl2br w:val="nil"/>
                    <w:tr2bl w:val="nil"/>
                  </w:tcBorders>
                  <w:shd w:val="clear" w:color="auto" w:fill="auto"/>
                  <w:vAlign w:val="center"/>
                </w:tcPr>
                <w:p w14:paraId="10C342D9">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0FEAE676">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eastAsia" w:ascii="Times New Roman" w:hAnsi="Times New Roman" w:cs="Times New Roman"/>
                      <w:b w:val="0"/>
                      <w:bCs w:val="0"/>
                      <w:color w:val="auto"/>
                      <w:kern w:val="0"/>
                      <w:sz w:val="18"/>
                      <w:szCs w:val="18"/>
                      <w:highlight w:val="none"/>
                      <w:lang w:val="en-US" w:eastAsia="zh-CN" w:bidi="ar"/>
                    </w:rPr>
                    <w:t>苯系物</w:t>
                  </w:r>
                </w:p>
              </w:tc>
              <w:tc>
                <w:tcPr>
                  <w:tcW w:w="735" w:type="dxa"/>
                  <w:tcBorders>
                    <w:tl2br w:val="nil"/>
                    <w:tr2bl w:val="nil"/>
                  </w:tcBorders>
                  <w:shd w:val="clear" w:color="auto" w:fill="auto"/>
                  <w:vAlign w:val="center"/>
                </w:tcPr>
                <w:p w14:paraId="18E866A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11A4F74C">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0.004</w:t>
                  </w:r>
                </w:p>
              </w:tc>
              <w:tc>
                <w:tcPr>
                  <w:tcW w:w="720" w:type="dxa"/>
                  <w:tcBorders>
                    <w:tl2br w:val="nil"/>
                    <w:tr2bl w:val="nil"/>
                  </w:tcBorders>
                  <w:shd w:val="clear" w:color="auto" w:fill="auto"/>
                  <w:vAlign w:val="center"/>
                </w:tcPr>
                <w:p w14:paraId="416AEDE3">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w:t>
                  </w:r>
                </w:p>
              </w:tc>
              <w:tc>
                <w:tcPr>
                  <w:tcW w:w="705" w:type="dxa"/>
                  <w:tcBorders>
                    <w:tl2br w:val="nil"/>
                    <w:tr2bl w:val="nil"/>
                  </w:tcBorders>
                  <w:shd w:val="clear" w:color="auto" w:fill="auto"/>
                  <w:vAlign w:val="center"/>
                </w:tcPr>
                <w:p w14:paraId="0674F6D6">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7D5E17F6">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75D4C92C">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7D2BBFFD">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7E4F3EA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0680FFA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6AF1D13D">
                  <w:pPr>
                    <w:widowControl/>
                    <w:jc w:val="center"/>
                    <w:textAlignment w:val="center"/>
                    <w:rPr>
                      <w:rFonts w:hint="default" w:ascii="Times New Roman" w:hAnsi="Times New Roman"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0.004</w:t>
                  </w:r>
                </w:p>
              </w:tc>
              <w:tc>
                <w:tcPr>
                  <w:tcW w:w="645" w:type="dxa"/>
                  <w:tcBorders>
                    <w:tl2br w:val="nil"/>
                    <w:tr2bl w:val="nil"/>
                  </w:tcBorders>
                  <w:shd w:val="clear" w:color="auto" w:fill="auto"/>
                  <w:vAlign w:val="center"/>
                </w:tcPr>
                <w:p w14:paraId="17BF8FE1">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w:t>
                  </w:r>
                </w:p>
              </w:tc>
              <w:tc>
                <w:tcPr>
                  <w:tcW w:w="735" w:type="dxa"/>
                  <w:vMerge w:val="continue"/>
                  <w:tcBorders>
                    <w:tl2br w:val="nil"/>
                    <w:tr2bl w:val="nil"/>
                  </w:tcBorders>
                  <w:shd w:val="clear" w:color="auto" w:fill="auto"/>
                  <w:vAlign w:val="center"/>
                </w:tcPr>
                <w:p w14:paraId="212019B4">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7A2C2C9A">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6D38C7E0">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60B2CD07">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5144B91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3E45BCDA">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547" w:type="dxa"/>
                  <w:tcBorders>
                    <w:tl2br w:val="nil"/>
                    <w:tr2bl w:val="nil"/>
                  </w:tcBorders>
                  <w:shd w:val="clear" w:color="auto" w:fill="auto"/>
                  <w:vAlign w:val="center"/>
                </w:tcPr>
                <w:p w14:paraId="2058AFA9">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35D2B8E4">
                  <w:pPr>
                    <w:jc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r w14:paraId="3C8DA3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576" w:type="dxa"/>
                  <w:vMerge w:val="continue"/>
                  <w:tcBorders>
                    <w:tl2br w:val="nil"/>
                    <w:tr2bl w:val="nil"/>
                  </w:tcBorders>
                  <w:shd w:val="clear" w:color="auto" w:fill="auto"/>
                  <w:vAlign w:val="center"/>
                </w:tcPr>
                <w:p w14:paraId="3D3236CD">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53" w:type="dxa"/>
                  <w:vMerge w:val="continue"/>
                  <w:tcBorders>
                    <w:tl2br w:val="nil"/>
                    <w:tr2bl w:val="nil"/>
                  </w:tcBorders>
                  <w:shd w:val="clear" w:color="auto" w:fill="auto"/>
                  <w:vAlign w:val="center"/>
                </w:tcPr>
                <w:p w14:paraId="00F96282">
                  <w:pPr>
                    <w:widowControl/>
                    <w:jc w:val="center"/>
                    <w:textAlignment w:val="center"/>
                    <w:rPr>
                      <w:rFonts w:hint="default" w:ascii="Times New Roman" w:hAnsi="Times New Roman" w:cs="Times New Roman"/>
                      <w:b w:val="0"/>
                      <w:bCs w:val="0"/>
                      <w:color w:val="auto"/>
                      <w:kern w:val="0"/>
                      <w:sz w:val="18"/>
                      <w:szCs w:val="18"/>
                      <w:highlight w:val="none"/>
                      <w:lang w:bidi="ar"/>
                    </w:rPr>
                  </w:pPr>
                </w:p>
              </w:tc>
              <w:tc>
                <w:tcPr>
                  <w:tcW w:w="615" w:type="dxa"/>
                  <w:tcBorders>
                    <w:tl2br w:val="nil"/>
                    <w:tr2bl w:val="nil"/>
                  </w:tcBorders>
                  <w:shd w:val="clear" w:color="auto" w:fill="auto"/>
                  <w:vAlign w:val="center"/>
                </w:tcPr>
                <w:p w14:paraId="24EE44AF">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氯化氢</w:t>
                  </w:r>
                </w:p>
              </w:tc>
              <w:tc>
                <w:tcPr>
                  <w:tcW w:w="735" w:type="dxa"/>
                  <w:tcBorders>
                    <w:tl2br w:val="nil"/>
                    <w:tr2bl w:val="nil"/>
                  </w:tcBorders>
                  <w:shd w:val="clear" w:color="auto" w:fill="auto"/>
                  <w:vAlign w:val="center"/>
                </w:tcPr>
                <w:p w14:paraId="29E5B3B2">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30" w:type="dxa"/>
                  <w:tcBorders>
                    <w:tl2br w:val="nil"/>
                    <w:tr2bl w:val="nil"/>
                  </w:tcBorders>
                  <w:shd w:val="clear" w:color="auto" w:fill="auto"/>
                  <w:vAlign w:val="center"/>
                </w:tcPr>
                <w:p w14:paraId="107EE691">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0.001</w:t>
                  </w:r>
                </w:p>
              </w:tc>
              <w:tc>
                <w:tcPr>
                  <w:tcW w:w="720" w:type="dxa"/>
                  <w:tcBorders>
                    <w:tl2br w:val="nil"/>
                    <w:tr2bl w:val="nil"/>
                  </w:tcBorders>
                  <w:shd w:val="clear" w:color="auto" w:fill="auto"/>
                  <w:vAlign w:val="center"/>
                </w:tcPr>
                <w:p w14:paraId="6F9AA183">
                  <w:pPr>
                    <w:widowControl/>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0.003</w:t>
                  </w:r>
                </w:p>
              </w:tc>
              <w:tc>
                <w:tcPr>
                  <w:tcW w:w="705" w:type="dxa"/>
                  <w:tcBorders>
                    <w:tl2br w:val="nil"/>
                    <w:tr2bl w:val="nil"/>
                  </w:tcBorders>
                  <w:shd w:val="clear" w:color="auto" w:fill="auto"/>
                  <w:vAlign w:val="center"/>
                </w:tcPr>
                <w:p w14:paraId="3972582A">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25" w:type="dxa"/>
                  <w:tcBorders>
                    <w:tl2br w:val="nil"/>
                    <w:tr2bl w:val="nil"/>
                  </w:tcBorders>
                  <w:shd w:val="clear" w:color="auto" w:fill="auto"/>
                  <w:vAlign w:val="center"/>
                </w:tcPr>
                <w:p w14:paraId="35125CB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5" w:type="dxa"/>
                  <w:tcBorders>
                    <w:tl2br w:val="nil"/>
                    <w:tr2bl w:val="nil"/>
                  </w:tcBorders>
                  <w:shd w:val="clear" w:color="auto" w:fill="auto"/>
                  <w:vAlign w:val="center"/>
                </w:tcPr>
                <w:p w14:paraId="6C5DDBC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15" w:type="dxa"/>
                  <w:tcBorders>
                    <w:tl2br w:val="nil"/>
                    <w:tr2bl w:val="nil"/>
                  </w:tcBorders>
                  <w:shd w:val="clear" w:color="auto" w:fill="auto"/>
                  <w:vAlign w:val="center"/>
                </w:tcPr>
                <w:p w14:paraId="39AF4D10">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45" w:type="dxa"/>
                  <w:tcBorders>
                    <w:tl2br w:val="nil"/>
                    <w:tr2bl w:val="nil"/>
                  </w:tcBorders>
                  <w:shd w:val="clear" w:color="auto" w:fill="auto"/>
                  <w:vAlign w:val="center"/>
                </w:tcPr>
                <w:p w14:paraId="007879D0">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735" w:type="dxa"/>
                  <w:tcBorders>
                    <w:tl2br w:val="nil"/>
                    <w:tr2bl w:val="nil"/>
                  </w:tcBorders>
                  <w:shd w:val="clear" w:color="auto" w:fill="auto"/>
                  <w:vAlign w:val="center"/>
                </w:tcPr>
                <w:p w14:paraId="4EF0CA5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75" w:type="dxa"/>
                  <w:tcBorders>
                    <w:tl2br w:val="nil"/>
                    <w:tr2bl w:val="nil"/>
                  </w:tcBorders>
                  <w:shd w:val="clear" w:color="auto" w:fill="auto"/>
                  <w:vAlign w:val="center"/>
                </w:tcPr>
                <w:p w14:paraId="439F0CD6">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0.001</w:t>
                  </w:r>
                </w:p>
              </w:tc>
              <w:tc>
                <w:tcPr>
                  <w:tcW w:w="645" w:type="dxa"/>
                  <w:tcBorders>
                    <w:tl2br w:val="nil"/>
                    <w:tr2bl w:val="nil"/>
                  </w:tcBorders>
                  <w:shd w:val="clear" w:color="auto" w:fill="auto"/>
                  <w:vAlign w:val="center"/>
                </w:tcPr>
                <w:p w14:paraId="47C85483">
                  <w:pPr>
                    <w:widowControl/>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0.003</w:t>
                  </w:r>
                </w:p>
              </w:tc>
              <w:tc>
                <w:tcPr>
                  <w:tcW w:w="735" w:type="dxa"/>
                  <w:vMerge w:val="continue"/>
                  <w:tcBorders>
                    <w:tl2br w:val="nil"/>
                    <w:tr2bl w:val="nil"/>
                  </w:tcBorders>
                  <w:shd w:val="clear" w:color="auto" w:fill="auto"/>
                  <w:vAlign w:val="center"/>
                </w:tcPr>
                <w:p w14:paraId="6C4C285B">
                  <w:pPr>
                    <w:jc w:val="center"/>
                    <w:rPr>
                      <w:rFonts w:hint="default" w:ascii="Times New Roman" w:hAnsi="Times New Roman" w:cs="Times New Roman"/>
                      <w:b w:val="0"/>
                      <w:bCs w:val="0"/>
                      <w:color w:val="auto"/>
                      <w:sz w:val="18"/>
                      <w:szCs w:val="18"/>
                      <w:highlight w:val="none"/>
                    </w:rPr>
                  </w:pPr>
                </w:p>
              </w:tc>
              <w:tc>
                <w:tcPr>
                  <w:tcW w:w="428" w:type="dxa"/>
                  <w:tcBorders>
                    <w:tl2br w:val="nil"/>
                    <w:tr2bl w:val="nil"/>
                  </w:tcBorders>
                  <w:shd w:val="clear" w:color="auto" w:fill="auto"/>
                  <w:vAlign w:val="center"/>
                </w:tcPr>
                <w:p w14:paraId="62327AF5">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71" w:type="dxa"/>
                  <w:tcBorders>
                    <w:tl2br w:val="nil"/>
                    <w:tr2bl w:val="nil"/>
                  </w:tcBorders>
                  <w:shd w:val="clear" w:color="auto" w:fill="auto"/>
                  <w:vAlign w:val="center"/>
                </w:tcPr>
                <w:p w14:paraId="2C21DA1E">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439" w:type="dxa"/>
                  <w:tcBorders>
                    <w:tl2br w:val="nil"/>
                    <w:tr2bl w:val="nil"/>
                  </w:tcBorders>
                  <w:shd w:val="clear" w:color="auto" w:fill="auto"/>
                  <w:vAlign w:val="center"/>
                </w:tcPr>
                <w:p w14:paraId="5783F7FA">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553" w:type="dxa"/>
                  <w:tcBorders>
                    <w:tl2br w:val="nil"/>
                    <w:tr2bl w:val="nil"/>
                  </w:tcBorders>
                  <w:shd w:val="clear" w:color="auto" w:fill="auto"/>
                  <w:vAlign w:val="center"/>
                </w:tcPr>
                <w:p w14:paraId="438D3D83">
                  <w:pPr>
                    <w:widowControl/>
                    <w:jc w:val="center"/>
                    <w:textAlignment w:val="center"/>
                    <w:rPr>
                      <w:rFonts w:hint="default" w:ascii="Times New Roman" w:hAnsi="Times New Roman" w:cs="Times New Roman"/>
                      <w:b w:val="0"/>
                      <w:bCs w:val="0"/>
                      <w:color w:val="auto"/>
                      <w:kern w:val="0"/>
                      <w:sz w:val="18"/>
                      <w:szCs w:val="18"/>
                      <w:highlight w:val="none"/>
                      <w:lang w:bidi="ar"/>
                    </w:rPr>
                  </w:pPr>
                  <w:r>
                    <w:rPr>
                      <w:rFonts w:hint="default" w:ascii="Times New Roman" w:hAnsi="Times New Roman" w:cs="Times New Roman"/>
                      <w:b w:val="0"/>
                      <w:bCs w:val="0"/>
                      <w:color w:val="auto"/>
                      <w:kern w:val="0"/>
                      <w:sz w:val="18"/>
                      <w:szCs w:val="18"/>
                      <w:highlight w:val="none"/>
                      <w:lang w:bidi="ar"/>
                    </w:rPr>
                    <w:t>/</w:t>
                  </w:r>
                </w:p>
              </w:tc>
              <w:tc>
                <w:tcPr>
                  <w:tcW w:w="696" w:type="dxa"/>
                  <w:tcBorders>
                    <w:tl2br w:val="nil"/>
                    <w:tr2bl w:val="nil"/>
                  </w:tcBorders>
                  <w:shd w:val="clear" w:color="auto" w:fill="auto"/>
                  <w:vAlign w:val="center"/>
                </w:tcPr>
                <w:p w14:paraId="3CF3E110">
                  <w:pPr>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0.2</w:t>
                  </w:r>
                </w:p>
              </w:tc>
              <w:tc>
                <w:tcPr>
                  <w:tcW w:w="547" w:type="dxa"/>
                  <w:tcBorders>
                    <w:tl2br w:val="nil"/>
                    <w:tr2bl w:val="nil"/>
                  </w:tcBorders>
                  <w:shd w:val="clear" w:color="auto" w:fill="auto"/>
                  <w:vAlign w:val="center"/>
                </w:tcPr>
                <w:p w14:paraId="20C8BA9A">
                  <w:pPr>
                    <w:jc w:val="center"/>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694" w:type="dxa"/>
                  <w:tcBorders>
                    <w:tl2br w:val="nil"/>
                    <w:tr2bl w:val="nil"/>
                  </w:tcBorders>
                  <w:shd w:val="clear" w:color="auto" w:fill="auto"/>
                  <w:vAlign w:val="center"/>
                </w:tcPr>
                <w:p w14:paraId="6DCDAF94">
                  <w:pPr>
                    <w:jc w:val="center"/>
                    <w:rPr>
                      <w:rFonts w:hint="eastAsia"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2400</w:t>
                  </w:r>
                </w:p>
              </w:tc>
            </w:tr>
          </w:tbl>
          <w:p w14:paraId="11E268D7">
            <w:pPr>
              <w:adjustRightInd w:val="0"/>
              <w:snapToGrid w:val="0"/>
              <w:spacing w:line="320" w:lineRule="exact"/>
              <w:ind w:firstLine="720" w:firstLineChars="300"/>
              <w:jc w:val="left"/>
              <w:rPr>
                <w:rFonts w:eastAsia="黑体"/>
                <w:color w:val="auto"/>
                <w:sz w:val="24"/>
              </w:rPr>
            </w:pPr>
          </w:p>
        </w:tc>
      </w:tr>
    </w:tbl>
    <w:p w14:paraId="454F1BE1">
      <w:pPr>
        <w:pStyle w:val="30"/>
        <w:jc w:val="both"/>
        <w:outlineLvl w:val="0"/>
        <w:rPr>
          <w:rFonts w:ascii="Times New Roman" w:hAnsi="Times New Roman" w:eastAsia="黑体"/>
          <w:snapToGrid w:val="0"/>
          <w:color w:val="auto"/>
          <w:sz w:val="30"/>
          <w:szCs w:val="30"/>
        </w:rPr>
        <w:sectPr>
          <w:pgSz w:w="16840" w:h="11907"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4"/>
        <w:gridCol w:w="8945"/>
      </w:tblGrid>
      <w:tr w14:paraId="5CC855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6" w:hRule="atLeast"/>
          <w:jc w:val="center"/>
        </w:trPr>
        <w:tc>
          <w:tcPr>
            <w:tcW w:w="263" w:type="dxa"/>
            <w:noWrap w:val="0"/>
            <w:tcMar>
              <w:left w:w="28" w:type="dxa"/>
              <w:right w:w="28" w:type="dxa"/>
            </w:tcMar>
            <w:vAlign w:val="center"/>
          </w:tcPr>
          <w:p w14:paraId="4D865F0C">
            <w:pPr>
              <w:adjustRightInd w:val="0"/>
              <w:snapToGrid w:val="0"/>
              <w:jc w:val="center"/>
              <w:rPr>
                <w:bCs/>
                <w:color w:val="auto"/>
                <w:szCs w:val="21"/>
              </w:rPr>
            </w:pPr>
            <w:r>
              <w:rPr>
                <w:bCs/>
                <w:color w:val="auto"/>
                <w:szCs w:val="21"/>
              </w:rPr>
              <w:t>运营</w:t>
            </w:r>
          </w:p>
          <w:p w14:paraId="5A971A15">
            <w:pPr>
              <w:adjustRightInd w:val="0"/>
              <w:snapToGrid w:val="0"/>
              <w:jc w:val="center"/>
              <w:rPr>
                <w:bCs/>
                <w:color w:val="auto"/>
                <w:szCs w:val="21"/>
              </w:rPr>
            </w:pPr>
            <w:r>
              <w:rPr>
                <w:bCs/>
                <w:color w:val="auto"/>
                <w:szCs w:val="21"/>
              </w:rPr>
              <w:t>期环</w:t>
            </w:r>
          </w:p>
          <w:p w14:paraId="2ABB4683">
            <w:pPr>
              <w:adjustRightInd w:val="0"/>
              <w:snapToGrid w:val="0"/>
              <w:jc w:val="center"/>
              <w:rPr>
                <w:bCs/>
                <w:color w:val="auto"/>
                <w:szCs w:val="21"/>
              </w:rPr>
            </w:pPr>
            <w:r>
              <w:rPr>
                <w:bCs/>
                <w:color w:val="auto"/>
                <w:szCs w:val="21"/>
              </w:rPr>
              <w:t>境影</w:t>
            </w:r>
          </w:p>
          <w:p w14:paraId="5CEB0ADF">
            <w:pPr>
              <w:adjustRightInd w:val="0"/>
              <w:snapToGrid w:val="0"/>
              <w:jc w:val="center"/>
              <w:rPr>
                <w:bCs/>
                <w:color w:val="auto"/>
                <w:szCs w:val="21"/>
              </w:rPr>
            </w:pPr>
            <w:r>
              <w:rPr>
                <w:bCs/>
                <w:color w:val="auto"/>
                <w:szCs w:val="21"/>
              </w:rPr>
              <w:t>响和</w:t>
            </w:r>
          </w:p>
          <w:p w14:paraId="7A70C550">
            <w:pPr>
              <w:adjustRightInd w:val="0"/>
              <w:snapToGrid w:val="0"/>
              <w:jc w:val="center"/>
              <w:rPr>
                <w:bCs/>
                <w:color w:val="auto"/>
                <w:szCs w:val="21"/>
              </w:rPr>
            </w:pPr>
            <w:r>
              <w:rPr>
                <w:bCs/>
                <w:color w:val="auto"/>
                <w:szCs w:val="21"/>
              </w:rPr>
              <w:t>保护</w:t>
            </w:r>
          </w:p>
          <w:p w14:paraId="34D5FFC2">
            <w:pPr>
              <w:adjustRightInd w:val="0"/>
              <w:snapToGrid w:val="0"/>
              <w:jc w:val="center"/>
              <w:rPr>
                <w:color w:val="auto"/>
                <w:szCs w:val="21"/>
              </w:rPr>
            </w:pPr>
            <w:r>
              <w:rPr>
                <w:bCs/>
                <w:color w:val="auto"/>
                <w:szCs w:val="21"/>
              </w:rPr>
              <w:t>措施</w:t>
            </w:r>
          </w:p>
        </w:tc>
        <w:tc>
          <w:tcPr>
            <w:tcW w:w="8946" w:type="dxa"/>
            <w:noWrap w:val="0"/>
            <w:vAlign w:val="center"/>
          </w:tcPr>
          <w:p w14:paraId="1BA5E128">
            <w:pPr>
              <w:pStyle w:val="4"/>
              <w:bidi w:val="0"/>
              <w:rPr>
                <w:color w:val="auto"/>
              </w:rPr>
            </w:pPr>
            <w:r>
              <w:rPr>
                <w:color w:val="auto"/>
              </w:rPr>
              <w:t>4.</w:t>
            </w:r>
            <w:r>
              <w:rPr>
                <w:rFonts w:hint="eastAsia"/>
                <w:color w:val="auto"/>
              </w:rPr>
              <w:t>2</w:t>
            </w:r>
            <w:r>
              <w:rPr>
                <w:color w:val="auto"/>
              </w:rPr>
              <w:t xml:space="preserve">.2 </w:t>
            </w:r>
            <w:r>
              <w:rPr>
                <w:rFonts w:hint="eastAsia"/>
                <w:color w:val="auto"/>
              </w:rPr>
              <w:t>非正常排放</w:t>
            </w:r>
          </w:p>
          <w:p w14:paraId="4DC38A6A">
            <w:pPr>
              <w:adjustRightInd w:val="0"/>
              <w:snapToGrid w:val="0"/>
              <w:spacing w:line="324" w:lineRule="auto"/>
              <w:ind w:firstLine="480" w:firstLineChars="200"/>
              <w:rPr>
                <w:color w:val="auto"/>
                <w:sz w:val="24"/>
              </w:rPr>
            </w:pPr>
            <w:r>
              <w:rPr>
                <w:rFonts w:hint="eastAsia"/>
                <w:color w:val="auto"/>
                <w:sz w:val="24"/>
              </w:rPr>
              <w:t>非正常工况下主要</w:t>
            </w:r>
            <w:r>
              <w:rPr>
                <w:color w:val="auto"/>
                <w:sz w:val="24"/>
              </w:rPr>
              <w:t>考虑</w:t>
            </w:r>
            <w:r>
              <w:rPr>
                <w:rFonts w:hint="eastAsia"/>
                <w:color w:val="auto"/>
                <w:sz w:val="24"/>
              </w:rPr>
              <w:t>由于废气处理设施</w:t>
            </w:r>
            <w:r>
              <w:rPr>
                <w:color w:val="auto"/>
                <w:sz w:val="24"/>
              </w:rPr>
              <w:t>故障</w:t>
            </w:r>
            <w:r>
              <w:rPr>
                <w:rFonts w:hint="eastAsia"/>
                <w:color w:val="auto"/>
                <w:sz w:val="24"/>
                <w:lang w:eastAsia="zh-CN"/>
              </w:rPr>
              <w:t>，</w:t>
            </w:r>
            <w:r>
              <w:rPr>
                <w:color w:val="auto"/>
                <w:sz w:val="24"/>
              </w:rPr>
              <w:t>未及时更换</w:t>
            </w:r>
            <w:r>
              <w:rPr>
                <w:rFonts w:hint="eastAsia"/>
                <w:color w:val="auto"/>
                <w:sz w:val="24"/>
              </w:rPr>
              <w:t>活性炭</w:t>
            </w:r>
            <w:r>
              <w:rPr>
                <w:color w:val="auto"/>
                <w:sz w:val="24"/>
              </w:rPr>
              <w:t>等原因造成</w:t>
            </w:r>
            <w:r>
              <w:rPr>
                <w:rFonts w:hint="eastAsia"/>
                <w:color w:val="auto"/>
                <w:sz w:val="24"/>
              </w:rPr>
              <w:t>废气</w:t>
            </w:r>
            <w:r>
              <w:rPr>
                <w:color w:val="auto"/>
                <w:sz w:val="24"/>
              </w:rPr>
              <w:t>处理设施</w:t>
            </w:r>
            <w:r>
              <w:rPr>
                <w:rFonts w:hint="eastAsia"/>
                <w:color w:val="auto"/>
                <w:sz w:val="24"/>
              </w:rPr>
              <w:t>对</w:t>
            </w:r>
            <w:r>
              <w:rPr>
                <w:color w:val="auto"/>
                <w:sz w:val="24"/>
              </w:rPr>
              <w:t>污染物的去除效率</w:t>
            </w:r>
            <w:r>
              <w:rPr>
                <w:rFonts w:hint="eastAsia"/>
                <w:color w:val="auto"/>
                <w:sz w:val="24"/>
              </w:rPr>
              <w:t>降低。</w:t>
            </w:r>
          </w:p>
          <w:p w14:paraId="631837AD">
            <w:pPr>
              <w:adjustRightInd w:val="0"/>
              <w:snapToGrid w:val="0"/>
              <w:spacing w:line="324" w:lineRule="auto"/>
              <w:ind w:firstLine="480" w:firstLineChars="200"/>
              <w:rPr>
                <w:color w:val="auto"/>
                <w:kern w:val="0"/>
                <w:sz w:val="24"/>
                <w:lang w:bidi="ar"/>
              </w:rPr>
            </w:pPr>
            <w:r>
              <w:rPr>
                <w:rFonts w:hint="eastAsia"/>
                <w:color w:val="auto"/>
                <w:sz w:val="24"/>
              </w:rPr>
              <w:t>假定非正常工况下对有机废气去除效率为</w:t>
            </w:r>
            <w:r>
              <w:rPr>
                <w:color w:val="auto"/>
                <w:sz w:val="24"/>
              </w:rPr>
              <w:t>0</w:t>
            </w:r>
            <w:r>
              <w:rPr>
                <w:rFonts w:hint="eastAsia"/>
                <w:color w:val="auto"/>
                <w:sz w:val="24"/>
              </w:rPr>
              <w:t>，则全厂非正常工况下有组织废气产排情况见下表</w:t>
            </w:r>
            <w:r>
              <w:rPr>
                <w:color w:val="auto"/>
                <w:kern w:val="0"/>
                <w:sz w:val="24"/>
                <w:lang w:bidi="ar"/>
              </w:rPr>
              <w:t>。</w:t>
            </w:r>
          </w:p>
          <w:p w14:paraId="7DEC407A">
            <w:pPr>
              <w:adjustRightInd w:val="0"/>
              <w:snapToGrid w:val="0"/>
              <w:spacing w:before="120" w:beforeLines="50"/>
              <w:jc w:val="center"/>
              <w:rPr>
                <w:rFonts w:eastAsia="黑体"/>
                <w:color w:val="auto"/>
                <w:sz w:val="24"/>
                <w:szCs w:val="22"/>
              </w:rPr>
            </w:pPr>
            <w:r>
              <w:rPr>
                <w:rFonts w:eastAsia="黑体"/>
                <w:color w:val="auto"/>
                <w:sz w:val="24"/>
                <w:szCs w:val="22"/>
              </w:rPr>
              <w:t>表4</w:t>
            </w:r>
            <w:r>
              <w:rPr>
                <w:rFonts w:hint="eastAsia" w:eastAsia="黑体"/>
                <w:color w:val="auto"/>
                <w:sz w:val="24"/>
                <w:szCs w:val="22"/>
              </w:rPr>
              <w:t>-</w:t>
            </w:r>
            <w:r>
              <w:rPr>
                <w:rFonts w:hint="eastAsia" w:eastAsia="黑体"/>
                <w:color w:val="auto"/>
                <w:sz w:val="24"/>
                <w:szCs w:val="22"/>
                <w:lang w:val="en-US" w:eastAsia="zh-CN"/>
              </w:rPr>
              <w:t>10</w:t>
            </w:r>
            <w:r>
              <w:rPr>
                <w:rFonts w:eastAsia="黑体"/>
                <w:color w:val="auto"/>
                <w:sz w:val="24"/>
                <w:szCs w:val="22"/>
              </w:rPr>
              <w:t xml:space="preserve">  项目废气污染物非正常排放核算表</w:t>
            </w:r>
          </w:p>
          <w:tbl>
            <w:tblPr>
              <w:tblStyle w:val="35"/>
              <w:tblW w:w="88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791"/>
              <w:gridCol w:w="1221"/>
              <w:gridCol w:w="765"/>
              <w:gridCol w:w="1200"/>
              <w:gridCol w:w="1124"/>
              <w:gridCol w:w="897"/>
              <w:gridCol w:w="735"/>
              <w:gridCol w:w="789"/>
              <w:gridCol w:w="816"/>
            </w:tblGrid>
            <w:tr w14:paraId="6EABF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noWrap w:val="0"/>
                  <w:vAlign w:val="center"/>
                </w:tcPr>
                <w:p w14:paraId="1738217C">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序号</w:t>
                  </w:r>
                </w:p>
              </w:tc>
              <w:tc>
                <w:tcPr>
                  <w:tcW w:w="791" w:type="dxa"/>
                  <w:noWrap w:val="0"/>
                  <w:vAlign w:val="center"/>
                </w:tcPr>
                <w:p w14:paraId="24F5B857">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污染源</w:t>
                  </w:r>
                </w:p>
              </w:tc>
              <w:tc>
                <w:tcPr>
                  <w:tcW w:w="1221" w:type="dxa"/>
                  <w:noWrap w:val="0"/>
                  <w:vAlign w:val="center"/>
                </w:tcPr>
                <w:p w14:paraId="6C805888">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非正常排放原因</w:t>
                  </w:r>
                </w:p>
              </w:tc>
              <w:tc>
                <w:tcPr>
                  <w:tcW w:w="765" w:type="dxa"/>
                  <w:noWrap w:val="0"/>
                  <w:vAlign w:val="center"/>
                </w:tcPr>
                <w:p w14:paraId="71E1CDCB">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污染物</w:t>
                  </w:r>
                </w:p>
              </w:tc>
              <w:tc>
                <w:tcPr>
                  <w:tcW w:w="1200" w:type="dxa"/>
                  <w:noWrap w:val="0"/>
                  <w:vAlign w:val="center"/>
                </w:tcPr>
                <w:p w14:paraId="08E905E9">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snapToGrid w:val="0"/>
                      <w:color w:val="auto"/>
                      <w:kern w:val="18"/>
                      <w:sz w:val="18"/>
                      <w:szCs w:val="18"/>
                    </w:rPr>
                    <w:t>非正常排放</w:t>
                  </w:r>
                  <w:r>
                    <w:rPr>
                      <w:color w:val="auto"/>
                      <w:kern w:val="0"/>
                      <w:sz w:val="18"/>
                      <w:szCs w:val="18"/>
                      <w:lang w:bidi="ar"/>
                    </w:rPr>
                    <w:t>浓度(mg/m</w:t>
                  </w:r>
                  <w:r>
                    <w:rPr>
                      <w:color w:val="auto"/>
                      <w:kern w:val="0"/>
                      <w:sz w:val="18"/>
                      <w:szCs w:val="18"/>
                      <w:vertAlign w:val="superscript"/>
                      <w:lang w:bidi="ar"/>
                    </w:rPr>
                    <w:t>3</w:t>
                  </w:r>
                  <w:r>
                    <w:rPr>
                      <w:color w:val="auto"/>
                      <w:kern w:val="0"/>
                      <w:sz w:val="18"/>
                      <w:szCs w:val="18"/>
                      <w:lang w:bidi="ar"/>
                    </w:rPr>
                    <w:t>)</w:t>
                  </w:r>
                </w:p>
              </w:tc>
              <w:tc>
                <w:tcPr>
                  <w:tcW w:w="1124" w:type="dxa"/>
                  <w:noWrap w:val="0"/>
                  <w:vAlign w:val="center"/>
                </w:tcPr>
                <w:p w14:paraId="04A3F62C">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非正常排放速率(kg/h)</w:t>
                  </w:r>
                </w:p>
              </w:tc>
              <w:tc>
                <w:tcPr>
                  <w:tcW w:w="897" w:type="dxa"/>
                  <w:noWrap w:val="0"/>
                  <w:vAlign w:val="center"/>
                </w:tcPr>
                <w:p w14:paraId="12AF4457">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单次持续时间/h</w:t>
                  </w:r>
                </w:p>
              </w:tc>
              <w:tc>
                <w:tcPr>
                  <w:tcW w:w="735" w:type="dxa"/>
                  <w:noWrap w:val="0"/>
                  <w:vAlign w:val="center"/>
                </w:tcPr>
                <w:p w14:paraId="1DC3732A">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排放量kg</w:t>
                  </w:r>
                </w:p>
              </w:tc>
              <w:tc>
                <w:tcPr>
                  <w:tcW w:w="789" w:type="dxa"/>
                  <w:noWrap w:val="0"/>
                  <w:vAlign w:val="center"/>
                </w:tcPr>
                <w:p w14:paraId="2BF164C4">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年发生频次/次</w:t>
                  </w:r>
                </w:p>
              </w:tc>
              <w:tc>
                <w:tcPr>
                  <w:tcW w:w="816" w:type="dxa"/>
                  <w:noWrap w:val="0"/>
                  <w:vAlign w:val="center"/>
                </w:tcPr>
                <w:p w14:paraId="6AE6CB2D">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color w:val="auto"/>
                      <w:kern w:val="0"/>
                      <w:sz w:val="18"/>
                      <w:szCs w:val="18"/>
                      <w:lang w:bidi="ar"/>
                    </w:rPr>
                    <w:t>应对措施</w:t>
                  </w:r>
                </w:p>
              </w:tc>
            </w:tr>
            <w:tr w14:paraId="491CE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restart"/>
                  <w:noWrap w:val="0"/>
                  <w:vAlign w:val="center"/>
                </w:tcPr>
                <w:p w14:paraId="7559008C">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1</w:t>
                  </w:r>
                </w:p>
              </w:tc>
              <w:tc>
                <w:tcPr>
                  <w:tcW w:w="791" w:type="dxa"/>
                  <w:vMerge w:val="restart"/>
                  <w:noWrap w:val="0"/>
                  <w:vAlign w:val="center"/>
                </w:tcPr>
                <w:p w14:paraId="5E71E475">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snapToGrid w:val="0"/>
                      <w:color w:val="auto"/>
                      <w:kern w:val="18"/>
                      <w:sz w:val="18"/>
                      <w:szCs w:val="18"/>
                      <w:lang w:eastAsia="zh-CN"/>
                    </w:rPr>
                  </w:pPr>
                  <w:r>
                    <w:rPr>
                      <w:color w:val="auto"/>
                      <w:kern w:val="0"/>
                      <w:sz w:val="18"/>
                      <w:szCs w:val="18"/>
                      <w:lang w:bidi="ar"/>
                    </w:rPr>
                    <w:t>DA00</w:t>
                  </w:r>
                  <w:r>
                    <w:rPr>
                      <w:rFonts w:hint="eastAsia"/>
                      <w:color w:val="auto"/>
                      <w:kern w:val="0"/>
                      <w:sz w:val="18"/>
                      <w:szCs w:val="18"/>
                      <w:lang w:val="en-US" w:eastAsia="zh-CN" w:bidi="ar"/>
                    </w:rPr>
                    <w:t>2</w:t>
                  </w:r>
                </w:p>
              </w:tc>
              <w:tc>
                <w:tcPr>
                  <w:tcW w:w="1221" w:type="dxa"/>
                  <w:vMerge w:val="restart"/>
                  <w:noWrap w:val="0"/>
                  <w:vAlign w:val="center"/>
                </w:tcPr>
                <w:p w14:paraId="77BB3B3E">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rFonts w:hint="eastAsia"/>
                      <w:snapToGrid w:val="0"/>
                      <w:color w:val="auto"/>
                      <w:kern w:val="18"/>
                      <w:sz w:val="18"/>
                      <w:szCs w:val="18"/>
                      <w:lang w:eastAsia="zh-CN"/>
                    </w:rPr>
                    <w:t>二级活性炭吸附装置</w:t>
                  </w:r>
                  <w:r>
                    <w:rPr>
                      <w:rFonts w:hint="eastAsia"/>
                      <w:snapToGrid w:val="0"/>
                      <w:color w:val="auto"/>
                      <w:kern w:val="18"/>
                      <w:sz w:val="18"/>
                      <w:szCs w:val="18"/>
                    </w:rPr>
                    <w:t>故障</w:t>
                  </w:r>
                </w:p>
              </w:tc>
              <w:tc>
                <w:tcPr>
                  <w:tcW w:w="765" w:type="dxa"/>
                  <w:noWrap w:val="0"/>
                  <w:vAlign w:val="center"/>
                </w:tcPr>
                <w:p w14:paraId="2C3C4284">
                  <w:pPr>
                    <w:keepNext w:val="0"/>
                    <w:keepLines w:val="0"/>
                    <w:pageBreakBefore w:val="0"/>
                    <w:widowControl/>
                    <w:kinsoku/>
                    <w:wordWrap/>
                    <w:overflowPunct/>
                    <w:topLinePunct w:val="0"/>
                    <w:autoSpaceDE/>
                    <w:autoSpaceDN/>
                    <w:bidi w:val="0"/>
                    <w:spacing w:line="240" w:lineRule="auto"/>
                    <w:jc w:val="center"/>
                    <w:textAlignment w:val="auto"/>
                    <w:rPr>
                      <w:snapToGrid w:val="0"/>
                      <w:color w:val="auto"/>
                      <w:kern w:val="18"/>
                      <w:sz w:val="18"/>
                      <w:szCs w:val="18"/>
                    </w:rPr>
                  </w:pPr>
                  <w:r>
                    <w:rPr>
                      <w:rFonts w:hint="eastAsia"/>
                      <w:snapToGrid w:val="0"/>
                      <w:color w:val="auto"/>
                      <w:kern w:val="18"/>
                      <w:sz w:val="18"/>
                      <w:szCs w:val="18"/>
                    </w:rPr>
                    <w:t>非甲烷总烃</w:t>
                  </w:r>
                </w:p>
              </w:tc>
              <w:tc>
                <w:tcPr>
                  <w:tcW w:w="1200" w:type="dxa"/>
                  <w:noWrap w:val="0"/>
                  <w:vAlign w:val="center"/>
                </w:tcPr>
                <w:p w14:paraId="450CDBF9">
                  <w:pPr>
                    <w:widowControl/>
                    <w:jc w:val="center"/>
                    <w:textAlignment w:val="center"/>
                    <w:rPr>
                      <w:rFonts w:hint="default"/>
                      <w:snapToGrid w:val="0"/>
                      <w:color w:val="auto"/>
                      <w:kern w:val="18"/>
                      <w:sz w:val="18"/>
                      <w:szCs w:val="18"/>
                      <w:lang w:val="en-US"/>
                    </w:rPr>
                  </w:pPr>
                  <w:r>
                    <w:rPr>
                      <w:rFonts w:hint="eastAsia" w:cs="Times New Roman"/>
                      <w:b w:val="0"/>
                      <w:bCs w:val="0"/>
                      <w:color w:val="auto"/>
                      <w:kern w:val="0"/>
                      <w:sz w:val="18"/>
                      <w:szCs w:val="18"/>
                      <w:highlight w:val="none"/>
                      <w:lang w:val="en-US" w:eastAsia="zh-CN" w:bidi="ar"/>
                    </w:rPr>
                    <w:t>52.6</w:t>
                  </w:r>
                </w:p>
              </w:tc>
              <w:tc>
                <w:tcPr>
                  <w:tcW w:w="1124" w:type="dxa"/>
                  <w:noWrap w:val="0"/>
                  <w:vAlign w:val="center"/>
                </w:tcPr>
                <w:p w14:paraId="091D7B30">
                  <w:pPr>
                    <w:widowControl/>
                    <w:jc w:val="center"/>
                    <w:textAlignment w:val="center"/>
                    <w:rPr>
                      <w:rFonts w:hint="default" w:eastAsia="宋体"/>
                      <w:snapToGrid w:val="0"/>
                      <w:color w:val="auto"/>
                      <w:kern w:val="18"/>
                      <w:sz w:val="18"/>
                      <w:szCs w:val="18"/>
                      <w:lang w:val="en-US" w:eastAsia="zh-CN" w:bidi="ar-SA"/>
                    </w:rPr>
                  </w:pPr>
                  <w:r>
                    <w:rPr>
                      <w:rFonts w:hint="eastAsia" w:cs="Times New Roman"/>
                      <w:b w:val="0"/>
                      <w:bCs w:val="0"/>
                      <w:color w:val="auto"/>
                      <w:kern w:val="0"/>
                      <w:sz w:val="18"/>
                      <w:szCs w:val="18"/>
                      <w:highlight w:val="none"/>
                      <w:lang w:val="en-US" w:eastAsia="zh-CN" w:bidi="ar"/>
                    </w:rPr>
                    <w:t>1.052</w:t>
                  </w:r>
                </w:p>
              </w:tc>
              <w:tc>
                <w:tcPr>
                  <w:tcW w:w="897" w:type="dxa"/>
                  <w:noWrap w:val="0"/>
                  <w:vAlign w:val="center"/>
                </w:tcPr>
                <w:p w14:paraId="557FE554">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1</w:t>
                  </w:r>
                </w:p>
              </w:tc>
              <w:tc>
                <w:tcPr>
                  <w:tcW w:w="735" w:type="dxa"/>
                  <w:noWrap w:val="0"/>
                  <w:vAlign w:val="center"/>
                </w:tcPr>
                <w:p w14:paraId="7C9DD221">
                  <w:pPr>
                    <w:widowControl/>
                    <w:jc w:val="center"/>
                    <w:textAlignment w:val="center"/>
                    <w:rPr>
                      <w:rFonts w:hint="default" w:eastAsia="宋体"/>
                      <w:snapToGrid w:val="0"/>
                      <w:color w:val="auto"/>
                      <w:kern w:val="18"/>
                      <w:sz w:val="18"/>
                      <w:szCs w:val="18"/>
                      <w:lang w:val="en-US" w:eastAsia="zh-CN"/>
                    </w:rPr>
                  </w:pPr>
                  <w:r>
                    <w:rPr>
                      <w:rFonts w:hint="eastAsia" w:cs="Times New Roman"/>
                      <w:b w:val="0"/>
                      <w:bCs w:val="0"/>
                      <w:color w:val="auto"/>
                      <w:kern w:val="0"/>
                      <w:sz w:val="18"/>
                      <w:szCs w:val="18"/>
                      <w:highlight w:val="none"/>
                      <w:lang w:val="en-US" w:eastAsia="zh-CN" w:bidi="ar"/>
                    </w:rPr>
                    <w:t>1.052</w:t>
                  </w:r>
                </w:p>
              </w:tc>
              <w:tc>
                <w:tcPr>
                  <w:tcW w:w="789" w:type="dxa"/>
                  <w:noWrap w:val="0"/>
                  <w:vAlign w:val="center"/>
                </w:tcPr>
                <w:p w14:paraId="2FA52DEB">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1</w:t>
                  </w:r>
                </w:p>
              </w:tc>
              <w:tc>
                <w:tcPr>
                  <w:tcW w:w="816" w:type="dxa"/>
                  <w:vMerge w:val="restart"/>
                  <w:noWrap w:val="0"/>
                  <w:vAlign w:val="center"/>
                </w:tcPr>
                <w:p w14:paraId="37AF6C4B">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r>
                    <w:rPr>
                      <w:snapToGrid w:val="0"/>
                      <w:color w:val="auto"/>
                      <w:kern w:val="18"/>
                      <w:sz w:val="18"/>
                      <w:szCs w:val="18"/>
                    </w:rPr>
                    <w:t>立即停止</w:t>
                  </w:r>
                  <w:r>
                    <w:rPr>
                      <w:rFonts w:hint="eastAsia"/>
                      <w:snapToGrid w:val="0"/>
                      <w:color w:val="auto"/>
                      <w:kern w:val="18"/>
                      <w:sz w:val="18"/>
                      <w:szCs w:val="18"/>
                    </w:rPr>
                    <w:t>设备运行</w:t>
                  </w:r>
                </w:p>
              </w:tc>
            </w:tr>
            <w:tr w14:paraId="1572C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noWrap w:val="0"/>
                  <w:vAlign w:val="center"/>
                </w:tcPr>
                <w:p w14:paraId="76B76CA2">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c>
                <w:tcPr>
                  <w:tcW w:w="791" w:type="dxa"/>
                  <w:vMerge w:val="continue"/>
                  <w:noWrap w:val="0"/>
                  <w:vAlign w:val="center"/>
                </w:tcPr>
                <w:p w14:paraId="07014BAF">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18"/>
                      <w:szCs w:val="18"/>
                      <w:lang w:bidi="ar"/>
                    </w:rPr>
                  </w:pPr>
                </w:p>
              </w:tc>
              <w:tc>
                <w:tcPr>
                  <w:tcW w:w="1221" w:type="dxa"/>
                  <w:vMerge w:val="continue"/>
                  <w:noWrap w:val="0"/>
                  <w:vAlign w:val="center"/>
                </w:tcPr>
                <w:p w14:paraId="3EB33FA3">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auto"/>
                      <w:kern w:val="18"/>
                      <w:sz w:val="18"/>
                      <w:szCs w:val="18"/>
                      <w:lang w:eastAsia="zh-CN"/>
                    </w:rPr>
                  </w:pPr>
                </w:p>
              </w:tc>
              <w:tc>
                <w:tcPr>
                  <w:tcW w:w="765" w:type="dxa"/>
                  <w:noWrap w:val="0"/>
                  <w:vAlign w:val="center"/>
                </w:tcPr>
                <w:p w14:paraId="56F01EFF">
                  <w:pPr>
                    <w:widowControl/>
                    <w:jc w:val="center"/>
                    <w:textAlignment w:val="center"/>
                    <w:rPr>
                      <w:rFonts w:hint="eastAsia"/>
                      <w:snapToGrid w:val="0"/>
                      <w:color w:val="auto"/>
                      <w:kern w:val="18"/>
                      <w:sz w:val="18"/>
                      <w:szCs w:val="18"/>
                    </w:rPr>
                  </w:pPr>
                  <w:r>
                    <w:rPr>
                      <w:rFonts w:hint="eastAsia" w:ascii="Times New Roman" w:hAnsi="Times New Roman" w:cs="Times New Roman"/>
                      <w:b w:val="0"/>
                      <w:bCs w:val="0"/>
                      <w:color w:val="auto"/>
                      <w:kern w:val="0"/>
                      <w:sz w:val="18"/>
                      <w:szCs w:val="18"/>
                      <w:highlight w:val="none"/>
                      <w:lang w:val="en-US" w:eastAsia="zh-CN" w:bidi="ar"/>
                    </w:rPr>
                    <w:t>甲苯</w:t>
                  </w:r>
                </w:p>
              </w:tc>
              <w:tc>
                <w:tcPr>
                  <w:tcW w:w="1200" w:type="dxa"/>
                  <w:noWrap w:val="0"/>
                  <w:vAlign w:val="center"/>
                </w:tcPr>
                <w:p w14:paraId="2F955841">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1.8</w:t>
                  </w:r>
                </w:p>
              </w:tc>
              <w:tc>
                <w:tcPr>
                  <w:tcW w:w="1124" w:type="dxa"/>
                  <w:noWrap w:val="0"/>
                  <w:vAlign w:val="center"/>
                </w:tcPr>
                <w:p w14:paraId="4B632A0D">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0.036</w:t>
                  </w:r>
                </w:p>
              </w:tc>
              <w:tc>
                <w:tcPr>
                  <w:tcW w:w="897" w:type="dxa"/>
                  <w:noWrap w:val="0"/>
                  <w:vAlign w:val="center"/>
                </w:tcPr>
                <w:p w14:paraId="5BB9FDEF">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735" w:type="dxa"/>
                  <w:noWrap w:val="0"/>
                  <w:vAlign w:val="center"/>
                </w:tcPr>
                <w:p w14:paraId="34D7F542">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0.036</w:t>
                  </w:r>
                </w:p>
              </w:tc>
              <w:tc>
                <w:tcPr>
                  <w:tcW w:w="789" w:type="dxa"/>
                  <w:noWrap w:val="0"/>
                  <w:vAlign w:val="center"/>
                </w:tcPr>
                <w:p w14:paraId="67C24302">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816" w:type="dxa"/>
                  <w:vMerge w:val="continue"/>
                  <w:noWrap w:val="0"/>
                  <w:vAlign w:val="center"/>
                </w:tcPr>
                <w:p w14:paraId="312C6195">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r>
            <w:tr w14:paraId="3D692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noWrap w:val="0"/>
                  <w:vAlign w:val="center"/>
                </w:tcPr>
                <w:p w14:paraId="75C8ECA2">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c>
                <w:tcPr>
                  <w:tcW w:w="791" w:type="dxa"/>
                  <w:vMerge w:val="continue"/>
                  <w:noWrap w:val="0"/>
                  <w:vAlign w:val="center"/>
                </w:tcPr>
                <w:p w14:paraId="5E892D86">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18"/>
                      <w:szCs w:val="18"/>
                      <w:lang w:bidi="ar"/>
                    </w:rPr>
                  </w:pPr>
                </w:p>
              </w:tc>
              <w:tc>
                <w:tcPr>
                  <w:tcW w:w="1221" w:type="dxa"/>
                  <w:vMerge w:val="continue"/>
                  <w:noWrap w:val="0"/>
                  <w:vAlign w:val="center"/>
                </w:tcPr>
                <w:p w14:paraId="57B88DFC">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auto"/>
                      <w:kern w:val="18"/>
                      <w:sz w:val="18"/>
                      <w:szCs w:val="18"/>
                      <w:lang w:eastAsia="zh-CN"/>
                    </w:rPr>
                  </w:pPr>
                </w:p>
              </w:tc>
              <w:tc>
                <w:tcPr>
                  <w:tcW w:w="765" w:type="dxa"/>
                  <w:noWrap w:val="0"/>
                  <w:vAlign w:val="center"/>
                </w:tcPr>
                <w:p w14:paraId="6FF28A18">
                  <w:pPr>
                    <w:widowControl/>
                    <w:jc w:val="center"/>
                    <w:textAlignment w:val="center"/>
                    <w:rPr>
                      <w:rFonts w:hint="eastAsia"/>
                      <w:snapToGrid w:val="0"/>
                      <w:color w:val="auto"/>
                      <w:kern w:val="18"/>
                      <w:sz w:val="18"/>
                      <w:szCs w:val="18"/>
                    </w:rPr>
                  </w:pPr>
                  <w:r>
                    <w:rPr>
                      <w:rFonts w:hint="eastAsia" w:ascii="Times New Roman" w:hAnsi="Times New Roman" w:cs="Times New Roman"/>
                      <w:b w:val="0"/>
                      <w:bCs w:val="0"/>
                      <w:color w:val="auto"/>
                      <w:kern w:val="0"/>
                      <w:sz w:val="18"/>
                      <w:szCs w:val="18"/>
                      <w:highlight w:val="none"/>
                      <w:lang w:val="en-US" w:eastAsia="zh-CN" w:bidi="ar"/>
                    </w:rPr>
                    <w:t>苯系物</w:t>
                  </w:r>
                </w:p>
              </w:tc>
              <w:tc>
                <w:tcPr>
                  <w:tcW w:w="1200" w:type="dxa"/>
                  <w:noWrap w:val="0"/>
                  <w:vAlign w:val="center"/>
                </w:tcPr>
                <w:p w14:paraId="0937FE16">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1.9</w:t>
                  </w:r>
                </w:p>
              </w:tc>
              <w:tc>
                <w:tcPr>
                  <w:tcW w:w="1124" w:type="dxa"/>
                  <w:noWrap w:val="0"/>
                  <w:vAlign w:val="center"/>
                </w:tcPr>
                <w:p w14:paraId="750D41A2">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0.037</w:t>
                  </w:r>
                </w:p>
              </w:tc>
              <w:tc>
                <w:tcPr>
                  <w:tcW w:w="897" w:type="dxa"/>
                  <w:noWrap w:val="0"/>
                  <w:vAlign w:val="center"/>
                </w:tcPr>
                <w:p w14:paraId="2B0BB004">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735" w:type="dxa"/>
                  <w:noWrap w:val="0"/>
                  <w:vAlign w:val="center"/>
                </w:tcPr>
                <w:p w14:paraId="0853C779">
                  <w:pPr>
                    <w:widowControl/>
                    <w:jc w:val="center"/>
                    <w:textAlignment w:val="center"/>
                    <w:rPr>
                      <w:rFonts w:hint="eastAsia"/>
                      <w:color w:val="auto"/>
                      <w:sz w:val="18"/>
                      <w:szCs w:val="18"/>
                      <w:lang w:val="en-US" w:eastAsia="zh-CN"/>
                    </w:rPr>
                  </w:pPr>
                  <w:r>
                    <w:rPr>
                      <w:rFonts w:hint="eastAsia" w:cs="Times New Roman"/>
                      <w:b w:val="0"/>
                      <w:bCs w:val="0"/>
                      <w:color w:val="auto"/>
                      <w:kern w:val="0"/>
                      <w:sz w:val="18"/>
                      <w:szCs w:val="18"/>
                      <w:highlight w:val="none"/>
                      <w:lang w:val="en-US" w:eastAsia="zh-CN" w:bidi="ar"/>
                    </w:rPr>
                    <w:t>0.037</w:t>
                  </w:r>
                </w:p>
              </w:tc>
              <w:tc>
                <w:tcPr>
                  <w:tcW w:w="789" w:type="dxa"/>
                  <w:noWrap w:val="0"/>
                  <w:vAlign w:val="center"/>
                </w:tcPr>
                <w:p w14:paraId="26477D0C">
                  <w:pPr>
                    <w:keepNext w:val="0"/>
                    <w:keepLines w:val="0"/>
                    <w:pageBreakBefore w:val="0"/>
                    <w:kinsoku/>
                    <w:wordWrap/>
                    <w:overflowPunct/>
                    <w:topLinePunct w:val="0"/>
                    <w:autoSpaceDE/>
                    <w:autoSpaceDN/>
                    <w:bidi w:val="0"/>
                    <w:snapToGrid/>
                    <w:spacing w:line="240" w:lineRule="auto"/>
                    <w:jc w:val="center"/>
                    <w:textAlignment w:val="auto"/>
                    <w:rPr>
                      <w:snapToGrid w:val="0"/>
                      <w:color w:val="auto"/>
                      <w:kern w:val="18"/>
                      <w:sz w:val="18"/>
                      <w:szCs w:val="18"/>
                    </w:rPr>
                  </w:pPr>
                  <w:r>
                    <w:rPr>
                      <w:snapToGrid w:val="0"/>
                      <w:color w:val="auto"/>
                      <w:kern w:val="18"/>
                      <w:sz w:val="18"/>
                      <w:szCs w:val="18"/>
                    </w:rPr>
                    <w:t>1</w:t>
                  </w:r>
                </w:p>
              </w:tc>
              <w:tc>
                <w:tcPr>
                  <w:tcW w:w="816" w:type="dxa"/>
                  <w:vMerge w:val="continue"/>
                  <w:noWrap w:val="0"/>
                  <w:vAlign w:val="center"/>
                </w:tcPr>
                <w:p w14:paraId="5353D7DD">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r>
            <w:tr w14:paraId="70EB3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noWrap w:val="0"/>
                  <w:vAlign w:val="center"/>
                </w:tcPr>
                <w:p w14:paraId="4C84BE5A">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c>
                <w:tcPr>
                  <w:tcW w:w="791" w:type="dxa"/>
                  <w:vMerge w:val="continue"/>
                  <w:noWrap w:val="0"/>
                  <w:vAlign w:val="center"/>
                </w:tcPr>
                <w:p w14:paraId="0774CEA3">
                  <w:pPr>
                    <w:keepNext w:val="0"/>
                    <w:keepLines w:val="0"/>
                    <w:pageBreakBefore w:val="0"/>
                    <w:widowControl/>
                    <w:kinsoku/>
                    <w:wordWrap/>
                    <w:overflowPunct/>
                    <w:topLinePunct w:val="0"/>
                    <w:autoSpaceDE/>
                    <w:autoSpaceDN/>
                    <w:bidi w:val="0"/>
                    <w:spacing w:line="240" w:lineRule="auto"/>
                    <w:jc w:val="center"/>
                    <w:textAlignment w:val="auto"/>
                    <w:rPr>
                      <w:color w:val="auto"/>
                      <w:kern w:val="0"/>
                      <w:sz w:val="18"/>
                      <w:szCs w:val="18"/>
                      <w:lang w:bidi="ar"/>
                    </w:rPr>
                  </w:pPr>
                </w:p>
              </w:tc>
              <w:tc>
                <w:tcPr>
                  <w:tcW w:w="1221" w:type="dxa"/>
                  <w:vMerge w:val="continue"/>
                  <w:noWrap w:val="0"/>
                  <w:vAlign w:val="center"/>
                </w:tcPr>
                <w:p w14:paraId="58501116">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auto"/>
                      <w:kern w:val="18"/>
                      <w:sz w:val="18"/>
                      <w:szCs w:val="18"/>
                      <w:lang w:eastAsia="zh-CN"/>
                    </w:rPr>
                  </w:pPr>
                </w:p>
              </w:tc>
              <w:tc>
                <w:tcPr>
                  <w:tcW w:w="765" w:type="dxa"/>
                  <w:noWrap w:val="0"/>
                  <w:vAlign w:val="center"/>
                </w:tcPr>
                <w:p w14:paraId="3C4BDB61">
                  <w:pPr>
                    <w:widowControl/>
                    <w:jc w:val="center"/>
                    <w:textAlignment w:val="center"/>
                    <w:rPr>
                      <w:rFonts w:hint="default" w:ascii="Times New Roman" w:hAnsi="Times New Roman"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氯化氢</w:t>
                  </w:r>
                </w:p>
              </w:tc>
              <w:tc>
                <w:tcPr>
                  <w:tcW w:w="1200" w:type="dxa"/>
                  <w:noWrap w:val="0"/>
                  <w:vAlign w:val="center"/>
                </w:tcPr>
                <w:p w14:paraId="36314138">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0.55</w:t>
                  </w:r>
                </w:p>
              </w:tc>
              <w:tc>
                <w:tcPr>
                  <w:tcW w:w="1124" w:type="dxa"/>
                  <w:noWrap w:val="0"/>
                  <w:vAlign w:val="center"/>
                </w:tcPr>
                <w:p w14:paraId="6C237AD3">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897" w:type="dxa"/>
                  <w:noWrap w:val="0"/>
                  <w:vAlign w:val="center"/>
                </w:tcPr>
                <w:p w14:paraId="2B349DF0">
                  <w:pPr>
                    <w:keepNext w:val="0"/>
                    <w:keepLines w:val="0"/>
                    <w:pageBreakBefore w:val="0"/>
                    <w:kinsoku/>
                    <w:wordWrap/>
                    <w:overflowPunct/>
                    <w:topLinePunct w:val="0"/>
                    <w:autoSpaceDE/>
                    <w:autoSpaceDN/>
                    <w:bidi w:val="0"/>
                    <w:snapToGrid/>
                    <w:spacing w:line="240" w:lineRule="auto"/>
                    <w:jc w:val="center"/>
                    <w:textAlignment w:val="auto"/>
                    <w:rPr>
                      <w:rFonts w:hint="eastAsia" w:eastAsia="宋体"/>
                      <w:snapToGrid w:val="0"/>
                      <w:color w:val="auto"/>
                      <w:kern w:val="18"/>
                      <w:sz w:val="18"/>
                      <w:szCs w:val="18"/>
                      <w:lang w:val="en-US" w:eastAsia="zh-CN"/>
                    </w:rPr>
                  </w:pPr>
                  <w:r>
                    <w:rPr>
                      <w:rFonts w:hint="eastAsia"/>
                      <w:snapToGrid w:val="0"/>
                      <w:color w:val="auto"/>
                      <w:kern w:val="18"/>
                      <w:sz w:val="18"/>
                      <w:szCs w:val="18"/>
                      <w:lang w:val="en-US" w:eastAsia="zh-CN"/>
                    </w:rPr>
                    <w:t>1</w:t>
                  </w:r>
                </w:p>
              </w:tc>
              <w:tc>
                <w:tcPr>
                  <w:tcW w:w="735" w:type="dxa"/>
                  <w:noWrap w:val="0"/>
                  <w:vAlign w:val="center"/>
                </w:tcPr>
                <w:p w14:paraId="081B91E7">
                  <w:pPr>
                    <w:widowControl/>
                    <w:jc w:val="center"/>
                    <w:textAlignment w:val="center"/>
                    <w:rPr>
                      <w:rFonts w:hint="default" w:cs="Times New Roman"/>
                      <w:b w:val="0"/>
                      <w:bCs w:val="0"/>
                      <w:color w:val="auto"/>
                      <w:kern w:val="0"/>
                      <w:sz w:val="18"/>
                      <w:szCs w:val="18"/>
                      <w:highlight w:val="none"/>
                      <w:lang w:val="en-US" w:eastAsia="zh-CN" w:bidi="ar"/>
                    </w:rPr>
                  </w:pPr>
                  <w:r>
                    <w:rPr>
                      <w:rFonts w:hint="eastAsia" w:cs="Times New Roman"/>
                      <w:b w:val="0"/>
                      <w:bCs w:val="0"/>
                      <w:color w:val="auto"/>
                      <w:kern w:val="0"/>
                      <w:sz w:val="18"/>
                      <w:szCs w:val="18"/>
                      <w:highlight w:val="none"/>
                      <w:lang w:val="en-US" w:eastAsia="zh-CN" w:bidi="ar"/>
                    </w:rPr>
                    <w:t>0.011</w:t>
                  </w:r>
                </w:p>
              </w:tc>
              <w:tc>
                <w:tcPr>
                  <w:tcW w:w="789" w:type="dxa"/>
                  <w:noWrap w:val="0"/>
                  <w:vAlign w:val="center"/>
                </w:tcPr>
                <w:p w14:paraId="455ED078">
                  <w:pPr>
                    <w:keepNext w:val="0"/>
                    <w:keepLines w:val="0"/>
                    <w:pageBreakBefore w:val="0"/>
                    <w:kinsoku/>
                    <w:wordWrap/>
                    <w:overflowPunct/>
                    <w:topLinePunct w:val="0"/>
                    <w:autoSpaceDE/>
                    <w:autoSpaceDN/>
                    <w:bidi w:val="0"/>
                    <w:snapToGrid/>
                    <w:spacing w:line="240" w:lineRule="auto"/>
                    <w:jc w:val="center"/>
                    <w:textAlignment w:val="auto"/>
                    <w:rPr>
                      <w:rFonts w:hint="eastAsia" w:eastAsia="宋体"/>
                      <w:snapToGrid w:val="0"/>
                      <w:color w:val="auto"/>
                      <w:kern w:val="18"/>
                      <w:sz w:val="18"/>
                      <w:szCs w:val="18"/>
                      <w:lang w:val="en-US" w:eastAsia="zh-CN"/>
                    </w:rPr>
                  </w:pPr>
                  <w:r>
                    <w:rPr>
                      <w:rFonts w:hint="eastAsia"/>
                      <w:snapToGrid w:val="0"/>
                      <w:color w:val="auto"/>
                      <w:kern w:val="18"/>
                      <w:sz w:val="18"/>
                      <w:szCs w:val="18"/>
                      <w:lang w:val="en-US" w:eastAsia="zh-CN"/>
                    </w:rPr>
                    <w:t>1</w:t>
                  </w:r>
                </w:p>
              </w:tc>
              <w:tc>
                <w:tcPr>
                  <w:tcW w:w="816" w:type="dxa"/>
                  <w:vMerge w:val="continue"/>
                  <w:noWrap w:val="0"/>
                  <w:vAlign w:val="center"/>
                </w:tcPr>
                <w:p w14:paraId="660F616F">
                  <w:pPr>
                    <w:pStyle w:val="86"/>
                    <w:keepNext w:val="0"/>
                    <w:keepLines w:val="0"/>
                    <w:pageBreakBefore w:val="0"/>
                    <w:kinsoku/>
                    <w:wordWrap/>
                    <w:overflowPunct/>
                    <w:topLinePunct w:val="0"/>
                    <w:autoSpaceDE/>
                    <w:autoSpaceDN/>
                    <w:bidi w:val="0"/>
                    <w:snapToGrid/>
                    <w:spacing w:line="240" w:lineRule="auto"/>
                    <w:textAlignment w:val="auto"/>
                    <w:rPr>
                      <w:snapToGrid w:val="0"/>
                      <w:color w:val="auto"/>
                      <w:kern w:val="18"/>
                      <w:sz w:val="18"/>
                      <w:szCs w:val="18"/>
                    </w:rPr>
                  </w:pPr>
                </w:p>
              </w:tc>
            </w:tr>
          </w:tbl>
          <w:p w14:paraId="4EBE0036">
            <w:pPr>
              <w:adjustRightInd w:val="0"/>
              <w:snapToGrid w:val="0"/>
              <w:spacing w:before="120" w:beforeLines="50" w:line="360" w:lineRule="auto"/>
              <w:ind w:firstLine="480" w:firstLineChars="200"/>
              <w:rPr>
                <w:b/>
                <w:color w:val="auto"/>
                <w:kern w:val="0"/>
                <w:sz w:val="24"/>
              </w:rPr>
            </w:pPr>
            <w:r>
              <w:rPr>
                <w:color w:val="auto"/>
                <w:sz w:val="24"/>
              </w:rPr>
              <w:t>由表4-</w:t>
            </w:r>
            <w:r>
              <w:rPr>
                <w:rFonts w:hint="eastAsia"/>
                <w:color w:val="auto"/>
                <w:sz w:val="24"/>
                <w:lang w:val="en-US" w:eastAsia="zh-CN"/>
              </w:rPr>
              <w:t>10</w:t>
            </w:r>
            <w:r>
              <w:rPr>
                <w:color w:val="auto"/>
                <w:sz w:val="24"/>
              </w:rPr>
              <w:t>可知，</w:t>
            </w:r>
            <w:r>
              <w:rPr>
                <w:rFonts w:hint="eastAsia"/>
                <w:color w:val="auto"/>
                <w:sz w:val="24"/>
              </w:rPr>
              <w:t>非正常工况下，</w:t>
            </w:r>
            <w:r>
              <w:rPr>
                <w:rFonts w:hint="eastAsia"/>
                <w:color w:val="auto"/>
                <w:sz w:val="24"/>
                <w:lang w:eastAsia="zh-CN"/>
              </w:rPr>
              <w:t>非甲烷总烃</w:t>
            </w:r>
            <w:r>
              <w:rPr>
                <w:rFonts w:hint="eastAsia"/>
                <w:color w:val="auto"/>
                <w:sz w:val="24"/>
              </w:rPr>
              <w:t>排放，对周边大气环境影响较大，要求建设单位在实际生产运行中应做好设备的维护和保养，确保设备稳定运行，一旦发生非正常工况，应及时在保证安全的情况下停止排污，严禁超标排放。发生事故后应在1h内响应，采取停产、检修、更换吸附剂等措施，最长非正常排放的时间不得超过2h，尽可能减轻对大气环境的影响。</w:t>
            </w:r>
          </w:p>
          <w:p w14:paraId="47CF4E67">
            <w:pPr>
              <w:pStyle w:val="4"/>
              <w:bidi w:val="0"/>
              <w:rPr>
                <w:color w:val="auto"/>
                <w:highlight w:val="none"/>
              </w:rPr>
            </w:pPr>
            <w:r>
              <w:rPr>
                <w:color w:val="auto"/>
                <w:highlight w:val="none"/>
              </w:rPr>
              <w:t>4.</w:t>
            </w:r>
            <w:r>
              <w:rPr>
                <w:rFonts w:hint="eastAsia"/>
                <w:color w:val="auto"/>
                <w:highlight w:val="none"/>
              </w:rPr>
              <w:t>2</w:t>
            </w:r>
            <w:r>
              <w:rPr>
                <w:color w:val="auto"/>
                <w:highlight w:val="none"/>
              </w:rPr>
              <w:t>.</w:t>
            </w:r>
            <w:r>
              <w:rPr>
                <w:rFonts w:hint="eastAsia"/>
                <w:color w:val="auto"/>
                <w:highlight w:val="none"/>
              </w:rPr>
              <w:t>3</w:t>
            </w:r>
            <w:r>
              <w:rPr>
                <w:color w:val="auto"/>
                <w:highlight w:val="none"/>
              </w:rPr>
              <w:t>运营期大气影响和污染防治措施</w:t>
            </w:r>
            <w:r>
              <w:rPr>
                <w:rFonts w:hint="eastAsia"/>
                <w:color w:val="auto"/>
                <w:highlight w:val="none"/>
              </w:rPr>
              <w:t>可行性</w:t>
            </w:r>
            <w:r>
              <w:rPr>
                <w:color w:val="auto"/>
                <w:highlight w:val="none"/>
              </w:rPr>
              <w:t>分析</w:t>
            </w:r>
          </w:p>
          <w:p w14:paraId="59DE79EB">
            <w:pPr>
              <w:numPr>
                <w:ilvl w:val="0"/>
                <w:numId w:val="9"/>
              </w:numPr>
              <w:autoSpaceDE w:val="0"/>
              <w:autoSpaceDN w:val="0"/>
              <w:spacing w:line="360" w:lineRule="auto"/>
              <w:ind w:firstLine="480" w:firstLineChars="200"/>
              <w:textAlignment w:val="bottom"/>
              <w:rPr>
                <w:color w:val="auto"/>
                <w:kern w:val="0"/>
                <w:sz w:val="24"/>
                <w:szCs w:val="20"/>
                <w:highlight w:val="none"/>
              </w:rPr>
            </w:pPr>
            <w:r>
              <w:rPr>
                <w:color w:val="auto"/>
                <w:kern w:val="0"/>
                <w:sz w:val="24"/>
                <w:szCs w:val="20"/>
                <w:highlight w:val="none"/>
              </w:rPr>
              <w:t>废气处理措施</w:t>
            </w:r>
          </w:p>
          <w:p w14:paraId="7FB30081">
            <w:pPr>
              <w:pStyle w:val="63"/>
              <w:widowControl w:val="0"/>
              <w:numPr>
                <w:ilvl w:val="0"/>
                <w:numId w:val="0"/>
              </w:numPr>
              <w:autoSpaceDE w:val="0"/>
              <w:autoSpaceDN w:val="0"/>
              <w:adjustRightInd w:val="0"/>
              <w:jc w:val="center"/>
              <w:rPr>
                <w:rFonts w:eastAsia="黑体"/>
                <w:color w:val="auto"/>
                <w:sz w:val="24"/>
                <w:highlight w:val="none"/>
              </w:rPr>
            </w:pPr>
            <w:r>
              <w:rPr>
                <w:rFonts w:eastAsia="黑体"/>
                <w:color w:val="auto"/>
                <w:sz w:val="24"/>
                <w:highlight w:val="none"/>
              </w:rPr>
              <w:object>
                <v:shape id="_x0000_i1034" o:spt="75" type="#_x0000_t75" style="height:192.5pt;width:438.15pt;" o:ole="t" filled="f" o:preferrelative="t" stroked="f" coordsize="21600,21600">
                  <v:path/>
                  <v:fill on="f" focussize="0,0"/>
                  <v:stroke on="f"/>
                  <v:imagedata r:id="rId39" o:title=""/>
                  <o:lock v:ext="edit" aspectratio="f"/>
                  <w10:wrap type="none"/>
                  <w10:anchorlock/>
                </v:shape>
                <o:OLEObject Type="Embed" ProgID="Visio.Drawing.15" ShapeID="_x0000_i1034" DrawAspect="Content" ObjectID="_1468075734" r:id="rId38">
                  <o:LockedField>false</o:LockedField>
                </o:OLEObject>
              </w:object>
            </w:r>
            <w:r>
              <w:rPr>
                <w:rFonts w:hint="default" w:ascii="Times New Roman" w:hAnsi="Times New Roman" w:eastAsia="黑体" w:cs="Times New Roman"/>
                <w:color w:val="auto"/>
                <w:sz w:val="24"/>
                <w:highlight w:val="none"/>
              </w:rPr>
              <w:t>图4-1 本项目废气收集、处理措施流程图</w:t>
            </w:r>
          </w:p>
          <w:p w14:paraId="065B4041">
            <w:pPr>
              <w:autoSpaceDE w:val="0"/>
              <w:autoSpaceDN w:val="0"/>
              <w:spacing w:line="360" w:lineRule="auto"/>
              <w:ind w:firstLine="480" w:firstLineChars="200"/>
              <w:textAlignment w:val="bottom"/>
              <w:rPr>
                <w:color w:val="auto"/>
                <w:kern w:val="0"/>
                <w:sz w:val="24"/>
                <w:szCs w:val="20"/>
                <w:highlight w:val="none"/>
              </w:rPr>
            </w:pPr>
            <w:r>
              <w:rPr>
                <w:color w:val="auto"/>
                <w:kern w:val="0"/>
                <w:sz w:val="24"/>
                <w:szCs w:val="20"/>
                <w:highlight w:val="none"/>
              </w:rPr>
              <w:t>工艺原理</w:t>
            </w:r>
          </w:p>
          <w:p w14:paraId="67C854FF">
            <w:pPr>
              <w:adjustRightInd w:val="0"/>
              <w:snapToGrid w:val="0"/>
              <w:spacing w:line="360" w:lineRule="auto"/>
              <w:ind w:firstLine="482" w:firstLineChars="200"/>
              <w:rPr>
                <w:b/>
                <w:bCs/>
                <w:color w:val="auto"/>
                <w:sz w:val="24"/>
              </w:rPr>
            </w:pPr>
            <w:r>
              <w:rPr>
                <w:rFonts w:hint="eastAsia"/>
                <w:b/>
                <w:bCs/>
                <w:color w:val="auto"/>
                <w:sz w:val="24"/>
                <w:lang w:val="en-US" w:eastAsia="zh-CN"/>
              </w:rPr>
              <w:t>①</w:t>
            </w:r>
            <w:r>
              <w:rPr>
                <w:b/>
                <w:bCs/>
                <w:color w:val="auto"/>
                <w:sz w:val="24"/>
              </w:rPr>
              <w:t>布袋除尘器</w:t>
            </w:r>
          </w:p>
          <w:p w14:paraId="0B71ABDB">
            <w:pPr>
              <w:adjustRightInd w:val="0"/>
              <w:snapToGrid w:val="0"/>
              <w:spacing w:line="360" w:lineRule="auto"/>
              <w:ind w:firstLine="480" w:firstLineChars="200"/>
              <w:rPr>
                <w:rFonts w:hint="eastAsia" w:eastAsia="宋体"/>
                <w:color w:val="auto"/>
                <w:sz w:val="24"/>
                <w:lang w:eastAsia="zh-CN"/>
              </w:rPr>
            </w:pPr>
            <w:r>
              <w:rPr>
                <w:color w:val="auto"/>
                <w:sz w:val="24"/>
              </w:rPr>
              <w:t>袋式除尘器</w:t>
            </w:r>
            <w:r>
              <w:rPr>
                <w:rFonts w:hint="eastAsia"/>
                <w:color w:val="auto"/>
                <w:sz w:val="24"/>
              </w:rPr>
              <w:t>由滤袋系统（垂直或倾斜布置于箱体花板上）、箱体与灰斗（含尘气体通过进风管进入，粗颗粒粉尘因重力沉降）、清灰装置（采用机械振动或反吹风方式清灰，避免破坏滤袋表面的粉尘初层以维持效率）以及排灰机构（清灰后脱落的粉尘经双层卸灰阀排出）组成</w:t>
            </w:r>
            <w:r>
              <w:rPr>
                <w:rFonts w:hint="eastAsia"/>
                <w:color w:val="auto"/>
                <w:sz w:val="24"/>
                <w:lang w:eastAsia="zh-CN"/>
              </w:rPr>
              <w:t>。</w:t>
            </w:r>
            <w:r>
              <w:rPr>
                <w:rFonts w:hint="eastAsia"/>
                <w:color w:val="auto"/>
                <w:sz w:val="24"/>
              </w:rPr>
              <w:t>其工作原理为：含尘气体经导流板减速后，粗颗粒落入灰斗，细颗粒通过滤袋时被纤维的筛分、惯性碰撞等作用截留，净化气体从袋口排出；当阻力达到设定值，机械振动装置或反吹风系统启动使粉尘层脱落，落入灰斗；清灰后的粉尘经卸灰装置集中处理，设备恢复过滤状态，该</w:t>
            </w:r>
            <w:r>
              <w:rPr>
                <w:color w:val="auto"/>
                <w:sz w:val="24"/>
              </w:rPr>
              <w:t>布袋除尘器对于粉尘的处理效率通常可达到99%以上</w:t>
            </w:r>
            <w:r>
              <w:rPr>
                <w:rFonts w:hint="eastAsia"/>
                <w:color w:val="auto"/>
                <w:sz w:val="24"/>
                <w:lang w:eastAsia="zh-CN"/>
              </w:rPr>
              <w:t>。</w:t>
            </w:r>
          </w:p>
          <w:p w14:paraId="68F4313E">
            <w:pPr>
              <w:adjustRightInd w:val="0"/>
              <w:snapToGrid w:val="0"/>
              <w:spacing w:line="360" w:lineRule="auto"/>
              <w:ind w:firstLine="480" w:firstLineChars="200"/>
              <w:rPr>
                <w:color w:val="auto"/>
                <w:sz w:val="24"/>
              </w:rPr>
            </w:pPr>
            <w:r>
              <w:rPr>
                <w:color w:val="auto"/>
                <w:sz w:val="24"/>
              </w:rPr>
              <w:t>本项目进入布袋除尘器粉尘均为常温下粉尘，可满足除尘器对进气温度的要求（250℃以下），符合《袋式除尘工程通用技术规范》（HJ 2020-2012）要求。</w:t>
            </w:r>
          </w:p>
          <w:p w14:paraId="0C61E412">
            <w:pPr>
              <w:widowControl/>
              <w:tabs>
                <w:tab w:val="left" w:pos="1339"/>
              </w:tabs>
              <w:spacing w:line="360" w:lineRule="auto"/>
              <w:ind w:firstLine="482" w:firstLineChars="200"/>
              <w:rPr>
                <w:bCs/>
                <w:color w:val="auto"/>
                <w:kern w:val="0"/>
                <w:sz w:val="24"/>
              </w:rPr>
            </w:pPr>
            <w:r>
              <w:rPr>
                <w:rFonts w:hint="eastAsia"/>
                <w:b/>
                <w:bCs/>
                <w:color w:val="auto"/>
                <w:sz w:val="24"/>
                <w:lang w:val="en-US" w:eastAsia="zh-CN"/>
              </w:rPr>
              <w:t>②</w:t>
            </w:r>
            <w:r>
              <w:rPr>
                <w:b/>
                <w:color w:val="auto"/>
                <w:kern w:val="0"/>
                <w:sz w:val="24"/>
              </w:rPr>
              <w:t>移动式焊接烟尘净化器：</w:t>
            </w:r>
            <w:r>
              <w:rPr>
                <w:bCs/>
                <w:color w:val="auto"/>
                <w:kern w:val="0"/>
                <w:sz w:val="24"/>
              </w:rPr>
              <w:t>是专为治理焊接作业时产生烟尘、粉尘、有毒气体而开发的一款工业环保设备，它广泛应用于各种焊接、抛光打磨、化学品生产等场所。</w:t>
            </w:r>
          </w:p>
          <w:p w14:paraId="22773958">
            <w:pPr>
              <w:widowControl/>
              <w:tabs>
                <w:tab w:val="left" w:pos="1339"/>
              </w:tabs>
              <w:spacing w:line="360" w:lineRule="auto"/>
              <w:ind w:firstLine="482" w:firstLineChars="200"/>
              <w:rPr>
                <w:bCs/>
                <w:color w:val="auto"/>
                <w:kern w:val="0"/>
                <w:sz w:val="24"/>
              </w:rPr>
            </w:pPr>
            <w:r>
              <w:rPr>
                <w:b/>
                <w:color w:val="auto"/>
                <w:kern w:val="0"/>
                <w:sz w:val="24"/>
              </w:rPr>
              <w:t>工作原理：</w:t>
            </w:r>
            <w:r>
              <w:rPr>
                <w:bCs/>
                <w:color w:val="auto"/>
                <w:kern w:val="0"/>
                <w:sz w:val="24"/>
              </w:rPr>
              <w:t>内部高压风机在吸气臂罩口处形成负压区域，焊接烟尘在负压的作用下由吸气臂进入焊接烟尘净化器设备主体，进风口处阻火器阻留焊接火花，烟尘气体进入焊接烟尘净化器设备主体净化室，高效过滤芯将微小烟雾粉尘颗粒过滤在焊接烟尘净化器设备净化室内，洁净气体经滤芯过滤净化后进入焊接烟雾净化器设备洁净室，洁净空气又经</w:t>
            </w:r>
            <w:r>
              <w:rPr>
                <w:rFonts w:hint="eastAsia"/>
                <w:bCs/>
                <w:color w:val="auto"/>
                <w:kern w:val="0"/>
                <w:sz w:val="24"/>
                <w:lang w:eastAsia="zh-CN"/>
              </w:rPr>
              <w:t>活性炭</w:t>
            </w:r>
            <w:r>
              <w:rPr>
                <w:bCs/>
                <w:color w:val="auto"/>
                <w:kern w:val="0"/>
                <w:sz w:val="24"/>
              </w:rPr>
              <w:t>过滤器进一步吸附净化后经出风口排出。该装置捕集效率</w:t>
            </w:r>
            <w:r>
              <w:rPr>
                <w:rFonts w:hint="eastAsia"/>
                <w:bCs/>
                <w:color w:val="auto"/>
                <w:kern w:val="0"/>
                <w:sz w:val="24"/>
              </w:rPr>
              <w:t>为</w:t>
            </w:r>
            <w:r>
              <w:rPr>
                <w:bCs/>
                <w:color w:val="auto"/>
                <w:kern w:val="0"/>
                <w:sz w:val="24"/>
              </w:rPr>
              <w:t>8</w:t>
            </w:r>
            <w:r>
              <w:rPr>
                <w:rFonts w:hint="eastAsia"/>
                <w:bCs/>
                <w:color w:val="auto"/>
                <w:kern w:val="0"/>
                <w:sz w:val="24"/>
              </w:rPr>
              <w:t>0</w:t>
            </w:r>
            <w:r>
              <w:rPr>
                <w:bCs/>
                <w:color w:val="auto"/>
                <w:kern w:val="0"/>
                <w:sz w:val="24"/>
              </w:rPr>
              <w:t>%</w:t>
            </w:r>
            <w:r>
              <w:rPr>
                <w:rFonts w:hint="eastAsia"/>
                <w:bCs/>
                <w:color w:val="auto"/>
                <w:kern w:val="0"/>
                <w:sz w:val="24"/>
              </w:rPr>
              <w:t>。</w:t>
            </w:r>
          </w:p>
          <w:p w14:paraId="52DF9E4A">
            <w:pPr>
              <w:widowControl/>
              <w:tabs>
                <w:tab w:val="left" w:pos="1339"/>
              </w:tabs>
              <w:spacing w:line="360" w:lineRule="auto"/>
              <w:ind w:firstLine="480" w:firstLineChars="200"/>
              <w:rPr>
                <w:bCs/>
                <w:color w:val="auto"/>
                <w:kern w:val="0"/>
                <w:sz w:val="24"/>
              </w:rPr>
            </w:pPr>
            <w:r>
              <w:rPr>
                <w:color w:val="auto"/>
                <w:sz w:val="24"/>
              </w:rPr>
              <w:t>参考《排放源统计调查产排污核算方法和系数手册》——33-37、431-434 机械行业系数手册，</w:t>
            </w:r>
            <w:r>
              <w:rPr>
                <w:rFonts w:hint="eastAsia"/>
                <w:color w:val="auto"/>
                <w:sz w:val="24"/>
              </w:rPr>
              <w:t>移动式烟尘净化器对</w:t>
            </w:r>
            <w:r>
              <w:rPr>
                <w:bCs/>
                <w:color w:val="auto"/>
                <w:kern w:val="0"/>
                <w:sz w:val="24"/>
              </w:rPr>
              <w:t>颗粒物</w:t>
            </w:r>
            <w:r>
              <w:rPr>
                <w:rFonts w:hint="eastAsia"/>
                <w:bCs/>
                <w:color w:val="auto"/>
                <w:kern w:val="0"/>
                <w:sz w:val="24"/>
              </w:rPr>
              <w:t>去除</w:t>
            </w:r>
            <w:r>
              <w:rPr>
                <w:bCs/>
                <w:color w:val="auto"/>
                <w:kern w:val="0"/>
                <w:sz w:val="24"/>
              </w:rPr>
              <w:t>效率</w:t>
            </w:r>
            <w:r>
              <w:rPr>
                <w:rFonts w:hint="eastAsia"/>
                <w:bCs/>
                <w:color w:val="auto"/>
                <w:kern w:val="0"/>
                <w:sz w:val="24"/>
              </w:rPr>
              <w:t>为</w:t>
            </w:r>
            <w:r>
              <w:rPr>
                <w:bCs/>
                <w:color w:val="auto"/>
                <w:kern w:val="0"/>
                <w:sz w:val="24"/>
              </w:rPr>
              <w:t>9</w:t>
            </w:r>
            <w:r>
              <w:rPr>
                <w:rFonts w:hint="eastAsia"/>
                <w:bCs/>
                <w:color w:val="auto"/>
                <w:kern w:val="0"/>
                <w:sz w:val="24"/>
              </w:rPr>
              <w:t>5</w:t>
            </w:r>
            <w:r>
              <w:rPr>
                <w:bCs/>
                <w:color w:val="auto"/>
                <w:kern w:val="0"/>
                <w:sz w:val="24"/>
              </w:rPr>
              <w:t>%</w:t>
            </w:r>
            <w:r>
              <w:rPr>
                <w:rFonts w:hint="eastAsia"/>
                <w:color w:val="auto"/>
                <w:sz w:val="24"/>
              </w:rPr>
              <w:t>，本项目去除效率选取95%可行。</w:t>
            </w:r>
          </w:p>
          <w:p w14:paraId="7583F3C0">
            <w:pPr>
              <w:adjustRightInd w:val="0"/>
              <w:snapToGrid w:val="0"/>
              <w:spacing w:line="360" w:lineRule="auto"/>
              <w:ind w:firstLine="482" w:firstLineChars="200"/>
              <w:rPr>
                <w:rFonts w:hint="eastAsia"/>
                <w:b/>
                <w:bCs/>
                <w:color w:val="auto"/>
                <w:sz w:val="24"/>
                <w:szCs w:val="24"/>
                <w:highlight w:val="none"/>
                <w:lang w:eastAsia="zh-CN"/>
              </w:rPr>
            </w:pPr>
            <w:r>
              <w:rPr>
                <w:rFonts w:hint="eastAsia"/>
                <w:b/>
                <w:bCs/>
                <w:color w:val="auto"/>
                <w:sz w:val="24"/>
                <w:szCs w:val="24"/>
                <w:highlight w:val="none"/>
                <w:lang w:val="en-US" w:eastAsia="zh-CN"/>
              </w:rPr>
              <w:t>③活性炭吸附</w:t>
            </w:r>
            <w:r>
              <w:rPr>
                <w:rFonts w:hint="eastAsia"/>
                <w:b/>
                <w:bCs/>
                <w:color w:val="auto"/>
                <w:sz w:val="24"/>
                <w:szCs w:val="24"/>
                <w:highlight w:val="none"/>
                <w:lang w:eastAsia="zh-CN"/>
              </w:rPr>
              <w:t>：</w:t>
            </w:r>
          </w:p>
          <w:p w14:paraId="486D8204">
            <w:pPr>
              <w:adjustRightInd w:val="0"/>
              <w:snapToGrid w:val="0"/>
              <w:spacing w:line="360" w:lineRule="auto"/>
              <w:ind w:firstLine="482" w:firstLineChars="200"/>
              <w:rPr>
                <w:b/>
                <w:bCs/>
                <w:color w:val="auto"/>
                <w:sz w:val="24"/>
                <w:highlight w:val="none"/>
              </w:rPr>
            </w:pPr>
            <w:r>
              <w:rPr>
                <w:b/>
                <w:bCs/>
                <w:color w:val="auto"/>
                <w:sz w:val="24"/>
                <w:highlight w:val="none"/>
              </w:rPr>
              <w:t>结构图：</w:t>
            </w:r>
          </w:p>
          <w:p w14:paraId="1622B7D7">
            <w:pPr>
              <w:adjustRightInd w:val="0"/>
              <w:snapToGrid w:val="0"/>
              <w:spacing w:line="360" w:lineRule="auto"/>
              <w:jc w:val="center"/>
              <w:rPr>
                <w:color w:val="auto"/>
                <w:highlight w:val="none"/>
              </w:rPr>
            </w:pPr>
            <w:r>
              <w:rPr>
                <w:color w:val="auto"/>
                <w:highlight w:val="none"/>
              </w:rPr>
              <w:drawing>
                <wp:inline distT="0" distB="0" distL="114300" distR="114300">
                  <wp:extent cx="3907155" cy="2082165"/>
                  <wp:effectExtent l="0" t="0" r="17145" b="13335"/>
                  <wp:docPr id="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pic:cNvPicPr>
                            <a:picLocks noChangeAspect="1"/>
                          </pic:cNvPicPr>
                        </pic:nvPicPr>
                        <pic:blipFill>
                          <a:blip r:embed="rId40"/>
                          <a:stretch>
                            <a:fillRect/>
                          </a:stretch>
                        </pic:blipFill>
                        <pic:spPr>
                          <a:xfrm>
                            <a:off x="0" y="0"/>
                            <a:ext cx="3907155" cy="2082165"/>
                          </a:xfrm>
                          <a:prstGeom prst="rect">
                            <a:avLst/>
                          </a:prstGeom>
                          <a:noFill/>
                          <a:ln>
                            <a:noFill/>
                          </a:ln>
                        </pic:spPr>
                      </pic:pic>
                    </a:graphicData>
                  </a:graphic>
                </wp:inline>
              </w:drawing>
            </w:r>
          </w:p>
          <w:p w14:paraId="23AFF024">
            <w:pPr>
              <w:adjustRightInd w:val="0"/>
              <w:snapToGrid w:val="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图4-2  活性炭吸附箱示意图</w:t>
            </w:r>
          </w:p>
          <w:p w14:paraId="01646A98">
            <w:pPr>
              <w:spacing w:line="360" w:lineRule="auto"/>
              <w:ind w:firstLine="482" w:firstLineChars="200"/>
              <w:rPr>
                <w:bCs/>
                <w:color w:val="auto"/>
                <w:sz w:val="24"/>
                <w:highlight w:val="none"/>
              </w:rPr>
            </w:pPr>
            <w:r>
              <w:rPr>
                <w:b/>
                <w:color w:val="auto"/>
                <w:sz w:val="24"/>
                <w:highlight w:val="none"/>
              </w:rPr>
              <w:t>工作原理：</w:t>
            </w:r>
            <w:r>
              <w:rPr>
                <w:bCs/>
                <w:color w:val="auto"/>
                <w:sz w:val="24"/>
                <w:highlight w:val="none"/>
              </w:rPr>
              <w:t>由于固体表面上存在着未平衡和未饱和的分子引力或化学键力，因此当固体表面与气体接触时，就能吸引气体分子，使其凝聚并保持在固体表面，此现象称为吸附。利用固体表面的吸附能力，使废气与大表面的多孔性固体物质相接触，废气中的污染物被吸附在固体表面上，使其与气体混合物分离，达到净化目的。废气经空气过滤器除去微小悬浮颗粒后，进入吸附罐顶部，经过罐内活性炭吸附后，除去有害成分，符合排放标准的净化气体，经风机排出室外。</w:t>
            </w:r>
          </w:p>
          <w:p w14:paraId="1D3B056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Cs/>
                <w:color w:val="auto"/>
                <w:sz w:val="24"/>
                <w:highlight w:val="none"/>
                <w:lang w:eastAsia="zh-CN"/>
              </w:rPr>
            </w:pPr>
            <w:r>
              <w:rPr>
                <w:b/>
                <w:color w:val="auto"/>
                <w:sz w:val="24"/>
                <w:highlight w:val="none"/>
              </w:rPr>
              <w:t>处理效率：</w:t>
            </w:r>
            <w:r>
              <w:rPr>
                <w:bCs/>
                <w:color w:val="auto"/>
                <w:sz w:val="24"/>
                <w:highlight w:val="none"/>
              </w:rPr>
              <w:t>活性炭吸附能力主要是受其本身的比表面积、孔隙大小、分子间力、化学键合成等因素影响；而在实际应用中，对活性炭吸附装置的设计，关键是活性炭的过滤面积、过滤风速、活性炭的层厚。活性炭吸附装置过滤风速在《吸附法工业有机废气治理工程技术规范》(HJ2026—2013)中，可以查到固定床吸附，采用颗粒状吸附剂气体流速宜低于0.6m/s，采用纤维状吸附剂气体流速宜低于0.15m/s，采用蜂窝状吸附剂气体流速宜低于1.2m/s。适用于低浓度、大风量臭气，对醇类、脂肪类效果较明显。但处理湿度大的废气效果不好</w:t>
            </w:r>
            <w:r>
              <w:rPr>
                <w:rFonts w:hint="eastAsia"/>
                <w:bCs/>
                <w:color w:val="auto"/>
                <w:sz w:val="24"/>
                <w:highlight w:val="none"/>
                <w:lang w:eastAsia="zh-CN"/>
              </w:rPr>
              <w:t>。</w:t>
            </w:r>
          </w:p>
          <w:p w14:paraId="3DBC76C9">
            <w:pPr>
              <w:spacing w:line="360" w:lineRule="auto"/>
              <w:ind w:firstLine="482" w:firstLineChars="200"/>
              <w:rPr>
                <w:rFonts w:hint="eastAsia"/>
                <w:color w:val="auto"/>
                <w:sz w:val="24"/>
                <w:szCs w:val="24"/>
                <w:highlight w:val="none"/>
                <w:lang w:eastAsia="zh-CN"/>
              </w:rPr>
            </w:pPr>
            <w:r>
              <w:rPr>
                <w:rFonts w:hint="eastAsia"/>
                <w:b/>
                <w:bCs/>
                <w:color w:val="auto"/>
                <w:sz w:val="24"/>
                <w:highlight w:val="none"/>
              </w:rPr>
              <w:t>废气处理设施管理要求：</w:t>
            </w:r>
            <w:r>
              <w:rPr>
                <w:b/>
                <w:bCs/>
                <w:color w:val="auto"/>
                <w:sz w:val="24"/>
                <w:highlight w:val="none"/>
              </w:rPr>
              <w:t>应选择碘值不低于800mg/g的活性炭，活性炭使用一段时间后，将逐渐趋于饱和现象，当指示压力表的示值大于1000Pa时需进行更换</w:t>
            </w:r>
            <w:r>
              <w:rPr>
                <w:rFonts w:hint="eastAsia"/>
                <w:b/>
                <w:bCs/>
                <w:color w:val="auto"/>
                <w:sz w:val="24"/>
                <w:highlight w:val="none"/>
              </w:rPr>
              <w:t>，预计每月更换一次，</w:t>
            </w:r>
            <w:r>
              <w:rPr>
                <w:b/>
                <w:bCs/>
                <w:color w:val="auto"/>
                <w:sz w:val="24"/>
                <w:highlight w:val="none"/>
              </w:rPr>
              <w:t>更换后的废活性炭应由密闭容器包装，委托有资质的单位处置。建设单位应定期更换活性炭，以确保废气治理设施达到设计处理能力。</w:t>
            </w:r>
          </w:p>
          <w:p w14:paraId="6DF81D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）技术可行性分析</w:t>
            </w:r>
          </w:p>
          <w:p w14:paraId="00198CC4">
            <w:pPr>
              <w:adjustRightInd w:val="0"/>
              <w:snapToGrid w:val="0"/>
              <w:spacing w:line="360" w:lineRule="auto"/>
              <w:ind w:firstLine="480" w:firstLineChars="200"/>
              <w:rPr>
                <w:color w:val="auto"/>
                <w:sz w:val="24"/>
              </w:rPr>
            </w:pPr>
            <w:r>
              <w:rPr>
                <w:rFonts w:hint="eastAsia"/>
                <w:color w:val="auto"/>
                <w:sz w:val="24"/>
              </w:rPr>
              <w:t>参</w:t>
            </w:r>
            <w:r>
              <w:rPr>
                <w:color w:val="auto"/>
                <w:sz w:val="24"/>
              </w:rPr>
              <w:t>照</w:t>
            </w:r>
            <w:r>
              <w:rPr>
                <w:rFonts w:hint="eastAsia"/>
                <w:color w:val="auto"/>
                <w:sz w:val="24"/>
                <w:lang w:eastAsia="zh-CN"/>
              </w:rPr>
              <w:t>《排污许可证申请与核发技术规范 橡胶和塑料制品工业》(HJ1122-2020)、《排污许可证申请与核发技术规范 汽车制造业》(HJ</w:t>
            </w:r>
            <w:r>
              <w:rPr>
                <w:rFonts w:hint="eastAsia"/>
                <w:color w:val="auto"/>
                <w:sz w:val="24"/>
                <w:lang w:val="en-US" w:eastAsia="zh-CN"/>
              </w:rPr>
              <w:t>971</w:t>
            </w:r>
            <w:r>
              <w:rPr>
                <w:rFonts w:hint="eastAsia"/>
                <w:color w:val="auto"/>
                <w:sz w:val="24"/>
                <w:lang w:eastAsia="zh-CN"/>
              </w:rPr>
              <w:t>-20</w:t>
            </w:r>
            <w:r>
              <w:rPr>
                <w:rFonts w:hint="eastAsia"/>
                <w:color w:val="auto"/>
                <w:sz w:val="24"/>
                <w:lang w:val="en-US" w:eastAsia="zh-CN"/>
              </w:rPr>
              <w:t>18</w:t>
            </w:r>
            <w:r>
              <w:rPr>
                <w:rFonts w:hint="eastAsia"/>
                <w:color w:val="auto"/>
                <w:sz w:val="24"/>
                <w:lang w:eastAsia="zh-CN"/>
              </w:rPr>
              <w:t>)中废气污染防治可行技术</w:t>
            </w:r>
            <w:r>
              <w:rPr>
                <w:color w:val="auto"/>
                <w:sz w:val="24"/>
              </w:rPr>
              <w:t>：</w:t>
            </w:r>
          </w:p>
          <w:p w14:paraId="23F8187F">
            <w:pPr>
              <w:adjustRightInd w:val="0"/>
              <w:snapToGrid w:val="0"/>
              <w:spacing w:before="120" w:beforeLines="50"/>
              <w:jc w:val="center"/>
              <w:rPr>
                <w:rFonts w:eastAsia="黑体"/>
                <w:color w:val="auto"/>
                <w:sz w:val="24"/>
                <w:szCs w:val="22"/>
              </w:rPr>
            </w:pPr>
            <w:r>
              <w:rPr>
                <w:rFonts w:hint="eastAsia" w:eastAsia="黑体"/>
                <w:color w:val="auto"/>
                <w:sz w:val="24"/>
                <w:szCs w:val="22"/>
              </w:rPr>
              <w:t>表</w:t>
            </w:r>
            <w:r>
              <w:rPr>
                <w:rFonts w:hint="eastAsia" w:eastAsia="黑体"/>
                <w:color w:val="auto"/>
                <w:sz w:val="24"/>
                <w:szCs w:val="22"/>
                <w:lang w:val="en-US" w:eastAsia="zh-CN"/>
              </w:rPr>
              <w:t>4-11废气污染治理推荐可行技术</w:t>
            </w:r>
          </w:p>
          <w:tbl>
            <w:tblPr>
              <w:tblStyle w:val="35"/>
              <w:tblW w:w="4953"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120"/>
              <w:gridCol w:w="825"/>
              <w:gridCol w:w="1090"/>
              <w:gridCol w:w="1410"/>
              <w:gridCol w:w="1666"/>
              <w:gridCol w:w="1471"/>
              <w:gridCol w:w="1065"/>
            </w:tblGrid>
            <w:tr w14:paraId="2C9A4BE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78" w:hRule="atLeast"/>
              </w:trPr>
              <w:tc>
                <w:tcPr>
                  <w:tcW w:w="647" w:type="pct"/>
                  <w:noWrap w:val="0"/>
                  <w:vAlign w:val="center"/>
                </w:tcPr>
                <w:p w14:paraId="06FC9E36">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来源</w:t>
                  </w:r>
                </w:p>
              </w:tc>
              <w:tc>
                <w:tcPr>
                  <w:tcW w:w="477" w:type="pct"/>
                  <w:noWrap w:val="0"/>
                  <w:vAlign w:val="center"/>
                </w:tcPr>
                <w:p w14:paraId="2FA40A13">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生产单元</w:t>
                  </w:r>
                </w:p>
              </w:tc>
              <w:tc>
                <w:tcPr>
                  <w:tcW w:w="629" w:type="pct"/>
                  <w:noWrap w:val="0"/>
                  <w:vAlign w:val="center"/>
                </w:tcPr>
                <w:p w14:paraId="196624C1">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主要生产设施名称</w:t>
                  </w:r>
                </w:p>
              </w:tc>
              <w:tc>
                <w:tcPr>
                  <w:tcW w:w="815" w:type="pct"/>
                  <w:noWrap w:val="0"/>
                  <w:vAlign w:val="center"/>
                </w:tcPr>
                <w:p w14:paraId="66F05B2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ascii="Times New Roman" w:hAnsi="Times New Roman" w:eastAsia="宋体"/>
                      <w:b/>
                      <w:bCs/>
                      <w:color w:val="auto"/>
                      <w:szCs w:val="21"/>
                    </w:rPr>
                  </w:pPr>
                  <w:r>
                    <w:rPr>
                      <w:rFonts w:ascii="Times New Roman" w:hAnsi="Times New Roman" w:eastAsia="宋体"/>
                      <w:b/>
                      <w:bCs/>
                      <w:color w:val="auto"/>
                      <w:szCs w:val="21"/>
                    </w:rPr>
                    <w:t>污染物种类</w:t>
                  </w:r>
                </w:p>
              </w:tc>
              <w:tc>
                <w:tcPr>
                  <w:tcW w:w="963" w:type="pct"/>
                  <w:noWrap w:val="0"/>
                  <w:vAlign w:val="center"/>
                </w:tcPr>
                <w:p w14:paraId="5EF9B7A5">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lang w:eastAsia="zh-CN"/>
                    </w:rPr>
                  </w:pPr>
                  <w:r>
                    <w:rPr>
                      <w:rFonts w:hint="eastAsia" w:ascii="Times New Roman" w:hAnsi="Times New Roman" w:eastAsia="宋体"/>
                      <w:b/>
                      <w:bCs/>
                      <w:color w:val="auto"/>
                      <w:szCs w:val="21"/>
                      <w:lang w:eastAsia="zh-CN"/>
                    </w:rPr>
                    <w:t>可行技术</w:t>
                  </w:r>
                </w:p>
              </w:tc>
              <w:tc>
                <w:tcPr>
                  <w:tcW w:w="850" w:type="pct"/>
                  <w:noWrap w:val="0"/>
                  <w:vAlign w:val="center"/>
                </w:tcPr>
                <w:p w14:paraId="4E369A11">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本项目</w:t>
                  </w:r>
                </w:p>
              </w:tc>
              <w:tc>
                <w:tcPr>
                  <w:tcW w:w="615" w:type="pct"/>
                  <w:noWrap w:val="0"/>
                  <w:vAlign w:val="center"/>
                </w:tcPr>
                <w:p w14:paraId="5DEA0177">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szCs w:val="21"/>
                      <w:lang w:val="en-US" w:eastAsia="zh-CN"/>
                    </w:rPr>
                  </w:pPr>
                  <w:r>
                    <w:rPr>
                      <w:rFonts w:hint="eastAsia" w:ascii="Times New Roman" w:hAnsi="Times New Roman" w:eastAsia="宋体"/>
                      <w:b/>
                      <w:bCs/>
                      <w:color w:val="auto"/>
                      <w:szCs w:val="21"/>
                      <w:lang w:val="en-US" w:eastAsia="zh-CN"/>
                    </w:rPr>
                    <w:t>是否属于可行技术</w:t>
                  </w:r>
                </w:p>
              </w:tc>
            </w:tr>
            <w:tr w14:paraId="4790D82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55" w:hRule="atLeast"/>
              </w:trPr>
              <w:tc>
                <w:tcPr>
                  <w:tcW w:w="647" w:type="pct"/>
                  <w:vMerge w:val="restart"/>
                  <w:noWrap w:val="0"/>
                  <w:vAlign w:val="center"/>
                </w:tcPr>
                <w:p w14:paraId="4892DCE5">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r>
                    <w:rPr>
                      <w:rFonts w:hint="eastAsia" w:ascii="Times New Roman" w:hAnsi="Times New Roman" w:eastAsia="宋体"/>
                      <w:color w:val="auto"/>
                    </w:rPr>
                    <w:t>HJ 11</w:t>
                  </w:r>
                  <w:r>
                    <w:rPr>
                      <w:rFonts w:hint="eastAsia" w:ascii="Times New Roman" w:hAnsi="Times New Roman" w:eastAsia="宋体"/>
                      <w:color w:val="auto"/>
                      <w:lang w:val="en-US" w:eastAsia="zh-CN"/>
                    </w:rPr>
                    <w:t>22</w:t>
                  </w:r>
                  <w:r>
                    <w:rPr>
                      <w:rFonts w:hint="eastAsia" w:ascii="Times New Roman" w:hAnsi="Times New Roman" w:eastAsia="宋体"/>
                      <w:color w:val="auto"/>
                    </w:rPr>
                    <w:t>-2020</w:t>
                  </w:r>
                </w:p>
              </w:tc>
              <w:tc>
                <w:tcPr>
                  <w:tcW w:w="1107" w:type="pct"/>
                  <w:gridSpan w:val="2"/>
                  <w:vMerge w:val="restart"/>
                  <w:noWrap w:val="0"/>
                  <w:vAlign w:val="center"/>
                </w:tcPr>
                <w:p w14:paraId="6C295006">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塑料零件及其他塑料制品制造废气</w:t>
                  </w:r>
                </w:p>
              </w:tc>
              <w:tc>
                <w:tcPr>
                  <w:tcW w:w="815" w:type="pct"/>
                  <w:noWrap w:val="0"/>
                  <w:vAlign w:val="center"/>
                </w:tcPr>
                <w:p w14:paraId="33D20B2B">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bCs/>
                      <w:color w:val="auto"/>
                      <w:spacing w:val="-4"/>
                      <w:sz w:val="21"/>
                      <w:lang w:val="en-US" w:eastAsia="zh-CN"/>
                    </w:rPr>
                  </w:pPr>
                  <w:r>
                    <w:rPr>
                      <w:rFonts w:hint="eastAsia" w:ascii="Times New Roman" w:hAnsi="Times New Roman" w:cs="Times New Roman"/>
                      <w:b/>
                      <w:bCs/>
                      <w:color w:val="auto"/>
                      <w:spacing w:val="-4"/>
                      <w:sz w:val="21"/>
                      <w:lang w:val="en-US" w:eastAsia="zh-CN"/>
                    </w:rPr>
                    <w:t>颗粒物</w:t>
                  </w:r>
                </w:p>
              </w:tc>
              <w:tc>
                <w:tcPr>
                  <w:tcW w:w="963" w:type="pct"/>
                  <w:noWrap w:val="0"/>
                  <w:vAlign w:val="center"/>
                </w:tcPr>
                <w:p w14:paraId="2F978446">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color w:val="auto"/>
                      <w:spacing w:val="-4"/>
                      <w:sz w:val="21"/>
                      <w:lang w:val="en-US" w:eastAsia="zh-CN"/>
                    </w:rPr>
                  </w:pPr>
                  <w:r>
                    <w:rPr>
                      <w:rFonts w:hint="default" w:ascii="Times New Roman" w:hAnsi="Times New Roman" w:eastAsia="宋体" w:cs="Times New Roman"/>
                      <w:b/>
                      <w:bCs/>
                      <w:color w:val="auto"/>
                      <w:spacing w:val="-4"/>
                      <w:sz w:val="21"/>
                      <w:lang w:val="en-US" w:eastAsia="zh-CN"/>
                    </w:rPr>
                    <w:t>袋式除尘</w:t>
                  </w:r>
                  <w:r>
                    <w:rPr>
                      <w:rFonts w:hint="default" w:ascii="Times New Roman" w:hAnsi="Times New Roman" w:eastAsia="宋体" w:cs="Times New Roman"/>
                      <w:color w:val="auto"/>
                      <w:spacing w:val="-4"/>
                      <w:sz w:val="21"/>
                      <w:lang w:val="en-US" w:eastAsia="zh-CN"/>
                    </w:rPr>
                    <w:t>；滤筒/滤芯除尘</w:t>
                  </w:r>
                </w:p>
              </w:tc>
              <w:tc>
                <w:tcPr>
                  <w:tcW w:w="850" w:type="pct"/>
                  <w:noWrap w:val="0"/>
                  <w:vAlign w:val="center"/>
                </w:tcPr>
                <w:p w14:paraId="1AE460AD">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袋式除尘器</w:t>
                  </w:r>
                </w:p>
              </w:tc>
              <w:tc>
                <w:tcPr>
                  <w:tcW w:w="615" w:type="pct"/>
                  <w:noWrap w:val="0"/>
                  <w:vAlign w:val="center"/>
                </w:tcPr>
                <w:p w14:paraId="299F334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b w:val="0"/>
                      <w:bCs w:val="0"/>
                      <w:color w:val="auto"/>
                      <w:szCs w:val="21"/>
                      <w:lang w:val="en-US" w:eastAsia="zh-CN"/>
                    </w:rPr>
                    <w:t>是</w:t>
                  </w:r>
                </w:p>
              </w:tc>
            </w:tr>
            <w:tr w14:paraId="5D038EC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55" w:hRule="atLeast"/>
              </w:trPr>
              <w:tc>
                <w:tcPr>
                  <w:tcW w:w="647" w:type="pct"/>
                  <w:vMerge w:val="continue"/>
                  <w:noWrap w:val="0"/>
                  <w:vAlign w:val="center"/>
                </w:tcPr>
                <w:p w14:paraId="6497D795">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p>
              </w:tc>
              <w:tc>
                <w:tcPr>
                  <w:tcW w:w="1107" w:type="pct"/>
                  <w:gridSpan w:val="2"/>
                  <w:vMerge w:val="continue"/>
                  <w:noWrap w:val="0"/>
                  <w:vAlign w:val="center"/>
                </w:tcPr>
                <w:p w14:paraId="04451B8A">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szCs w:val="21"/>
                      <w:lang w:val="en-US" w:eastAsia="zh-CN"/>
                    </w:rPr>
                  </w:pPr>
                </w:p>
              </w:tc>
              <w:tc>
                <w:tcPr>
                  <w:tcW w:w="815" w:type="pct"/>
                  <w:noWrap w:val="0"/>
                  <w:vAlign w:val="center"/>
                </w:tcPr>
                <w:p w14:paraId="687503DF">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olor w:val="auto"/>
                      <w:szCs w:val="21"/>
                      <w:lang w:val="en-US" w:eastAsia="zh-CN"/>
                    </w:rPr>
                  </w:pPr>
                  <w:r>
                    <w:rPr>
                      <w:rFonts w:hint="default" w:ascii="Times New Roman" w:hAnsi="Times New Roman" w:eastAsia="宋体" w:cs="Times New Roman"/>
                      <w:b/>
                      <w:bCs/>
                      <w:color w:val="auto"/>
                      <w:spacing w:val="-4"/>
                      <w:sz w:val="21"/>
                      <w:lang w:val="en-US" w:eastAsia="zh-CN"/>
                    </w:rPr>
                    <w:t>非甲烷总烃</w:t>
                  </w:r>
                </w:p>
              </w:tc>
              <w:tc>
                <w:tcPr>
                  <w:tcW w:w="963" w:type="pct"/>
                  <w:noWrap w:val="0"/>
                  <w:vAlign w:val="center"/>
                </w:tcPr>
                <w:p w14:paraId="150A8AAC">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pacing w:val="-4"/>
                      <w:sz w:val="21"/>
                      <w:lang w:val="en-US" w:eastAsia="zh-CN"/>
                    </w:rPr>
                    <w:t>喷淋；</w:t>
                  </w:r>
                  <w:r>
                    <w:rPr>
                      <w:rFonts w:hint="default" w:ascii="Times New Roman" w:hAnsi="Times New Roman" w:eastAsia="宋体" w:cs="Times New Roman"/>
                      <w:b/>
                      <w:bCs/>
                      <w:color w:val="auto"/>
                      <w:spacing w:val="-4"/>
                      <w:sz w:val="21"/>
                      <w:lang w:val="en-US" w:eastAsia="zh-CN"/>
                    </w:rPr>
                    <w:t>吸附</w:t>
                  </w:r>
                  <w:r>
                    <w:rPr>
                      <w:rFonts w:hint="default" w:ascii="Times New Roman" w:hAnsi="Times New Roman" w:eastAsia="宋体" w:cs="Times New Roman"/>
                      <w:color w:val="auto"/>
                      <w:spacing w:val="-4"/>
                      <w:sz w:val="21"/>
                      <w:lang w:val="en-US" w:eastAsia="zh-CN"/>
                    </w:rPr>
                    <w:t>；吸附浓缩+热力燃烧/催化燃烧</w:t>
                  </w:r>
                </w:p>
              </w:tc>
              <w:tc>
                <w:tcPr>
                  <w:tcW w:w="850" w:type="pct"/>
                  <w:vMerge w:val="restart"/>
                  <w:noWrap w:val="0"/>
                  <w:vAlign w:val="center"/>
                </w:tcPr>
                <w:p w14:paraId="2A288407">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 w:val="21"/>
                      <w:szCs w:val="21"/>
                      <w:lang w:val="en-US" w:eastAsia="zh-CN"/>
                    </w:rPr>
                  </w:pPr>
                  <w:r>
                    <w:rPr>
                      <w:rFonts w:hint="eastAsia"/>
                      <w:b/>
                      <w:bCs/>
                      <w:color w:val="auto"/>
                      <w:sz w:val="21"/>
                      <w:szCs w:val="21"/>
                      <w:lang w:val="en-US" w:eastAsia="zh-CN"/>
                    </w:rPr>
                    <w:t>二级活性炭吸附装置</w:t>
                  </w:r>
                </w:p>
              </w:tc>
              <w:tc>
                <w:tcPr>
                  <w:tcW w:w="615" w:type="pct"/>
                  <w:noWrap w:val="0"/>
                  <w:vAlign w:val="center"/>
                </w:tcPr>
                <w:p w14:paraId="6C0568FA">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是</w:t>
                  </w:r>
                </w:p>
              </w:tc>
            </w:tr>
            <w:tr w14:paraId="5E27089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173" w:hRule="atLeast"/>
              </w:trPr>
              <w:tc>
                <w:tcPr>
                  <w:tcW w:w="647" w:type="pct"/>
                  <w:vMerge w:val="continue"/>
                  <w:noWrap w:val="0"/>
                  <w:vAlign w:val="center"/>
                </w:tcPr>
                <w:p w14:paraId="5F409A0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p>
              </w:tc>
              <w:tc>
                <w:tcPr>
                  <w:tcW w:w="1107" w:type="pct"/>
                  <w:gridSpan w:val="2"/>
                  <w:vMerge w:val="continue"/>
                  <w:noWrap w:val="0"/>
                  <w:vAlign w:val="center"/>
                </w:tcPr>
                <w:p w14:paraId="63BACA86">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szCs w:val="21"/>
                      <w:lang w:val="en-US" w:eastAsia="zh-CN"/>
                    </w:rPr>
                  </w:pPr>
                </w:p>
              </w:tc>
              <w:tc>
                <w:tcPr>
                  <w:tcW w:w="815" w:type="pct"/>
                  <w:noWrap w:val="0"/>
                  <w:vAlign w:val="center"/>
                </w:tcPr>
                <w:p w14:paraId="042DC292">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olor w:val="auto"/>
                      <w:szCs w:val="21"/>
                      <w:lang w:val="en-US" w:eastAsia="zh-CN"/>
                    </w:rPr>
                  </w:pPr>
                  <w:r>
                    <w:rPr>
                      <w:rFonts w:hint="default" w:ascii="Times New Roman" w:hAnsi="Times New Roman" w:eastAsia="宋体" w:cs="Times New Roman"/>
                      <w:b/>
                      <w:bCs/>
                      <w:color w:val="auto"/>
                      <w:spacing w:val="-4"/>
                      <w:sz w:val="21"/>
                      <w:lang w:val="en-US" w:eastAsia="zh-CN"/>
                    </w:rPr>
                    <w:t>臭气浓度</w:t>
                  </w:r>
                  <w:r>
                    <w:rPr>
                      <w:rFonts w:hint="default" w:ascii="Times New Roman" w:hAnsi="Times New Roman" w:eastAsia="宋体" w:cs="Times New Roman"/>
                      <w:color w:val="auto"/>
                      <w:spacing w:val="-4"/>
                      <w:sz w:val="21"/>
                      <w:lang w:val="en-US" w:eastAsia="zh-CN"/>
                    </w:rPr>
                    <w:t>、恶臭特征物质</w:t>
                  </w:r>
                </w:p>
              </w:tc>
              <w:tc>
                <w:tcPr>
                  <w:tcW w:w="963" w:type="pct"/>
                  <w:noWrap w:val="0"/>
                  <w:vAlign w:val="center"/>
                </w:tcPr>
                <w:p w14:paraId="393A9821">
                  <w:pPr>
                    <w:pStyle w:val="89"/>
                    <w:keepLines/>
                    <w:pageBreakBefore w:val="0"/>
                    <w:kinsoku/>
                    <w:wordWrap/>
                    <w:topLinePunct w:val="0"/>
                    <w:bidi w:val="0"/>
                    <w:spacing w:line="242" w:lineRule="exact"/>
                    <w:ind w:left="3" w:leftChars="0" w:right="3" w:rightChars="0"/>
                    <w:jc w:val="center"/>
                    <w:rPr>
                      <w:rFonts w:hint="eastAsia"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pacing w:val="-4"/>
                      <w:sz w:val="21"/>
                      <w:lang w:val="en-US" w:eastAsia="zh-CN"/>
                    </w:rPr>
                    <w:t>喷淋、</w:t>
                  </w:r>
                  <w:r>
                    <w:rPr>
                      <w:rFonts w:hint="default" w:ascii="Times New Roman" w:hAnsi="Times New Roman" w:eastAsia="宋体" w:cs="Times New Roman"/>
                      <w:b/>
                      <w:bCs/>
                      <w:color w:val="auto"/>
                      <w:spacing w:val="-4"/>
                      <w:sz w:val="21"/>
                      <w:lang w:val="en-US" w:eastAsia="zh-CN"/>
                    </w:rPr>
                    <w:t>吸附</w:t>
                  </w:r>
                  <w:r>
                    <w:rPr>
                      <w:rFonts w:hint="default" w:ascii="Times New Roman" w:hAnsi="Times New Roman" w:eastAsia="宋体" w:cs="Times New Roman"/>
                      <w:color w:val="auto"/>
                      <w:spacing w:val="-4"/>
                      <w:sz w:val="21"/>
                      <w:lang w:val="en-US" w:eastAsia="zh-CN"/>
                    </w:rPr>
                    <w:t>、低温等离子、UV光氧化/光催化、生物法</w:t>
                  </w:r>
                  <w:r>
                    <w:rPr>
                      <w:rFonts w:hint="default" w:ascii="Times New Roman" w:hAnsi="Times New Roman" w:eastAsia="宋体" w:cs="Times New Roman"/>
                      <w:b w:val="0"/>
                      <w:bCs w:val="0"/>
                      <w:color w:val="auto"/>
                      <w:spacing w:val="-4"/>
                      <w:sz w:val="21"/>
                      <w:lang w:val="en-US" w:eastAsia="zh-CN"/>
                    </w:rPr>
                    <w:t>两种及以上组合技术</w:t>
                  </w:r>
                </w:p>
              </w:tc>
              <w:tc>
                <w:tcPr>
                  <w:tcW w:w="850" w:type="pct"/>
                  <w:vMerge w:val="continue"/>
                  <w:noWrap w:val="0"/>
                  <w:vAlign w:val="center"/>
                </w:tcPr>
                <w:p w14:paraId="64F4C452">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 w:val="21"/>
                      <w:szCs w:val="21"/>
                      <w:lang w:val="en-US" w:eastAsia="zh-CN"/>
                    </w:rPr>
                  </w:pPr>
                </w:p>
              </w:tc>
              <w:tc>
                <w:tcPr>
                  <w:tcW w:w="615" w:type="pct"/>
                  <w:noWrap w:val="0"/>
                  <w:vAlign w:val="center"/>
                </w:tcPr>
                <w:p w14:paraId="13D5E2A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是</w:t>
                  </w:r>
                </w:p>
              </w:tc>
            </w:tr>
            <w:tr w14:paraId="7753C85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036" w:hRule="atLeast"/>
              </w:trPr>
              <w:tc>
                <w:tcPr>
                  <w:tcW w:w="647" w:type="pct"/>
                  <w:vMerge w:val="continue"/>
                  <w:noWrap w:val="0"/>
                  <w:vAlign w:val="center"/>
                </w:tcPr>
                <w:p w14:paraId="39E54B76">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auto"/>
                    </w:rPr>
                  </w:pPr>
                </w:p>
              </w:tc>
              <w:tc>
                <w:tcPr>
                  <w:tcW w:w="1107" w:type="pct"/>
                  <w:gridSpan w:val="2"/>
                  <w:noWrap w:val="0"/>
                  <w:vAlign w:val="center"/>
                </w:tcPr>
                <w:p w14:paraId="50A8BC7B">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涂胶</w:t>
                  </w:r>
                </w:p>
              </w:tc>
              <w:tc>
                <w:tcPr>
                  <w:tcW w:w="815" w:type="pct"/>
                  <w:noWrap w:val="0"/>
                  <w:vAlign w:val="center"/>
                </w:tcPr>
                <w:p w14:paraId="3F5BBD84">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val="0"/>
                      <w:bCs w:val="0"/>
                      <w:color w:val="auto"/>
                      <w:spacing w:val="-4"/>
                      <w:sz w:val="21"/>
                      <w:lang w:val="en-US" w:eastAsia="zh-CN"/>
                    </w:rPr>
                  </w:pPr>
                  <w:r>
                    <w:rPr>
                      <w:rFonts w:hint="default" w:ascii="Times New Roman" w:hAnsi="Times New Roman" w:eastAsia="宋体" w:cs="Times New Roman"/>
                      <w:b/>
                      <w:bCs/>
                      <w:color w:val="auto"/>
                      <w:spacing w:val="-4"/>
                      <w:sz w:val="21"/>
                      <w:lang w:val="en-US" w:eastAsia="zh-CN"/>
                    </w:rPr>
                    <w:t>甲苯</w:t>
                  </w:r>
                  <w:r>
                    <w:rPr>
                      <w:rFonts w:hint="default" w:ascii="Times New Roman" w:hAnsi="Times New Roman" w:eastAsia="宋体" w:cs="Times New Roman"/>
                      <w:b w:val="0"/>
                      <w:bCs w:val="0"/>
                      <w:color w:val="auto"/>
                      <w:spacing w:val="-4"/>
                      <w:sz w:val="21"/>
                      <w:lang w:val="en-US" w:eastAsia="zh-CN"/>
                    </w:rPr>
                    <w:t>、</w:t>
                  </w:r>
                </w:p>
                <w:p w14:paraId="3628B8C0">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bCs/>
                      <w:color w:val="auto"/>
                      <w:spacing w:val="-4"/>
                      <w:sz w:val="21"/>
                      <w:lang w:val="en-US" w:eastAsia="zh-CN"/>
                    </w:rPr>
                  </w:pPr>
                  <w:r>
                    <w:rPr>
                      <w:rFonts w:hint="default" w:ascii="Times New Roman" w:hAnsi="Times New Roman" w:eastAsia="宋体" w:cs="Times New Roman"/>
                      <w:b w:val="0"/>
                      <w:bCs w:val="0"/>
                      <w:color w:val="auto"/>
                      <w:spacing w:val="-4"/>
                      <w:sz w:val="21"/>
                      <w:lang w:val="en-US" w:eastAsia="zh-CN"/>
                    </w:rPr>
                    <w:t>二甲苯、臭气浓度、恶臭特征污染物</w:t>
                  </w:r>
                </w:p>
              </w:tc>
              <w:tc>
                <w:tcPr>
                  <w:tcW w:w="963" w:type="pct"/>
                  <w:noWrap w:val="0"/>
                  <w:vAlign w:val="center"/>
                </w:tcPr>
                <w:p w14:paraId="677C5C79">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color w:val="auto"/>
                      <w:spacing w:val="-4"/>
                      <w:sz w:val="21"/>
                      <w:lang w:val="en-US" w:eastAsia="zh-CN"/>
                    </w:rPr>
                  </w:pPr>
                  <w:r>
                    <w:rPr>
                      <w:rFonts w:hint="default" w:ascii="Times New Roman" w:hAnsi="Times New Roman" w:eastAsia="宋体" w:cs="Times New Roman"/>
                      <w:b/>
                      <w:bCs/>
                      <w:color w:val="auto"/>
                      <w:spacing w:val="-4"/>
                      <w:sz w:val="21"/>
                      <w:lang w:val="en-US" w:eastAsia="zh-CN"/>
                    </w:rPr>
                    <w:t>吸附</w:t>
                  </w:r>
                  <w:r>
                    <w:rPr>
                      <w:rFonts w:hint="default" w:ascii="Times New Roman" w:hAnsi="Times New Roman" w:eastAsia="宋体" w:cs="Times New Roman"/>
                      <w:color w:val="auto"/>
                      <w:spacing w:val="-4"/>
                      <w:sz w:val="21"/>
                      <w:lang w:val="en-US" w:eastAsia="zh-CN"/>
                    </w:rPr>
                    <w:t>、燃烧</w:t>
                  </w:r>
                </w:p>
              </w:tc>
              <w:tc>
                <w:tcPr>
                  <w:tcW w:w="850" w:type="pct"/>
                  <w:vMerge w:val="continue"/>
                  <w:noWrap w:val="0"/>
                  <w:vAlign w:val="center"/>
                </w:tcPr>
                <w:p w14:paraId="7FB8BC5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auto"/>
                      <w:sz w:val="21"/>
                      <w:szCs w:val="21"/>
                      <w:lang w:val="en-US" w:eastAsia="zh-CN"/>
                    </w:rPr>
                  </w:pPr>
                </w:p>
              </w:tc>
              <w:tc>
                <w:tcPr>
                  <w:tcW w:w="615" w:type="pct"/>
                  <w:noWrap w:val="0"/>
                  <w:vAlign w:val="center"/>
                </w:tcPr>
                <w:p w14:paraId="042CAC7D">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ascii="Times New Roman" w:hAnsi="Times New Roman" w:eastAsia="宋体"/>
                      <w:b w:val="0"/>
                      <w:bCs w:val="0"/>
                      <w:color w:val="auto"/>
                      <w:szCs w:val="21"/>
                      <w:lang w:val="en-US" w:eastAsia="zh-CN"/>
                    </w:rPr>
                    <w:t>是</w:t>
                  </w:r>
                </w:p>
              </w:tc>
            </w:tr>
            <w:tr w14:paraId="590C87F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63" w:hRule="atLeast"/>
              </w:trPr>
              <w:tc>
                <w:tcPr>
                  <w:tcW w:w="647" w:type="pct"/>
                  <w:noWrap w:val="0"/>
                  <w:vAlign w:val="center"/>
                </w:tcPr>
                <w:p w14:paraId="506FA3D1">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rPr>
                    <w:t xml:space="preserve">HJ </w:t>
                  </w:r>
                  <w:r>
                    <w:rPr>
                      <w:rFonts w:hint="eastAsia" w:ascii="Times New Roman" w:hAnsi="Times New Roman" w:eastAsia="宋体"/>
                      <w:color w:val="auto"/>
                      <w:lang w:val="en-US" w:eastAsia="zh-CN"/>
                    </w:rPr>
                    <w:t>971</w:t>
                  </w:r>
                  <w:r>
                    <w:rPr>
                      <w:rFonts w:hint="eastAsia" w:ascii="Times New Roman" w:hAnsi="Times New Roman" w:eastAsia="宋体"/>
                      <w:color w:val="auto"/>
                    </w:rPr>
                    <w:t>-20</w:t>
                  </w:r>
                  <w:r>
                    <w:rPr>
                      <w:rFonts w:hint="eastAsia" w:ascii="Times New Roman" w:hAnsi="Times New Roman" w:eastAsia="宋体"/>
                      <w:color w:val="auto"/>
                      <w:lang w:val="en-US" w:eastAsia="zh-CN"/>
                    </w:rPr>
                    <w:t>18</w:t>
                  </w:r>
                </w:p>
              </w:tc>
              <w:tc>
                <w:tcPr>
                  <w:tcW w:w="1107" w:type="pct"/>
                  <w:gridSpan w:val="2"/>
                  <w:noWrap w:val="0"/>
                  <w:vAlign w:val="center"/>
                </w:tcPr>
                <w:p w14:paraId="3D226EB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auto"/>
                      <w:szCs w:val="21"/>
                      <w:lang w:val="en-US" w:eastAsia="zh-CN"/>
                    </w:rPr>
                  </w:pPr>
                  <w:r>
                    <w:rPr>
                      <w:rFonts w:hint="eastAsia"/>
                      <w:color w:val="auto"/>
                      <w:szCs w:val="21"/>
                      <w:lang w:val="en-US" w:eastAsia="zh-CN"/>
                    </w:rPr>
                    <w:t>焊接</w:t>
                  </w:r>
                </w:p>
              </w:tc>
              <w:tc>
                <w:tcPr>
                  <w:tcW w:w="815" w:type="pct"/>
                  <w:noWrap w:val="0"/>
                  <w:vAlign w:val="center"/>
                </w:tcPr>
                <w:p w14:paraId="66D98455">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b w:val="0"/>
                      <w:bCs w:val="0"/>
                      <w:color w:val="auto"/>
                      <w:spacing w:val="-4"/>
                      <w:sz w:val="21"/>
                      <w:lang w:val="en-US" w:eastAsia="zh-CN"/>
                    </w:rPr>
                  </w:pPr>
                  <w:r>
                    <w:rPr>
                      <w:rFonts w:hint="eastAsia" w:ascii="Times New Roman" w:hAnsi="Times New Roman" w:cs="Times New Roman"/>
                      <w:b w:val="0"/>
                      <w:bCs w:val="0"/>
                      <w:color w:val="auto"/>
                      <w:spacing w:val="-4"/>
                      <w:sz w:val="21"/>
                      <w:lang w:val="en-US" w:eastAsia="zh-CN"/>
                    </w:rPr>
                    <w:t>颗粒物</w:t>
                  </w:r>
                </w:p>
              </w:tc>
              <w:tc>
                <w:tcPr>
                  <w:tcW w:w="963" w:type="pct"/>
                  <w:noWrap w:val="0"/>
                  <w:vAlign w:val="center"/>
                </w:tcPr>
                <w:p w14:paraId="679BBDE4">
                  <w:pPr>
                    <w:pStyle w:val="89"/>
                    <w:keepLines/>
                    <w:pageBreakBefore w:val="0"/>
                    <w:kinsoku/>
                    <w:wordWrap/>
                    <w:topLinePunct w:val="0"/>
                    <w:bidi w:val="0"/>
                    <w:spacing w:line="242" w:lineRule="exact"/>
                    <w:ind w:left="3" w:leftChars="0" w:right="3" w:rightChars="0"/>
                    <w:jc w:val="center"/>
                    <w:rPr>
                      <w:rFonts w:hint="default" w:ascii="Times New Roman" w:hAnsi="Times New Roman" w:eastAsia="宋体" w:cs="Times New Roman"/>
                      <w:color w:val="auto"/>
                      <w:spacing w:val="-4"/>
                      <w:sz w:val="21"/>
                      <w:lang w:val="en-US" w:eastAsia="zh-CN"/>
                    </w:rPr>
                  </w:pPr>
                  <w:r>
                    <w:rPr>
                      <w:rFonts w:hint="default" w:ascii="Times New Roman" w:hAnsi="Times New Roman" w:eastAsia="宋体" w:cs="Times New Roman"/>
                      <w:color w:val="auto"/>
                      <w:spacing w:val="-4"/>
                      <w:sz w:val="21"/>
                      <w:lang w:val="en-US" w:eastAsia="zh-CN"/>
                    </w:rPr>
                    <w:t>袋式过滤除尘、静电净化除尘</w:t>
                  </w:r>
                </w:p>
              </w:tc>
              <w:tc>
                <w:tcPr>
                  <w:tcW w:w="850" w:type="pct"/>
                  <w:noWrap w:val="0"/>
                  <w:vAlign w:val="center"/>
                </w:tcPr>
                <w:p w14:paraId="45F1919B">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auto"/>
                      <w:sz w:val="21"/>
                      <w:szCs w:val="21"/>
                      <w:lang w:val="en-US" w:eastAsia="zh-CN"/>
                    </w:rPr>
                  </w:pPr>
                  <w:r>
                    <w:rPr>
                      <w:rFonts w:hint="eastAsia"/>
                      <w:b/>
                      <w:bCs/>
                      <w:color w:val="auto"/>
                      <w:sz w:val="21"/>
                      <w:szCs w:val="21"/>
                      <w:lang w:val="en-US" w:eastAsia="zh-CN"/>
                    </w:rPr>
                    <w:t>移动式焊接烟尘净化器</w:t>
                  </w:r>
                </w:p>
              </w:tc>
              <w:tc>
                <w:tcPr>
                  <w:tcW w:w="615" w:type="pct"/>
                  <w:noWrap w:val="0"/>
                  <w:vAlign w:val="center"/>
                </w:tcPr>
                <w:p w14:paraId="3B0C75F1">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auto"/>
                      <w:szCs w:val="21"/>
                      <w:lang w:val="en-US" w:eastAsia="zh-CN"/>
                    </w:rPr>
                  </w:pPr>
                  <w:r>
                    <w:rPr>
                      <w:rFonts w:hint="eastAsia"/>
                      <w:b w:val="0"/>
                      <w:bCs w:val="0"/>
                      <w:color w:val="auto"/>
                      <w:szCs w:val="21"/>
                      <w:lang w:val="en-US" w:eastAsia="zh-CN"/>
                    </w:rPr>
                    <w:t>是</w:t>
                  </w:r>
                </w:p>
              </w:tc>
            </w:tr>
          </w:tbl>
          <w:p w14:paraId="719709AD">
            <w:pPr>
              <w:adjustRightInd w:val="0"/>
              <w:snapToGrid w:val="0"/>
              <w:spacing w:before="157" w:beforeLines="50" w:line="360" w:lineRule="auto"/>
              <w:ind w:firstLine="480" w:firstLineChars="200"/>
              <w:rPr>
                <w:color w:val="auto"/>
                <w:sz w:val="24"/>
                <w:highlight w:val="none"/>
              </w:rPr>
            </w:pPr>
            <w:r>
              <w:rPr>
                <w:rFonts w:hint="eastAsia"/>
                <w:color w:val="auto"/>
                <w:sz w:val="24"/>
                <w:highlight w:val="none"/>
              </w:rPr>
              <w:t>本项目采用二级活性炭装置处理</w:t>
            </w:r>
            <w:r>
              <w:rPr>
                <w:rFonts w:hint="eastAsia"/>
                <w:color w:val="auto"/>
                <w:sz w:val="24"/>
                <w:highlight w:val="none"/>
                <w:lang w:val="en-US" w:eastAsia="zh-CN"/>
              </w:rPr>
              <w:t>注塑、挤出、涂胶</w:t>
            </w:r>
            <w:r>
              <w:rPr>
                <w:rFonts w:hint="eastAsia"/>
                <w:color w:val="auto"/>
                <w:sz w:val="24"/>
                <w:highlight w:val="none"/>
              </w:rPr>
              <w:t>废气，技术可行</w:t>
            </w:r>
            <w:r>
              <w:rPr>
                <w:rFonts w:hint="eastAsia"/>
                <w:color w:val="auto"/>
                <w:sz w:val="24"/>
                <w:highlight w:val="none"/>
                <w:lang w:eastAsia="zh-CN"/>
              </w:rPr>
              <w:t>；</w:t>
            </w:r>
            <w:r>
              <w:rPr>
                <w:rFonts w:hint="eastAsia"/>
                <w:color w:val="auto"/>
                <w:sz w:val="24"/>
                <w:highlight w:val="none"/>
                <w:lang w:val="en-US" w:eastAsia="zh-CN"/>
              </w:rPr>
              <w:t>采用袋式除尘器处理破碎粉尘，技术可行；采用移动式焊接烟尘净化器处理焊接烟尘，技术可行</w:t>
            </w:r>
            <w:r>
              <w:rPr>
                <w:rFonts w:hint="eastAsia"/>
                <w:color w:val="auto"/>
                <w:sz w:val="24"/>
                <w:highlight w:val="none"/>
              </w:rPr>
              <w:t>。</w:t>
            </w:r>
          </w:p>
          <w:p w14:paraId="5BDD5A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eastAsia="宋体"/>
                <w:color w:val="auto"/>
                <w:sz w:val="24"/>
                <w:highlight w:val="none"/>
                <w:lang w:eastAsia="zh-CN"/>
              </w:rPr>
              <w:t>达标排放分析</w:t>
            </w:r>
          </w:p>
          <w:p w14:paraId="639B0C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highlight w:val="none"/>
                <w:lang w:val="en-US" w:eastAsia="zh-CN"/>
              </w:rPr>
            </w:pPr>
            <w:r>
              <w:rPr>
                <w:rFonts w:hint="eastAsia"/>
                <w:color w:val="auto"/>
                <w:kern w:val="0"/>
                <w:sz w:val="24"/>
              </w:rPr>
              <w:t>项目</w:t>
            </w:r>
            <w:r>
              <w:rPr>
                <w:rFonts w:hint="eastAsia"/>
                <w:color w:val="auto"/>
                <w:sz w:val="24"/>
              </w:rPr>
              <w:t>注塑机、挤出机</w:t>
            </w:r>
            <w:r>
              <w:rPr>
                <w:rFonts w:hint="eastAsia"/>
                <w:color w:val="auto"/>
                <w:sz w:val="24"/>
                <w:lang w:eastAsia="zh-CN"/>
              </w:rPr>
              <w:t>、</w:t>
            </w:r>
            <w:r>
              <w:rPr>
                <w:rFonts w:hint="eastAsia"/>
                <w:color w:val="auto"/>
                <w:sz w:val="24"/>
                <w:lang w:val="en-US" w:eastAsia="zh-CN"/>
              </w:rPr>
              <w:t>涂胶加热一体机</w:t>
            </w:r>
            <w:r>
              <w:rPr>
                <w:rFonts w:hint="eastAsia"/>
                <w:color w:val="auto"/>
                <w:sz w:val="24"/>
              </w:rPr>
              <w:t>所在区域设独立的密闭空间，人员出入口设置可启闭的门</w:t>
            </w:r>
            <w:r>
              <w:rPr>
                <w:rFonts w:hint="eastAsia"/>
                <w:color w:val="auto"/>
                <w:sz w:val="24"/>
                <w:lang w:eastAsia="zh-CN"/>
              </w:rPr>
              <w:t>。</w:t>
            </w:r>
            <w:r>
              <w:rPr>
                <w:rFonts w:hint="eastAsia"/>
                <w:color w:val="auto"/>
                <w:sz w:val="24"/>
                <w:highlight w:val="none"/>
              </w:rPr>
              <w:t>根据产排污分析，注塑、挤出、涂胶废气经“二级活性炭装置”处理后，</w:t>
            </w:r>
            <w:r>
              <w:rPr>
                <w:rFonts w:hint="eastAsia"/>
                <w:color w:val="auto"/>
                <w:sz w:val="24"/>
                <w:highlight w:val="none"/>
                <w:lang w:eastAsia="zh-CN"/>
              </w:rPr>
              <w:t>非甲烷总烃</w:t>
            </w:r>
            <w:r>
              <w:rPr>
                <w:rFonts w:hint="eastAsia"/>
                <w:color w:val="auto"/>
                <w:sz w:val="24"/>
                <w:highlight w:val="none"/>
              </w:rPr>
              <w:t>排放浓度为</w:t>
            </w:r>
            <w:r>
              <w:rPr>
                <w:rFonts w:hint="eastAsia"/>
                <w:color w:val="auto"/>
                <w:sz w:val="24"/>
                <w:highlight w:val="none"/>
                <w:lang w:val="en-US" w:eastAsia="zh-CN"/>
              </w:rPr>
              <w:t>10.6</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lang w:val="en-US" w:eastAsia="zh-CN"/>
              </w:rPr>
              <w:t>氯化氢</w:t>
            </w:r>
            <w:r>
              <w:rPr>
                <w:rFonts w:hint="eastAsia"/>
                <w:color w:val="auto"/>
                <w:sz w:val="24"/>
                <w:highlight w:val="none"/>
              </w:rPr>
              <w:t>排放浓度为</w:t>
            </w:r>
            <w:r>
              <w:rPr>
                <w:rFonts w:hint="eastAsia"/>
                <w:color w:val="auto"/>
                <w:sz w:val="24"/>
                <w:highlight w:val="none"/>
                <w:lang w:val="en-US" w:eastAsia="zh-CN"/>
              </w:rPr>
              <w:t>0.55</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rPr>
              <w:t>符合《合成树脂工业污染物排放标准》(GB31572-2015)表5的大气污染物排放限值标准</w:t>
            </w:r>
            <w:r>
              <w:rPr>
                <w:rFonts w:hint="eastAsia"/>
                <w:color w:val="auto"/>
                <w:sz w:val="24"/>
                <w:highlight w:val="none"/>
                <w:lang w:eastAsia="zh-CN"/>
              </w:rPr>
              <w:t>，</w:t>
            </w:r>
            <w:r>
              <w:rPr>
                <w:rFonts w:hint="eastAsia"/>
                <w:color w:val="auto"/>
                <w:sz w:val="24"/>
                <w:highlight w:val="none"/>
                <w:lang w:val="en-US" w:eastAsia="zh-CN"/>
              </w:rPr>
              <w:t>苯系物</w:t>
            </w:r>
            <w:r>
              <w:rPr>
                <w:rFonts w:hint="eastAsia"/>
                <w:color w:val="auto"/>
                <w:sz w:val="24"/>
                <w:highlight w:val="none"/>
              </w:rPr>
              <w:t>排放浓度为</w:t>
            </w:r>
            <w:r>
              <w:rPr>
                <w:rFonts w:hint="eastAsia"/>
                <w:color w:val="auto"/>
                <w:sz w:val="24"/>
                <w:highlight w:val="none"/>
                <w:lang w:val="en-US" w:eastAsia="zh-CN"/>
              </w:rPr>
              <w:t>0.4</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rPr>
              <w:t>，符合《工业涂装工序挥发性有机物排放标准》(DB35/1783-2018)中表1涉涂装工序的其它行业标准限值</w:t>
            </w:r>
            <w:r>
              <w:rPr>
                <w:rFonts w:hint="eastAsia"/>
                <w:color w:val="auto"/>
                <w:sz w:val="24"/>
                <w:highlight w:val="none"/>
                <w:lang w:val="en-US" w:eastAsia="zh-CN"/>
              </w:rPr>
              <w:t>要求，甲苯</w:t>
            </w:r>
            <w:r>
              <w:rPr>
                <w:rFonts w:hint="eastAsia"/>
                <w:color w:val="auto"/>
                <w:sz w:val="24"/>
                <w:highlight w:val="none"/>
              </w:rPr>
              <w:t>排放浓度为</w:t>
            </w:r>
            <w:r>
              <w:rPr>
                <w:rFonts w:hint="eastAsia"/>
                <w:color w:val="auto"/>
                <w:sz w:val="24"/>
                <w:highlight w:val="none"/>
                <w:lang w:val="en-US" w:eastAsia="zh-CN"/>
              </w:rPr>
              <w:t>0.4</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lang w:val="en-US" w:eastAsia="zh-CN"/>
              </w:rPr>
              <w:t>符合《工业企业挥发性有机物排放标准》（DB35/1782-2018）表1中标准。</w:t>
            </w:r>
          </w:p>
          <w:p w14:paraId="4AE8007B">
            <w:pPr>
              <w:pStyle w:val="85"/>
              <w:widowControl w:val="0"/>
              <w:adjustRightInd w:val="0"/>
              <w:snapToGrid w:val="0"/>
              <w:ind w:firstLine="48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（2）无组织排放控制要求</w:t>
            </w:r>
          </w:p>
          <w:p w14:paraId="39E60C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szCs w:val="24"/>
              </w:rPr>
              <w:t>①</w:t>
            </w:r>
            <w:r>
              <w:rPr>
                <w:rFonts w:hint="eastAsia" w:ascii="Times New Roman" w:hAnsi="Times New Roman" w:eastAsia="宋体" w:cs="Times New Roman"/>
                <w:color w:val="auto"/>
                <w:sz w:val="24"/>
                <w:szCs w:val="24"/>
                <w:lang w:val="en-US" w:eastAsia="zh-CN"/>
              </w:rPr>
              <w:t>产生有机废气作业区密闭，</w:t>
            </w:r>
            <w:r>
              <w:rPr>
                <w:rFonts w:hint="eastAsia" w:ascii="Times New Roman" w:hAnsi="Times New Roman" w:eastAsia="宋体" w:cs="Times New Roman"/>
                <w:bCs/>
                <w:color w:val="auto"/>
                <w:sz w:val="24"/>
                <w:lang w:val="en-US" w:eastAsia="zh-CN"/>
              </w:rPr>
              <w:t>项目在</w:t>
            </w:r>
            <w:r>
              <w:rPr>
                <w:rFonts w:hint="eastAsia" w:cs="Times New Roman"/>
                <w:bCs/>
                <w:color w:val="auto"/>
                <w:sz w:val="24"/>
                <w:lang w:val="en-US" w:eastAsia="zh-CN"/>
              </w:rPr>
              <w:t>注塑、挤出机、涂胶加热一体机</w:t>
            </w:r>
            <w:r>
              <w:rPr>
                <w:rFonts w:hint="eastAsia" w:ascii="Times New Roman" w:hAnsi="Times New Roman" w:eastAsia="宋体" w:cs="Times New Roman"/>
                <w:bCs/>
                <w:color w:val="auto"/>
                <w:sz w:val="24"/>
                <w:lang w:val="en-US" w:eastAsia="zh-CN"/>
              </w:rPr>
              <w:t>所在区域设密闭空间，人员出入口设置可启闭的门，在生产人员进入后关闭，同时在</w:t>
            </w:r>
            <w:r>
              <w:rPr>
                <w:rFonts w:hint="eastAsia" w:cs="Times New Roman"/>
                <w:bCs/>
                <w:color w:val="auto"/>
                <w:sz w:val="24"/>
                <w:lang w:val="en-US" w:eastAsia="zh-CN"/>
              </w:rPr>
              <w:t>注塑机、挤出机</w:t>
            </w:r>
            <w:r>
              <w:rPr>
                <w:rFonts w:hint="eastAsia" w:ascii="Times New Roman" w:hAnsi="Times New Roman" w:eastAsia="宋体" w:cs="Times New Roman"/>
                <w:bCs/>
                <w:color w:val="auto"/>
                <w:sz w:val="24"/>
                <w:lang w:val="en-US" w:eastAsia="zh-CN"/>
              </w:rPr>
              <w:t>上方设置顶吸式集气罩，形成车间负压，将废气强制性的向收集装置流动</w:t>
            </w:r>
            <w:r>
              <w:rPr>
                <w:rFonts w:hint="eastAsia" w:ascii="Times New Roman" w:hAnsi="Times New Roman" w:eastAsia="宋体" w:cs="Times New Roman"/>
                <w:color w:val="auto"/>
                <w:sz w:val="24"/>
                <w:szCs w:val="24"/>
                <w:lang w:val="en-US" w:eastAsia="zh-CN"/>
              </w:rPr>
              <w:t>加强废气收集效率</w:t>
            </w:r>
            <w:r>
              <w:rPr>
                <w:rFonts w:hint="eastAsia" w:ascii="Times New Roman" w:hAnsi="Times New Roman" w:eastAsia="宋体" w:cs="Times New Roman"/>
                <w:bCs/>
                <w:color w:val="auto"/>
                <w:sz w:val="24"/>
                <w:lang w:val="en-US" w:eastAsia="zh-CN"/>
              </w:rPr>
              <w:t>，</w:t>
            </w:r>
            <w:r>
              <w:rPr>
                <w:rFonts w:hint="eastAsia" w:ascii="Times New Roman" w:hAnsi="Times New Roman" w:eastAsia="宋体" w:cs="Times New Roman"/>
                <w:color w:val="auto"/>
                <w:sz w:val="24"/>
                <w:szCs w:val="24"/>
                <w:lang w:val="en-US" w:eastAsia="zh-CN"/>
              </w:rPr>
              <w:t>减少废气的无组织排放</w:t>
            </w:r>
            <w:r>
              <w:rPr>
                <w:rFonts w:hint="eastAsia"/>
                <w:color w:val="auto"/>
                <w:sz w:val="24"/>
              </w:rPr>
              <w:t>。</w:t>
            </w:r>
          </w:p>
          <w:p w14:paraId="3F2F25D0">
            <w:pPr>
              <w:pStyle w:val="15"/>
              <w:overflowPunct w:val="0"/>
              <w:autoSpaceDE w:val="0"/>
              <w:autoSpaceDN w:val="0"/>
              <w:spacing w:before="0" w:after="0" w:line="360" w:lineRule="auto"/>
              <w:ind w:firstLine="480" w:firstLineChars="200"/>
              <w:rPr>
                <w:color w:val="auto"/>
                <w:sz w:val="24"/>
              </w:rPr>
            </w:pPr>
            <w:r>
              <w:rPr>
                <w:rFonts w:hint="eastAsia"/>
                <w:color w:val="auto"/>
                <w:sz w:val="24"/>
              </w:rPr>
              <w:t>②</w:t>
            </w:r>
            <w:r>
              <w:rPr>
                <w:color w:val="auto"/>
                <w:sz w:val="24"/>
              </w:rPr>
              <w:t>加强生产管理和设备维修</w:t>
            </w:r>
            <w:r>
              <w:rPr>
                <w:rFonts w:hint="eastAsia"/>
                <w:color w:val="auto"/>
                <w:sz w:val="24"/>
                <w:lang w:eastAsia="zh-CN"/>
              </w:rPr>
              <w:t>及</w:t>
            </w:r>
            <w:r>
              <w:rPr>
                <w:color w:val="auto"/>
                <w:sz w:val="24"/>
              </w:rPr>
              <w:t>时修、更换破损的管道、机泵、阀门及污染治理设备，减少和防止生产过程中的跑、冒、滴、漏和事故性排放，加强管道、阀门的密封检修，减少无组织废气逸散。</w:t>
            </w:r>
          </w:p>
          <w:p w14:paraId="37CAE42A">
            <w:pPr>
              <w:spacing w:line="360" w:lineRule="auto"/>
              <w:ind w:firstLine="480" w:firstLineChars="200"/>
              <w:rPr>
                <w:color w:val="auto"/>
                <w:sz w:val="24"/>
              </w:rPr>
            </w:pPr>
            <w:r>
              <w:rPr>
                <w:color w:val="auto"/>
                <w:sz w:val="24"/>
              </w:rPr>
              <w:t>③建立台账，记录含VOCs原辅材料和含VOCs产品的名称，使用量、回收量、废弃量、去向以及VOCs含量等信息，台账保存期限不小于5年。</w:t>
            </w:r>
          </w:p>
          <w:p w14:paraId="54B6B758">
            <w:pPr>
              <w:spacing w:line="360" w:lineRule="auto"/>
              <w:ind w:firstLine="480" w:firstLineChars="200"/>
              <w:rPr>
                <w:color w:val="auto"/>
                <w:sz w:val="24"/>
              </w:rPr>
            </w:pPr>
            <w:r>
              <w:rPr>
                <w:color w:val="auto"/>
                <w:sz w:val="24"/>
              </w:rPr>
              <w:t>④工艺过程产生的含VOCs废料</w:t>
            </w:r>
            <w:r>
              <w:rPr>
                <w:rFonts w:hint="eastAsia"/>
                <w:color w:val="auto"/>
                <w:sz w:val="24"/>
              </w:rPr>
              <w:t>（</w:t>
            </w:r>
            <w:r>
              <w:rPr>
                <w:color w:val="auto"/>
                <w:sz w:val="24"/>
              </w:rPr>
              <w:t>渣、液</w:t>
            </w:r>
            <w:r>
              <w:rPr>
                <w:rFonts w:hint="eastAsia"/>
                <w:color w:val="auto"/>
                <w:sz w:val="24"/>
              </w:rPr>
              <w:t>）</w:t>
            </w:r>
            <w:r>
              <w:rPr>
                <w:color w:val="auto"/>
                <w:sz w:val="24"/>
              </w:rPr>
              <w:t>，如本项目产生的</w:t>
            </w:r>
            <w:r>
              <w:rPr>
                <w:rFonts w:hint="eastAsia"/>
                <w:color w:val="auto"/>
                <w:sz w:val="24"/>
              </w:rPr>
              <w:t>废活性炭、废化学品包装物等</w:t>
            </w:r>
            <w:r>
              <w:rPr>
                <w:color w:val="auto"/>
                <w:sz w:val="24"/>
              </w:rPr>
              <w:t>在贮存、转运过程中应密闭。</w:t>
            </w:r>
          </w:p>
          <w:p w14:paraId="4635FDD0">
            <w:pPr>
              <w:pStyle w:val="85"/>
              <w:widowControl w:val="0"/>
              <w:adjustRightInd w:val="0"/>
              <w:snapToGrid w:val="0"/>
              <w:ind w:firstLine="480"/>
              <w:jc w:val="both"/>
              <w:rPr>
                <w:rFonts w:ascii="Times New Roman" w:hAnsi="Times New Roman"/>
                <w:color w:val="auto"/>
                <w:sz w:val="24"/>
                <w:szCs w:val="24"/>
              </w:rPr>
            </w:pPr>
            <w:r>
              <w:rPr>
                <w:rFonts w:hint="eastAsia" w:ascii="Times New Roman" w:hAnsi="Times New Roman"/>
                <w:color w:val="auto"/>
                <w:sz w:val="24"/>
                <w:szCs w:val="24"/>
                <w:lang w:eastAsia="zh-CN"/>
              </w:rPr>
              <w:t>⑤</w:t>
            </w:r>
            <w:r>
              <w:rPr>
                <w:rFonts w:hint="eastAsia" w:ascii="Times New Roman" w:hAnsi="Times New Roman"/>
                <w:color w:val="auto"/>
                <w:sz w:val="24"/>
                <w:szCs w:val="24"/>
              </w:rPr>
              <w:t>对沉积在车间地面的粉尘及时清扫，作为一般工业固废外售合规单位综合利用。</w:t>
            </w:r>
          </w:p>
          <w:p w14:paraId="366A25A4">
            <w:pPr>
              <w:pStyle w:val="15"/>
              <w:overflowPunct w:val="0"/>
              <w:autoSpaceDE w:val="0"/>
              <w:autoSpaceDN w:val="0"/>
              <w:spacing w:before="0" w:after="0" w:line="360" w:lineRule="auto"/>
              <w:ind w:firstLine="480" w:firstLineChars="200"/>
              <w:rPr>
                <w:rFonts w:hint="eastAsia"/>
                <w:color w:val="auto"/>
                <w:sz w:val="24"/>
                <w:highlight w:val="none"/>
              </w:rPr>
            </w:pPr>
            <w:r>
              <w:rPr>
                <w:rFonts w:hint="eastAsia" w:cs="Times New Roman"/>
                <w:color w:val="auto"/>
                <w:sz w:val="24"/>
                <w:highlight w:val="none"/>
                <w:lang w:val="en-US" w:eastAsia="zh-CN"/>
              </w:rPr>
              <w:t>⑥</w:t>
            </w: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铝带底涂剂、PP底涂剂</w:t>
            </w:r>
            <w:r>
              <w:rPr>
                <w:rFonts w:hint="eastAsia" w:ascii="Times New Roman" w:hAnsi="Times New Roman"/>
                <w:color w:val="auto"/>
                <w:sz w:val="24"/>
                <w:highlight w:val="none"/>
              </w:rPr>
              <w:t>等VOCs物料</w:t>
            </w:r>
            <w:r>
              <w:rPr>
                <w:rFonts w:hint="eastAsia" w:ascii="Times New Roman" w:hAnsi="Times New Roman" w:eastAsia="宋体" w:cs="Times New Roman"/>
                <w:color w:val="auto"/>
                <w:sz w:val="24"/>
                <w:highlight w:val="none"/>
                <w:lang w:val="en-US" w:eastAsia="zh-CN"/>
              </w:rPr>
              <w:t>的贮存、调配、输送、使用等过程应保持密闭。项目盛装挥发性有机物物料的包装容器应存放于室内，或存放于设置有雨棚、遮阳和防渗设施的专用场地。盛装挥发性有机物物料的包装容器在非取用状态时应加盖、封口，保持密闭。</w:t>
            </w:r>
          </w:p>
          <w:p w14:paraId="2BE28271">
            <w:pPr>
              <w:pStyle w:val="15"/>
              <w:overflowPunct w:val="0"/>
              <w:autoSpaceDE w:val="0"/>
              <w:autoSpaceDN w:val="0"/>
              <w:spacing w:before="0" w:after="0" w:line="360" w:lineRule="auto"/>
              <w:ind w:firstLine="480" w:firstLineChars="200"/>
              <w:rPr>
                <w:color w:val="auto"/>
                <w:sz w:val="24"/>
              </w:rPr>
            </w:pPr>
            <w:r>
              <w:rPr>
                <w:rFonts w:hint="eastAsia"/>
                <w:color w:val="auto"/>
                <w:sz w:val="24"/>
              </w:rPr>
              <w:t>采取以上废气处理措施后，有组织废气中各污染物均能达标排放，无组织废气能够满足厂界排放要求。</w:t>
            </w:r>
          </w:p>
          <w:p w14:paraId="7CDEF91B">
            <w:pPr>
              <w:pStyle w:val="98"/>
              <w:adjustRightInd w:val="0"/>
              <w:snapToGrid w:val="0"/>
              <w:ind w:firstLine="480"/>
              <w:rPr>
                <w:b w:val="0"/>
                <w:bCs/>
                <w:color w:val="auto"/>
                <w:highlight w:val="none"/>
              </w:rPr>
            </w:pPr>
            <w:r>
              <w:rPr>
                <w:rFonts w:hint="eastAsia"/>
                <w:b w:val="0"/>
                <w:bCs/>
                <w:color w:val="auto"/>
                <w:highlight w:val="none"/>
              </w:rPr>
              <w:t>（3）环境防护距离分析</w:t>
            </w:r>
          </w:p>
          <w:p w14:paraId="30627A55">
            <w:pPr>
              <w:spacing w:line="360" w:lineRule="auto"/>
              <w:ind w:firstLine="480" w:firstLineChars="200"/>
              <w:rPr>
                <w:b w:val="0"/>
                <w:bCs/>
                <w:color w:val="auto"/>
                <w:sz w:val="24"/>
                <w:highlight w:val="none"/>
              </w:rPr>
            </w:pPr>
            <w:r>
              <w:rPr>
                <w:rFonts w:hint="eastAsia"/>
                <w:b w:val="0"/>
                <w:bCs/>
                <w:color w:val="auto"/>
                <w:sz w:val="24"/>
                <w:highlight w:val="none"/>
              </w:rPr>
              <w:t>根据《建设项目环境影响报告表编制技术指南(污染影响类)(试行)》(</w:t>
            </w:r>
            <w:r>
              <w:rPr>
                <w:b w:val="0"/>
                <w:bCs/>
                <w:color w:val="auto"/>
                <w:sz w:val="24"/>
                <w:highlight w:val="none"/>
                <w:lang w:val="zh-CN"/>
              </w:rPr>
              <w:t>环办环评〔2020〕33号</w:t>
            </w:r>
            <w:r>
              <w:rPr>
                <w:rFonts w:hint="eastAsia"/>
                <w:b w:val="0"/>
                <w:bCs/>
                <w:color w:val="auto"/>
                <w:sz w:val="24"/>
                <w:highlight w:val="none"/>
              </w:rPr>
              <w:t>)要求可知，目前不对项目</w:t>
            </w:r>
            <w:r>
              <w:rPr>
                <w:b w:val="0"/>
                <w:bCs/>
                <w:color w:val="auto"/>
                <w:sz w:val="24"/>
                <w:highlight w:val="none"/>
              </w:rPr>
              <w:t>大气环境防护距离及卫生防护</w:t>
            </w:r>
            <w:r>
              <w:rPr>
                <w:rFonts w:hint="eastAsia"/>
                <w:b w:val="0"/>
                <w:bCs/>
                <w:color w:val="auto"/>
                <w:sz w:val="24"/>
                <w:highlight w:val="none"/>
              </w:rPr>
              <w:t>距离进行要求。</w:t>
            </w:r>
            <w:r>
              <w:rPr>
                <w:b w:val="0"/>
                <w:bCs/>
                <w:color w:val="auto"/>
                <w:sz w:val="24"/>
                <w:szCs w:val="22"/>
                <w:highlight w:val="none"/>
              </w:rPr>
              <w:t>根据环境影响评价网(</w:t>
            </w:r>
            <w:r>
              <w:rPr>
                <w:b w:val="0"/>
                <w:bCs/>
                <w:color w:val="auto"/>
                <w:sz w:val="24"/>
                <w:szCs w:val="22"/>
                <w:highlight w:val="none"/>
                <w:lang w:val="zh-CN"/>
              </w:rPr>
              <w:t>生态环境部环境工程评估中心</w:t>
            </w:r>
            <w:r>
              <w:rPr>
                <w:b w:val="0"/>
                <w:bCs/>
                <w:color w:val="auto"/>
                <w:sz w:val="24"/>
                <w:szCs w:val="22"/>
                <w:highlight w:val="none"/>
              </w:rPr>
              <w:t>)关于</w:t>
            </w:r>
            <w:r>
              <w:rPr>
                <w:b w:val="0"/>
                <w:bCs/>
                <w:color w:val="auto"/>
                <w:sz w:val="24"/>
                <w:szCs w:val="22"/>
                <w:highlight w:val="none"/>
                <w:lang w:val="zh-CN"/>
              </w:rPr>
              <w:t>《建设项目环境影响报告表》内容、格式及编制技术指南常见问题解答：“</w:t>
            </w:r>
            <w:r>
              <w:rPr>
                <w:b w:val="0"/>
                <w:bCs/>
                <w:color w:val="auto"/>
                <w:sz w:val="24"/>
                <w:highlight w:val="none"/>
                <w:shd w:val="clear" w:color="auto" w:fill="FFFFFF"/>
              </w:rPr>
              <w:t>《建设项目环境影响评价技术导则 总纲》(HJ2.1-2016)未对卫生防护距离提出评价要求，建设项目环境影响报告表编制技术指南(以下简称技术指南)不做要求。对于判定为需要开展大气专项评价的建设项目，根据《环境影响评价技术导则 大气环境》(HJ2.2-2018)需要计算大气环境防护距离的，应按要求计算。本项目不涉及大气专项评价，因此，</w:t>
            </w:r>
            <w:r>
              <w:rPr>
                <w:b w:val="0"/>
                <w:bCs/>
                <w:color w:val="auto"/>
                <w:sz w:val="24"/>
                <w:highlight w:val="none"/>
              </w:rPr>
              <w:t>在企业落实有效的废气收集、处理措施的前提下，本项目可不设置环境防护距离。</w:t>
            </w:r>
          </w:p>
          <w:p w14:paraId="47E077FA">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auto"/>
                <w:kern w:val="0"/>
                <w:sz w:val="24"/>
                <w:lang w:val="en-US" w:eastAsia="zh-CN"/>
              </w:rPr>
            </w:pPr>
            <w:r>
              <w:rPr>
                <w:rFonts w:hint="default" w:ascii="Times New Roman" w:hAnsi="Times New Roman" w:eastAsia="宋体" w:cs="Times New Roman"/>
                <w:b/>
                <w:bCs w:val="0"/>
                <w:color w:val="auto"/>
                <w:kern w:val="0"/>
                <w:sz w:val="24"/>
                <w:lang w:val="en-US" w:eastAsia="zh-CN"/>
              </w:rPr>
              <w:t>4.</w:t>
            </w:r>
            <w:r>
              <w:rPr>
                <w:rFonts w:hint="eastAsia" w:ascii="Times New Roman" w:hAnsi="Times New Roman" w:eastAsia="宋体" w:cs="Times New Roman"/>
                <w:b/>
                <w:bCs w:val="0"/>
                <w:color w:val="auto"/>
                <w:kern w:val="0"/>
                <w:sz w:val="24"/>
                <w:lang w:val="en-US" w:eastAsia="zh-CN"/>
              </w:rPr>
              <w:t>2</w:t>
            </w:r>
            <w:r>
              <w:rPr>
                <w:rFonts w:hint="default" w:ascii="Times New Roman" w:hAnsi="Times New Roman" w:eastAsia="宋体" w:cs="Times New Roman"/>
                <w:b/>
                <w:bCs w:val="0"/>
                <w:color w:val="auto"/>
                <w:kern w:val="0"/>
                <w:sz w:val="24"/>
                <w:lang w:val="en-US" w:eastAsia="zh-CN"/>
              </w:rPr>
              <w:t>.</w:t>
            </w:r>
            <w:r>
              <w:rPr>
                <w:rFonts w:hint="eastAsia" w:ascii="Times New Roman" w:hAnsi="Times New Roman" w:eastAsia="宋体" w:cs="Times New Roman"/>
                <w:b/>
                <w:bCs w:val="0"/>
                <w:color w:val="auto"/>
                <w:kern w:val="0"/>
                <w:sz w:val="24"/>
                <w:lang w:val="en-US" w:eastAsia="zh-CN"/>
              </w:rPr>
              <w:t>4</w:t>
            </w:r>
            <w:r>
              <w:rPr>
                <w:rFonts w:hint="default" w:ascii="Times New Roman" w:hAnsi="Times New Roman" w:eastAsia="宋体" w:cs="Times New Roman"/>
                <w:b/>
                <w:bCs w:val="0"/>
                <w:color w:val="auto"/>
                <w:kern w:val="0"/>
                <w:sz w:val="24"/>
                <w:lang w:val="en-US" w:eastAsia="zh-CN"/>
              </w:rPr>
              <w:t xml:space="preserve"> 自行监测计划</w:t>
            </w:r>
          </w:p>
          <w:p w14:paraId="53703DDC">
            <w:pPr>
              <w:adjustRightInd w:val="0"/>
              <w:snapToGrid w:val="0"/>
              <w:spacing w:line="360" w:lineRule="auto"/>
              <w:ind w:firstLine="480" w:firstLineChars="200"/>
              <w:rPr>
                <w:color w:val="auto"/>
                <w:sz w:val="24"/>
              </w:rPr>
            </w:pPr>
            <w:r>
              <w:rPr>
                <w:rFonts w:hint="eastAsia"/>
                <w:color w:val="auto"/>
                <w:sz w:val="24"/>
              </w:rPr>
              <w:t>根据《排污单位自行监测技术指南 总则》（HJ 819-2017）及相关规范要求，参考《排污单位自行监测技术指南橡胶和塑料制品（HJ1207—2021）</w:t>
            </w:r>
            <w:r>
              <w:rPr>
                <w:rFonts w:hint="eastAsia"/>
                <w:color w:val="auto"/>
                <w:sz w:val="24"/>
                <w:lang w:eastAsia="zh-CN"/>
              </w:rPr>
              <w:t>、《排污许可证申请与核发技术规范 汽车制造业》（HJ 971-2018）、</w:t>
            </w:r>
            <w:r>
              <w:rPr>
                <w:rFonts w:hint="eastAsia"/>
                <w:color w:val="auto"/>
                <w:sz w:val="24"/>
              </w:rPr>
              <w:t>《排污单位自行监测技术指南 涂装》（HJ 1086-2020），制定本项目运营期废气监测计划，详见下表。</w:t>
            </w:r>
          </w:p>
          <w:p w14:paraId="3D9616A9">
            <w:pPr>
              <w:pStyle w:val="98"/>
              <w:adjustRightInd w:val="0"/>
              <w:snapToGrid w:val="0"/>
              <w:spacing w:before="120" w:beforeLines="50" w:line="240" w:lineRule="auto"/>
              <w:ind w:firstLine="0" w:firstLineChars="0"/>
              <w:jc w:val="center"/>
              <w:rPr>
                <w:rFonts w:ascii="Times New Roman" w:hAnsi="Times New Roman" w:eastAsia="黑体"/>
                <w:color w:val="auto"/>
                <w:kern w:val="0"/>
              </w:rPr>
            </w:pPr>
          </w:p>
          <w:p w14:paraId="272F79A9">
            <w:pPr>
              <w:pStyle w:val="98"/>
              <w:adjustRightInd w:val="0"/>
              <w:snapToGrid w:val="0"/>
              <w:spacing w:before="120" w:beforeLines="50" w:line="240" w:lineRule="auto"/>
              <w:ind w:firstLine="0" w:firstLineChars="0"/>
              <w:jc w:val="center"/>
              <w:rPr>
                <w:rFonts w:ascii="Times New Roman" w:hAnsi="Times New Roman" w:eastAsia="黑体"/>
                <w:color w:val="auto"/>
              </w:rPr>
            </w:pPr>
            <w:r>
              <w:rPr>
                <w:rFonts w:ascii="Times New Roman" w:hAnsi="Times New Roman" w:eastAsia="黑体"/>
                <w:color w:val="auto"/>
                <w:kern w:val="0"/>
              </w:rPr>
              <w:t>表4</w:t>
            </w:r>
            <w:r>
              <w:rPr>
                <w:rFonts w:hint="eastAsia" w:ascii="Times New Roman" w:hAnsi="Times New Roman" w:eastAsia="黑体"/>
                <w:color w:val="auto"/>
                <w:kern w:val="0"/>
                <w:lang w:val="en-US" w:eastAsia="zh-CN"/>
              </w:rPr>
              <w:t>-</w:t>
            </w:r>
            <w:r>
              <w:rPr>
                <w:rFonts w:hint="eastAsia" w:eastAsia="黑体"/>
                <w:color w:val="auto"/>
                <w:kern w:val="0"/>
                <w:lang w:val="en-US" w:eastAsia="zh-CN"/>
              </w:rPr>
              <w:t>12</w:t>
            </w:r>
            <w:r>
              <w:rPr>
                <w:rFonts w:hint="eastAsia" w:ascii="Times New Roman" w:hAnsi="Times New Roman" w:eastAsia="黑体"/>
                <w:color w:val="auto"/>
                <w:kern w:val="0"/>
              </w:rPr>
              <w:t xml:space="preserve"> </w:t>
            </w:r>
            <w:r>
              <w:rPr>
                <w:rFonts w:hint="eastAsia" w:ascii="Times New Roman" w:hAnsi="Times New Roman" w:eastAsia="黑体"/>
                <w:color w:val="auto"/>
                <w:kern w:val="0"/>
                <w:lang w:val="en-US" w:eastAsia="zh-CN"/>
              </w:rPr>
              <w:t xml:space="preserve"> </w:t>
            </w:r>
            <w:r>
              <w:rPr>
                <w:rFonts w:ascii="Times New Roman" w:hAnsi="Times New Roman" w:eastAsia="黑体"/>
                <w:color w:val="auto"/>
                <w:kern w:val="0"/>
              </w:rPr>
              <w:t>项目废气自行监测计划</w:t>
            </w:r>
          </w:p>
          <w:tbl>
            <w:tblPr>
              <w:tblStyle w:val="35"/>
              <w:tblW w:w="498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645"/>
              <w:gridCol w:w="4105"/>
              <w:gridCol w:w="1213"/>
            </w:tblGrid>
            <w:tr w14:paraId="2B6D6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6" w:type="pct"/>
                  <w:noWrap w:val="0"/>
                  <w:vAlign w:val="center"/>
                </w:tcPr>
                <w:p w14:paraId="084F67E5">
                  <w:pPr>
                    <w:adjustRightInd w:val="0"/>
                    <w:snapToGrid w:val="0"/>
                    <w:spacing w:line="3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类别</w:t>
                  </w:r>
                </w:p>
              </w:tc>
              <w:tc>
                <w:tcPr>
                  <w:tcW w:w="1519" w:type="pct"/>
                  <w:noWrap w:val="0"/>
                  <w:vAlign w:val="center"/>
                </w:tcPr>
                <w:p w14:paraId="0C59208F">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监测点位</w:t>
                  </w:r>
                </w:p>
              </w:tc>
              <w:tc>
                <w:tcPr>
                  <w:tcW w:w="2357" w:type="pct"/>
                  <w:noWrap w:val="0"/>
                  <w:vAlign w:val="center"/>
                </w:tcPr>
                <w:p w14:paraId="4002605F">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监测因子</w:t>
                  </w:r>
                </w:p>
              </w:tc>
              <w:tc>
                <w:tcPr>
                  <w:tcW w:w="696" w:type="pct"/>
                  <w:noWrap w:val="0"/>
                  <w:vAlign w:val="center"/>
                </w:tcPr>
                <w:p w14:paraId="29960E4F">
                  <w:pPr>
                    <w:adjustRightInd w:val="0"/>
                    <w:snapToGrid w:val="0"/>
                    <w:spacing w:line="3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监测频次</w:t>
                  </w:r>
                </w:p>
              </w:tc>
            </w:tr>
            <w:tr w14:paraId="3E55D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6" w:type="pct"/>
                  <w:vMerge w:val="restart"/>
                  <w:noWrap w:val="0"/>
                  <w:vAlign w:val="center"/>
                </w:tcPr>
                <w:p w14:paraId="44AED647">
                  <w:pPr>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废气</w:t>
                  </w:r>
                </w:p>
              </w:tc>
              <w:tc>
                <w:tcPr>
                  <w:tcW w:w="1519" w:type="pct"/>
                  <w:noWrap w:val="0"/>
                  <w:vAlign w:val="center"/>
                </w:tcPr>
                <w:p w14:paraId="5188207E">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DA002</w:t>
                  </w:r>
                  <w:r>
                    <w:rPr>
                      <w:rFonts w:hint="eastAsia" w:ascii="Times New Roman" w:hAnsi="Times New Roman" w:eastAsia="宋体" w:cs="Times New Roman"/>
                      <w:bCs/>
                      <w:color w:val="auto"/>
                      <w:sz w:val="21"/>
                      <w:szCs w:val="21"/>
                      <w:lang w:val="en-US" w:eastAsia="zh-CN"/>
                    </w:rPr>
                    <w:t>排气筒出口</w:t>
                  </w:r>
                </w:p>
              </w:tc>
              <w:tc>
                <w:tcPr>
                  <w:tcW w:w="2357" w:type="pct"/>
                  <w:noWrap w:val="0"/>
                  <w:vAlign w:val="center"/>
                </w:tcPr>
                <w:p w14:paraId="6DE11ABE">
                  <w:pPr>
                    <w:pStyle w:val="94"/>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240" w:lineRule="auto"/>
                    <w:ind w:left="0" w:leftChars="0" w:firstLine="0" w:firstLineChars="0"/>
                    <w:textAlignment w:val="auto"/>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color w:val="auto"/>
                      <w:sz w:val="21"/>
                      <w:szCs w:val="21"/>
                      <w:lang w:val="en-US" w:eastAsia="zh-CN"/>
                    </w:rPr>
                    <w:t>非甲烷总烃</w:t>
                  </w:r>
                  <w:r>
                    <w:rPr>
                      <w:rFonts w:hint="eastAsia" w:cs="Times New Roman"/>
                      <w:color w:val="auto"/>
                      <w:sz w:val="21"/>
                      <w:szCs w:val="21"/>
                      <w:highlight w:val="none"/>
                      <w:lang w:val="en-US" w:eastAsia="zh-CN"/>
                    </w:rPr>
                    <w:t>、甲苯、氯化氢、苯系物、臭气浓度</w:t>
                  </w:r>
                </w:p>
              </w:tc>
              <w:tc>
                <w:tcPr>
                  <w:tcW w:w="696" w:type="pct"/>
                  <w:noWrap w:val="0"/>
                  <w:vAlign w:val="center"/>
                </w:tcPr>
                <w:p w14:paraId="7D083E13">
                  <w:pPr>
                    <w:adjustRightInd w:val="0"/>
                    <w:snapToGrid w:val="0"/>
                    <w:spacing w:line="3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w:t>
                  </w:r>
                  <w:r>
                    <w:rPr>
                      <w:rFonts w:ascii="Times New Roman" w:hAnsi="Times New Roman" w:eastAsia="宋体" w:cs="Times New Roman"/>
                      <w:color w:val="auto"/>
                      <w:szCs w:val="21"/>
                    </w:rPr>
                    <w:t>/年</w:t>
                  </w:r>
                </w:p>
              </w:tc>
            </w:tr>
            <w:tr w14:paraId="69C7E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6" w:type="pct"/>
                  <w:vMerge w:val="continue"/>
                  <w:noWrap w:val="0"/>
                  <w:vAlign w:val="center"/>
                </w:tcPr>
                <w:p w14:paraId="60E6432D">
                  <w:pPr>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p>
              </w:tc>
              <w:tc>
                <w:tcPr>
                  <w:tcW w:w="1519" w:type="pct"/>
                  <w:noWrap w:val="0"/>
                  <w:vAlign w:val="center"/>
                </w:tcPr>
                <w:p w14:paraId="0870C808">
                  <w:pPr>
                    <w:adjustRightInd w:val="0"/>
                    <w:snapToGrid w:val="0"/>
                    <w:spacing w:line="3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厂界(上风向1个点位、下风向3个点位)</w:t>
                  </w:r>
                </w:p>
              </w:tc>
              <w:tc>
                <w:tcPr>
                  <w:tcW w:w="2357" w:type="pct"/>
                  <w:noWrap w:val="0"/>
                  <w:vAlign w:val="center"/>
                </w:tcPr>
                <w:p w14:paraId="0761A0FF">
                  <w:pPr>
                    <w:adjustRightInd w:val="0"/>
                    <w:snapToGrid w:val="0"/>
                    <w:spacing w:line="3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非甲烷总烃、颗粒物</w:t>
                  </w:r>
                  <w:r>
                    <w:rPr>
                      <w:rFonts w:hint="eastAsia" w:cs="Times New Roman"/>
                      <w:color w:val="auto"/>
                      <w:szCs w:val="21"/>
                      <w:highlight w:val="none"/>
                      <w:lang w:val="en-US" w:eastAsia="zh-CN"/>
                    </w:rPr>
                    <w:t>、氯化氢、甲苯、臭气浓度</w:t>
                  </w:r>
                </w:p>
              </w:tc>
              <w:tc>
                <w:tcPr>
                  <w:tcW w:w="696" w:type="pct"/>
                  <w:noWrap w:val="0"/>
                  <w:vAlign w:val="center"/>
                </w:tcPr>
                <w:p w14:paraId="7DE89D05">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1次</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年</w:t>
                  </w:r>
                </w:p>
              </w:tc>
            </w:tr>
            <w:tr w14:paraId="6FB0D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26" w:type="pct"/>
                  <w:vMerge w:val="continue"/>
                  <w:noWrap w:val="0"/>
                  <w:vAlign w:val="top"/>
                </w:tcPr>
                <w:p w14:paraId="7A7B189B">
                  <w:pPr>
                    <w:adjustRightInd w:val="0"/>
                    <w:snapToGrid w:val="0"/>
                    <w:spacing w:line="340" w:lineRule="exact"/>
                    <w:jc w:val="center"/>
                    <w:rPr>
                      <w:rFonts w:hint="default" w:ascii="Times New Roman" w:hAnsi="Times New Roman" w:eastAsia="宋体" w:cs="Times New Roman"/>
                      <w:bCs/>
                      <w:color w:val="auto"/>
                      <w:kern w:val="2"/>
                      <w:sz w:val="21"/>
                      <w:szCs w:val="21"/>
                      <w:lang w:val="en-US" w:eastAsia="zh-CN" w:bidi="ar-SA"/>
                    </w:rPr>
                  </w:pPr>
                </w:p>
              </w:tc>
              <w:tc>
                <w:tcPr>
                  <w:tcW w:w="1519" w:type="pct"/>
                  <w:noWrap w:val="0"/>
                  <w:vAlign w:val="center"/>
                </w:tcPr>
                <w:p w14:paraId="0614B496">
                  <w:pPr>
                    <w:adjustRightInd w:val="0"/>
                    <w:snapToGrid w:val="0"/>
                    <w:spacing w:line="3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厂区内（3个点位）</w:t>
                  </w:r>
                </w:p>
              </w:tc>
              <w:tc>
                <w:tcPr>
                  <w:tcW w:w="2357" w:type="pct"/>
                  <w:noWrap w:val="0"/>
                  <w:vAlign w:val="center"/>
                </w:tcPr>
                <w:p w14:paraId="632F0CBE">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非甲烷总烃</w:t>
                  </w:r>
                </w:p>
              </w:tc>
              <w:tc>
                <w:tcPr>
                  <w:tcW w:w="696" w:type="pct"/>
                  <w:noWrap w:val="0"/>
                  <w:vAlign w:val="center"/>
                </w:tcPr>
                <w:p w14:paraId="45A77BB8">
                  <w:pPr>
                    <w:adjustRightInd w:val="0"/>
                    <w:snapToGrid w:val="0"/>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1次/年</w:t>
                  </w:r>
                </w:p>
              </w:tc>
            </w:tr>
          </w:tbl>
          <w:p w14:paraId="0964E97E">
            <w:pPr>
              <w:pStyle w:val="3"/>
              <w:numPr>
                <w:ilvl w:val="0"/>
                <w:numId w:val="0"/>
              </w:numPr>
              <w:bidi w:val="0"/>
              <w:ind w:leftChars="0"/>
              <w:rPr>
                <w:color w:val="auto"/>
              </w:rPr>
            </w:pPr>
            <w:r>
              <w:rPr>
                <w:color w:val="auto"/>
              </w:rPr>
              <w:t>4.</w:t>
            </w:r>
            <w:r>
              <w:rPr>
                <w:rFonts w:hint="eastAsia"/>
                <w:color w:val="auto"/>
              </w:rPr>
              <w:t>3</w:t>
            </w:r>
            <w:r>
              <w:rPr>
                <w:color w:val="auto"/>
              </w:rPr>
              <w:t>运营期水环境影响分析和污染防治措施</w:t>
            </w:r>
          </w:p>
          <w:p w14:paraId="2DF22CFC">
            <w:pPr>
              <w:pStyle w:val="4"/>
              <w:bidi w:val="0"/>
              <w:rPr>
                <w:color w:val="auto"/>
              </w:rPr>
            </w:pPr>
            <w:r>
              <w:rPr>
                <w:color w:val="auto"/>
              </w:rPr>
              <w:t>4.</w:t>
            </w:r>
            <w:r>
              <w:rPr>
                <w:rFonts w:hint="eastAsia"/>
                <w:color w:val="auto"/>
              </w:rPr>
              <w:t>3</w:t>
            </w:r>
            <w:r>
              <w:rPr>
                <w:color w:val="auto"/>
              </w:rPr>
              <w:t>.1运营期</w:t>
            </w:r>
            <w:r>
              <w:rPr>
                <w:rFonts w:hint="eastAsia"/>
                <w:color w:val="auto"/>
              </w:rPr>
              <w:t>废水</w:t>
            </w:r>
            <w:r>
              <w:rPr>
                <w:color w:val="auto"/>
              </w:rPr>
              <w:t>源强核算</w:t>
            </w:r>
          </w:p>
          <w:p w14:paraId="1AF03B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扩建项目运营期车间地面不冲洗，采取清扫的方式来进行清洁，不产生地面清洗废水。</w:t>
            </w:r>
            <w:r>
              <w:rPr>
                <w:rFonts w:hint="eastAsia" w:cs="Times New Roman"/>
                <w:color w:val="auto"/>
                <w:sz w:val="24"/>
                <w:highlight w:val="none"/>
                <w:lang w:val="en-US" w:eastAsia="zh-CN"/>
              </w:rPr>
              <w:t>生产过程用水主要为冷却用水和职工生活用水，冷却水循环使用定期补充，不外排。</w:t>
            </w:r>
          </w:p>
          <w:p w14:paraId="0ACD037F">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生活污水</w:t>
            </w:r>
          </w:p>
          <w:p w14:paraId="3996E3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w:t>
            </w:r>
            <w:r>
              <w:rPr>
                <w:rFonts w:hint="eastAsia" w:cs="Times New Roman"/>
                <w:color w:val="auto"/>
                <w:sz w:val="24"/>
                <w:highlight w:val="none"/>
                <w:lang w:val="en-US" w:eastAsia="zh-CN"/>
              </w:rPr>
              <w:t>次扩建</w:t>
            </w:r>
            <w:r>
              <w:rPr>
                <w:rFonts w:hint="eastAsia" w:ascii="Times New Roman" w:hAnsi="Times New Roman" w:eastAsia="宋体" w:cs="Times New Roman"/>
                <w:color w:val="auto"/>
                <w:sz w:val="24"/>
                <w:highlight w:val="none"/>
                <w:lang w:val="en-US" w:eastAsia="zh-CN"/>
              </w:rPr>
              <w:t>新增职工</w:t>
            </w:r>
            <w:r>
              <w:rPr>
                <w:rFonts w:hint="eastAsia" w:cs="Times New Roman"/>
                <w:color w:val="auto"/>
                <w:sz w:val="24"/>
                <w:highlight w:val="none"/>
                <w:lang w:val="en-US" w:eastAsia="zh-CN"/>
              </w:rPr>
              <w:t>70</w:t>
            </w:r>
            <w:r>
              <w:rPr>
                <w:rFonts w:hint="eastAsia" w:ascii="Times New Roman" w:hAnsi="Times New Roman" w:eastAsia="宋体" w:cs="Times New Roman"/>
                <w:color w:val="auto"/>
                <w:sz w:val="24"/>
                <w:highlight w:val="none"/>
                <w:lang w:val="en-US" w:eastAsia="zh-CN"/>
              </w:rPr>
              <w:t>人，根据水平衡分析可知，新增生活污水排放量为</w:t>
            </w:r>
            <w:r>
              <w:rPr>
                <w:rFonts w:hint="eastAsia" w:cs="Times New Roman"/>
                <w:color w:val="auto"/>
                <w:sz w:val="24"/>
                <w:highlight w:val="none"/>
                <w:lang w:val="en-US" w:eastAsia="zh-CN"/>
              </w:rPr>
              <w:t>945</w:t>
            </w:r>
            <w:r>
              <w:rPr>
                <w:rFonts w:hint="eastAsia" w:ascii="Times New Roman" w:hAnsi="Times New Roman" w:eastAsia="宋体" w:cs="Times New Roman"/>
                <w:color w:val="auto"/>
                <w:sz w:val="24"/>
                <w:highlight w:val="none"/>
                <w:lang w:val="en-US" w:eastAsia="zh-CN"/>
              </w:rPr>
              <w:t>t/a。参考《给排水设计手册》(第五册城镇排水)典型生活污水水质和</w:t>
            </w:r>
            <w:r>
              <w:rPr>
                <w:rFonts w:hint="eastAsia" w:cs="Times New Roman"/>
                <w:color w:val="auto"/>
                <w:sz w:val="24"/>
                <w:highlight w:val="none"/>
                <w:lang w:val="en-US" w:eastAsia="zh-CN"/>
              </w:rPr>
              <w:t>《排放源统计调查产排污核算方法和系数手册》城镇生活源水污染物产生系数</w:t>
            </w:r>
            <w:r>
              <w:rPr>
                <w:rFonts w:hint="eastAsia" w:ascii="Times New Roman" w:hAnsi="Times New Roman" w:eastAsia="宋体" w:cs="Times New Roman"/>
                <w:color w:val="auto"/>
                <w:sz w:val="24"/>
                <w:highlight w:val="none"/>
                <w:lang w:val="en-US" w:eastAsia="zh-CN"/>
              </w:rPr>
              <w:t>，项目职工产生的日常生活污水中各主要污染物浓度按COD：</w:t>
            </w:r>
            <w:r>
              <w:rPr>
                <w:rFonts w:hint="eastAsia" w:cs="Times New Roman"/>
                <w:color w:val="auto"/>
                <w:sz w:val="24"/>
                <w:highlight w:val="none"/>
                <w:lang w:val="en-US" w:eastAsia="zh-CN"/>
              </w:rPr>
              <w:t>35</w:t>
            </w:r>
            <w:r>
              <w:rPr>
                <w:rFonts w:hint="eastAsia" w:ascii="Times New Roman" w:hAnsi="Times New Roman" w:eastAsia="宋体" w:cs="Times New Roman"/>
                <w:color w:val="auto"/>
                <w:sz w:val="24"/>
                <w:highlight w:val="none"/>
                <w:lang w:val="en-US" w:eastAsia="zh-CN"/>
              </w:rPr>
              <w:t>0mg/L，BOD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0mg/L，SS：220mg/L，NH</w:t>
            </w:r>
            <w:r>
              <w:rPr>
                <w:rFonts w:hint="eastAsia" w:ascii="Times New Roman" w:hAnsi="Times New Roman" w:eastAsia="宋体" w:cs="Times New Roman"/>
                <w:color w:val="auto"/>
                <w:sz w:val="24"/>
                <w:highlight w:val="none"/>
                <w:vertAlign w:val="subscript"/>
                <w:lang w:val="en-US" w:eastAsia="zh-CN"/>
              </w:rPr>
              <w:t>3</w:t>
            </w:r>
            <w:r>
              <w:rPr>
                <w:rFonts w:hint="eastAsia" w:ascii="Times New Roman" w:hAnsi="Times New Roman" w:eastAsia="宋体" w:cs="Times New Roman"/>
                <w:color w:val="auto"/>
                <w:sz w:val="24"/>
                <w:highlight w:val="none"/>
                <w:lang w:val="en-US" w:eastAsia="zh-CN"/>
              </w:rPr>
              <w:t>-N：35mg/L计算。</w:t>
            </w:r>
          </w:p>
          <w:p w14:paraId="2B1FFA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项目日常职工生活污水进入化粪池处理，排入市政污水管网，纳入</w:t>
            </w:r>
            <w:r>
              <w:rPr>
                <w:rFonts w:hint="eastAsia" w:cs="Times New Roman"/>
                <w:color w:val="auto"/>
                <w:sz w:val="24"/>
                <w:highlight w:val="none"/>
                <w:lang w:val="en-US" w:eastAsia="zh-CN"/>
              </w:rPr>
              <w:t>福清市融元污水处理厂</w:t>
            </w:r>
            <w:r>
              <w:rPr>
                <w:rFonts w:hint="eastAsia" w:ascii="Times New Roman" w:hAnsi="Times New Roman" w:eastAsia="宋体" w:cs="Times New Roman"/>
                <w:color w:val="auto"/>
                <w:sz w:val="24"/>
                <w:highlight w:val="none"/>
                <w:lang w:val="en-US" w:eastAsia="zh-CN"/>
              </w:rPr>
              <w:t>集中处理。</w:t>
            </w:r>
          </w:p>
          <w:p w14:paraId="614562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z w:val="24"/>
                <w:highlight w:val="none"/>
                <w:lang w:val="en-US" w:eastAsia="zh-CN"/>
              </w:rPr>
              <w:t>化粪池对COD</w:t>
            </w:r>
            <w:r>
              <w:rPr>
                <w:rFonts w:hint="eastAsia" w:ascii="Times New Roman" w:hAnsi="Times New Roman" w:eastAsia="宋体" w:cs="Times New Roman"/>
                <w:color w:val="auto"/>
                <w:sz w:val="24"/>
                <w:highlight w:val="none"/>
                <w:vertAlign w:val="subscript"/>
                <w:lang w:val="en-US" w:eastAsia="zh-CN"/>
              </w:rPr>
              <w:t>Cr</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、氨氮的去除率参照2019年4月生态环境部华南环境科学研究所发布的《第二次全国污染源普查城镇生活污染源产排污系数手册》表6-4中“四区二类区生活污水污染物产生及排放系数”，经初级处理</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化粪池预处理后</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去除效率分别为19.3%、12.7%、0%，SS参照原</w:t>
            </w:r>
            <w:r>
              <w:rPr>
                <w:rFonts w:hint="eastAsia" w:cs="Times New Roman"/>
                <w:color w:val="auto"/>
                <w:sz w:val="24"/>
                <w:highlight w:val="none"/>
                <w:lang w:val="en-US" w:eastAsia="zh-CN"/>
              </w:rPr>
              <w:t>生态环境局</w:t>
            </w:r>
            <w:r>
              <w:rPr>
                <w:rFonts w:hint="eastAsia" w:ascii="Times New Roman" w:hAnsi="Times New Roman" w:eastAsia="宋体" w:cs="Times New Roman"/>
                <w:color w:val="auto"/>
                <w:sz w:val="24"/>
                <w:highlight w:val="none"/>
                <w:lang w:val="en-US" w:eastAsia="zh-CN"/>
              </w:rPr>
              <w:t>发布的文件《村镇生活污染防治最佳可行技术指南</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试行</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HJ-BAT-9</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中化粪池对SS的去除率为60%～70%，本评价按60%计算。</w:t>
            </w:r>
            <w:r>
              <w:rPr>
                <w:rFonts w:hint="default" w:ascii="Times New Roman" w:hAnsi="Times New Roman" w:eastAsia="宋体" w:cs="Times New Roman"/>
                <w:color w:val="auto"/>
                <w:spacing w:val="0"/>
                <w:sz w:val="24"/>
                <w:szCs w:val="24"/>
                <w:highlight w:val="none"/>
              </w:rPr>
              <w:t>项目生活污水各污染物</w:t>
            </w:r>
            <w:r>
              <w:rPr>
                <w:rFonts w:hint="eastAsia" w:ascii="Times New Roman" w:hAnsi="Times New Roman" w:eastAsia="宋体" w:cs="Times New Roman"/>
                <w:color w:val="auto"/>
                <w:spacing w:val="0"/>
                <w:sz w:val="24"/>
                <w:szCs w:val="24"/>
                <w:highlight w:val="none"/>
                <w:lang w:eastAsia="zh-CN"/>
              </w:rPr>
              <w:t>产生及排放</w:t>
            </w:r>
            <w:r>
              <w:rPr>
                <w:rFonts w:hint="default" w:ascii="Times New Roman" w:hAnsi="Times New Roman" w:eastAsia="宋体" w:cs="Times New Roman"/>
                <w:color w:val="auto"/>
                <w:spacing w:val="0"/>
                <w:sz w:val="24"/>
                <w:szCs w:val="24"/>
                <w:highlight w:val="none"/>
              </w:rPr>
              <w:t>源强情况见表</w:t>
            </w:r>
            <w:r>
              <w:rPr>
                <w:rFonts w:hint="eastAsia" w:ascii="Times New Roman" w:hAnsi="Times New Roman" w:eastAsia="宋体" w:cs="Times New Roman"/>
                <w:color w:val="auto"/>
                <w:spacing w:val="0"/>
                <w:sz w:val="24"/>
                <w:szCs w:val="24"/>
                <w:highlight w:val="none"/>
                <w:lang w:val="en-US" w:eastAsia="zh-CN"/>
              </w:rPr>
              <w:t>4-</w:t>
            </w:r>
            <w:r>
              <w:rPr>
                <w:rFonts w:hint="eastAsia" w:cs="Times New Roman"/>
                <w:color w:val="auto"/>
                <w:spacing w:val="0"/>
                <w:sz w:val="24"/>
                <w:szCs w:val="24"/>
                <w:highlight w:val="none"/>
                <w:lang w:val="en-US" w:eastAsia="zh-CN"/>
              </w:rPr>
              <w:t>13</w:t>
            </w:r>
            <w:r>
              <w:rPr>
                <w:rFonts w:hint="default" w:ascii="Times New Roman" w:hAnsi="Times New Roman" w:eastAsia="宋体" w:cs="Times New Roman"/>
                <w:color w:val="auto"/>
                <w:spacing w:val="0"/>
                <w:sz w:val="24"/>
                <w:szCs w:val="24"/>
                <w:highlight w:val="none"/>
              </w:rPr>
              <w:t>。</w:t>
            </w:r>
          </w:p>
          <w:p w14:paraId="1F20320C">
            <w:pPr>
              <w:tabs>
                <w:tab w:val="left" w:pos="1800"/>
                <w:tab w:val="center" w:pos="4252"/>
              </w:tabs>
              <w:jc w:val="center"/>
              <w:rPr>
                <w:rFonts w:hint="default" w:ascii="Times New Roman" w:hAnsi="Times New Roman" w:eastAsia="黑体" w:cs="Times New Roman"/>
                <w:b w:val="0"/>
                <w:bCs w:val="0"/>
                <w:caps w:val="0"/>
                <w:smallCaps w:val="0"/>
                <w:color w:val="auto"/>
                <w:sz w:val="24"/>
                <w:szCs w:val="24"/>
                <w:highlight w:val="none"/>
              </w:rPr>
            </w:pPr>
            <w:r>
              <w:rPr>
                <w:rFonts w:hint="default" w:ascii="Times New Roman" w:hAnsi="Times New Roman" w:eastAsia="黑体" w:cs="Times New Roman"/>
                <w:b w:val="0"/>
                <w:bCs w:val="0"/>
                <w:caps w:val="0"/>
                <w:smallCaps w:val="0"/>
                <w:color w:val="auto"/>
                <w:sz w:val="24"/>
                <w:szCs w:val="24"/>
                <w:highlight w:val="none"/>
              </w:rPr>
              <w:t>表</w:t>
            </w:r>
            <w:r>
              <w:rPr>
                <w:rFonts w:hint="default" w:ascii="Times New Roman" w:hAnsi="Times New Roman" w:eastAsia="黑体" w:cs="Times New Roman"/>
                <w:b w:val="0"/>
                <w:bCs w:val="0"/>
                <w:caps w:val="0"/>
                <w:smallCaps w:val="0"/>
                <w:color w:val="auto"/>
                <w:sz w:val="24"/>
                <w:szCs w:val="24"/>
                <w:highlight w:val="none"/>
                <w:lang w:val="en-US" w:eastAsia="zh-CN"/>
              </w:rPr>
              <w:t>4-1</w:t>
            </w:r>
            <w:r>
              <w:rPr>
                <w:rFonts w:hint="eastAsia" w:eastAsia="黑体" w:cs="Times New Roman"/>
                <w:b w:val="0"/>
                <w:bCs w:val="0"/>
                <w:caps w:val="0"/>
                <w:smallCaps w:val="0"/>
                <w:color w:val="auto"/>
                <w:sz w:val="24"/>
                <w:szCs w:val="24"/>
                <w:highlight w:val="none"/>
                <w:lang w:val="en-US" w:eastAsia="zh-CN"/>
              </w:rPr>
              <w:t>3</w:t>
            </w:r>
            <w:r>
              <w:rPr>
                <w:rFonts w:hint="default" w:ascii="Times New Roman" w:hAnsi="Times New Roman" w:eastAsia="黑体" w:cs="Times New Roman"/>
                <w:b w:val="0"/>
                <w:bCs w:val="0"/>
                <w:caps w:val="0"/>
                <w:smallCaps w:val="0"/>
                <w:color w:val="auto"/>
                <w:sz w:val="24"/>
                <w:szCs w:val="24"/>
                <w:highlight w:val="none"/>
                <w:lang w:val="en-US" w:eastAsia="zh-CN"/>
              </w:rPr>
              <w:t xml:space="preserve"> 扩建项目新增</w:t>
            </w:r>
            <w:r>
              <w:rPr>
                <w:rFonts w:hint="default" w:ascii="Times New Roman" w:hAnsi="Times New Roman" w:eastAsia="黑体" w:cs="Times New Roman"/>
                <w:b w:val="0"/>
                <w:bCs w:val="0"/>
                <w:caps w:val="0"/>
                <w:smallCaps w:val="0"/>
                <w:color w:val="auto"/>
                <w:sz w:val="24"/>
                <w:szCs w:val="24"/>
                <w:highlight w:val="none"/>
              </w:rPr>
              <w:t>生活污水产排情况表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69"/>
              <w:gridCol w:w="1516"/>
              <w:gridCol w:w="1388"/>
              <w:gridCol w:w="931"/>
              <w:gridCol w:w="931"/>
              <w:gridCol w:w="931"/>
              <w:gridCol w:w="931"/>
            </w:tblGrid>
            <w:tr w14:paraId="745AF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2E05FE13">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项目</w:t>
                  </w:r>
                </w:p>
              </w:tc>
              <w:tc>
                <w:tcPr>
                  <w:tcW w:w="795" w:type="pct"/>
                  <w:noWrap w:val="0"/>
                  <w:vAlign w:val="center"/>
                </w:tcPr>
                <w:p w14:paraId="5A9666AD">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废水量（m</w:t>
                  </w:r>
                  <w:r>
                    <w:rPr>
                      <w:rFonts w:ascii="Times New Roman" w:hAnsi="Times New Roman" w:eastAsia="宋体"/>
                      <w:b/>
                      <w:bCs/>
                      <w:caps w:val="0"/>
                      <w:smallCaps w:val="0"/>
                      <w:color w:val="auto"/>
                      <w:kern w:val="0"/>
                      <w:sz w:val="18"/>
                      <w:szCs w:val="18"/>
                      <w:highlight w:val="none"/>
                      <w:vertAlign w:val="superscript"/>
                      <w:lang w:val="en-GB"/>
                    </w:rPr>
                    <w:t>3</w:t>
                  </w:r>
                  <w:r>
                    <w:rPr>
                      <w:rFonts w:ascii="Times New Roman" w:hAnsi="Times New Roman" w:eastAsia="宋体"/>
                      <w:b/>
                      <w:bCs/>
                      <w:caps w:val="0"/>
                      <w:smallCaps w:val="0"/>
                      <w:color w:val="auto"/>
                      <w:kern w:val="0"/>
                      <w:sz w:val="18"/>
                      <w:szCs w:val="18"/>
                      <w:highlight w:val="none"/>
                      <w:lang w:val="en-GB"/>
                    </w:rPr>
                    <w:t>/a）</w:t>
                  </w:r>
                </w:p>
              </w:tc>
              <w:tc>
                <w:tcPr>
                  <w:tcW w:w="533" w:type="pct"/>
                  <w:noWrap w:val="0"/>
                  <w:vAlign w:val="center"/>
                </w:tcPr>
                <w:p w14:paraId="7BFDE35B">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COD</w:t>
                  </w:r>
                </w:p>
              </w:tc>
              <w:tc>
                <w:tcPr>
                  <w:tcW w:w="533" w:type="pct"/>
                  <w:noWrap w:val="0"/>
                  <w:vAlign w:val="center"/>
                </w:tcPr>
                <w:p w14:paraId="5402FBC6">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BOD</w:t>
                  </w:r>
                  <w:r>
                    <w:rPr>
                      <w:rFonts w:ascii="Times New Roman" w:hAnsi="Times New Roman" w:eastAsia="宋体"/>
                      <w:b/>
                      <w:bCs/>
                      <w:caps w:val="0"/>
                      <w:smallCaps w:val="0"/>
                      <w:color w:val="auto"/>
                      <w:kern w:val="0"/>
                      <w:sz w:val="18"/>
                      <w:szCs w:val="18"/>
                      <w:highlight w:val="none"/>
                      <w:vertAlign w:val="subscript"/>
                      <w:lang w:val="en-GB"/>
                    </w:rPr>
                    <w:t>5</w:t>
                  </w:r>
                </w:p>
              </w:tc>
              <w:tc>
                <w:tcPr>
                  <w:tcW w:w="533" w:type="pct"/>
                  <w:noWrap w:val="0"/>
                  <w:vAlign w:val="center"/>
                </w:tcPr>
                <w:p w14:paraId="713F01C4">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SS</w:t>
                  </w:r>
                </w:p>
              </w:tc>
              <w:tc>
                <w:tcPr>
                  <w:tcW w:w="533" w:type="pct"/>
                  <w:noWrap w:val="0"/>
                  <w:vAlign w:val="center"/>
                </w:tcPr>
                <w:p w14:paraId="22A56D62">
                  <w:pPr>
                    <w:jc w:val="center"/>
                    <w:rPr>
                      <w:rFonts w:ascii="Times New Roman" w:hAnsi="Times New Roman" w:eastAsia="宋体"/>
                      <w:b/>
                      <w:bCs/>
                      <w:caps w:val="0"/>
                      <w:smallCaps w:val="0"/>
                      <w:color w:val="auto"/>
                      <w:kern w:val="0"/>
                      <w:sz w:val="18"/>
                      <w:szCs w:val="18"/>
                      <w:highlight w:val="none"/>
                      <w:lang w:val="en-GB"/>
                    </w:rPr>
                  </w:pPr>
                  <w:r>
                    <w:rPr>
                      <w:rFonts w:ascii="Times New Roman" w:hAnsi="Times New Roman" w:eastAsia="宋体"/>
                      <w:b/>
                      <w:bCs/>
                      <w:caps w:val="0"/>
                      <w:smallCaps w:val="0"/>
                      <w:color w:val="auto"/>
                      <w:kern w:val="0"/>
                      <w:sz w:val="18"/>
                      <w:szCs w:val="18"/>
                      <w:highlight w:val="none"/>
                      <w:lang w:val="en-GB"/>
                    </w:rPr>
                    <w:t>氨氮</w:t>
                  </w:r>
                </w:p>
              </w:tc>
            </w:tr>
            <w:tr w14:paraId="682EB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noWrap w:val="0"/>
                  <w:vAlign w:val="center"/>
                </w:tcPr>
                <w:p w14:paraId="44A91BB5">
                  <w:pPr>
                    <w:pStyle w:val="142"/>
                    <w:jc w:val="center"/>
                    <w:rPr>
                      <w:rFonts w:hint="eastAsia" w:ascii="Times New Roman" w:hAnsi="Times New Roman" w:eastAsia="宋体"/>
                      <w:caps w:val="0"/>
                      <w:smallCaps w:val="0"/>
                      <w:color w:val="auto"/>
                      <w:sz w:val="18"/>
                      <w:szCs w:val="18"/>
                      <w:highlight w:val="none"/>
                      <w:lang w:eastAsia="zh-CN"/>
                    </w:rPr>
                  </w:pPr>
                  <w:r>
                    <w:rPr>
                      <w:rFonts w:hint="eastAsia"/>
                      <w:caps w:val="0"/>
                      <w:smallCaps w:val="0"/>
                      <w:color w:val="auto"/>
                      <w:sz w:val="18"/>
                      <w:szCs w:val="18"/>
                      <w:highlight w:val="none"/>
                      <w:lang w:eastAsia="zh-CN"/>
                    </w:rPr>
                    <w:t>处理前</w:t>
                  </w:r>
                </w:p>
              </w:tc>
              <w:tc>
                <w:tcPr>
                  <w:tcW w:w="783" w:type="pct"/>
                  <w:vMerge w:val="restart"/>
                  <w:noWrap w:val="0"/>
                  <w:vAlign w:val="center"/>
                </w:tcPr>
                <w:p w14:paraId="5B83CFCD">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日常职工</w:t>
                  </w:r>
                  <w:r>
                    <w:rPr>
                      <w:rFonts w:ascii="Times New Roman" w:hAnsi="Times New Roman" w:eastAsia="宋体"/>
                      <w:caps w:val="0"/>
                      <w:smallCaps w:val="0"/>
                      <w:color w:val="auto"/>
                      <w:kern w:val="0"/>
                      <w:sz w:val="18"/>
                      <w:szCs w:val="18"/>
                      <w:highlight w:val="none"/>
                      <w:lang w:val="en-GB"/>
                    </w:rPr>
                    <w:t>生活污水</w:t>
                  </w:r>
                  <w:r>
                    <w:rPr>
                      <w:rFonts w:hint="eastAsia" w:ascii="Times New Roman" w:hAnsi="Times New Roman" w:eastAsia="宋体"/>
                      <w:caps w:val="0"/>
                      <w:smallCaps w:val="0"/>
                      <w:color w:val="auto"/>
                      <w:kern w:val="0"/>
                      <w:sz w:val="18"/>
                      <w:szCs w:val="18"/>
                      <w:highlight w:val="none"/>
                      <w:lang w:val="en-GB" w:eastAsia="zh-CN"/>
                    </w:rPr>
                    <w:t>产生情况</w:t>
                  </w:r>
                </w:p>
              </w:tc>
              <w:tc>
                <w:tcPr>
                  <w:tcW w:w="868" w:type="pct"/>
                  <w:noWrap w:val="0"/>
                  <w:vAlign w:val="center"/>
                </w:tcPr>
                <w:p w14:paraId="0044ABA5">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产生浓度（mg/L）</w:t>
                  </w:r>
                </w:p>
              </w:tc>
              <w:tc>
                <w:tcPr>
                  <w:tcW w:w="795" w:type="pct"/>
                  <w:vMerge w:val="restart"/>
                  <w:noWrap w:val="0"/>
                  <w:vAlign w:val="center"/>
                </w:tcPr>
                <w:p w14:paraId="5CE2EDB5">
                  <w:pPr>
                    <w:jc w:val="center"/>
                    <w:rPr>
                      <w:rFonts w:hint="default" w:ascii="Times New Roman" w:hAnsi="Times New Roman" w:eastAsia="宋体"/>
                      <w:caps w:val="0"/>
                      <w:smallCaps w:val="0"/>
                      <w:color w:val="auto"/>
                      <w:kern w:val="0"/>
                      <w:sz w:val="18"/>
                      <w:szCs w:val="18"/>
                      <w:highlight w:val="none"/>
                      <w:lang w:val="en-US" w:eastAsia="zh-CN"/>
                    </w:rPr>
                  </w:pPr>
                  <w:r>
                    <w:rPr>
                      <w:rFonts w:hint="eastAsia"/>
                      <w:caps w:val="0"/>
                      <w:smallCaps w:val="0"/>
                      <w:color w:val="auto"/>
                      <w:sz w:val="18"/>
                      <w:szCs w:val="18"/>
                      <w:lang w:val="en-US" w:eastAsia="zh-CN"/>
                    </w:rPr>
                    <w:t>945</w:t>
                  </w:r>
                </w:p>
              </w:tc>
              <w:tc>
                <w:tcPr>
                  <w:tcW w:w="533" w:type="pct"/>
                  <w:noWrap w:val="0"/>
                  <w:vAlign w:val="center"/>
                </w:tcPr>
                <w:p w14:paraId="46965C39">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lang w:val="en-US" w:eastAsia="zh-CN"/>
                    </w:rPr>
                    <w:t>350</w:t>
                  </w:r>
                </w:p>
              </w:tc>
              <w:tc>
                <w:tcPr>
                  <w:tcW w:w="533" w:type="pct"/>
                  <w:noWrap w:val="0"/>
                  <w:vAlign w:val="center"/>
                </w:tcPr>
                <w:p w14:paraId="4411BEF6">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lang w:val="en-US" w:eastAsia="zh-CN"/>
                    </w:rPr>
                    <w:t>150</w:t>
                  </w:r>
                </w:p>
              </w:tc>
              <w:tc>
                <w:tcPr>
                  <w:tcW w:w="533" w:type="pct"/>
                  <w:noWrap w:val="0"/>
                  <w:vAlign w:val="center"/>
                </w:tcPr>
                <w:p w14:paraId="7350A12D">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lang w:val="en-US" w:eastAsia="zh-CN"/>
                    </w:rPr>
                    <w:t>220</w:t>
                  </w:r>
                </w:p>
              </w:tc>
              <w:tc>
                <w:tcPr>
                  <w:tcW w:w="533" w:type="pct"/>
                  <w:noWrap w:val="0"/>
                  <w:vAlign w:val="center"/>
                </w:tcPr>
                <w:p w14:paraId="2490289E">
                  <w:pPr>
                    <w:pStyle w:val="142"/>
                    <w:ind w:firstLine="0" w:firstLineChars="0"/>
                    <w:jc w:val="center"/>
                    <w:rPr>
                      <w:rFonts w:hint="default" w:ascii="Times New Roman" w:hAnsi="Times New Roman" w:eastAsia="宋体"/>
                      <w:caps w:val="0"/>
                      <w:smallCaps w:val="0"/>
                      <w:color w:val="auto"/>
                      <w:sz w:val="18"/>
                      <w:szCs w:val="18"/>
                      <w:highlight w:val="none"/>
                      <w:lang w:val="en-US" w:eastAsia="zh-CN"/>
                    </w:rPr>
                  </w:pPr>
                  <w:r>
                    <w:rPr>
                      <w:rFonts w:hint="eastAsia" w:ascii="Times New Roman" w:hAnsi="Times New Roman" w:eastAsia="宋体"/>
                      <w:caps w:val="0"/>
                      <w:smallCaps w:val="0"/>
                      <w:color w:val="auto"/>
                      <w:sz w:val="18"/>
                      <w:szCs w:val="18"/>
                      <w:lang w:val="en-US" w:eastAsia="zh-CN"/>
                    </w:rPr>
                    <w:t>35</w:t>
                  </w:r>
                </w:p>
              </w:tc>
            </w:tr>
            <w:tr w14:paraId="608F6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noWrap w:val="0"/>
                  <w:vAlign w:val="center"/>
                </w:tcPr>
                <w:p w14:paraId="2FB209CD">
                  <w:pPr>
                    <w:jc w:val="center"/>
                    <w:rPr>
                      <w:rFonts w:ascii="Times New Roman" w:hAnsi="Times New Roman" w:eastAsia="宋体"/>
                      <w:caps w:val="0"/>
                      <w:smallCaps w:val="0"/>
                      <w:color w:val="auto"/>
                      <w:kern w:val="0"/>
                      <w:sz w:val="18"/>
                      <w:szCs w:val="18"/>
                      <w:highlight w:val="none"/>
                      <w:lang w:val="en-GB"/>
                    </w:rPr>
                  </w:pPr>
                </w:p>
              </w:tc>
              <w:tc>
                <w:tcPr>
                  <w:tcW w:w="783" w:type="pct"/>
                  <w:vMerge w:val="continue"/>
                  <w:noWrap w:val="0"/>
                  <w:vAlign w:val="center"/>
                </w:tcPr>
                <w:p w14:paraId="41F7574E">
                  <w:pPr>
                    <w:jc w:val="center"/>
                    <w:rPr>
                      <w:rFonts w:ascii="Times New Roman" w:hAnsi="Times New Roman" w:eastAsia="宋体"/>
                      <w:caps w:val="0"/>
                      <w:smallCaps w:val="0"/>
                      <w:color w:val="auto"/>
                      <w:kern w:val="0"/>
                      <w:sz w:val="18"/>
                      <w:szCs w:val="18"/>
                      <w:highlight w:val="none"/>
                      <w:lang w:val="en-GB"/>
                    </w:rPr>
                  </w:pPr>
                </w:p>
              </w:tc>
              <w:tc>
                <w:tcPr>
                  <w:tcW w:w="868" w:type="pct"/>
                  <w:noWrap w:val="0"/>
                  <w:vAlign w:val="center"/>
                </w:tcPr>
                <w:p w14:paraId="416AD939">
                  <w:pPr>
                    <w:jc w:val="center"/>
                    <w:rPr>
                      <w:rFonts w:ascii="Times New Roman" w:hAnsi="Times New Roman" w:eastAsia="宋体"/>
                      <w:caps w:val="0"/>
                      <w:smallCaps w:val="0"/>
                      <w:color w:val="auto"/>
                      <w:kern w:val="0"/>
                      <w:sz w:val="18"/>
                      <w:szCs w:val="18"/>
                      <w:highlight w:val="none"/>
                      <w:lang w:val="en-GB"/>
                    </w:rPr>
                  </w:pPr>
                  <w:r>
                    <w:rPr>
                      <w:rFonts w:ascii="Times New Roman" w:hAnsi="Times New Roman" w:eastAsia="宋体"/>
                      <w:caps w:val="0"/>
                      <w:smallCaps w:val="0"/>
                      <w:color w:val="auto"/>
                      <w:kern w:val="0"/>
                      <w:sz w:val="18"/>
                      <w:szCs w:val="18"/>
                      <w:highlight w:val="none"/>
                      <w:lang w:val="en-GB"/>
                    </w:rPr>
                    <w:t>产生量（t/a）</w:t>
                  </w:r>
                </w:p>
              </w:tc>
              <w:tc>
                <w:tcPr>
                  <w:tcW w:w="795" w:type="pct"/>
                  <w:vMerge w:val="continue"/>
                  <w:noWrap w:val="0"/>
                  <w:vAlign w:val="center"/>
                </w:tcPr>
                <w:p w14:paraId="107BF65F">
                  <w:pPr>
                    <w:jc w:val="center"/>
                    <w:rPr>
                      <w:rFonts w:ascii="Times New Roman" w:hAnsi="Times New Roman" w:eastAsia="宋体"/>
                      <w:caps w:val="0"/>
                      <w:smallCaps w:val="0"/>
                      <w:color w:val="auto"/>
                      <w:kern w:val="0"/>
                      <w:sz w:val="18"/>
                      <w:szCs w:val="18"/>
                      <w:highlight w:val="none"/>
                      <w:lang w:val="en-GB"/>
                    </w:rPr>
                  </w:pPr>
                </w:p>
              </w:tc>
              <w:tc>
                <w:tcPr>
                  <w:tcW w:w="533" w:type="pct"/>
                  <w:noWrap w:val="0"/>
                  <w:vAlign w:val="center"/>
                </w:tcPr>
                <w:p w14:paraId="64DAD83C">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lang w:val="en-US" w:eastAsia="zh-CN"/>
                    </w:rPr>
                    <w:t>0.331</w:t>
                  </w:r>
                </w:p>
              </w:tc>
              <w:tc>
                <w:tcPr>
                  <w:tcW w:w="533" w:type="pct"/>
                  <w:noWrap w:val="0"/>
                  <w:vAlign w:val="center"/>
                </w:tcPr>
                <w:p w14:paraId="66927DBF">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0.142</w:t>
                  </w:r>
                </w:p>
              </w:tc>
              <w:tc>
                <w:tcPr>
                  <w:tcW w:w="533" w:type="pct"/>
                  <w:noWrap w:val="0"/>
                  <w:vAlign w:val="center"/>
                </w:tcPr>
                <w:p w14:paraId="461E4726">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0.208</w:t>
                  </w:r>
                </w:p>
              </w:tc>
              <w:tc>
                <w:tcPr>
                  <w:tcW w:w="533" w:type="pct"/>
                  <w:noWrap w:val="0"/>
                  <w:vAlign w:val="center"/>
                </w:tcPr>
                <w:p w14:paraId="23CA6AAE">
                  <w:pPr>
                    <w:widowControl/>
                    <w:jc w:val="center"/>
                    <w:textAlignment w:val="center"/>
                    <w:rPr>
                      <w:rFonts w:hint="default" w:ascii="Times New Roman" w:hAnsi="Times New Roman" w:eastAsia="宋体"/>
                      <w:caps w:val="0"/>
                      <w:smallCaps w:val="0"/>
                      <w:color w:val="auto"/>
                      <w:sz w:val="18"/>
                      <w:szCs w:val="18"/>
                      <w:highlight w:val="none"/>
                      <w:lang w:val="en-US" w:eastAsia="zh-CN"/>
                    </w:rPr>
                  </w:pPr>
                  <w:r>
                    <w:rPr>
                      <w:rFonts w:hint="eastAsia"/>
                      <w:caps w:val="0"/>
                      <w:smallCaps w:val="0"/>
                      <w:color w:val="auto"/>
                      <w:sz w:val="18"/>
                      <w:szCs w:val="18"/>
                      <w:highlight w:val="none"/>
                      <w:lang w:val="en-US" w:eastAsia="zh-CN"/>
                    </w:rPr>
                    <w:t>0.033</w:t>
                  </w:r>
                </w:p>
              </w:tc>
            </w:tr>
            <w:tr w14:paraId="742B7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pct"/>
                  <w:gridSpan w:val="2"/>
                  <w:noWrap w:val="0"/>
                  <w:vAlign w:val="center"/>
                </w:tcPr>
                <w:p w14:paraId="54F07BB4">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化粪池处理</w:t>
                  </w:r>
                </w:p>
              </w:tc>
              <w:tc>
                <w:tcPr>
                  <w:tcW w:w="868" w:type="pct"/>
                  <w:noWrap w:val="0"/>
                  <w:vAlign w:val="center"/>
                </w:tcPr>
                <w:p w14:paraId="3A2811D1">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处理效率</w:t>
                  </w:r>
                </w:p>
              </w:tc>
              <w:tc>
                <w:tcPr>
                  <w:tcW w:w="795" w:type="pct"/>
                  <w:noWrap w:val="0"/>
                  <w:vAlign w:val="center"/>
                </w:tcPr>
                <w:p w14:paraId="6A7B2484">
                  <w:pPr>
                    <w:jc w:val="center"/>
                    <w:rPr>
                      <w:rFonts w:hint="eastAsia" w:ascii="Times New Roman" w:hAnsi="Times New Roman" w:eastAsia="宋体"/>
                      <w:caps w:val="0"/>
                      <w:smallCaps w:val="0"/>
                      <w:color w:val="auto"/>
                      <w:kern w:val="0"/>
                      <w:sz w:val="18"/>
                      <w:szCs w:val="18"/>
                      <w:highlight w:val="none"/>
                      <w:lang w:val="en-US" w:eastAsia="zh-CN"/>
                    </w:rPr>
                  </w:pPr>
                  <w:r>
                    <w:rPr>
                      <w:rFonts w:hint="eastAsia" w:ascii="Times New Roman" w:hAnsi="Times New Roman" w:eastAsia="宋体"/>
                      <w:caps w:val="0"/>
                      <w:smallCaps w:val="0"/>
                      <w:color w:val="auto"/>
                      <w:kern w:val="0"/>
                      <w:sz w:val="18"/>
                      <w:szCs w:val="18"/>
                      <w:lang w:val="en-US" w:eastAsia="zh-CN"/>
                    </w:rPr>
                    <w:t>/</w:t>
                  </w:r>
                </w:p>
              </w:tc>
              <w:tc>
                <w:tcPr>
                  <w:tcW w:w="533" w:type="pct"/>
                  <w:noWrap w:val="0"/>
                  <w:vAlign w:val="center"/>
                </w:tcPr>
                <w:p w14:paraId="4C99EF57">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19.3%</w:t>
                  </w:r>
                </w:p>
              </w:tc>
              <w:tc>
                <w:tcPr>
                  <w:tcW w:w="533" w:type="pct"/>
                  <w:noWrap w:val="0"/>
                  <w:vAlign w:val="center"/>
                </w:tcPr>
                <w:p w14:paraId="1000AC26">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12.7%</w:t>
                  </w:r>
                </w:p>
              </w:tc>
              <w:tc>
                <w:tcPr>
                  <w:tcW w:w="533" w:type="pct"/>
                  <w:noWrap w:val="0"/>
                  <w:vAlign w:val="center"/>
                </w:tcPr>
                <w:p w14:paraId="437347FE">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60%</w:t>
                  </w:r>
                </w:p>
              </w:tc>
              <w:tc>
                <w:tcPr>
                  <w:tcW w:w="533" w:type="pct"/>
                  <w:noWrap w:val="0"/>
                  <w:vAlign w:val="center"/>
                </w:tcPr>
                <w:p w14:paraId="67BB31B3">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0%</w:t>
                  </w:r>
                </w:p>
              </w:tc>
            </w:tr>
            <w:tr w14:paraId="126DF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noWrap w:val="0"/>
                  <w:vAlign w:val="center"/>
                </w:tcPr>
                <w:p w14:paraId="15B3A6FE">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处理后</w:t>
                  </w:r>
                </w:p>
              </w:tc>
              <w:tc>
                <w:tcPr>
                  <w:tcW w:w="783" w:type="pct"/>
                  <w:vMerge w:val="restart"/>
                  <w:noWrap w:val="0"/>
                  <w:vAlign w:val="center"/>
                </w:tcPr>
                <w:p w14:paraId="0D052C70">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化粪池处理后出水情况</w:t>
                  </w:r>
                </w:p>
              </w:tc>
              <w:tc>
                <w:tcPr>
                  <w:tcW w:w="868" w:type="pct"/>
                  <w:noWrap w:val="0"/>
                  <w:vAlign w:val="center"/>
                </w:tcPr>
                <w:p w14:paraId="7D9BC065">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浓度（mg/L）</w:t>
                  </w:r>
                </w:p>
              </w:tc>
              <w:tc>
                <w:tcPr>
                  <w:tcW w:w="795" w:type="pct"/>
                  <w:vMerge w:val="restart"/>
                  <w:noWrap w:val="0"/>
                  <w:vAlign w:val="center"/>
                </w:tcPr>
                <w:p w14:paraId="5FC26F19">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945</w:t>
                  </w:r>
                </w:p>
              </w:tc>
              <w:tc>
                <w:tcPr>
                  <w:tcW w:w="533" w:type="pct"/>
                  <w:noWrap w:val="0"/>
                  <w:vAlign w:val="center"/>
                </w:tcPr>
                <w:p w14:paraId="1B4C4C06">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282.5</w:t>
                  </w:r>
                </w:p>
              </w:tc>
              <w:tc>
                <w:tcPr>
                  <w:tcW w:w="533" w:type="pct"/>
                  <w:noWrap w:val="0"/>
                  <w:vAlign w:val="center"/>
                </w:tcPr>
                <w:p w14:paraId="6E7C129B">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130.9</w:t>
                  </w:r>
                </w:p>
              </w:tc>
              <w:tc>
                <w:tcPr>
                  <w:tcW w:w="533" w:type="pct"/>
                  <w:noWrap w:val="0"/>
                  <w:vAlign w:val="center"/>
                </w:tcPr>
                <w:p w14:paraId="052A0C61">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88</w:t>
                  </w:r>
                </w:p>
              </w:tc>
              <w:tc>
                <w:tcPr>
                  <w:tcW w:w="533" w:type="pct"/>
                  <w:noWrap w:val="0"/>
                  <w:vAlign w:val="center"/>
                </w:tcPr>
                <w:p w14:paraId="5FA67D13">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35</w:t>
                  </w:r>
                </w:p>
              </w:tc>
            </w:tr>
            <w:tr w14:paraId="733E8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noWrap w:val="0"/>
                  <w:vAlign w:val="center"/>
                </w:tcPr>
                <w:p w14:paraId="341E8FEA">
                  <w:pPr>
                    <w:jc w:val="center"/>
                    <w:rPr>
                      <w:rFonts w:hint="eastAsia" w:ascii="Times New Roman" w:hAnsi="Times New Roman" w:eastAsia="宋体"/>
                      <w:caps w:val="0"/>
                      <w:smallCaps w:val="0"/>
                      <w:color w:val="auto"/>
                      <w:kern w:val="0"/>
                      <w:sz w:val="18"/>
                      <w:szCs w:val="18"/>
                      <w:highlight w:val="none"/>
                      <w:lang w:val="en-GB" w:eastAsia="zh-CN"/>
                    </w:rPr>
                  </w:pPr>
                </w:p>
              </w:tc>
              <w:tc>
                <w:tcPr>
                  <w:tcW w:w="783" w:type="pct"/>
                  <w:vMerge w:val="continue"/>
                  <w:noWrap w:val="0"/>
                  <w:vAlign w:val="center"/>
                </w:tcPr>
                <w:p w14:paraId="08F52DA1">
                  <w:pPr>
                    <w:jc w:val="center"/>
                    <w:rPr>
                      <w:rFonts w:hint="eastAsia" w:ascii="Times New Roman" w:hAnsi="Times New Roman" w:eastAsia="宋体"/>
                      <w:caps w:val="0"/>
                      <w:smallCaps w:val="0"/>
                      <w:color w:val="auto"/>
                      <w:kern w:val="0"/>
                      <w:sz w:val="18"/>
                      <w:szCs w:val="18"/>
                      <w:highlight w:val="none"/>
                      <w:lang w:val="en-GB" w:eastAsia="zh-CN"/>
                    </w:rPr>
                  </w:pPr>
                </w:p>
              </w:tc>
              <w:tc>
                <w:tcPr>
                  <w:tcW w:w="868" w:type="pct"/>
                  <w:noWrap w:val="0"/>
                  <w:vAlign w:val="center"/>
                </w:tcPr>
                <w:p w14:paraId="39FDDAF2">
                  <w:pPr>
                    <w:jc w:val="center"/>
                    <w:rPr>
                      <w:rFonts w:hint="eastAsia" w:ascii="Times New Roman" w:hAnsi="Times New Roman" w:eastAsia="宋体"/>
                      <w:caps w:val="0"/>
                      <w:smallCaps w:val="0"/>
                      <w:color w:val="auto"/>
                      <w:kern w:val="0"/>
                      <w:sz w:val="18"/>
                      <w:szCs w:val="18"/>
                      <w:highlight w:val="none"/>
                      <w:lang w:val="en-GB"/>
                    </w:rPr>
                  </w:pPr>
                  <w:r>
                    <w:rPr>
                      <w:rFonts w:hint="eastAsia" w:ascii="Times New Roman" w:hAnsi="Times New Roman" w:eastAsia="宋体"/>
                      <w:caps w:val="0"/>
                      <w:smallCaps w:val="0"/>
                      <w:color w:val="auto"/>
                      <w:kern w:val="0"/>
                      <w:sz w:val="18"/>
                      <w:szCs w:val="18"/>
                      <w:highlight w:val="none"/>
                      <w:lang w:val="en-GB"/>
                    </w:rPr>
                    <w:t>排放</w:t>
                  </w:r>
                  <w:r>
                    <w:rPr>
                      <w:rFonts w:ascii="Times New Roman" w:hAnsi="Times New Roman" w:eastAsia="宋体"/>
                      <w:caps w:val="0"/>
                      <w:smallCaps w:val="0"/>
                      <w:color w:val="auto"/>
                      <w:kern w:val="0"/>
                      <w:sz w:val="18"/>
                      <w:szCs w:val="18"/>
                      <w:highlight w:val="none"/>
                      <w:lang w:val="en-GB"/>
                    </w:rPr>
                    <w:t>量（t/a）</w:t>
                  </w:r>
                </w:p>
              </w:tc>
              <w:tc>
                <w:tcPr>
                  <w:tcW w:w="795" w:type="pct"/>
                  <w:vMerge w:val="continue"/>
                  <w:noWrap w:val="0"/>
                  <w:vAlign w:val="center"/>
                </w:tcPr>
                <w:p w14:paraId="6B9BBB50">
                  <w:pPr>
                    <w:pStyle w:val="142"/>
                    <w:ind w:firstLine="0" w:firstLineChars="0"/>
                    <w:jc w:val="center"/>
                    <w:rPr>
                      <w:rFonts w:hint="eastAsia" w:cs="Times New Roman"/>
                      <w:caps w:val="0"/>
                      <w:smallCaps w:val="0"/>
                      <w:color w:val="auto"/>
                      <w:sz w:val="18"/>
                      <w:szCs w:val="18"/>
                      <w:highlight w:val="none"/>
                      <w:lang w:val="en-US" w:eastAsia="zh-CN"/>
                    </w:rPr>
                  </w:pPr>
                </w:p>
              </w:tc>
              <w:tc>
                <w:tcPr>
                  <w:tcW w:w="533" w:type="pct"/>
                  <w:noWrap w:val="0"/>
                  <w:vAlign w:val="center"/>
                </w:tcPr>
                <w:p w14:paraId="306A6115">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0.267</w:t>
                  </w:r>
                </w:p>
              </w:tc>
              <w:tc>
                <w:tcPr>
                  <w:tcW w:w="533" w:type="pct"/>
                  <w:noWrap w:val="0"/>
                  <w:vAlign w:val="center"/>
                </w:tcPr>
                <w:p w14:paraId="27766FFF">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0.124</w:t>
                  </w:r>
                </w:p>
              </w:tc>
              <w:tc>
                <w:tcPr>
                  <w:tcW w:w="533" w:type="pct"/>
                  <w:noWrap w:val="0"/>
                  <w:vAlign w:val="center"/>
                </w:tcPr>
                <w:p w14:paraId="7C413884">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0.083</w:t>
                  </w:r>
                </w:p>
              </w:tc>
              <w:tc>
                <w:tcPr>
                  <w:tcW w:w="533" w:type="pct"/>
                  <w:noWrap w:val="0"/>
                  <w:vAlign w:val="center"/>
                </w:tcPr>
                <w:p w14:paraId="5C8D0273">
                  <w:pPr>
                    <w:pStyle w:val="142"/>
                    <w:ind w:firstLine="0" w:firstLineChars="0"/>
                    <w:jc w:val="center"/>
                    <w:rPr>
                      <w:rFonts w:hint="default"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0.033</w:t>
                  </w:r>
                </w:p>
              </w:tc>
            </w:tr>
            <w:tr w14:paraId="0E7B9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3BFFC5B2">
                  <w:pPr>
                    <w:jc w:val="center"/>
                    <w:rPr>
                      <w:rFonts w:hint="eastAsia" w:ascii="Times New Roman" w:hAnsi="Times New Roman" w:eastAsia="宋体"/>
                      <w:caps w:val="0"/>
                      <w:smallCaps w:val="0"/>
                      <w:color w:val="auto"/>
                      <w:kern w:val="0"/>
                      <w:sz w:val="18"/>
                      <w:szCs w:val="18"/>
                      <w:highlight w:val="none"/>
                      <w:lang w:val="en-GB" w:eastAsia="zh-CN"/>
                    </w:rPr>
                  </w:pPr>
                  <w:r>
                    <w:rPr>
                      <w:rFonts w:hint="eastAsia" w:ascii="Times New Roman" w:hAnsi="Times New Roman" w:eastAsia="宋体"/>
                      <w:caps w:val="0"/>
                      <w:smallCaps w:val="0"/>
                      <w:color w:val="auto"/>
                      <w:kern w:val="0"/>
                      <w:sz w:val="18"/>
                      <w:szCs w:val="18"/>
                      <w:highlight w:val="none"/>
                      <w:lang w:val="en-GB" w:eastAsia="zh-CN"/>
                    </w:rPr>
                    <w:t>排放限值</w:t>
                  </w:r>
                  <w:r>
                    <w:rPr>
                      <w:rFonts w:ascii="Times New Roman" w:hAnsi="Times New Roman" w:eastAsia="宋体"/>
                      <w:caps w:val="0"/>
                      <w:smallCaps w:val="0"/>
                      <w:color w:val="auto"/>
                      <w:kern w:val="0"/>
                      <w:sz w:val="18"/>
                      <w:szCs w:val="18"/>
                      <w:highlight w:val="none"/>
                      <w:lang w:val="en-GB"/>
                    </w:rPr>
                    <w:t>（mg/L）</w:t>
                  </w:r>
                </w:p>
              </w:tc>
              <w:tc>
                <w:tcPr>
                  <w:tcW w:w="795" w:type="pct"/>
                  <w:noWrap w:val="0"/>
                  <w:vAlign w:val="center"/>
                </w:tcPr>
                <w:p w14:paraId="6D3E98EF">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ascii="Times New Roman" w:hAnsi="Times New Roman" w:eastAsia="宋体" w:cs="Times New Roman"/>
                      <w:caps w:val="0"/>
                      <w:smallCaps w:val="0"/>
                      <w:color w:val="auto"/>
                      <w:sz w:val="18"/>
                      <w:szCs w:val="18"/>
                      <w:lang w:val="en-US" w:eastAsia="zh-CN"/>
                    </w:rPr>
                    <w:t>/</w:t>
                  </w:r>
                </w:p>
              </w:tc>
              <w:tc>
                <w:tcPr>
                  <w:tcW w:w="533" w:type="pct"/>
                  <w:noWrap w:val="0"/>
                  <w:vAlign w:val="center"/>
                </w:tcPr>
                <w:p w14:paraId="4EC5F8FF">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350</w:t>
                  </w:r>
                </w:p>
              </w:tc>
              <w:tc>
                <w:tcPr>
                  <w:tcW w:w="533" w:type="pct"/>
                  <w:noWrap w:val="0"/>
                  <w:vAlign w:val="center"/>
                </w:tcPr>
                <w:p w14:paraId="40FE3840">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150</w:t>
                  </w:r>
                </w:p>
              </w:tc>
              <w:tc>
                <w:tcPr>
                  <w:tcW w:w="533" w:type="pct"/>
                  <w:noWrap w:val="0"/>
                  <w:vAlign w:val="center"/>
                </w:tcPr>
                <w:p w14:paraId="55BA013B">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220</w:t>
                  </w:r>
                </w:p>
              </w:tc>
              <w:tc>
                <w:tcPr>
                  <w:tcW w:w="533" w:type="pct"/>
                  <w:noWrap w:val="0"/>
                  <w:vAlign w:val="center"/>
                </w:tcPr>
                <w:p w14:paraId="31351DD0">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35</w:t>
                  </w:r>
                </w:p>
              </w:tc>
            </w:tr>
            <w:tr w14:paraId="3FA1C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0BB9DF0C">
                  <w:pPr>
                    <w:jc w:val="center"/>
                    <w:rPr>
                      <w:rFonts w:hint="eastAsia" w:ascii="Times New Roman" w:hAnsi="Times New Roman" w:eastAsia="宋体"/>
                      <w:caps w:val="0"/>
                      <w:smallCaps w:val="0"/>
                      <w:color w:val="auto"/>
                      <w:kern w:val="0"/>
                      <w:sz w:val="18"/>
                      <w:szCs w:val="18"/>
                      <w:highlight w:val="none"/>
                      <w:lang w:val="en-GB" w:eastAsia="zh-CN"/>
                    </w:rPr>
                  </w:pPr>
                  <w:r>
                    <w:rPr>
                      <w:rFonts w:hint="eastAsia"/>
                      <w:caps w:val="0"/>
                      <w:smallCaps w:val="0"/>
                      <w:color w:val="auto"/>
                      <w:kern w:val="0"/>
                      <w:sz w:val="18"/>
                      <w:szCs w:val="18"/>
                      <w:highlight w:val="none"/>
                      <w:lang w:val="en-GB" w:eastAsia="zh-CN"/>
                    </w:rPr>
                    <w:t>污水处理厂出水标准（一级</w:t>
                  </w:r>
                  <w:r>
                    <w:rPr>
                      <w:rFonts w:hint="eastAsia"/>
                      <w:caps w:val="0"/>
                      <w:smallCaps w:val="0"/>
                      <w:color w:val="auto"/>
                      <w:kern w:val="0"/>
                      <w:sz w:val="18"/>
                      <w:szCs w:val="18"/>
                      <w:highlight w:val="none"/>
                      <w:lang w:val="en-US" w:eastAsia="zh-CN"/>
                    </w:rPr>
                    <w:t>A</w:t>
                  </w:r>
                  <w:r>
                    <w:rPr>
                      <w:rFonts w:hint="eastAsia"/>
                      <w:caps w:val="0"/>
                      <w:smallCaps w:val="0"/>
                      <w:color w:val="auto"/>
                      <w:kern w:val="0"/>
                      <w:sz w:val="18"/>
                      <w:szCs w:val="18"/>
                      <w:highlight w:val="none"/>
                      <w:lang w:val="en-GB" w:eastAsia="zh-CN"/>
                    </w:rPr>
                    <w:t>）</w:t>
                  </w:r>
                </w:p>
              </w:tc>
              <w:tc>
                <w:tcPr>
                  <w:tcW w:w="795" w:type="pct"/>
                  <w:noWrap w:val="0"/>
                  <w:vAlign w:val="center"/>
                </w:tcPr>
                <w:p w14:paraId="21D7361F">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w:t>
                  </w:r>
                </w:p>
              </w:tc>
              <w:tc>
                <w:tcPr>
                  <w:tcW w:w="533" w:type="pct"/>
                  <w:noWrap w:val="0"/>
                  <w:vAlign w:val="center"/>
                </w:tcPr>
                <w:p w14:paraId="394343AB">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50</w:t>
                  </w:r>
                </w:p>
              </w:tc>
              <w:tc>
                <w:tcPr>
                  <w:tcW w:w="533" w:type="pct"/>
                  <w:noWrap w:val="0"/>
                  <w:vAlign w:val="center"/>
                </w:tcPr>
                <w:p w14:paraId="5A8F318C">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10</w:t>
                  </w:r>
                </w:p>
              </w:tc>
              <w:tc>
                <w:tcPr>
                  <w:tcW w:w="533" w:type="pct"/>
                  <w:noWrap w:val="0"/>
                  <w:vAlign w:val="center"/>
                </w:tcPr>
                <w:p w14:paraId="53091694">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10</w:t>
                  </w:r>
                </w:p>
              </w:tc>
              <w:tc>
                <w:tcPr>
                  <w:tcW w:w="533" w:type="pct"/>
                  <w:noWrap w:val="0"/>
                  <w:vAlign w:val="center"/>
                </w:tcPr>
                <w:p w14:paraId="04ED6F47">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default" w:ascii="Times New Roman" w:hAnsi="Times New Roman" w:cs="Times New Roman"/>
                      <w:caps w:val="0"/>
                      <w:smallCaps w:val="0"/>
                      <w:color w:val="auto"/>
                      <w:sz w:val="18"/>
                      <w:szCs w:val="18"/>
                      <w:highlight w:val="none"/>
                      <w:lang w:val="en-US" w:eastAsia="zh-CN"/>
                    </w:rPr>
                    <w:t>5</w:t>
                  </w:r>
                </w:p>
              </w:tc>
            </w:tr>
            <w:tr w14:paraId="60F5D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0" w:type="pct"/>
                  <w:gridSpan w:val="3"/>
                  <w:noWrap w:val="0"/>
                  <w:vAlign w:val="center"/>
                </w:tcPr>
                <w:p w14:paraId="614930C8">
                  <w:pPr>
                    <w:jc w:val="center"/>
                    <w:rPr>
                      <w:rFonts w:hint="eastAsia" w:ascii="Times New Roman" w:hAnsi="Times New Roman" w:eastAsia="宋体"/>
                      <w:caps w:val="0"/>
                      <w:smallCaps w:val="0"/>
                      <w:color w:val="auto"/>
                      <w:kern w:val="0"/>
                      <w:sz w:val="18"/>
                      <w:szCs w:val="18"/>
                      <w:highlight w:val="none"/>
                      <w:lang w:val="en-US" w:eastAsia="zh-CN"/>
                    </w:rPr>
                  </w:pPr>
                  <w:r>
                    <w:rPr>
                      <w:rFonts w:hint="eastAsia"/>
                      <w:caps w:val="0"/>
                      <w:smallCaps w:val="0"/>
                      <w:color w:val="auto"/>
                      <w:kern w:val="0"/>
                      <w:sz w:val="18"/>
                      <w:szCs w:val="18"/>
                      <w:highlight w:val="none"/>
                      <w:lang w:val="en-US" w:eastAsia="zh-CN"/>
                    </w:rPr>
                    <w:t>废水</w:t>
                  </w:r>
                </w:p>
              </w:tc>
              <w:tc>
                <w:tcPr>
                  <w:tcW w:w="795" w:type="pct"/>
                  <w:noWrap w:val="0"/>
                  <w:vAlign w:val="center"/>
                </w:tcPr>
                <w:p w14:paraId="507EACE3">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lang w:val="en-US" w:eastAsia="zh-CN"/>
                    </w:rPr>
                    <w:t>945</w:t>
                  </w:r>
                </w:p>
              </w:tc>
              <w:tc>
                <w:tcPr>
                  <w:tcW w:w="533" w:type="pct"/>
                  <w:noWrap w:val="0"/>
                  <w:vAlign w:val="center"/>
                </w:tcPr>
                <w:p w14:paraId="1C62D5E4">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0.047</w:t>
                  </w:r>
                </w:p>
              </w:tc>
              <w:tc>
                <w:tcPr>
                  <w:tcW w:w="533" w:type="pct"/>
                  <w:noWrap w:val="0"/>
                  <w:vAlign w:val="center"/>
                </w:tcPr>
                <w:p w14:paraId="1C6293EF">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0.009</w:t>
                  </w:r>
                </w:p>
              </w:tc>
              <w:tc>
                <w:tcPr>
                  <w:tcW w:w="533" w:type="pct"/>
                  <w:noWrap w:val="0"/>
                  <w:vAlign w:val="center"/>
                </w:tcPr>
                <w:p w14:paraId="5FFF7FAD">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0.009</w:t>
                  </w:r>
                </w:p>
              </w:tc>
              <w:tc>
                <w:tcPr>
                  <w:tcW w:w="533" w:type="pct"/>
                  <w:noWrap w:val="0"/>
                  <w:vAlign w:val="center"/>
                </w:tcPr>
                <w:p w14:paraId="4F650CC9">
                  <w:pPr>
                    <w:pStyle w:val="142"/>
                    <w:ind w:firstLine="0" w:firstLineChars="0"/>
                    <w:jc w:val="center"/>
                    <w:rPr>
                      <w:rFonts w:hint="default" w:ascii="Times New Roman" w:hAnsi="Times New Roman" w:eastAsia="宋体" w:cs="Times New Roman"/>
                      <w:caps w:val="0"/>
                      <w:smallCaps w:val="0"/>
                      <w:color w:val="auto"/>
                      <w:sz w:val="18"/>
                      <w:szCs w:val="18"/>
                      <w:highlight w:val="none"/>
                      <w:lang w:val="en-US" w:eastAsia="zh-CN"/>
                    </w:rPr>
                  </w:pPr>
                  <w:r>
                    <w:rPr>
                      <w:rFonts w:hint="eastAsia" w:cs="Times New Roman"/>
                      <w:caps w:val="0"/>
                      <w:smallCaps w:val="0"/>
                      <w:color w:val="auto"/>
                      <w:sz w:val="18"/>
                      <w:szCs w:val="18"/>
                      <w:highlight w:val="none"/>
                      <w:lang w:val="en-US" w:eastAsia="zh-CN"/>
                    </w:rPr>
                    <w:t>0.005</w:t>
                  </w:r>
                </w:p>
              </w:tc>
            </w:tr>
          </w:tbl>
          <w:p w14:paraId="75720B77">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highlight w:val="yellow"/>
                <w:lang w:val="en-US" w:eastAsia="zh-CN"/>
              </w:rPr>
            </w:pPr>
            <w:r>
              <w:rPr>
                <w:rFonts w:hint="eastAsia" w:ascii="Times New Roman" w:hAnsi="Times New Roman" w:eastAsia="宋体" w:cs="Times New Roman"/>
                <w:color w:val="auto"/>
                <w:sz w:val="24"/>
                <w:highlight w:val="none"/>
                <w:lang w:val="en-US" w:eastAsia="zh-CN"/>
              </w:rPr>
              <w:t>根据上表可知，项目职工日常生活污水进入化粪池处理，出水可达《污水综合排放标准》（GB8978-1996）表4三级标准（其中氨氮参照执行《污水排入城镇下水道水质标准》(GB/T 31962-2015)表1中B级标准限值）</w:t>
            </w:r>
            <w:r>
              <w:rPr>
                <w:rFonts w:hint="eastAsia" w:cs="Times New Roman"/>
                <w:color w:val="auto"/>
                <w:sz w:val="24"/>
                <w:highlight w:val="none"/>
                <w:lang w:val="en-US" w:eastAsia="zh-CN"/>
              </w:rPr>
              <w:t>。</w:t>
            </w:r>
          </w:p>
          <w:p w14:paraId="1118DF30">
            <w:pPr>
              <w:pStyle w:val="4"/>
              <w:bidi w:val="0"/>
              <w:rPr>
                <w:rFonts w:hint="default"/>
                <w:color w:val="auto"/>
                <w:lang w:val="en-US" w:eastAsia="zh-CN"/>
              </w:rPr>
            </w:pPr>
            <w:r>
              <w:rPr>
                <w:rFonts w:hint="default"/>
                <w:color w:val="auto"/>
                <w:lang w:val="en-US" w:eastAsia="zh-CN"/>
              </w:rPr>
              <w:t>4.</w:t>
            </w:r>
            <w:r>
              <w:rPr>
                <w:rFonts w:hint="eastAsia"/>
                <w:color w:val="auto"/>
                <w:lang w:val="en-US" w:eastAsia="zh-CN"/>
              </w:rPr>
              <w:t>3</w:t>
            </w:r>
            <w:r>
              <w:rPr>
                <w:rFonts w:hint="default"/>
                <w:color w:val="auto"/>
                <w:lang w:val="en-US" w:eastAsia="zh-CN"/>
              </w:rPr>
              <w:t>.2运营期水环境影响及污染防治措施可行性分析</w:t>
            </w:r>
          </w:p>
          <w:p w14:paraId="7FCA8857">
            <w:pPr>
              <w:pStyle w:val="4"/>
              <w:keepNext w:val="0"/>
              <w:keepLines w:val="0"/>
              <w:spacing w:line="360" w:lineRule="auto"/>
              <w:rPr>
                <w:b/>
                <w:color w:val="auto"/>
                <w:sz w:val="24"/>
              </w:rPr>
            </w:pPr>
            <w:r>
              <w:rPr>
                <w:rFonts w:hint="eastAsia" w:ascii="Times New Roman" w:hAnsi="Times New Roman" w:eastAsia="宋体" w:cs="Times New Roman"/>
                <w:b/>
                <w:color w:val="auto"/>
                <w:sz w:val="24"/>
                <w:lang w:val="en-US" w:eastAsia="zh-CN"/>
              </w:rPr>
              <w:t xml:space="preserve">4.3.2.1 </w:t>
            </w:r>
            <w:r>
              <w:rPr>
                <w:rFonts w:hint="eastAsia"/>
                <w:b/>
                <w:color w:val="auto"/>
                <w:sz w:val="24"/>
              </w:rPr>
              <w:t>生活污水处理可行性分析</w:t>
            </w:r>
          </w:p>
          <w:p w14:paraId="3E832BC4">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lang w:val="en-US" w:eastAsia="zh-CN"/>
              </w:rPr>
            </w:pPr>
            <w:r>
              <w:rPr>
                <w:rFonts w:hint="eastAsia" w:cs="Times New Roman"/>
                <w:color w:val="auto"/>
                <w:sz w:val="24"/>
                <w:lang w:val="en-US" w:eastAsia="zh-CN"/>
              </w:rPr>
              <w:t>本项目新增生活污水进入化粪池处理，化粪池采用三格化粪池，由相连的三个池子组成，中间由过粪管连通，主要是利用厌氧发酵、中层过粪和寄生虫卵比重大于一般混合液比重而易于沉淀的原理，以达到沉淀或杀灭粪便中寄生虫卵和肠道致病菌的目的，生活污水经化粪池处理后可以满足福清市融元污水处理厂纳管标准。</w:t>
            </w:r>
          </w:p>
          <w:p w14:paraId="4B1B9F99">
            <w:pPr>
              <w:pStyle w:val="99"/>
              <w:spacing w:line="360" w:lineRule="auto"/>
              <w:ind w:firstLine="480" w:firstLineChars="200"/>
              <w:rPr>
                <w:rFonts w:hint="eastAsia" w:ascii="Times New Roman" w:hAnsi="Times New Roman" w:eastAsia="宋体" w:cs="Times New Roman"/>
                <w:color w:val="auto"/>
                <w:sz w:val="24"/>
                <w:highlight w:val="yellow"/>
                <w:lang w:val="en-US" w:eastAsia="zh-CN"/>
              </w:rPr>
            </w:pPr>
            <w:r>
              <w:rPr>
                <w:rFonts w:hint="default" w:ascii="Times New Roman" w:hAnsi="Times New Roman" w:eastAsia="宋体" w:cs="Times New Roman"/>
                <w:color w:val="auto"/>
                <w:sz w:val="24"/>
                <w:lang w:val="en-US" w:eastAsia="zh-CN"/>
              </w:rPr>
              <w:t>项目</w:t>
            </w:r>
            <w:r>
              <w:rPr>
                <w:rFonts w:hint="eastAsia" w:eastAsia="宋体" w:cs="Times New Roman"/>
                <w:color w:val="auto"/>
                <w:sz w:val="24"/>
                <w:lang w:val="en-US" w:eastAsia="zh-CN"/>
              </w:rPr>
              <w:t>职工</w:t>
            </w:r>
            <w:r>
              <w:rPr>
                <w:rFonts w:hint="eastAsia" w:ascii="Times New Roman" w:hAnsi="Times New Roman" w:eastAsia="宋体" w:cs="Times New Roman"/>
                <w:color w:val="auto"/>
                <w:sz w:val="24"/>
                <w:lang w:val="en-US" w:eastAsia="zh-CN"/>
              </w:rPr>
              <w:t>日常生活污水进入厂区化粪池处理，出水排入市政污水管网，纳入</w:t>
            </w:r>
            <w:r>
              <w:rPr>
                <w:rFonts w:hint="eastAsia" w:cs="Times New Roman"/>
                <w:color w:val="auto"/>
                <w:sz w:val="24"/>
                <w:highlight w:val="none"/>
                <w:lang w:val="en-US" w:eastAsia="zh-CN"/>
              </w:rPr>
              <w:t>福清市融元污水处理厂</w:t>
            </w:r>
            <w:r>
              <w:rPr>
                <w:rFonts w:hint="eastAsia" w:ascii="Times New Roman" w:hAnsi="Times New Roman" w:eastAsia="宋体" w:cs="Times New Roman"/>
                <w:color w:val="auto"/>
                <w:sz w:val="24"/>
                <w:lang w:val="en-US" w:eastAsia="zh-CN"/>
              </w:rPr>
              <w:t>集中处理。根据建设单位提供资料，</w:t>
            </w:r>
            <w:r>
              <w:rPr>
                <w:rFonts w:hint="eastAsia" w:eastAsia="宋体" w:cs="Times New Roman"/>
                <w:color w:val="auto"/>
                <w:sz w:val="24"/>
                <w:lang w:val="en-US" w:eastAsia="zh-CN"/>
              </w:rPr>
              <w:t>厂区</w:t>
            </w:r>
            <w:r>
              <w:rPr>
                <w:rFonts w:hint="eastAsia" w:ascii="Times New Roman" w:hAnsi="Times New Roman" w:eastAsia="宋体" w:cs="Times New Roman"/>
                <w:color w:val="auto"/>
                <w:sz w:val="24"/>
                <w:lang w:val="en-US" w:eastAsia="zh-CN"/>
              </w:rPr>
              <w:t>埋设化粪池总容积约为</w:t>
            </w:r>
            <w:r>
              <w:rPr>
                <w:rFonts w:hint="eastAsia" w:cs="Times New Roman"/>
                <w:color w:val="auto"/>
                <w:sz w:val="24"/>
                <w:lang w:val="en-US" w:eastAsia="zh-CN"/>
              </w:rPr>
              <w:t>100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的化粪池</w:t>
            </w:r>
            <w:r>
              <w:rPr>
                <w:rFonts w:hint="eastAsia" w:ascii="Times New Roman" w:hAnsi="Times New Roman" w:eastAsia="宋体" w:cs="Times New Roman"/>
                <w:color w:val="auto"/>
                <w:sz w:val="24"/>
                <w:lang w:val="en-US" w:eastAsia="zh-CN"/>
              </w:rPr>
              <w:t>，按停留时间12h可处理约</w:t>
            </w:r>
            <w:r>
              <w:rPr>
                <w:rFonts w:hint="eastAsia" w:cs="Times New Roman"/>
                <w:color w:val="auto"/>
                <w:sz w:val="24"/>
                <w:lang w:val="en-US" w:eastAsia="zh-CN"/>
              </w:rPr>
              <w:t>20</w:t>
            </w:r>
            <w:r>
              <w:rPr>
                <w:rFonts w:hint="eastAsia" w:eastAsia="宋体" w:cs="Times New Roman"/>
                <w:color w:val="auto"/>
                <w:sz w:val="24"/>
                <w:lang w:val="en-US" w:eastAsia="zh-CN"/>
              </w:rPr>
              <w:t>0</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生活污水，</w:t>
            </w:r>
            <w:r>
              <w:rPr>
                <w:rFonts w:hint="eastAsia" w:ascii="Times New Roman" w:hAnsi="Times New Roman" w:eastAsia="宋体" w:cs="Times New Roman"/>
                <w:color w:val="auto"/>
                <w:sz w:val="24"/>
                <w:highlight w:val="none"/>
                <w:lang w:val="en-US" w:eastAsia="zh-CN"/>
              </w:rPr>
              <w:t>根据前文核算，</w:t>
            </w:r>
            <w:r>
              <w:rPr>
                <w:rFonts w:hint="eastAsia" w:cs="Times New Roman"/>
                <w:color w:val="auto"/>
                <w:sz w:val="24"/>
                <w:highlight w:val="none"/>
                <w:lang w:val="en-US" w:eastAsia="zh-CN"/>
              </w:rPr>
              <w:t>扩建新增</w:t>
            </w:r>
            <w:r>
              <w:rPr>
                <w:rFonts w:hint="eastAsia" w:ascii="Times New Roman" w:hAnsi="Times New Roman" w:eastAsia="宋体" w:cs="Times New Roman"/>
                <w:color w:val="auto"/>
                <w:sz w:val="24"/>
                <w:highlight w:val="none"/>
                <w:lang w:val="en-US" w:eastAsia="zh-CN"/>
              </w:rPr>
              <w:t>生活废水量约为</w:t>
            </w:r>
            <w:r>
              <w:rPr>
                <w:rFonts w:hint="eastAsia" w:cs="Times New Roman"/>
                <w:color w:val="auto"/>
                <w:sz w:val="24"/>
                <w:highlight w:val="none"/>
                <w:lang w:val="en-US" w:eastAsia="zh-CN"/>
              </w:rPr>
              <w:t>945</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3.15</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lang w:val="en-US" w:eastAsia="zh-CN"/>
              </w:rPr>
              <w:t>现阶段福建三锋汽配开发有限公司厂区正在陆续入驻企业中，目前共入驻福建钜鸿百纳科技有限公司、福建禾融彩虹玻璃有限公司等22家企业，</w:t>
            </w:r>
            <w:r>
              <w:rPr>
                <w:rFonts w:hint="eastAsia" w:cs="Times New Roman"/>
                <w:color w:val="auto"/>
                <w:sz w:val="24"/>
                <w:lang w:val="en-US" w:eastAsia="zh-CN"/>
              </w:rPr>
              <w:t>出租方现有生活污水排放量（全厂22家企业和本项目现有工程生活污水排放量）约为102t/d，</w:t>
            </w:r>
            <w:r>
              <w:rPr>
                <w:rFonts w:hint="eastAsia" w:ascii="Times New Roman" w:hAnsi="Times New Roman" w:eastAsia="宋体" w:cs="Times New Roman"/>
                <w:color w:val="auto"/>
                <w:sz w:val="24"/>
                <w:lang w:val="en-US" w:eastAsia="zh-CN"/>
              </w:rPr>
              <w:t>仅占化粪池</w:t>
            </w:r>
            <w:r>
              <w:rPr>
                <w:rFonts w:hint="eastAsia" w:cs="Times New Roman"/>
                <w:color w:val="auto"/>
                <w:sz w:val="24"/>
                <w:lang w:val="en-US" w:eastAsia="zh-CN"/>
              </w:rPr>
              <w:t>去除率</w:t>
            </w:r>
            <w:r>
              <w:rPr>
                <w:rFonts w:hint="eastAsia" w:ascii="Times New Roman" w:hAnsi="Times New Roman" w:eastAsia="宋体" w:cs="Times New Roman"/>
                <w:color w:val="auto"/>
                <w:sz w:val="24"/>
                <w:lang w:val="en-US" w:eastAsia="zh-CN"/>
              </w:rPr>
              <w:t>的</w:t>
            </w:r>
            <w:r>
              <w:rPr>
                <w:rFonts w:hint="eastAsia" w:cs="Times New Roman"/>
                <w:color w:val="auto"/>
                <w:sz w:val="24"/>
                <w:lang w:val="en-US" w:eastAsia="zh-CN"/>
              </w:rPr>
              <w:t>51</w:t>
            </w:r>
            <w:r>
              <w:rPr>
                <w:rFonts w:hint="eastAsia" w:ascii="Times New Roman" w:hAnsi="Times New Roman" w:eastAsia="宋体" w:cs="Times New Roman"/>
                <w:color w:val="auto"/>
                <w:sz w:val="24"/>
                <w:lang w:val="en-US" w:eastAsia="zh-CN"/>
              </w:rPr>
              <w:t>%，根据前文核算，项目</w:t>
            </w:r>
            <w:r>
              <w:rPr>
                <w:rFonts w:hint="eastAsia" w:cs="Times New Roman"/>
                <w:color w:val="auto"/>
                <w:sz w:val="24"/>
                <w:lang w:val="en-US" w:eastAsia="zh-CN"/>
              </w:rPr>
              <w:t>扩建新增</w:t>
            </w:r>
            <w:r>
              <w:rPr>
                <w:rFonts w:hint="eastAsia" w:ascii="Times New Roman" w:hAnsi="Times New Roman" w:eastAsia="宋体" w:cs="Times New Roman"/>
                <w:color w:val="auto"/>
                <w:sz w:val="24"/>
                <w:lang w:val="en-US" w:eastAsia="zh-CN"/>
              </w:rPr>
              <w:t>生活污水排放量约为</w:t>
            </w:r>
            <w:r>
              <w:rPr>
                <w:rFonts w:hint="eastAsia" w:cs="Times New Roman"/>
                <w:color w:val="auto"/>
                <w:sz w:val="24"/>
                <w:lang w:val="en-US" w:eastAsia="zh-CN"/>
              </w:rPr>
              <w:t>3.15</w:t>
            </w:r>
            <w:r>
              <w:rPr>
                <w:rFonts w:hint="eastAsia" w:ascii="Times New Roman" w:hAnsi="Times New Roman" w:eastAsia="宋体" w:cs="Times New Roman"/>
                <w:color w:val="auto"/>
                <w:sz w:val="24"/>
                <w:lang w:val="en-US" w:eastAsia="zh-CN"/>
              </w:rPr>
              <w:t>t/d(</w:t>
            </w:r>
            <w:r>
              <w:rPr>
                <w:rFonts w:hint="eastAsia" w:cs="Times New Roman"/>
                <w:color w:val="auto"/>
                <w:sz w:val="24"/>
                <w:lang w:val="en-US" w:eastAsia="zh-CN"/>
              </w:rPr>
              <w:t>945</w:t>
            </w:r>
            <w:r>
              <w:rPr>
                <w:rFonts w:hint="eastAsia" w:ascii="Times New Roman" w:hAnsi="Times New Roman" w:eastAsia="宋体" w:cs="Times New Roman"/>
                <w:color w:val="auto"/>
                <w:sz w:val="24"/>
                <w:lang w:val="en-US" w:eastAsia="zh-CN"/>
              </w:rPr>
              <w:t>t/a)，仅占化粪池</w:t>
            </w:r>
            <w:r>
              <w:rPr>
                <w:rFonts w:hint="eastAsia" w:cs="Times New Roman"/>
                <w:color w:val="auto"/>
                <w:sz w:val="24"/>
                <w:lang w:val="en-US" w:eastAsia="zh-CN"/>
              </w:rPr>
              <w:t>剩余处理能力</w:t>
            </w:r>
            <w:r>
              <w:rPr>
                <w:rFonts w:hint="eastAsia" w:ascii="Times New Roman" w:hAnsi="Times New Roman" w:eastAsia="宋体" w:cs="Times New Roman"/>
                <w:color w:val="auto"/>
                <w:sz w:val="24"/>
                <w:lang w:val="en-US" w:eastAsia="zh-CN"/>
              </w:rPr>
              <w:t>的</w:t>
            </w:r>
            <w:r>
              <w:rPr>
                <w:rFonts w:hint="eastAsia" w:cs="Times New Roman"/>
                <w:color w:val="auto"/>
                <w:sz w:val="24"/>
                <w:lang w:val="en-US" w:eastAsia="zh-CN"/>
              </w:rPr>
              <w:t>3.214</w:t>
            </w:r>
            <w:r>
              <w:rPr>
                <w:rFonts w:hint="eastAsia" w:ascii="Times New Roman" w:hAnsi="Times New Roman" w:eastAsia="宋体" w:cs="Times New Roman"/>
                <w:color w:val="auto"/>
                <w:sz w:val="24"/>
                <w:lang w:val="en-US" w:eastAsia="zh-CN"/>
              </w:rPr>
              <w:t>%，可见</w:t>
            </w:r>
            <w:r>
              <w:rPr>
                <w:rFonts w:hint="eastAsia" w:cs="Times New Roman"/>
                <w:color w:val="auto"/>
                <w:sz w:val="24"/>
                <w:lang w:val="en-US" w:eastAsia="zh-CN"/>
              </w:rPr>
              <w:t>厂区</w:t>
            </w:r>
            <w:r>
              <w:rPr>
                <w:rFonts w:hint="eastAsia" w:ascii="Times New Roman" w:hAnsi="Times New Roman" w:eastAsia="宋体" w:cs="Times New Roman"/>
                <w:color w:val="auto"/>
                <w:sz w:val="24"/>
                <w:lang w:val="en-US" w:eastAsia="zh-CN"/>
              </w:rPr>
              <w:t>化粪池处理能力可满足本项目生活污水处理需求</w:t>
            </w:r>
            <w:r>
              <w:rPr>
                <w:rFonts w:hint="eastAsia" w:cs="Times New Roman"/>
                <w:color w:val="auto"/>
                <w:sz w:val="24"/>
                <w:lang w:val="en-US" w:eastAsia="zh-CN"/>
              </w:rPr>
              <w:t>且</w:t>
            </w:r>
            <w:r>
              <w:rPr>
                <w:rFonts w:hint="eastAsia" w:ascii="Times New Roman" w:hAnsi="Times New Roman" w:eastAsia="宋体" w:cs="Times New Roman"/>
                <w:color w:val="auto"/>
                <w:sz w:val="24"/>
                <w:lang w:val="en-US" w:eastAsia="zh-CN"/>
              </w:rPr>
              <w:t>还有剩余容量抗负荷波动，因此项目生活污水依托</w:t>
            </w:r>
            <w:r>
              <w:rPr>
                <w:rFonts w:hint="eastAsia" w:cs="Times New Roman"/>
                <w:color w:val="auto"/>
                <w:sz w:val="24"/>
                <w:lang w:val="en-US" w:eastAsia="zh-CN"/>
              </w:rPr>
              <w:t>出租方</w:t>
            </w:r>
            <w:r>
              <w:rPr>
                <w:rFonts w:hint="eastAsia" w:ascii="Times New Roman" w:hAnsi="Times New Roman" w:eastAsia="宋体" w:cs="Times New Roman"/>
                <w:color w:val="auto"/>
                <w:sz w:val="24"/>
                <w:lang w:val="en-US" w:eastAsia="zh-CN"/>
              </w:rPr>
              <w:t>内已建化粪池处理可行。</w:t>
            </w:r>
          </w:p>
          <w:p w14:paraId="386D024C">
            <w:pPr>
              <w:pStyle w:val="4"/>
              <w:keepNext w:val="0"/>
              <w:keepLines w:val="0"/>
              <w:spacing w:line="360" w:lineRule="auto"/>
              <w:rPr>
                <w:rFonts w:hint="eastAsia"/>
                <w:b/>
                <w:bCs w:val="0"/>
                <w:color w:val="auto"/>
                <w:sz w:val="24"/>
                <w:highlight w:val="none"/>
              </w:rPr>
            </w:pPr>
            <w:r>
              <w:rPr>
                <w:rFonts w:hint="eastAsia"/>
                <w:b/>
                <w:bCs w:val="0"/>
                <w:color w:val="auto"/>
                <w:sz w:val="24"/>
                <w:highlight w:val="none"/>
              </w:rPr>
              <w:t>4.3.2.2 依托集中污水处理厂的可行性分析</w:t>
            </w:r>
          </w:p>
          <w:p w14:paraId="751C582A">
            <w:pPr>
              <w:pStyle w:val="108"/>
              <w:rPr>
                <w:rFonts w:hint="default" w:ascii="Times New Roman" w:hAnsi="Times New Roman"/>
                <w:color w:val="auto"/>
                <w:highlight w:val="none"/>
              </w:rPr>
            </w:pPr>
            <w:r>
              <w:rPr>
                <w:rFonts w:hint="default" w:ascii="Times New Roman" w:hAnsi="Times New Roman"/>
                <w:color w:val="auto"/>
                <w:highlight w:val="none"/>
              </w:rPr>
              <w:t>根据《建设项目环境影响报告表编制技术指南(污染影响类)(试行)》(环办环评〔2020〕33号)要求，废水间接排放的建设项目应从处理能力、处理工艺、设计进出水水质等方面，分析依托集中污水处理厂的可行性。</w:t>
            </w:r>
          </w:p>
          <w:p w14:paraId="621C2DFB">
            <w:pPr>
              <w:pStyle w:val="108"/>
              <w:rPr>
                <w:rFonts w:hint="default" w:ascii="Times New Roman" w:hAnsi="Times New Roman"/>
                <w:color w:val="auto"/>
                <w:highlight w:val="none"/>
              </w:rPr>
            </w:pPr>
            <w:r>
              <w:rPr>
                <w:rFonts w:ascii="Times New Roman" w:hAnsi="Times New Roman"/>
                <w:color w:val="auto"/>
                <w:highlight w:val="none"/>
              </w:rPr>
              <w:t>（1）</w:t>
            </w:r>
            <w:r>
              <w:rPr>
                <w:rFonts w:hint="eastAsia" w:ascii="Times New Roman" w:hAnsi="Times New Roman"/>
                <w:color w:val="auto"/>
                <w:highlight w:val="none"/>
                <w:lang w:eastAsia="zh-CN"/>
              </w:rPr>
              <w:t>福清市融元污水处理厂</w:t>
            </w:r>
            <w:r>
              <w:rPr>
                <w:rFonts w:hint="default" w:ascii="Times New Roman" w:hAnsi="Times New Roman"/>
                <w:color w:val="auto"/>
                <w:highlight w:val="none"/>
              </w:rPr>
              <w:t>基本情况</w:t>
            </w:r>
          </w:p>
          <w:p w14:paraId="2511B92A">
            <w:pPr>
              <w:pStyle w:val="108"/>
              <w:jc w:val="both"/>
              <w:rPr>
                <w:rFonts w:hint="default" w:ascii="Times New Roman" w:hAnsi="Times New Roman"/>
                <w:color w:val="auto"/>
              </w:rPr>
            </w:pPr>
            <w:r>
              <w:rPr>
                <w:rFonts w:ascii="Times New Roman" w:hAnsi="Times New Roman"/>
                <w:color w:val="auto"/>
              </w:rPr>
              <w:t>①设计进出水水质</w:t>
            </w:r>
          </w:p>
          <w:p w14:paraId="099DA954">
            <w:pPr>
              <w:spacing w:line="360" w:lineRule="auto"/>
              <w:ind w:firstLine="480" w:firstLineChars="200"/>
              <w:jc w:val="both"/>
              <w:rPr>
                <w:color w:val="auto"/>
                <w:sz w:val="24"/>
                <w:szCs w:val="22"/>
              </w:rPr>
            </w:pPr>
            <w:r>
              <w:rPr>
                <w:color w:val="auto"/>
                <w:sz w:val="24"/>
                <w:szCs w:val="22"/>
              </w:rPr>
              <w:t>根据《福清市融元污水处理厂提标及改造工程环境影响报告书(报批稿</w:t>
            </w:r>
            <w:r>
              <w:rPr>
                <w:rFonts w:hint="eastAsia"/>
                <w:color w:val="auto"/>
                <w:sz w:val="24"/>
                <w:szCs w:val="22"/>
              </w:rPr>
              <w:t>)》</w:t>
            </w:r>
            <w:r>
              <w:rPr>
                <w:color w:val="auto"/>
                <w:sz w:val="24"/>
                <w:szCs w:val="22"/>
              </w:rPr>
              <w:t>可知，</w:t>
            </w:r>
            <w:r>
              <w:rPr>
                <w:rFonts w:hint="eastAsia"/>
                <w:color w:val="auto"/>
                <w:sz w:val="24"/>
              </w:rPr>
              <w:t>福清市融元污水处理厂</w:t>
            </w:r>
            <w:r>
              <w:rPr>
                <w:color w:val="auto"/>
                <w:sz w:val="24"/>
                <w:szCs w:val="22"/>
              </w:rPr>
              <w:t>进出水水质见表</w:t>
            </w:r>
            <w:r>
              <w:rPr>
                <w:rFonts w:hint="eastAsia"/>
                <w:color w:val="auto"/>
                <w:sz w:val="24"/>
                <w:szCs w:val="22"/>
              </w:rPr>
              <w:t>4-</w:t>
            </w:r>
            <w:r>
              <w:rPr>
                <w:rFonts w:hint="eastAsia"/>
                <w:color w:val="auto"/>
                <w:sz w:val="24"/>
                <w:szCs w:val="22"/>
                <w:lang w:val="en-US" w:eastAsia="zh-CN"/>
              </w:rPr>
              <w:t>14</w:t>
            </w:r>
            <w:r>
              <w:rPr>
                <w:color w:val="auto"/>
                <w:sz w:val="24"/>
                <w:szCs w:val="22"/>
              </w:rPr>
              <w:t>。</w:t>
            </w:r>
          </w:p>
          <w:p w14:paraId="05556E33">
            <w:pPr>
              <w:pStyle w:val="96"/>
              <w:numPr>
                <w:ilvl w:val="0"/>
                <w:numId w:val="0"/>
              </w:numPr>
              <w:adjustRightInd w:val="0"/>
              <w:snapToGrid w:val="0"/>
              <w:spacing w:line="240" w:lineRule="auto"/>
              <w:jc w:val="center"/>
              <w:rPr>
                <w:rFonts w:eastAsia="黑体"/>
                <w:b w:val="0"/>
                <w:color w:val="auto"/>
                <w:kern w:val="2"/>
                <w:szCs w:val="28"/>
              </w:rPr>
            </w:pPr>
            <w:r>
              <w:rPr>
                <w:rFonts w:eastAsia="黑体"/>
                <w:b w:val="0"/>
                <w:color w:val="auto"/>
                <w:kern w:val="2"/>
                <w:szCs w:val="28"/>
              </w:rPr>
              <w:t>表4-</w:t>
            </w:r>
            <w:r>
              <w:rPr>
                <w:rFonts w:hint="eastAsia" w:eastAsia="黑体"/>
                <w:b w:val="0"/>
                <w:color w:val="auto"/>
                <w:kern w:val="2"/>
                <w:szCs w:val="28"/>
                <w:lang w:val="en-US" w:eastAsia="zh-CN"/>
              </w:rPr>
              <w:t>14</w:t>
            </w:r>
            <w:r>
              <w:rPr>
                <w:rFonts w:hint="eastAsia" w:eastAsia="黑体"/>
                <w:b w:val="0"/>
                <w:color w:val="auto"/>
                <w:kern w:val="2"/>
                <w:szCs w:val="28"/>
              </w:rPr>
              <w:t xml:space="preserve">   </w:t>
            </w:r>
            <w:r>
              <w:rPr>
                <w:rFonts w:eastAsia="黑体"/>
                <w:b w:val="0"/>
                <w:color w:val="auto"/>
                <w:kern w:val="2"/>
                <w:szCs w:val="28"/>
              </w:rPr>
              <w:t>污水厂进出水水质标准</w:t>
            </w:r>
            <w:r>
              <w:rPr>
                <w:rFonts w:hint="eastAsia" w:eastAsia="黑体"/>
                <w:b w:val="0"/>
                <w:color w:val="auto"/>
                <w:kern w:val="2"/>
                <w:szCs w:val="28"/>
              </w:rPr>
              <w:t>(</w:t>
            </w:r>
            <w:r>
              <w:rPr>
                <w:rFonts w:eastAsia="黑体"/>
                <w:b w:val="0"/>
                <w:color w:val="auto"/>
                <w:kern w:val="2"/>
                <w:szCs w:val="28"/>
              </w:rPr>
              <w:t>mg/L</w:t>
            </w:r>
            <w:r>
              <w:rPr>
                <w:rFonts w:hint="eastAsia" w:eastAsia="黑体"/>
                <w:b w:val="0"/>
                <w:color w:val="auto"/>
                <w:kern w:val="2"/>
                <w:szCs w:val="28"/>
              </w:rPr>
              <w:t xml:space="preserve">  pH除外)</w:t>
            </w:r>
          </w:p>
          <w:tbl>
            <w:tblPr>
              <w:tblStyle w:val="3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46"/>
              <w:gridCol w:w="1395"/>
              <w:gridCol w:w="1135"/>
              <w:gridCol w:w="1027"/>
              <w:gridCol w:w="1095"/>
              <w:gridCol w:w="1013"/>
              <w:gridCol w:w="1013"/>
              <w:gridCol w:w="905"/>
            </w:tblGrid>
            <w:tr w14:paraId="1E42A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595F95BB">
                  <w:pPr>
                    <w:jc w:val="center"/>
                    <w:rPr>
                      <w:color w:val="auto"/>
                      <w:szCs w:val="21"/>
                    </w:rPr>
                  </w:pPr>
                  <w:r>
                    <w:rPr>
                      <w:color w:val="auto"/>
                      <w:szCs w:val="21"/>
                    </w:rPr>
                    <w:t>水质指标</w:t>
                  </w:r>
                </w:p>
              </w:tc>
              <w:tc>
                <w:tcPr>
                  <w:tcW w:w="799" w:type="pct"/>
                  <w:noWrap w:val="0"/>
                  <w:vAlign w:val="center"/>
                </w:tcPr>
                <w:p w14:paraId="7C1C14B4">
                  <w:pPr>
                    <w:jc w:val="center"/>
                    <w:rPr>
                      <w:color w:val="auto"/>
                      <w:szCs w:val="21"/>
                    </w:rPr>
                  </w:pPr>
                  <w:r>
                    <w:rPr>
                      <w:rFonts w:hint="eastAsia"/>
                      <w:color w:val="auto"/>
                      <w:szCs w:val="21"/>
                    </w:rPr>
                    <w:t>pH</w:t>
                  </w:r>
                </w:p>
              </w:tc>
              <w:tc>
                <w:tcPr>
                  <w:tcW w:w="650" w:type="pct"/>
                  <w:noWrap w:val="0"/>
                  <w:vAlign w:val="center"/>
                </w:tcPr>
                <w:p w14:paraId="45B0D87E">
                  <w:pPr>
                    <w:jc w:val="center"/>
                    <w:rPr>
                      <w:color w:val="auto"/>
                      <w:szCs w:val="21"/>
                    </w:rPr>
                  </w:pPr>
                  <w:r>
                    <w:rPr>
                      <w:rFonts w:hint="eastAsia"/>
                      <w:color w:val="auto"/>
                      <w:szCs w:val="21"/>
                    </w:rPr>
                    <w:t>COD</w:t>
                  </w:r>
                </w:p>
              </w:tc>
              <w:tc>
                <w:tcPr>
                  <w:tcW w:w="588" w:type="pct"/>
                  <w:noWrap w:val="0"/>
                  <w:vAlign w:val="center"/>
                </w:tcPr>
                <w:p w14:paraId="72533A06">
                  <w:pPr>
                    <w:jc w:val="center"/>
                    <w:rPr>
                      <w:color w:val="auto"/>
                      <w:szCs w:val="21"/>
                    </w:rPr>
                  </w:pPr>
                  <w:r>
                    <w:rPr>
                      <w:color w:val="auto"/>
                      <w:szCs w:val="21"/>
                    </w:rPr>
                    <w:t>BOD</w:t>
                  </w:r>
                  <w:r>
                    <w:rPr>
                      <w:color w:val="auto"/>
                      <w:szCs w:val="21"/>
                      <w:vertAlign w:val="subscript"/>
                    </w:rPr>
                    <w:t>5</w:t>
                  </w:r>
                </w:p>
              </w:tc>
              <w:tc>
                <w:tcPr>
                  <w:tcW w:w="627" w:type="pct"/>
                  <w:noWrap w:val="0"/>
                  <w:vAlign w:val="center"/>
                </w:tcPr>
                <w:p w14:paraId="419E0F74">
                  <w:pPr>
                    <w:jc w:val="center"/>
                    <w:rPr>
                      <w:color w:val="auto"/>
                      <w:szCs w:val="21"/>
                    </w:rPr>
                  </w:pPr>
                  <w:r>
                    <w:rPr>
                      <w:color w:val="auto"/>
                      <w:szCs w:val="21"/>
                    </w:rPr>
                    <w:t>SS</w:t>
                  </w:r>
                </w:p>
              </w:tc>
              <w:tc>
                <w:tcPr>
                  <w:tcW w:w="580" w:type="pct"/>
                  <w:noWrap w:val="0"/>
                  <w:vAlign w:val="center"/>
                </w:tcPr>
                <w:p w14:paraId="3BF76684">
                  <w:pPr>
                    <w:jc w:val="center"/>
                    <w:rPr>
                      <w:color w:val="auto"/>
                      <w:szCs w:val="21"/>
                    </w:rPr>
                  </w:pPr>
                  <w:r>
                    <w:rPr>
                      <w:color w:val="auto"/>
                      <w:szCs w:val="21"/>
                    </w:rPr>
                    <w:t>NH</w:t>
                  </w:r>
                  <w:r>
                    <w:rPr>
                      <w:color w:val="auto"/>
                      <w:szCs w:val="21"/>
                      <w:vertAlign w:val="subscript"/>
                    </w:rPr>
                    <w:t>3</w:t>
                  </w:r>
                  <w:r>
                    <w:rPr>
                      <w:color w:val="auto"/>
                      <w:szCs w:val="21"/>
                    </w:rPr>
                    <w:t>-N</w:t>
                  </w:r>
                </w:p>
              </w:tc>
              <w:tc>
                <w:tcPr>
                  <w:tcW w:w="580" w:type="pct"/>
                  <w:noWrap w:val="0"/>
                  <w:vAlign w:val="center"/>
                </w:tcPr>
                <w:p w14:paraId="71C50E14">
                  <w:pPr>
                    <w:jc w:val="center"/>
                    <w:rPr>
                      <w:color w:val="auto"/>
                      <w:szCs w:val="21"/>
                    </w:rPr>
                  </w:pPr>
                  <w:r>
                    <w:rPr>
                      <w:color w:val="auto"/>
                      <w:szCs w:val="21"/>
                    </w:rPr>
                    <w:t>TN</w:t>
                  </w:r>
                </w:p>
              </w:tc>
              <w:tc>
                <w:tcPr>
                  <w:tcW w:w="518" w:type="pct"/>
                  <w:noWrap w:val="0"/>
                  <w:vAlign w:val="center"/>
                </w:tcPr>
                <w:p w14:paraId="28506EC1">
                  <w:pPr>
                    <w:jc w:val="center"/>
                    <w:rPr>
                      <w:color w:val="auto"/>
                      <w:szCs w:val="21"/>
                    </w:rPr>
                  </w:pPr>
                  <w:r>
                    <w:rPr>
                      <w:rFonts w:hint="eastAsia"/>
                      <w:color w:val="auto"/>
                      <w:szCs w:val="21"/>
                    </w:rPr>
                    <w:t>TP</w:t>
                  </w:r>
                </w:p>
              </w:tc>
            </w:tr>
            <w:tr w14:paraId="21BB4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57B5BCAC">
                  <w:pPr>
                    <w:jc w:val="center"/>
                    <w:rPr>
                      <w:color w:val="auto"/>
                      <w:szCs w:val="21"/>
                    </w:rPr>
                  </w:pPr>
                  <w:r>
                    <w:rPr>
                      <w:color w:val="auto"/>
                      <w:szCs w:val="21"/>
                    </w:rPr>
                    <w:t>进水水质</w:t>
                  </w:r>
                </w:p>
              </w:tc>
              <w:tc>
                <w:tcPr>
                  <w:tcW w:w="799" w:type="pct"/>
                  <w:noWrap w:val="0"/>
                  <w:vAlign w:val="center"/>
                </w:tcPr>
                <w:p w14:paraId="39036EFB">
                  <w:pPr>
                    <w:jc w:val="center"/>
                    <w:rPr>
                      <w:color w:val="auto"/>
                      <w:szCs w:val="21"/>
                    </w:rPr>
                  </w:pPr>
                  <w:r>
                    <w:rPr>
                      <w:rFonts w:hint="eastAsia"/>
                      <w:color w:val="auto"/>
                      <w:szCs w:val="21"/>
                    </w:rPr>
                    <w:t>6~9(无量纲)</w:t>
                  </w:r>
                </w:p>
              </w:tc>
              <w:tc>
                <w:tcPr>
                  <w:tcW w:w="650" w:type="pct"/>
                  <w:noWrap w:val="0"/>
                  <w:vAlign w:val="center"/>
                </w:tcPr>
                <w:p w14:paraId="61390022">
                  <w:pPr>
                    <w:jc w:val="center"/>
                    <w:rPr>
                      <w:color w:val="auto"/>
                      <w:szCs w:val="21"/>
                    </w:rPr>
                  </w:pPr>
                  <w:r>
                    <w:rPr>
                      <w:color w:val="auto"/>
                      <w:szCs w:val="21"/>
                    </w:rPr>
                    <w:t>≤</w:t>
                  </w:r>
                  <w:r>
                    <w:rPr>
                      <w:rFonts w:hint="eastAsia"/>
                      <w:color w:val="auto"/>
                      <w:szCs w:val="21"/>
                    </w:rPr>
                    <w:t>400</w:t>
                  </w:r>
                </w:p>
              </w:tc>
              <w:tc>
                <w:tcPr>
                  <w:tcW w:w="588" w:type="pct"/>
                  <w:noWrap w:val="0"/>
                  <w:vAlign w:val="center"/>
                </w:tcPr>
                <w:p w14:paraId="7F519D63">
                  <w:pPr>
                    <w:jc w:val="center"/>
                    <w:rPr>
                      <w:color w:val="auto"/>
                      <w:szCs w:val="21"/>
                    </w:rPr>
                  </w:pPr>
                  <w:r>
                    <w:rPr>
                      <w:color w:val="auto"/>
                      <w:szCs w:val="21"/>
                    </w:rPr>
                    <w:t>≤</w:t>
                  </w:r>
                  <w:r>
                    <w:rPr>
                      <w:rFonts w:hint="eastAsia"/>
                      <w:color w:val="auto"/>
                      <w:szCs w:val="21"/>
                    </w:rPr>
                    <w:t>220</w:t>
                  </w:r>
                </w:p>
              </w:tc>
              <w:tc>
                <w:tcPr>
                  <w:tcW w:w="627" w:type="pct"/>
                  <w:noWrap w:val="0"/>
                  <w:vAlign w:val="center"/>
                </w:tcPr>
                <w:p w14:paraId="13A435F9">
                  <w:pPr>
                    <w:jc w:val="center"/>
                    <w:rPr>
                      <w:color w:val="auto"/>
                      <w:szCs w:val="21"/>
                    </w:rPr>
                  </w:pPr>
                  <w:r>
                    <w:rPr>
                      <w:color w:val="auto"/>
                      <w:szCs w:val="21"/>
                    </w:rPr>
                    <w:t>≤</w:t>
                  </w:r>
                  <w:r>
                    <w:rPr>
                      <w:rFonts w:hint="eastAsia"/>
                      <w:color w:val="auto"/>
                      <w:szCs w:val="21"/>
                    </w:rPr>
                    <w:t>280</w:t>
                  </w:r>
                </w:p>
              </w:tc>
              <w:tc>
                <w:tcPr>
                  <w:tcW w:w="580" w:type="pct"/>
                  <w:noWrap w:val="0"/>
                  <w:vAlign w:val="center"/>
                </w:tcPr>
                <w:p w14:paraId="3EE55936">
                  <w:pPr>
                    <w:jc w:val="center"/>
                    <w:rPr>
                      <w:color w:val="auto"/>
                      <w:szCs w:val="21"/>
                    </w:rPr>
                  </w:pPr>
                  <w:r>
                    <w:rPr>
                      <w:color w:val="auto"/>
                      <w:szCs w:val="21"/>
                    </w:rPr>
                    <w:t>≤</w:t>
                  </w:r>
                  <w:r>
                    <w:rPr>
                      <w:rFonts w:hint="eastAsia"/>
                      <w:color w:val="auto"/>
                      <w:szCs w:val="21"/>
                    </w:rPr>
                    <w:t>37</w:t>
                  </w:r>
                </w:p>
              </w:tc>
              <w:tc>
                <w:tcPr>
                  <w:tcW w:w="580" w:type="pct"/>
                  <w:noWrap w:val="0"/>
                  <w:vAlign w:val="center"/>
                </w:tcPr>
                <w:p w14:paraId="293789E6">
                  <w:pPr>
                    <w:jc w:val="center"/>
                    <w:rPr>
                      <w:color w:val="auto"/>
                      <w:szCs w:val="21"/>
                    </w:rPr>
                  </w:pPr>
                  <w:r>
                    <w:rPr>
                      <w:color w:val="auto"/>
                      <w:szCs w:val="21"/>
                    </w:rPr>
                    <w:t>≤</w:t>
                  </w:r>
                  <w:r>
                    <w:rPr>
                      <w:rFonts w:hint="eastAsia"/>
                      <w:color w:val="auto"/>
                      <w:szCs w:val="21"/>
                    </w:rPr>
                    <w:t>54</w:t>
                  </w:r>
                </w:p>
              </w:tc>
              <w:tc>
                <w:tcPr>
                  <w:tcW w:w="518" w:type="pct"/>
                  <w:noWrap w:val="0"/>
                  <w:vAlign w:val="center"/>
                </w:tcPr>
                <w:p w14:paraId="33842ACB">
                  <w:pPr>
                    <w:jc w:val="center"/>
                    <w:rPr>
                      <w:color w:val="auto"/>
                      <w:szCs w:val="21"/>
                    </w:rPr>
                  </w:pPr>
                  <w:r>
                    <w:rPr>
                      <w:color w:val="auto"/>
                      <w:szCs w:val="21"/>
                    </w:rPr>
                    <w:t>≤</w:t>
                  </w:r>
                  <w:r>
                    <w:rPr>
                      <w:rFonts w:hint="eastAsia"/>
                      <w:color w:val="auto"/>
                      <w:szCs w:val="21"/>
                    </w:rPr>
                    <w:t>4</w:t>
                  </w:r>
                </w:p>
              </w:tc>
            </w:tr>
            <w:tr w14:paraId="3FDE7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14:paraId="2B871C0B">
                  <w:pPr>
                    <w:jc w:val="center"/>
                    <w:rPr>
                      <w:color w:val="auto"/>
                      <w:szCs w:val="21"/>
                    </w:rPr>
                  </w:pPr>
                  <w:r>
                    <w:rPr>
                      <w:color w:val="auto"/>
                      <w:szCs w:val="21"/>
                    </w:rPr>
                    <w:t>出水标准</w:t>
                  </w:r>
                </w:p>
              </w:tc>
              <w:tc>
                <w:tcPr>
                  <w:tcW w:w="799" w:type="pct"/>
                  <w:noWrap w:val="0"/>
                  <w:vAlign w:val="center"/>
                </w:tcPr>
                <w:p w14:paraId="66EBDC62">
                  <w:pPr>
                    <w:jc w:val="center"/>
                    <w:rPr>
                      <w:color w:val="auto"/>
                      <w:szCs w:val="21"/>
                    </w:rPr>
                  </w:pPr>
                  <w:r>
                    <w:rPr>
                      <w:rFonts w:hint="eastAsia"/>
                      <w:color w:val="auto"/>
                      <w:szCs w:val="21"/>
                    </w:rPr>
                    <w:t>6~9(无量纲)</w:t>
                  </w:r>
                </w:p>
              </w:tc>
              <w:tc>
                <w:tcPr>
                  <w:tcW w:w="650" w:type="pct"/>
                  <w:noWrap w:val="0"/>
                  <w:vAlign w:val="center"/>
                </w:tcPr>
                <w:p w14:paraId="5230D93A">
                  <w:pPr>
                    <w:jc w:val="center"/>
                    <w:rPr>
                      <w:color w:val="auto"/>
                      <w:szCs w:val="21"/>
                    </w:rPr>
                  </w:pPr>
                  <w:r>
                    <w:rPr>
                      <w:color w:val="auto"/>
                      <w:szCs w:val="21"/>
                    </w:rPr>
                    <w:t>≤50</w:t>
                  </w:r>
                </w:p>
              </w:tc>
              <w:tc>
                <w:tcPr>
                  <w:tcW w:w="588" w:type="pct"/>
                  <w:noWrap w:val="0"/>
                  <w:vAlign w:val="center"/>
                </w:tcPr>
                <w:p w14:paraId="02FBC834">
                  <w:pPr>
                    <w:jc w:val="center"/>
                    <w:rPr>
                      <w:color w:val="auto"/>
                      <w:szCs w:val="21"/>
                    </w:rPr>
                  </w:pPr>
                  <w:r>
                    <w:rPr>
                      <w:color w:val="auto"/>
                      <w:szCs w:val="21"/>
                    </w:rPr>
                    <w:t>≤10</w:t>
                  </w:r>
                </w:p>
              </w:tc>
              <w:tc>
                <w:tcPr>
                  <w:tcW w:w="627" w:type="pct"/>
                  <w:noWrap w:val="0"/>
                  <w:vAlign w:val="center"/>
                </w:tcPr>
                <w:p w14:paraId="775D57F2">
                  <w:pPr>
                    <w:jc w:val="center"/>
                    <w:rPr>
                      <w:color w:val="auto"/>
                      <w:szCs w:val="21"/>
                    </w:rPr>
                  </w:pPr>
                  <w:r>
                    <w:rPr>
                      <w:color w:val="auto"/>
                      <w:szCs w:val="21"/>
                    </w:rPr>
                    <w:t>≤10</w:t>
                  </w:r>
                </w:p>
              </w:tc>
              <w:tc>
                <w:tcPr>
                  <w:tcW w:w="580" w:type="pct"/>
                  <w:noWrap w:val="0"/>
                  <w:vAlign w:val="center"/>
                </w:tcPr>
                <w:p w14:paraId="373D6D0F">
                  <w:pPr>
                    <w:jc w:val="center"/>
                    <w:rPr>
                      <w:color w:val="auto"/>
                      <w:szCs w:val="21"/>
                    </w:rPr>
                  </w:pPr>
                  <w:r>
                    <w:rPr>
                      <w:color w:val="auto"/>
                      <w:szCs w:val="21"/>
                    </w:rPr>
                    <w:t>≤5</w:t>
                  </w:r>
                </w:p>
              </w:tc>
              <w:tc>
                <w:tcPr>
                  <w:tcW w:w="580" w:type="pct"/>
                  <w:noWrap w:val="0"/>
                  <w:vAlign w:val="center"/>
                </w:tcPr>
                <w:p w14:paraId="76D4E5D5">
                  <w:pPr>
                    <w:jc w:val="center"/>
                    <w:rPr>
                      <w:color w:val="auto"/>
                      <w:szCs w:val="21"/>
                    </w:rPr>
                  </w:pPr>
                  <w:r>
                    <w:rPr>
                      <w:color w:val="auto"/>
                      <w:szCs w:val="21"/>
                    </w:rPr>
                    <w:t>≤15</w:t>
                  </w:r>
                </w:p>
              </w:tc>
              <w:tc>
                <w:tcPr>
                  <w:tcW w:w="518" w:type="pct"/>
                  <w:noWrap w:val="0"/>
                  <w:vAlign w:val="center"/>
                </w:tcPr>
                <w:p w14:paraId="41E17449">
                  <w:pPr>
                    <w:jc w:val="center"/>
                    <w:rPr>
                      <w:color w:val="auto"/>
                      <w:szCs w:val="21"/>
                    </w:rPr>
                  </w:pPr>
                  <w:r>
                    <w:rPr>
                      <w:color w:val="auto"/>
                      <w:szCs w:val="21"/>
                    </w:rPr>
                    <w:t>≤</w:t>
                  </w:r>
                  <w:r>
                    <w:rPr>
                      <w:rFonts w:hint="eastAsia"/>
                      <w:color w:val="auto"/>
                      <w:szCs w:val="21"/>
                    </w:rPr>
                    <w:t>0.5</w:t>
                  </w:r>
                </w:p>
              </w:tc>
            </w:tr>
          </w:tbl>
          <w:p w14:paraId="57221D8E">
            <w:pPr>
              <w:spacing w:before="120" w:beforeLines="50" w:line="360" w:lineRule="auto"/>
              <w:ind w:firstLine="480" w:firstLineChars="200"/>
              <w:jc w:val="both"/>
              <w:rPr>
                <w:color w:val="auto"/>
                <w:sz w:val="24"/>
                <w:szCs w:val="22"/>
              </w:rPr>
            </w:pPr>
            <w:r>
              <w:rPr>
                <w:color w:val="auto"/>
                <w:sz w:val="24"/>
                <w:szCs w:val="22"/>
              </w:rPr>
              <w:t>②处理工艺</w:t>
            </w:r>
          </w:p>
          <w:p w14:paraId="38FA44FB">
            <w:pPr>
              <w:spacing w:line="360" w:lineRule="auto"/>
              <w:ind w:firstLine="480" w:firstLineChars="200"/>
              <w:jc w:val="both"/>
              <w:rPr>
                <w:color w:val="auto"/>
                <w:sz w:val="24"/>
                <w:szCs w:val="22"/>
              </w:rPr>
            </w:pPr>
            <w:r>
              <w:rPr>
                <w:color w:val="auto"/>
                <w:sz w:val="24"/>
              </w:rPr>
              <w:t>污水处理工艺流程详见</w:t>
            </w:r>
            <w:r>
              <w:rPr>
                <w:rFonts w:hint="eastAsia"/>
                <w:color w:val="auto"/>
                <w:sz w:val="24"/>
                <w:lang w:eastAsia="zh-CN"/>
              </w:rPr>
              <w:t>附图</w:t>
            </w:r>
            <w:r>
              <w:rPr>
                <w:rFonts w:hint="eastAsia"/>
                <w:color w:val="auto"/>
                <w:sz w:val="24"/>
                <w:lang w:val="en-US" w:eastAsia="zh-CN"/>
              </w:rPr>
              <w:t>4-3</w:t>
            </w:r>
            <w:r>
              <w:rPr>
                <w:color w:val="auto"/>
                <w:sz w:val="24"/>
                <w:szCs w:val="22"/>
              </w:rPr>
              <w:t>。</w:t>
            </w:r>
          </w:p>
          <w:p w14:paraId="0897526D">
            <w:pPr>
              <w:spacing w:line="360" w:lineRule="auto"/>
              <w:ind w:firstLine="480" w:firstLineChars="200"/>
              <w:jc w:val="both"/>
              <w:rPr>
                <w:color w:val="auto"/>
                <w:sz w:val="24"/>
                <w:szCs w:val="22"/>
              </w:rPr>
            </w:pPr>
          </w:p>
          <w:p w14:paraId="5F35FC33">
            <w:pPr>
              <w:pStyle w:val="110"/>
              <w:rPr>
                <w:rFonts w:cs="Times New Roman"/>
                <w:color w:val="auto"/>
                <w:lang w:bidi="he-IL"/>
              </w:rPr>
            </w:pPr>
          </w:p>
          <w:p w14:paraId="798B4E36">
            <w:pPr>
              <w:pStyle w:val="110"/>
              <w:rPr>
                <w:rFonts w:cs="Times New Roman"/>
                <w:color w:val="auto"/>
                <w:lang w:bidi="he-IL"/>
              </w:rPr>
            </w:pPr>
          </w:p>
          <w:p w14:paraId="7FEA3123">
            <w:pPr>
              <w:pStyle w:val="110"/>
              <w:ind w:left="0" w:leftChars="0" w:firstLine="0" w:firstLineChars="0"/>
              <w:jc w:val="center"/>
              <w:rPr>
                <w:rFonts w:cs="Times New Roman"/>
                <w:color w:val="auto"/>
                <w:lang w:bidi="he-IL"/>
              </w:rPr>
            </w:pPr>
            <w:r>
              <w:rPr>
                <w:color w:val="auto"/>
              </w:rPr>
              <w:drawing>
                <wp:inline distT="0" distB="0" distL="114300" distR="114300">
                  <wp:extent cx="5470525" cy="2901315"/>
                  <wp:effectExtent l="0" t="0" r="15875" b="13335"/>
                  <wp:docPr id="31"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5"/>
                          <pic:cNvPicPr>
                            <a:picLocks noChangeAspect="1"/>
                          </pic:cNvPicPr>
                        </pic:nvPicPr>
                        <pic:blipFill>
                          <a:blip r:embed="rId41"/>
                          <a:stretch>
                            <a:fillRect/>
                          </a:stretch>
                        </pic:blipFill>
                        <pic:spPr>
                          <a:xfrm>
                            <a:off x="0" y="0"/>
                            <a:ext cx="5470525" cy="2901315"/>
                          </a:xfrm>
                          <a:prstGeom prst="rect">
                            <a:avLst/>
                          </a:prstGeom>
                          <a:noFill/>
                          <a:ln>
                            <a:noFill/>
                          </a:ln>
                        </pic:spPr>
                      </pic:pic>
                    </a:graphicData>
                  </a:graphic>
                </wp:inline>
              </w:drawing>
            </w:r>
          </w:p>
          <w:p w14:paraId="7CC18B1C">
            <w:pPr>
              <w:pStyle w:val="110"/>
              <w:ind w:left="0" w:leftChars="0" w:firstLine="0" w:firstLineChars="0"/>
              <w:jc w:val="center"/>
              <w:rPr>
                <w:rFonts w:hint="default" w:ascii="Times New Roman" w:hAnsi="Times New Roman" w:eastAsia="黑体" w:cs="Times New Roman"/>
                <w:color w:val="auto"/>
                <w:lang w:bidi="he-IL"/>
              </w:rPr>
            </w:pPr>
            <w:r>
              <w:rPr>
                <w:rFonts w:hint="default" w:ascii="Times New Roman" w:hAnsi="Times New Roman" w:eastAsia="黑体" w:cs="Times New Roman"/>
                <w:b w:val="0"/>
                <w:bCs w:val="0"/>
                <w:color w:val="auto"/>
                <w:sz w:val="24"/>
                <w:szCs w:val="24"/>
                <w:lang w:val="en-US" w:eastAsia="zh-CN"/>
              </w:rPr>
              <w:t>图4-</w:t>
            </w:r>
            <w:r>
              <w:rPr>
                <w:rFonts w:hint="eastAsia" w:eastAsia="黑体" w:cs="Times New Roman"/>
                <w:b w:val="0"/>
                <w:bCs w:val="0"/>
                <w:color w:val="auto"/>
                <w:sz w:val="24"/>
                <w:szCs w:val="24"/>
                <w:lang w:val="en-US" w:eastAsia="zh-CN"/>
              </w:rPr>
              <w:t>3</w:t>
            </w:r>
            <w:r>
              <w:rPr>
                <w:rFonts w:hint="default" w:ascii="Times New Roman" w:hAnsi="Times New Roman" w:eastAsia="黑体" w:cs="Times New Roman"/>
                <w:b w:val="0"/>
                <w:bCs w:val="0"/>
                <w:color w:val="auto"/>
                <w:sz w:val="24"/>
                <w:szCs w:val="24"/>
                <w:lang w:val="en-US" w:eastAsia="zh-CN"/>
              </w:rPr>
              <w:t xml:space="preserve">   福清融元污水处理厂污水处理流程图</w:t>
            </w:r>
          </w:p>
          <w:p w14:paraId="4D9F75AE">
            <w:pPr>
              <w:pStyle w:val="110"/>
              <w:rPr>
                <w:rFonts w:cs="Times New Roman"/>
                <w:color w:val="auto"/>
                <w:lang w:bidi="he-IL"/>
              </w:rPr>
            </w:pPr>
            <w:r>
              <w:rPr>
                <w:rFonts w:cs="Times New Roman"/>
                <w:color w:val="auto"/>
                <w:lang w:bidi="he-IL"/>
              </w:rPr>
              <w:t>(</w:t>
            </w:r>
            <w:r>
              <w:rPr>
                <w:rFonts w:hint="eastAsia" w:cs="Times New Roman"/>
                <w:color w:val="auto"/>
                <w:lang w:bidi="he-IL"/>
              </w:rPr>
              <w:t>2</w:t>
            </w:r>
            <w:r>
              <w:rPr>
                <w:rFonts w:cs="Times New Roman"/>
                <w:color w:val="auto"/>
                <w:lang w:bidi="he-IL"/>
              </w:rPr>
              <w:t>)</w:t>
            </w:r>
            <w:r>
              <w:rPr>
                <w:rFonts w:hint="eastAsia" w:cs="Times New Roman"/>
                <w:color w:val="auto"/>
                <w:lang w:bidi="he-IL"/>
              </w:rPr>
              <w:t>依托可行性分析</w:t>
            </w:r>
          </w:p>
          <w:p w14:paraId="41DE4AB0">
            <w:pPr>
              <w:pStyle w:val="110"/>
              <w:rPr>
                <w:rFonts w:cs="Times New Roman"/>
                <w:color w:val="auto"/>
                <w:lang w:bidi="he-IL"/>
              </w:rPr>
            </w:pPr>
            <w:r>
              <w:rPr>
                <w:rFonts w:cs="Times New Roman"/>
                <w:color w:val="auto"/>
                <w:lang w:bidi="he-IL"/>
              </w:rPr>
              <w:t>①接管可行性</w:t>
            </w:r>
          </w:p>
          <w:p w14:paraId="7CBB5467">
            <w:pPr>
              <w:pStyle w:val="108"/>
              <w:rPr>
                <w:rFonts w:hint="default" w:ascii="Times New Roman" w:hAnsi="Times New Roman"/>
                <w:color w:val="auto"/>
              </w:rPr>
            </w:pPr>
            <w:r>
              <w:rPr>
                <w:rFonts w:ascii="Times New Roman" w:hAnsi="Times New Roman"/>
                <w:color w:val="auto"/>
              </w:rPr>
              <w:t>福清市融元污水处理厂</w:t>
            </w:r>
            <w:r>
              <w:rPr>
                <w:rFonts w:hint="default" w:ascii="Times New Roman" w:hAnsi="Times New Roman"/>
                <w:color w:val="auto"/>
                <w:lang w:bidi="he-IL"/>
              </w:rPr>
              <w:t>主要负责</w:t>
            </w:r>
            <w:r>
              <w:rPr>
                <w:rFonts w:ascii="Times New Roman" w:hAnsi="Times New Roman"/>
                <w:color w:val="auto"/>
                <w:lang w:bidi="he-IL"/>
              </w:rPr>
              <w:t>城关区和洪宽区(</w:t>
            </w:r>
            <w:r>
              <w:rPr>
                <w:color w:val="auto"/>
              </w:rPr>
              <w:t>增加京东方和东旭光电项目</w:t>
            </w:r>
            <w:r>
              <w:rPr>
                <w:rFonts w:ascii="Times New Roman" w:hAnsi="Times New Roman"/>
                <w:color w:val="auto"/>
                <w:lang w:bidi="he-IL"/>
              </w:rPr>
              <w:t>)的</w:t>
            </w:r>
            <w:r>
              <w:rPr>
                <w:color w:val="auto"/>
              </w:rPr>
              <w:t>生活污水和工业污水。</w:t>
            </w:r>
            <w:r>
              <w:rPr>
                <w:rFonts w:hint="default" w:ascii="Times New Roman" w:hAnsi="Times New Roman"/>
                <w:color w:val="auto"/>
              </w:rPr>
              <w:t>本项目位于</w:t>
            </w:r>
            <w:r>
              <w:rPr>
                <w:rFonts w:hint="eastAsia" w:ascii="Times New Roman" w:hAnsi="Times New Roman" w:cs="Times New Roman"/>
                <w:color w:val="auto"/>
                <w:sz w:val="24"/>
                <w:highlight w:val="none"/>
                <w:lang w:eastAsia="zh-CN"/>
              </w:rPr>
              <w:t>福清融侨经济技术开发区（租赁福建三锋汽配开发有限公司</w:t>
            </w:r>
            <w:r>
              <w:rPr>
                <w:rFonts w:hint="eastAsia" w:ascii="Times New Roman" w:hAnsi="Times New Roman" w:cs="Times New Roman"/>
                <w:color w:val="auto"/>
                <w:sz w:val="24"/>
                <w:highlight w:val="none"/>
                <w:lang w:val="en-US" w:eastAsia="zh-CN"/>
              </w:rPr>
              <w:t>现有厂房</w:t>
            </w:r>
            <w:r>
              <w:rPr>
                <w:rFonts w:hint="eastAsia" w:ascii="Times New Roman" w:hAnsi="Times New Roman" w:cs="Times New Roman"/>
                <w:color w:val="auto"/>
                <w:sz w:val="24"/>
                <w:highlight w:val="none"/>
                <w:lang w:eastAsia="zh-CN"/>
              </w:rPr>
              <w:t>）</w:t>
            </w:r>
            <w:r>
              <w:rPr>
                <w:rFonts w:hint="default" w:ascii="Times New Roman" w:hAnsi="Times New Roman"/>
                <w:color w:val="auto"/>
              </w:rPr>
              <w:t>，属</w:t>
            </w:r>
            <w:r>
              <w:rPr>
                <w:rFonts w:hint="default" w:ascii="Times New Roman" w:hAnsi="Times New Roman"/>
                <w:color w:val="auto"/>
                <w:highlight w:val="none"/>
              </w:rPr>
              <w:t>于</w:t>
            </w:r>
            <w:r>
              <w:rPr>
                <w:rFonts w:ascii="Times New Roman" w:hAnsi="Times New Roman"/>
                <w:color w:val="auto"/>
                <w:highlight w:val="none"/>
              </w:rPr>
              <w:t>福清市融元污水处理厂</w:t>
            </w:r>
            <w:r>
              <w:rPr>
                <w:rFonts w:hint="default" w:ascii="Times New Roman" w:hAnsi="Times New Roman"/>
                <w:color w:val="auto"/>
                <w:highlight w:val="none"/>
              </w:rPr>
              <w:t>服务范围内，</w:t>
            </w:r>
            <w:r>
              <w:rPr>
                <w:rFonts w:hint="default" w:ascii="Times New Roman" w:hAnsi="Times New Roman"/>
                <w:color w:val="auto"/>
                <w:highlight w:val="none"/>
                <w:lang w:bidi="he-IL"/>
              </w:rPr>
              <w:t>根据现场勘查，</w:t>
            </w:r>
            <w:r>
              <w:rPr>
                <w:rFonts w:hint="eastAsia"/>
                <w:bCs/>
                <w:color w:val="auto"/>
                <w:szCs w:val="21"/>
                <w:highlight w:val="none"/>
                <w:lang w:eastAsia="zh-CN"/>
              </w:rPr>
              <w:t>目前污水管网已经接到项目所在区域，污水汇集后通过厂区外敷设的市政污水管网进入污水处理厂处理。</w:t>
            </w:r>
          </w:p>
          <w:p w14:paraId="7F050A51">
            <w:pPr>
              <w:pStyle w:val="108"/>
              <w:rPr>
                <w:rFonts w:hint="default" w:ascii="Times New Roman" w:hAnsi="Times New Roman"/>
                <w:color w:val="auto"/>
              </w:rPr>
            </w:pPr>
            <w:r>
              <w:rPr>
                <w:rFonts w:hint="default" w:ascii="Times New Roman" w:hAnsi="Times New Roman"/>
                <w:color w:val="auto"/>
              </w:rPr>
              <w:t>②</w:t>
            </w:r>
            <w:r>
              <w:rPr>
                <w:rFonts w:ascii="Times New Roman" w:hAnsi="Times New Roman"/>
                <w:color w:val="auto"/>
              </w:rPr>
              <w:t>水质负荷</w:t>
            </w:r>
          </w:p>
          <w:p w14:paraId="3D6B2FB7">
            <w:pPr>
              <w:pStyle w:val="108"/>
              <w:spacing w:before="0" w:beforeLines="0"/>
              <w:rPr>
                <w:rFonts w:hint="default" w:ascii="Times New Roman" w:hAnsi="Times New Roman"/>
                <w:color w:val="auto"/>
              </w:rPr>
            </w:pPr>
            <w:r>
              <w:rPr>
                <w:rFonts w:hint="eastAsia" w:ascii="Times New Roman" w:hAnsi="Times New Roman" w:cs="Times New Roman"/>
                <w:color w:val="auto"/>
                <w:sz w:val="24"/>
                <w:highlight w:val="none"/>
              </w:rPr>
              <w:t>项目外排废水主要为生活污水，水污染物成分简单，经处理后排放水质指标可达到</w:t>
            </w:r>
            <w:r>
              <w:rPr>
                <w:rFonts w:ascii="Times New Roman" w:hAnsi="Times New Roman" w:cs="Times New Roman"/>
                <w:bCs/>
                <w:color w:val="auto"/>
                <w:sz w:val="24"/>
                <w:highlight w:val="none"/>
              </w:rPr>
              <w:t>《污水综合排放标准（GB8978-1996）表4三级排放标准</w:t>
            </w:r>
            <w:r>
              <w:rPr>
                <w:rFonts w:hint="eastAsia" w:cs="Times New Roman"/>
                <w:bCs/>
                <w:color w:val="auto"/>
                <w:sz w:val="24"/>
                <w:highlight w:val="none"/>
                <w:lang w:eastAsia="zh-CN"/>
              </w:rPr>
              <w:t>（</w:t>
            </w:r>
            <w:r>
              <w:rPr>
                <w:rFonts w:hint="eastAsia" w:ascii="Times New Roman" w:hAnsi="Times New Roman" w:cs="Times New Roman"/>
                <w:bCs/>
                <w:color w:val="auto"/>
                <w:sz w:val="24"/>
                <w:highlight w:val="none"/>
              </w:rPr>
              <w:t>其中氨氮参照执行《污水排入城镇下水道水质标准》</w:t>
            </w:r>
            <w:r>
              <w:rPr>
                <w:rFonts w:hint="eastAsia" w:cs="Times New Roman"/>
                <w:bCs/>
                <w:color w:val="auto"/>
                <w:sz w:val="24"/>
                <w:highlight w:val="none"/>
                <w:lang w:eastAsia="zh-CN"/>
              </w:rPr>
              <w:t>（</w:t>
            </w:r>
            <w:r>
              <w:rPr>
                <w:rFonts w:hint="eastAsia" w:ascii="Times New Roman" w:hAnsi="Times New Roman" w:cs="Times New Roman"/>
                <w:bCs/>
                <w:color w:val="auto"/>
                <w:sz w:val="24"/>
                <w:highlight w:val="none"/>
              </w:rPr>
              <w:t>GB/T 31962-2015</w:t>
            </w:r>
            <w:r>
              <w:rPr>
                <w:rFonts w:hint="eastAsia" w:cs="Times New Roman"/>
                <w:bCs/>
                <w:color w:val="auto"/>
                <w:sz w:val="24"/>
                <w:highlight w:val="none"/>
                <w:lang w:eastAsia="zh-CN"/>
              </w:rPr>
              <w:t>）</w:t>
            </w:r>
            <w:r>
              <w:rPr>
                <w:rFonts w:hint="eastAsia" w:ascii="Times New Roman" w:hAnsi="Times New Roman" w:cs="Times New Roman"/>
                <w:bCs/>
                <w:color w:val="auto"/>
                <w:sz w:val="24"/>
                <w:highlight w:val="none"/>
              </w:rPr>
              <w:t>表1中B级标准限值</w:t>
            </w:r>
            <w:r>
              <w:rPr>
                <w:rFonts w:hint="eastAsia" w:cs="Times New Roman"/>
                <w:bCs/>
                <w:color w:val="auto"/>
                <w:sz w:val="24"/>
                <w:highlight w:val="none"/>
                <w:lang w:eastAsia="zh-CN"/>
              </w:rPr>
              <w:t>）</w:t>
            </w:r>
            <w:r>
              <w:rPr>
                <w:rFonts w:hint="default" w:ascii="Times New Roman" w:hAnsi="Times New Roman"/>
                <w:color w:val="auto"/>
              </w:rPr>
              <w:t>，因此，从水质方面分析，</w:t>
            </w:r>
            <w:r>
              <w:rPr>
                <w:rFonts w:ascii="Times New Roman" w:hAnsi="Times New Roman"/>
                <w:color w:val="auto"/>
              </w:rPr>
              <w:t>福清市融元污水处理厂</w:t>
            </w:r>
            <w:r>
              <w:rPr>
                <w:rFonts w:hint="default" w:ascii="Times New Roman" w:hAnsi="Times New Roman"/>
                <w:color w:val="auto"/>
              </w:rPr>
              <w:t>可接纳项目</w:t>
            </w:r>
            <w:r>
              <w:rPr>
                <w:rFonts w:ascii="Times New Roman" w:hAnsi="Times New Roman"/>
                <w:color w:val="auto"/>
              </w:rPr>
              <w:t>综合废水</w:t>
            </w:r>
            <w:r>
              <w:rPr>
                <w:rFonts w:hint="default" w:ascii="Times New Roman" w:hAnsi="Times New Roman"/>
                <w:color w:val="auto"/>
              </w:rPr>
              <w:t>，不会对污水厂水质负荷造成冲击。</w:t>
            </w:r>
          </w:p>
          <w:p w14:paraId="64080419">
            <w:pPr>
              <w:pStyle w:val="108"/>
              <w:rPr>
                <w:rFonts w:ascii="Times New Roman" w:hAnsi="Times New Roman"/>
                <w:color w:val="auto"/>
                <w:lang w:bidi="he-IL"/>
              </w:rPr>
            </w:pPr>
            <w:r>
              <w:rPr>
                <w:rFonts w:hint="default" w:ascii="Times New Roman" w:hAnsi="Times New Roman"/>
                <w:color w:val="auto"/>
                <w:lang w:bidi="he-IL"/>
              </w:rPr>
              <w:t>③</w:t>
            </w:r>
            <w:r>
              <w:rPr>
                <w:rFonts w:ascii="Times New Roman" w:hAnsi="Times New Roman"/>
                <w:color w:val="auto"/>
                <w:lang w:bidi="he-IL"/>
              </w:rPr>
              <w:t>水量负荷</w:t>
            </w:r>
          </w:p>
          <w:p w14:paraId="43DB8AF3">
            <w:pPr>
              <w:pStyle w:val="108"/>
              <w:rPr>
                <w:rFonts w:hint="default" w:ascii="Times New Roman" w:hAnsi="Times New Roman"/>
                <w:color w:val="auto"/>
              </w:rPr>
            </w:pPr>
            <w:r>
              <w:rPr>
                <w:rFonts w:ascii="Times New Roman" w:hAnsi="Times New Roman"/>
                <w:color w:val="auto"/>
              </w:rPr>
              <w:t>福清市融元污水处理厂现状</w:t>
            </w:r>
            <w:r>
              <w:rPr>
                <w:rFonts w:hint="default" w:ascii="Times New Roman" w:hAnsi="Times New Roman"/>
                <w:color w:val="auto"/>
              </w:rPr>
              <w:t>设计总处理规模为</w:t>
            </w:r>
            <w:r>
              <w:rPr>
                <w:rFonts w:ascii="Times New Roman" w:hAnsi="Times New Roman"/>
                <w:color w:val="auto"/>
              </w:rPr>
              <w:t>12</w:t>
            </w:r>
            <w:r>
              <w:rPr>
                <w:rFonts w:hint="default" w:ascii="Times New Roman" w:hAnsi="Times New Roman"/>
                <w:color w:val="auto"/>
              </w:rPr>
              <w:t>万t/d，</w:t>
            </w:r>
            <w:r>
              <w:rPr>
                <w:rFonts w:hint="default" w:ascii="Times New Roman" w:hAnsi="Times New Roman"/>
                <w:color w:val="auto"/>
                <w:lang w:bidi="he-IL"/>
              </w:rPr>
              <w:t>根据调查，目前</w:t>
            </w:r>
            <w:r>
              <w:rPr>
                <w:rFonts w:hint="default" w:ascii="Times New Roman" w:hAnsi="Times New Roman"/>
                <w:color w:val="auto"/>
              </w:rPr>
              <w:t>福清市融元污水处理厂</w:t>
            </w:r>
            <w:r>
              <w:rPr>
                <w:rFonts w:hint="default" w:ascii="Times New Roman" w:hAnsi="Times New Roman"/>
                <w:color w:val="auto"/>
                <w:szCs w:val="24"/>
              </w:rPr>
              <w:t>日平均处理规模约为11.85万m</w:t>
            </w:r>
            <w:r>
              <w:rPr>
                <w:rFonts w:hint="default" w:ascii="Times New Roman" w:hAnsi="Times New Roman"/>
                <w:color w:val="auto"/>
                <w:szCs w:val="24"/>
                <w:vertAlign w:val="superscript"/>
              </w:rPr>
              <w:t>3</w:t>
            </w:r>
            <w:r>
              <w:rPr>
                <w:rFonts w:hint="default" w:ascii="Times New Roman" w:hAnsi="Times New Roman"/>
                <w:color w:val="auto"/>
                <w:szCs w:val="24"/>
              </w:rPr>
              <w:t>/d</w:t>
            </w:r>
            <w:r>
              <w:rPr>
                <w:rFonts w:hint="default" w:ascii="Times New Roman" w:hAnsi="Times New Roman"/>
                <w:color w:val="auto"/>
              </w:rPr>
              <w:t>。</w:t>
            </w:r>
            <w:r>
              <w:rPr>
                <w:rFonts w:ascii="Times New Roman" w:hAnsi="Times New Roman"/>
                <w:color w:val="auto"/>
              </w:rPr>
              <w:t>本</w:t>
            </w:r>
            <w:r>
              <w:rPr>
                <w:rFonts w:hint="default" w:ascii="Times New Roman" w:hAnsi="Times New Roman"/>
                <w:color w:val="auto"/>
              </w:rPr>
              <w:t>项目</w:t>
            </w:r>
            <w:r>
              <w:rPr>
                <w:rFonts w:hint="eastAsia" w:ascii="Times New Roman" w:hAnsi="Times New Roman"/>
                <w:color w:val="auto"/>
                <w:lang w:val="en-US" w:eastAsia="zh-CN"/>
              </w:rPr>
              <w:t>新增</w:t>
            </w:r>
            <w:r>
              <w:rPr>
                <w:rFonts w:hint="default" w:ascii="Times New Roman" w:hAnsi="Times New Roman"/>
                <w:color w:val="auto"/>
              </w:rPr>
              <w:t>生活污水排放量</w:t>
            </w:r>
            <w:r>
              <w:rPr>
                <w:rFonts w:hint="eastAsia" w:ascii="Times New Roman" w:hAnsi="Times New Roman"/>
                <w:color w:val="auto"/>
                <w:lang w:val="en-US" w:eastAsia="zh-CN"/>
              </w:rPr>
              <w:t>3.15</w:t>
            </w:r>
            <w:r>
              <w:rPr>
                <w:rFonts w:hint="default" w:ascii="Times New Roman" w:hAnsi="Times New Roman"/>
                <w:color w:val="auto"/>
              </w:rPr>
              <w:t>t/d，仅占</w:t>
            </w:r>
            <w:r>
              <w:rPr>
                <w:rFonts w:ascii="Times New Roman" w:hAnsi="Times New Roman"/>
                <w:color w:val="auto"/>
              </w:rPr>
              <w:t>福清市融元污水处理厂剩余</w:t>
            </w:r>
            <w:r>
              <w:rPr>
                <w:rFonts w:hint="default" w:ascii="Times New Roman" w:hAnsi="Times New Roman"/>
                <w:color w:val="auto"/>
              </w:rPr>
              <w:t>处理</w:t>
            </w:r>
            <w:r>
              <w:rPr>
                <w:rFonts w:ascii="Times New Roman" w:hAnsi="Times New Roman"/>
                <w:color w:val="auto"/>
              </w:rPr>
              <w:t>规模</w:t>
            </w:r>
            <w:r>
              <w:rPr>
                <w:rFonts w:hint="default" w:ascii="Times New Roman" w:hAnsi="Times New Roman"/>
                <w:color w:val="auto"/>
              </w:rPr>
              <w:t>的</w:t>
            </w:r>
            <w:r>
              <w:rPr>
                <w:rFonts w:hint="eastAsia" w:ascii="Times New Roman" w:hAnsi="Times New Roman"/>
                <w:color w:val="auto"/>
                <w:lang w:val="en-US" w:eastAsia="zh-CN"/>
              </w:rPr>
              <w:t>0.21</w:t>
            </w:r>
            <w:r>
              <w:rPr>
                <w:rFonts w:hint="default" w:ascii="Times New Roman" w:hAnsi="Times New Roman"/>
                <w:color w:val="auto"/>
              </w:rPr>
              <w:t>%，</w:t>
            </w:r>
            <w:r>
              <w:rPr>
                <w:rFonts w:ascii="Times New Roman" w:hAnsi="Times New Roman"/>
                <w:color w:val="auto"/>
              </w:rPr>
              <w:t>污水处理厂采用“</w:t>
            </w:r>
            <w:r>
              <w:rPr>
                <w:color w:val="auto"/>
              </w:rPr>
              <w:t>二级生化处理+深化处理</w:t>
            </w:r>
            <w:r>
              <w:rPr>
                <w:rFonts w:ascii="Times New Roman" w:hAnsi="Times New Roman"/>
                <w:color w:val="auto"/>
              </w:rPr>
              <w:t>”，属于城镇污水处理厂通用工艺，因此，从处理能力及处理工艺分析</w:t>
            </w:r>
            <w:r>
              <w:rPr>
                <w:rFonts w:hint="default" w:ascii="Times New Roman" w:hAnsi="Times New Roman"/>
                <w:color w:val="auto"/>
              </w:rPr>
              <w:t>，</w:t>
            </w:r>
            <w:r>
              <w:rPr>
                <w:rFonts w:ascii="Times New Roman" w:hAnsi="Times New Roman"/>
                <w:color w:val="auto"/>
              </w:rPr>
              <w:t>福清市融元污水处理厂</w:t>
            </w:r>
            <w:r>
              <w:rPr>
                <w:rFonts w:hint="default" w:ascii="Times New Roman" w:hAnsi="Times New Roman"/>
                <w:color w:val="auto"/>
              </w:rPr>
              <w:t>可接纳项目废水排放量，不会对污水厂水量负荷造成冲击。</w:t>
            </w:r>
          </w:p>
          <w:p w14:paraId="15D2FEA8">
            <w:pPr>
              <w:pStyle w:val="25"/>
              <w:ind w:left="0" w:leftChars="0" w:firstLine="0" w:firstLineChars="0"/>
              <w:outlineLvl w:val="2"/>
              <w:rPr>
                <w:rFonts w:cs="Times New Roman"/>
                <w:b/>
                <w:bCs/>
                <w:color w:val="auto"/>
                <w:highlight w:val="none"/>
                <w:lang w:val="en-US" w:eastAsia="zh-CN" w:bidi="he-IL"/>
              </w:rPr>
            </w:pPr>
            <w:r>
              <w:rPr>
                <w:rFonts w:cs="Times New Roman"/>
                <w:b/>
                <w:bCs/>
                <w:color w:val="auto"/>
                <w:highlight w:val="none"/>
                <w:lang w:val="en-US" w:eastAsia="zh-CN" w:bidi="he-IL"/>
              </w:rPr>
              <w:t>4.</w:t>
            </w:r>
            <w:r>
              <w:rPr>
                <w:rFonts w:hint="eastAsia" w:cs="Times New Roman"/>
                <w:b/>
                <w:bCs/>
                <w:color w:val="auto"/>
                <w:highlight w:val="none"/>
                <w:lang w:val="en-US" w:eastAsia="zh-CN" w:bidi="he-IL"/>
              </w:rPr>
              <w:t>3</w:t>
            </w:r>
            <w:r>
              <w:rPr>
                <w:rFonts w:cs="Times New Roman"/>
                <w:b/>
                <w:bCs/>
                <w:color w:val="auto"/>
                <w:highlight w:val="none"/>
                <w:lang w:val="en-US" w:eastAsia="zh-CN" w:bidi="he-IL"/>
              </w:rPr>
              <w:t>.</w:t>
            </w:r>
            <w:r>
              <w:rPr>
                <w:rFonts w:hint="eastAsia" w:cs="Times New Roman"/>
                <w:b/>
                <w:bCs/>
                <w:color w:val="auto"/>
                <w:highlight w:val="none"/>
                <w:lang w:val="en-US" w:eastAsia="zh-CN" w:bidi="he-IL"/>
              </w:rPr>
              <w:t>3</w:t>
            </w:r>
            <w:r>
              <w:rPr>
                <w:rFonts w:cs="Times New Roman"/>
                <w:b/>
                <w:bCs/>
                <w:color w:val="auto"/>
                <w:highlight w:val="none"/>
                <w:lang w:val="en-US" w:eastAsia="zh-CN" w:bidi="he-IL"/>
              </w:rPr>
              <w:t>小结</w:t>
            </w:r>
          </w:p>
          <w:p w14:paraId="03862C2E">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根据上述分析，项目外排污水经分别预处理达标后可排入市政污水管网，纳入</w:t>
            </w:r>
            <w:r>
              <w:rPr>
                <w:rFonts w:hint="eastAsia" w:cs="Times New Roman"/>
                <w:color w:val="auto"/>
                <w:sz w:val="24"/>
                <w:highlight w:val="none"/>
                <w:lang w:val="en-US" w:eastAsia="zh-CN"/>
              </w:rPr>
              <w:t>福清市融元污水处理厂</w:t>
            </w:r>
            <w:r>
              <w:rPr>
                <w:rFonts w:hint="eastAsia" w:ascii="Times New Roman" w:hAnsi="Times New Roman" w:eastAsia="宋体" w:cs="Times New Roman"/>
                <w:color w:val="auto"/>
                <w:sz w:val="24"/>
                <w:highlight w:val="none"/>
                <w:lang w:val="en-US" w:eastAsia="zh-CN"/>
              </w:rPr>
              <w:t>集中处理，项目废水水质、水量不会对污水处理站造成负荷冲击，项目污水不直接排入地表水体，因此几乎不会对区域地表水环境产生直接不利影响。</w:t>
            </w:r>
          </w:p>
          <w:p w14:paraId="7413DA51">
            <w:pPr>
              <w:adjustRightInd w:val="0"/>
              <w:snapToGrid w:val="0"/>
              <w:spacing w:before="240" w:beforeLines="100" w:after="120" w:afterLines="50" w:line="360" w:lineRule="auto"/>
              <w:rPr>
                <w:b/>
                <w:color w:val="auto"/>
                <w:sz w:val="28"/>
                <w:szCs w:val="28"/>
                <w:highlight w:val="none"/>
              </w:rPr>
            </w:pPr>
            <w:r>
              <w:rPr>
                <w:b/>
                <w:color w:val="auto"/>
                <w:sz w:val="28"/>
                <w:szCs w:val="28"/>
                <w:highlight w:val="none"/>
              </w:rPr>
              <w:t>4.</w:t>
            </w:r>
            <w:r>
              <w:rPr>
                <w:rFonts w:hint="eastAsia"/>
                <w:b/>
                <w:color w:val="auto"/>
                <w:sz w:val="28"/>
                <w:szCs w:val="28"/>
                <w:highlight w:val="none"/>
              </w:rPr>
              <w:t>4</w:t>
            </w:r>
            <w:r>
              <w:rPr>
                <w:b/>
                <w:color w:val="auto"/>
                <w:sz w:val="28"/>
                <w:szCs w:val="28"/>
                <w:highlight w:val="none"/>
              </w:rPr>
              <w:t>运营期声环境影响分析和污染防治措施</w:t>
            </w:r>
          </w:p>
          <w:p w14:paraId="6C5E1376">
            <w:pPr>
              <w:adjustRightInd w:val="0"/>
              <w:snapToGrid w:val="0"/>
              <w:spacing w:line="360" w:lineRule="auto"/>
              <w:rPr>
                <w:b/>
                <w:bCs/>
                <w:color w:val="auto"/>
                <w:kern w:val="0"/>
                <w:sz w:val="24"/>
                <w:highlight w:val="none"/>
              </w:rPr>
            </w:pPr>
            <w:r>
              <w:rPr>
                <w:b/>
                <w:bCs/>
                <w:color w:val="auto"/>
                <w:kern w:val="0"/>
                <w:sz w:val="24"/>
                <w:highlight w:val="none"/>
              </w:rPr>
              <w:t>4.</w:t>
            </w:r>
            <w:r>
              <w:rPr>
                <w:rFonts w:hint="eastAsia"/>
                <w:b/>
                <w:bCs/>
                <w:color w:val="auto"/>
                <w:kern w:val="0"/>
                <w:sz w:val="24"/>
                <w:highlight w:val="none"/>
              </w:rPr>
              <w:t>4</w:t>
            </w:r>
            <w:r>
              <w:rPr>
                <w:b/>
                <w:bCs/>
                <w:color w:val="auto"/>
                <w:kern w:val="0"/>
                <w:sz w:val="24"/>
                <w:highlight w:val="none"/>
              </w:rPr>
              <w:t>.1 运营期噪声源强核算</w:t>
            </w:r>
          </w:p>
          <w:p w14:paraId="7A9D06C8">
            <w:pPr>
              <w:spacing w:line="360" w:lineRule="auto"/>
              <w:ind w:firstLine="480" w:firstLineChars="200"/>
              <w:rPr>
                <w:color w:val="auto"/>
                <w:sz w:val="24"/>
                <w:highlight w:val="none"/>
              </w:rPr>
            </w:pPr>
            <w:r>
              <w:rPr>
                <w:color w:val="auto"/>
                <w:sz w:val="24"/>
                <w:highlight w:val="none"/>
              </w:rPr>
              <w:t>本项目主要的噪声污染源为</w:t>
            </w:r>
            <w:r>
              <w:rPr>
                <w:rFonts w:hint="eastAsia"/>
                <w:color w:val="auto"/>
                <w:sz w:val="24"/>
                <w:highlight w:val="none"/>
              </w:rPr>
              <w:t>项目生产设备</w:t>
            </w:r>
            <w:r>
              <w:rPr>
                <w:color w:val="auto"/>
                <w:sz w:val="24"/>
                <w:highlight w:val="none"/>
              </w:rPr>
              <w:t>运行</w:t>
            </w:r>
            <w:r>
              <w:rPr>
                <w:rFonts w:hint="eastAsia"/>
                <w:color w:val="auto"/>
                <w:sz w:val="24"/>
                <w:highlight w:val="none"/>
              </w:rPr>
              <w:t>过程中</w:t>
            </w:r>
            <w:r>
              <w:rPr>
                <w:color w:val="auto"/>
                <w:sz w:val="24"/>
                <w:highlight w:val="none"/>
              </w:rPr>
              <w:t>产生的噪声，</w:t>
            </w:r>
            <w:r>
              <w:rPr>
                <w:rFonts w:hint="eastAsia"/>
                <w:color w:val="auto"/>
                <w:sz w:val="24"/>
                <w:highlight w:val="none"/>
              </w:rPr>
              <w:t>本项目室内噪声源强调查清单详见表4-</w:t>
            </w:r>
            <w:r>
              <w:rPr>
                <w:rFonts w:hint="eastAsia"/>
                <w:color w:val="auto"/>
                <w:sz w:val="24"/>
                <w:highlight w:val="none"/>
                <w:lang w:val="en-US" w:eastAsia="zh-CN"/>
              </w:rPr>
              <w:t>15</w:t>
            </w:r>
            <w:r>
              <w:rPr>
                <w:color w:val="auto"/>
                <w:sz w:val="24"/>
                <w:highlight w:val="none"/>
              </w:rPr>
              <w:t>。</w:t>
            </w:r>
          </w:p>
          <w:p w14:paraId="122B0228">
            <w:pPr>
              <w:pStyle w:val="30"/>
              <w:widowControl w:val="0"/>
              <w:autoSpaceDE w:val="0"/>
              <w:autoSpaceDN w:val="0"/>
              <w:adjustRightInd w:val="0"/>
              <w:snapToGrid w:val="0"/>
              <w:spacing w:before="120" w:beforeLines="50" w:beforeAutospacing="0" w:after="0" w:afterAutospacing="0"/>
              <w:jc w:val="center"/>
              <w:textAlignment w:val="baseline"/>
              <w:rPr>
                <w:rFonts w:hint="eastAsia" w:ascii="Times New Roman" w:hAnsi="Times New Roman" w:eastAsia="黑体"/>
                <w:color w:val="auto"/>
                <w:highlight w:val="none"/>
                <w:lang w:val="en-US" w:eastAsia="zh-CN"/>
              </w:rPr>
            </w:pPr>
            <w:r>
              <w:rPr>
                <w:rFonts w:ascii="Times New Roman" w:hAnsi="Times New Roman" w:eastAsia="黑体"/>
                <w:color w:val="auto"/>
                <w:spacing w:val="6"/>
                <w:highlight w:val="none"/>
                <w:lang w:val="en-US" w:eastAsia="zh-CN"/>
              </w:rPr>
              <w:t>表</w:t>
            </w:r>
            <w:r>
              <w:rPr>
                <w:rFonts w:hint="eastAsia" w:ascii="Times New Roman" w:hAnsi="Times New Roman" w:eastAsia="黑体"/>
                <w:color w:val="auto"/>
                <w:spacing w:val="6"/>
                <w:highlight w:val="none"/>
                <w:lang w:val="en-US" w:eastAsia="zh-CN"/>
              </w:rPr>
              <w:t xml:space="preserve">4-15 </w:t>
            </w:r>
            <w:r>
              <w:rPr>
                <w:rFonts w:hint="eastAsia" w:ascii="Times New Roman" w:hAnsi="Times New Roman" w:eastAsia="黑体"/>
                <w:color w:val="auto"/>
                <w:highlight w:val="none"/>
                <w:lang w:val="en-US" w:eastAsia="zh-CN"/>
              </w:rPr>
              <w:t>本项目室内、室外噪声源强调查清单</w:t>
            </w:r>
          </w:p>
          <w:tbl>
            <w:tblPr>
              <w:tblStyle w:val="35"/>
              <w:tblW w:w="87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5"/>
              <w:gridCol w:w="390"/>
              <w:gridCol w:w="1664"/>
              <w:gridCol w:w="733"/>
              <w:gridCol w:w="1019"/>
              <w:gridCol w:w="660"/>
              <w:gridCol w:w="555"/>
              <w:gridCol w:w="630"/>
              <w:gridCol w:w="576"/>
              <w:gridCol w:w="670"/>
              <w:gridCol w:w="788"/>
              <w:gridCol w:w="711"/>
            </w:tblGrid>
            <w:tr w14:paraId="25F3D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restart"/>
                  <w:tcBorders>
                    <w:tl2br w:val="nil"/>
                    <w:tr2bl w:val="nil"/>
                  </w:tcBorders>
                  <w:noWrap w:val="0"/>
                  <w:vAlign w:val="center"/>
                </w:tcPr>
                <w:p w14:paraId="1A7BDD6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建筑物名称</w:t>
                  </w:r>
                </w:p>
              </w:tc>
              <w:tc>
                <w:tcPr>
                  <w:tcW w:w="390" w:type="dxa"/>
                  <w:vMerge w:val="restart"/>
                  <w:tcBorders>
                    <w:tl2br w:val="nil"/>
                    <w:tr2bl w:val="nil"/>
                  </w:tcBorders>
                  <w:noWrap w:val="0"/>
                  <w:vAlign w:val="center"/>
                </w:tcPr>
                <w:p w14:paraId="76E9BBA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位置</w:t>
                  </w:r>
                </w:p>
              </w:tc>
              <w:tc>
                <w:tcPr>
                  <w:tcW w:w="1664" w:type="dxa"/>
                  <w:vMerge w:val="restart"/>
                  <w:tcBorders>
                    <w:tl2br w:val="nil"/>
                    <w:tr2bl w:val="nil"/>
                  </w:tcBorders>
                  <w:noWrap w:val="0"/>
                  <w:vAlign w:val="center"/>
                </w:tcPr>
                <w:p w14:paraId="548733C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声源名称</w:t>
                  </w:r>
                </w:p>
              </w:tc>
              <w:tc>
                <w:tcPr>
                  <w:tcW w:w="733" w:type="dxa"/>
                  <w:vMerge w:val="restart"/>
                  <w:tcBorders>
                    <w:tl2br w:val="nil"/>
                    <w:tr2bl w:val="nil"/>
                  </w:tcBorders>
                  <w:noWrap w:val="0"/>
                  <w:vAlign w:val="center"/>
                </w:tcPr>
                <w:p w14:paraId="39B9CF9D">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声源类型</w:t>
                  </w:r>
                  <w:r>
                    <w:rPr>
                      <w:rFonts w:hint="eastAsia" w:ascii="Times New Roman" w:hAnsi="Times New Roman" w:eastAsia="宋体" w:cs="Times New Roman"/>
                      <w:b/>
                      <w:bCs/>
                      <w:color w:val="auto"/>
                      <w:kern w:val="2"/>
                      <w:sz w:val="18"/>
                      <w:szCs w:val="18"/>
                      <w:highlight w:val="none"/>
                      <w:lang w:val="en-US" w:eastAsia="zh-CN" w:bidi="ar-SA"/>
                    </w:rPr>
                    <w:t>（</w:t>
                  </w:r>
                  <w:r>
                    <w:rPr>
                      <w:rFonts w:hint="default" w:ascii="Times New Roman" w:hAnsi="Times New Roman" w:eastAsia="宋体" w:cs="Times New Roman"/>
                      <w:b/>
                      <w:bCs/>
                      <w:color w:val="auto"/>
                      <w:kern w:val="2"/>
                      <w:sz w:val="18"/>
                      <w:szCs w:val="18"/>
                      <w:highlight w:val="none"/>
                      <w:lang w:val="en-US" w:eastAsia="zh-CN" w:bidi="ar-SA"/>
                    </w:rPr>
                    <w:t>间断、连续等</w:t>
                  </w:r>
                  <w:r>
                    <w:rPr>
                      <w:rFonts w:hint="eastAsia" w:ascii="Times New Roman" w:hAnsi="Times New Roman" w:eastAsia="宋体" w:cs="Times New Roman"/>
                      <w:b/>
                      <w:bCs/>
                      <w:color w:val="auto"/>
                      <w:kern w:val="2"/>
                      <w:sz w:val="18"/>
                      <w:szCs w:val="18"/>
                      <w:highlight w:val="none"/>
                      <w:lang w:val="en-US" w:eastAsia="zh-CN" w:bidi="ar-SA"/>
                    </w:rPr>
                    <w:t>）</w:t>
                  </w:r>
                </w:p>
              </w:tc>
              <w:tc>
                <w:tcPr>
                  <w:tcW w:w="1019" w:type="dxa"/>
                  <w:vMerge w:val="restart"/>
                  <w:tcBorders>
                    <w:tl2br w:val="nil"/>
                    <w:tr2bl w:val="nil"/>
                  </w:tcBorders>
                  <w:noWrap w:val="0"/>
                  <w:vAlign w:val="center"/>
                </w:tcPr>
                <w:p w14:paraId="1962CB4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声源声</w:t>
                  </w:r>
                </w:p>
                <w:p w14:paraId="414412EE">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功率级/dB</w:t>
                  </w:r>
                  <w:r>
                    <w:rPr>
                      <w:rFonts w:hint="eastAsia" w:ascii="Times New Roman" w:hAnsi="Times New Roman" w:eastAsia="宋体" w:cs="Times New Roman"/>
                      <w:b/>
                      <w:bCs/>
                      <w:color w:val="auto"/>
                      <w:kern w:val="2"/>
                      <w:sz w:val="18"/>
                      <w:szCs w:val="18"/>
                      <w:highlight w:val="none"/>
                      <w:lang w:val="en-US" w:eastAsia="zh-CN" w:bidi="ar-SA"/>
                    </w:rPr>
                    <w:t>（</w:t>
                  </w:r>
                  <w:r>
                    <w:rPr>
                      <w:rFonts w:hint="default" w:ascii="Times New Roman" w:hAnsi="Times New Roman" w:eastAsia="宋体" w:cs="Times New Roman"/>
                      <w:b/>
                      <w:bCs/>
                      <w:color w:val="auto"/>
                      <w:kern w:val="2"/>
                      <w:sz w:val="18"/>
                      <w:szCs w:val="18"/>
                      <w:highlight w:val="none"/>
                      <w:lang w:val="en-US" w:eastAsia="zh-CN" w:bidi="ar-SA"/>
                    </w:rPr>
                    <w:t>A</w:t>
                  </w:r>
                  <w:r>
                    <w:rPr>
                      <w:rFonts w:hint="eastAsia" w:ascii="Times New Roman" w:hAnsi="Times New Roman" w:eastAsia="宋体" w:cs="Times New Roman"/>
                      <w:b/>
                      <w:bCs/>
                      <w:color w:val="auto"/>
                      <w:kern w:val="2"/>
                      <w:sz w:val="18"/>
                      <w:szCs w:val="18"/>
                      <w:highlight w:val="none"/>
                      <w:lang w:val="en-US" w:eastAsia="zh-CN" w:bidi="ar-SA"/>
                    </w:rPr>
                    <w:t>）</w:t>
                  </w:r>
                </w:p>
              </w:tc>
              <w:tc>
                <w:tcPr>
                  <w:tcW w:w="1845" w:type="dxa"/>
                  <w:gridSpan w:val="3"/>
                  <w:tcBorders>
                    <w:tl2br w:val="nil"/>
                    <w:tr2bl w:val="nil"/>
                  </w:tcBorders>
                  <w:noWrap w:val="0"/>
                  <w:vAlign w:val="center"/>
                </w:tcPr>
                <w:p w14:paraId="0E5AE4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空间相对位置m</w:t>
                  </w:r>
                </w:p>
              </w:tc>
              <w:tc>
                <w:tcPr>
                  <w:tcW w:w="576" w:type="dxa"/>
                  <w:vMerge w:val="restart"/>
                  <w:tcBorders>
                    <w:tl2br w:val="nil"/>
                    <w:tr2bl w:val="nil"/>
                  </w:tcBorders>
                  <w:noWrap w:val="0"/>
                  <w:vAlign w:val="center"/>
                </w:tcPr>
                <w:p w14:paraId="795F5809">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核算</w:t>
                  </w:r>
                </w:p>
                <w:p w14:paraId="2AA04B3A">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方法</w:t>
                  </w:r>
                </w:p>
              </w:tc>
              <w:tc>
                <w:tcPr>
                  <w:tcW w:w="670" w:type="dxa"/>
                  <w:vMerge w:val="restart"/>
                  <w:tcBorders>
                    <w:tl2br w:val="nil"/>
                    <w:tr2bl w:val="nil"/>
                  </w:tcBorders>
                  <w:noWrap w:val="0"/>
                  <w:vAlign w:val="center"/>
                </w:tcPr>
                <w:p w14:paraId="01CCF64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声源控制措施</w:t>
                  </w:r>
                </w:p>
              </w:tc>
              <w:tc>
                <w:tcPr>
                  <w:tcW w:w="788" w:type="dxa"/>
                  <w:vMerge w:val="restart"/>
                  <w:tcBorders>
                    <w:tl2br w:val="nil"/>
                    <w:tr2bl w:val="nil"/>
                  </w:tcBorders>
                  <w:noWrap w:val="0"/>
                  <w:vAlign w:val="center"/>
                </w:tcPr>
                <w:p w14:paraId="52DE665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运行</w:t>
                  </w:r>
                </w:p>
                <w:p w14:paraId="443C313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时段</w:t>
                  </w:r>
                </w:p>
              </w:tc>
              <w:tc>
                <w:tcPr>
                  <w:tcW w:w="711" w:type="dxa"/>
                  <w:vMerge w:val="restart"/>
                  <w:tcBorders>
                    <w:tl2br w:val="nil"/>
                    <w:tr2bl w:val="nil"/>
                  </w:tcBorders>
                  <w:noWrap w:val="0"/>
                  <w:vAlign w:val="center"/>
                </w:tcPr>
                <w:p w14:paraId="0225D16E">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b/>
                      <w:bCs/>
                      <w:color w:val="auto"/>
                      <w:sz w:val="18"/>
                      <w:szCs w:val="18"/>
                      <w:highlight w:val="none"/>
                      <w:lang w:eastAsia="zh-CN"/>
                    </w:rPr>
                  </w:pPr>
                  <w:r>
                    <w:rPr>
                      <w:rFonts w:hint="eastAsia"/>
                      <w:b/>
                      <w:bCs/>
                      <w:color w:val="auto"/>
                      <w:sz w:val="18"/>
                      <w:szCs w:val="18"/>
                    </w:rPr>
                    <w:t>声源控制措施</w:t>
                  </w:r>
                  <w:r>
                    <w:rPr>
                      <w:b/>
                      <w:bCs/>
                      <w:color w:val="auto"/>
                      <w:sz w:val="18"/>
                      <w:szCs w:val="18"/>
                    </w:rPr>
                    <w:t>损失</w:t>
                  </w:r>
                  <w:r>
                    <w:rPr>
                      <w:rFonts w:hint="default" w:ascii="Times New Roman" w:hAnsi="Times New Roman" w:eastAsia="宋体" w:cs="Times New Roman"/>
                      <w:b/>
                      <w:bCs/>
                      <w:color w:val="auto"/>
                      <w:sz w:val="18"/>
                      <w:szCs w:val="18"/>
                      <w:highlight w:val="none"/>
                    </w:rPr>
                    <w:t>/dB</w:t>
                  </w:r>
                  <w:r>
                    <w:rPr>
                      <w:rFonts w:hint="eastAsia"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rPr>
                    <w:t>A</w:t>
                  </w:r>
                  <w:r>
                    <w:rPr>
                      <w:rFonts w:hint="eastAsia" w:cs="Times New Roman"/>
                      <w:b/>
                      <w:bCs/>
                      <w:color w:val="auto"/>
                      <w:sz w:val="18"/>
                      <w:szCs w:val="18"/>
                      <w:highlight w:val="none"/>
                      <w:lang w:eastAsia="zh-CN"/>
                    </w:rPr>
                    <w:t>）</w:t>
                  </w:r>
                </w:p>
              </w:tc>
            </w:tr>
            <w:tr w14:paraId="083D7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0B1B31AD">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390" w:type="dxa"/>
                  <w:vMerge w:val="continue"/>
                  <w:tcBorders>
                    <w:tl2br w:val="nil"/>
                    <w:tr2bl w:val="nil"/>
                  </w:tcBorders>
                  <w:noWrap w:val="0"/>
                  <w:vAlign w:val="center"/>
                </w:tcPr>
                <w:p w14:paraId="46418ACF">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1664" w:type="dxa"/>
                  <w:vMerge w:val="continue"/>
                  <w:tcBorders>
                    <w:tl2br w:val="nil"/>
                    <w:tr2bl w:val="nil"/>
                  </w:tcBorders>
                  <w:noWrap w:val="0"/>
                  <w:vAlign w:val="center"/>
                </w:tcPr>
                <w:p w14:paraId="2D34D520">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733" w:type="dxa"/>
                  <w:vMerge w:val="continue"/>
                  <w:tcBorders>
                    <w:tl2br w:val="nil"/>
                    <w:tr2bl w:val="nil"/>
                  </w:tcBorders>
                  <w:noWrap w:val="0"/>
                  <w:vAlign w:val="center"/>
                </w:tcPr>
                <w:p w14:paraId="01583D64">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1019" w:type="dxa"/>
                  <w:vMerge w:val="continue"/>
                  <w:tcBorders>
                    <w:tl2br w:val="nil"/>
                    <w:tr2bl w:val="nil"/>
                  </w:tcBorders>
                  <w:noWrap w:val="0"/>
                  <w:vAlign w:val="center"/>
                </w:tcPr>
                <w:p w14:paraId="7B65E7AC">
                  <w:pPr>
                    <w:pStyle w:val="134"/>
                    <w:keepNext w:val="0"/>
                    <w:keepLines w:val="0"/>
                    <w:pageBreakBefore w:val="0"/>
                    <w:kinsoku/>
                    <w:wordWrap/>
                    <w:overflowPunct/>
                    <w:topLinePunct w:val="0"/>
                    <w:autoSpaceDE/>
                    <w:autoSpaceDN/>
                    <w:bidi w:val="0"/>
                    <w:adjustRightInd w:val="0"/>
                    <w:snapToGrid w:val="0"/>
                    <w:spacing w:line="240" w:lineRule="auto"/>
                    <w:rPr>
                      <w:color w:val="auto"/>
                      <w:sz w:val="18"/>
                      <w:szCs w:val="18"/>
                    </w:rPr>
                  </w:pPr>
                </w:p>
              </w:tc>
              <w:tc>
                <w:tcPr>
                  <w:tcW w:w="660" w:type="dxa"/>
                  <w:tcBorders>
                    <w:tl2br w:val="nil"/>
                    <w:tr2bl w:val="nil"/>
                  </w:tcBorders>
                  <w:noWrap w:val="0"/>
                  <w:vAlign w:val="center"/>
                </w:tcPr>
                <w:p w14:paraId="345D83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X</w:t>
                  </w:r>
                </w:p>
              </w:tc>
              <w:tc>
                <w:tcPr>
                  <w:tcW w:w="555" w:type="dxa"/>
                  <w:tcBorders>
                    <w:tl2br w:val="nil"/>
                    <w:tr2bl w:val="nil"/>
                  </w:tcBorders>
                  <w:noWrap w:val="0"/>
                  <w:vAlign w:val="center"/>
                </w:tcPr>
                <w:p w14:paraId="67B860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Y</w:t>
                  </w:r>
                </w:p>
              </w:tc>
              <w:tc>
                <w:tcPr>
                  <w:tcW w:w="630" w:type="dxa"/>
                  <w:tcBorders>
                    <w:tl2br w:val="nil"/>
                    <w:tr2bl w:val="nil"/>
                  </w:tcBorders>
                  <w:noWrap w:val="0"/>
                  <w:vAlign w:val="center"/>
                </w:tcPr>
                <w:p w14:paraId="33949F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val="en-US" w:eastAsia="zh-CN"/>
                    </w:rPr>
                    <w:t>Z</w:t>
                  </w:r>
                </w:p>
              </w:tc>
              <w:tc>
                <w:tcPr>
                  <w:tcW w:w="576" w:type="dxa"/>
                  <w:vMerge w:val="continue"/>
                  <w:tcBorders>
                    <w:tl2br w:val="nil"/>
                    <w:tr2bl w:val="nil"/>
                  </w:tcBorders>
                  <w:noWrap w:val="0"/>
                  <w:vAlign w:val="center"/>
                </w:tcPr>
                <w:p w14:paraId="64D377A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c>
                <w:tcPr>
                  <w:tcW w:w="670" w:type="dxa"/>
                  <w:vMerge w:val="continue"/>
                  <w:tcBorders>
                    <w:tl2br w:val="nil"/>
                    <w:tr2bl w:val="nil"/>
                  </w:tcBorders>
                  <w:noWrap w:val="0"/>
                  <w:vAlign w:val="center"/>
                </w:tcPr>
                <w:p w14:paraId="01E1F256">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c>
                <w:tcPr>
                  <w:tcW w:w="788" w:type="dxa"/>
                  <w:vMerge w:val="continue"/>
                  <w:tcBorders>
                    <w:tl2br w:val="nil"/>
                    <w:tr2bl w:val="nil"/>
                  </w:tcBorders>
                  <w:noWrap w:val="0"/>
                  <w:vAlign w:val="center"/>
                </w:tcPr>
                <w:p w14:paraId="3E1BBF7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c>
                <w:tcPr>
                  <w:tcW w:w="711" w:type="dxa"/>
                  <w:vMerge w:val="continue"/>
                  <w:tcBorders>
                    <w:tl2br w:val="nil"/>
                    <w:tr2bl w:val="nil"/>
                  </w:tcBorders>
                  <w:noWrap w:val="0"/>
                  <w:vAlign w:val="center"/>
                </w:tcPr>
                <w:p w14:paraId="0A07DDB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2"/>
                      <w:sz w:val="18"/>
                      <w:szCs w:val="18"/>
                      <w:highlight w:val="none"/>
                      <w:lang w:val="en-US" w:eastAsia="zh-CN" w:bidi="ar-SA"/>
                    </w:rPr>
                  </w:pPr>
                </w:p>
              </w:tc>
            </w:tr>
            <w:tr w14:paraId="380B2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restart"/>
                  <w:tcBorders>
                    <w:tl2br w:val="nil"/>
                    <w:tr2bl w:val="nil"/>
                  </w:tcBorders>
                  <w:noWrap w:val="0"/>
                  <w:vAlign w:val="center"/>
                </w:tcPr>
                <w:p w14:paraId="0117D75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厂房</w:t>
                  </w:r>
                </w:p>
                <w:p w14:paraId="4864903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五</w:t>
                  </w:r>
                </w:p>
              </w:tc>
              <w:tc>
                <w:tcPr>
                  <w:tcW w:w="390" w:type="dxa"/>
                  <w:vMerge w:val="restart"/>
                  <w:tcBorders>
                    <w:tl2br w:val="nil"/>
                    <w:tr2bl w:val="nil"/>
                  </w:tcBorders>
                  <w:shd w:val="clear" w:color="auto" w:fill="auto"/>
                  <w:noWrap w:val="0"/>
                  <w:vAlign w:val="center"/>
                </w:tcPr>
                <w:p w14:paraId="0F7A2F8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一层</w:t>
                  </w:r>
                </w:p>
              </w:tc>
              <w:tc>
                <w:tcPr>
                  <w:tcW w:w="1664" w:type="dxa"/>
                  <w:tcBorders>
                    <w:tl2br w:val="nil"/>
                    <w:tr2bl w:val="nil"/>
                  </w:tcBorders>
                  <w:shd w:val="clear" w:color="auto" w:fill="auto"/>
                  <w:noWrap w:val="0"/>
                  <w:vAlign w:val="center"/>
                </w:tcPr>
                <w:p w14:paraId="22F9EA2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注塑机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12台</w:t>
                  </w:r>
                  <w:r>
                    <w:rPr>
                      <w:rFonts w:hint="eastAsia" w:ascii="Times New Roman" w:hAnsi="Times New Roman" w:eastAsia="宋体" w:cs="Times New Roman"/>
                      <w:color w:val="auto"/>
                      <w:kern w:val="2"/>
                      <w:sz w:val="18"/>
                      <w:szCs w:val="18"/>
                      <w:highlight w:val="none"/>
                      <w:lang w:val="en-US" w:eastAsia="zh-CN" w:bidi="ar-SA"/>
                    </w:rPr>
                    <w:t>）</w:t>
                  </w:r>
                </w:p>
              </w:tc>
              <w:tc>
                <w:tcPr>
                  <w:tcW w:w="733" w:type="dxa"/>
                  <w:tcBorders>
                    <w:tl2br w:val="nil"/>
                    <w:tr2bl w:val="nil"/>
                  </w:tcBorders>
                  <w:noWrap w:val="0"/>
                  <w:vAlign w:val="center"/>
                </w:tcPr>
                <w:p w14:paraId="27B3A68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367B41E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660" w:type="dxa"/>
                  <w:tcBorders>
                    <w:tl2br w:val="nil"/>
                    <w:tr2bl w:val="nil"/>
                  </w:tcBorders>
                  <w:noWrap w:val="0"/>
                  <w:vAlign w:val="center"/>
                </w:tcPr>
                <w:p w14:paraId="7B824B2C">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52</w:t>
                  </w:r>
                </w:p>
              </w:tc>
              <w:tc>
                <w:tcPr>
                  <w:tcW w:w="555" w:type="dxa"/>
                  <w:tcBorders>
                    <w:tl2br w:val="nil"/>
                    <w:tr2bl w:val="nil"/>
                  </w:tcBorders>
                  <w:noWrap w:val="0"/>
                  <w:vAlign w:val="center"/>
                </w:tcPr>
                <w:p w14:paraId="17EED26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25</w:t>
                  </w:r>
                </w:p>
              </w:tc>
              <w:tc>
                <w:tcPr>
                  <w:tcW w:w="630" w:type="dxa"/>
                  <w:tcBorders>
                    <w:tl2br w:val="nil"/>
                    <w:tr2bl w:val="nil"/>
                  </w:tcBorders>
                  <w:noWrap w:val="0"/>
                  <w:vAlign w:val="center"/>
                </w:tcPr>
                <w:p w14:paraId="69DBFAA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restart"/>
                  <w:tcBorders>
                    <w:tl2br w:val="nil"/>
                    <w:tr2bl w:val="nil"/>
                  </w:tcBorders>
                  <w:noWrap w:val="0"/>
                  <w:vAlign w:val="center"/>
                </w:tcPr>
                <w:p w14:paraId="2BEC1D3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类</w:t>
                  </w:r>
                </w:p>
                <w:p w14:paraId="5E95843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比</w:t>
                  </w:r>
                </w:p>
                <w:p w14:paraId="2719E51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法</w:t>
                  </w:r>
                </w:p>
              </w:tc>
              <w:tc>
                <w:tcPr>
                  <w:tcW w:w="670" w:type="dxa"/>
                  <w:vMerge w:val="restart"/>
                  <w:tcBorders>
                    <w:tl2br w:val="nil"/>
                    <w:tr2bl w:val="nil"/>
                  </w:tcBorders>
                  <w:noWrap w:val="0"/>
                  <w:vAlign w:val="center"/>
                </w:tcPr>
                <w:p w14:paraId="187176D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车间</w:t>
                  </w:r>
                  <w:r>
                    <w:rPr>
                      <w:rFonts w:hint="default" w:ascii="Times New Roman" w:hAnsi="Times New Roman" w:eastAsia="宋体" w:cs="Times New Roman"/>
                      <w:color w:val="auto"/>
                      <w:sz w:val="18"/>
                      <w:szCs w:val="18"/>
                      <w:highlight w:val="none"/>
                    </w:rPr>
                    <w:t>隔声、</w:t>
                  </w:r>
                  <w:r>
                    <w:rPr>
                      <w:rFonts w:hint="default" w:ascii="Times New Roman" w:hAnsi="Times New Roman" w:eastAsia="宋体" w:cs="Times New Roman"/>
                      <w:color w:val="auto"/>
                      <w:sz w:val="18"/>
                      <w:szCs w:val="18"/>
                      <w:highlight w:val="none"/>
                      <w:lang w:val="en-US" w:eastAsia="zh-CN"/>
                    </w:rPr>
                    <w:t>设备基础</w:t>
                  </w:r>
                  <w:r>
                    <w:rPr>
                      <w:rFonts w:hint="default" w:ascii="Times New Roman" w:hAnsi="Times New Roman" w:eastAsia="宋体" w:cs="Times New Roman"/>
                      <w:color w:val="auto"/>
                      <w:sz w:val="18"/>
                      <w:szCs w:val="18"/>
                      <w:highlight w:val="none"/>
                    </w:rPr>
                    <w:t>减振</w:t>
                  </w:r>
                  <w:r>
                    <w:rPr>
                      <w:rFonts w:hint="default" w:ascii="Times New Roman" w:hAnsi="Times New Roman" w:eastAsia="宋体" w:cs="Times New Roman"/>
                      <w:color w:val="auto"/>
                      <w:sz w:val="18"/>
                      <w:szCs w:val="18"/>
                      <w:highlight w:val="none"/>
                      <w:lang w:val="en-US" w:eastAsia="zh-CN"/>
                    </w:rPr>
                    <w:t>等综合降噪措施</w:t>
                  </w:r>
                </w:p>
              </w:tc>
              <w:tc>
                <w:tcPr>
                  <w:tcW w:w="788" w:type="dxa"/>
                  <w:tcBorders>
                    <w:tl2br w:val="nil"/>
                    <w:tr2bl w:val="nil"/>
                  </w:tcBorders>
                  <w:noWrap w:val="0"/>
                  <w:vAlign w:val="center"/>
                </w:tcPr>
                <w:p w14:paraId="5CA711A3">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0DB28A6C">
                  <w:pPr>
                    <w:pStyle w:val="134"/>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2ADCE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0A69BA7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426BB6C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618C0E7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破碎机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1</w:t>
                  </w:r>
                  <w:r>
                    <w:rPr>
                      <w:rFonts w:hint="eastAsia" w:ascii="Times New Roman" w:hAnsi="Times New Roman" w:eastAsia="宋体" w:cs="Times New Roman"/>
                      <w:color w:val="auto"/>
                      <w:kern w:val="2"/>
                      <w:sz w:val="18"/>
                      <w:szCs w:val="18"/>
                      <w:highlight w:val="none"/>
                      <w:lang w:val="en-US" w:eastAsia="zh-CN" w:bidi="ar-SA"/>
                    </w:rPr>
                    <w:t>台）</w:t>
                  </w:r>
                </w:p>
              </w:tc>
              <w:tc>
                <w:tcPr>
                  <w:tcW w:w="733" w:type="dxa"/>
                  <w:tcBorders>
                    <w:tl2br w:val="nil"/>
                    <w:tr2bl w:val="nil"/>
                  </w:tcBorders>
                  <w:noWrap w:val="0"/>
                  <w:vAlign w:val="center"/>
                </w:tcPr>
                <w:p w14:paraId="62CA683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3A17971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2502FDC0">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65</w:t>
                  </w:r>
                </w:p>
              </w:tc>
              <w:tc>
                <w:tcPr>
                  <w:tcW w:w="555" w:type="dxa"/>
                  <w:tcBorders>
                    <w:tl2br w:val="nil"/>
                    <w:tr2bl w:val="nil"/>
                  </w:tcBorders>
                  <w:noWrap w:val="0"/>
                  <w:vAlign w:val="center"/>
                </w:tcPr>
                <w:p w14:paraId="5FB3FF3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15</w:t>
                  </w:r>
                </w:p>
              </w:tc>
              <w:tc>
                <w:tcPr>
                  <w:tcW w:w="630" w:type="dxa"/>
                  <w:tcBorders>
                    <w:tl2br w:val="nil"/>
                    <w:tr2bl w:val="nil"/>
                  </w:tcBorders>
                  <w:noWrap w:val="0"/>
                  <w:vAlign w:val="center"/>
                </w:tcPr>
                <w:p w14:paraId="05E21B5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continue"/>
                  <w:tcBorders>
                    <w:tl2br w:val="nil"/>
                    <w:tr2bl w:val="nil"/>
                  </w:tcBorders>
                  <w:noWrap w:val="0"/>
                  <w:vAlign w:val="center"/>
                </w:tcPr>
                <w:p w14:paraId="2A7EE44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noWrap w:val="0"/>
                  <w:vAlign w:val="center"/>
                </w:tcPr>
                <w:p w14:paraId="109A825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noWrap w:val="0"/>
                  <w:vAlign w:val="center"/>
                </w:tcPr>
                <w:p w14:paraId="7538337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4E5684D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8A47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64D80C9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585686F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7A69A59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拌料机</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1</w:t>
                  </w:r>
                  <w:r>
                    <w:rPr>
                      <w:rFonts w:hint="eastAsia" w:ascii="Times New Roman" w:hAnsi="Times New Roman" w:eastAsia="宋体" w:cs="Times New Roman"/>
                      <w:color w:val="auto"/>
                      <w:kern w:val="2"/>
                      <w:sz w:val="18"/>
                      <w:szCs w:val="18"/>
                      <w:highlight w:val="none"/>
                      <w:lang w:val="en-US" w:eastAsia="zh-CN" w:bidi="ar-SA"/>
                    </w:rPr>
                    <w:t>台）</w:t>
                  </w:r>
                </w:p>
              </w:tc>
              <w:tc>
                <w:tcPr>
                  <w:tcW w:w="733" w:type="dxa"/>
                  <w:tcBorders>
                    <w:tl2br w:val="nil"/>
                    <w:tr2bl w:val="nil"/>
                  </w:tcBorders>
                  <w:shd w:val="clear" w:color="auto" w:fill="auto"/>
                  <w:noWrap w:val="0"/>
                  <w:vAlign w:val="center"/>
                </w:tcPr>
                <w:p w14:paraId="727F40B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shd w:val="clear" w:color="auto" w:fill="auto"/>
                  <w:noWrap w:val="0"/>
                  <w:vAlign w:val="center"/>
                </w:tcPr>
                <w:p w14:paraId="5C11E5C5">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1DFA5CA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65</w:t>
                  </w:r>
                </w:p>
              </w:tc>
              <w:tc>
                <w:tcPr>
                  <w:tcW w:w="555" w:type="dxa"/>
                  <w:tcBorders>
                    <w:tl2br w:val="nil"/>
                    <w:tr2bl w:val="nil"/>
                  </w:tcBorders>
                  <w:noWrap w:val="0"/>
                  <w:vAlign w:val="center"/>
                </w:tcPr>
                <w:p w14:paraId="16769CC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w:t>
                  </w:r>
                </w:p>
              </w:tc>
              <w:tc>
                <w:tcPr>
                  <w:tcW w:w="630" w:type="dxa"/>
                  <w:tcBorders>
                    <w:tl2br w:val="nil"/>
                    <w:tr2bl w:val="nil"/>
                  </w:tcBorders>
                  <w:noWrap w:val="0"/>
                  <w:vAlign w:val="center"/>
                </w:tcPr>
                <w:p w14:paraId="3192876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noWrap w:val="0"/>
                  <w:vAlign w:val="center"/>
                </w:tcPr>
                <w:p w14:paraId="2789437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noWrap w:val="0"/>
                  <w:vAlign w:val="center"/>
                </w:tcPr>
                <w:p w14:paraId="16E17AF4">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noWrap w:val="0"/>
                  <w:vAlign w:val="center"/>
                </w:tcPr>
                <w:p w14:paraId="5D53B994">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1A1C300A">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3D32B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1196832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47F1228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2A819F7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冷却塔（1台）</w:t>
                  </w:r>
                </w:p>
              </w:tc>
              <w:tc>
                <w:tcPr>
                  <w:tcW w:w="733" w:type="dxa"/>
                  <w:tcBorders>
                    <w:tl2br w:val="nil"/>
                    <w:tr2bl w:val="nil"/>
                  </w:tcBorders>
                  <w:shd w:val="clear" w:color="auto" w:fill="auto"/>
                  <w:noWrap w:val="0"/>
                  <w:vAlign w:val="center"/>
                </w:tcPr>
                <w:p w14:paraId="6392287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shd w:val="clear" w:color="auto" w:fill="auto"/>
                  <w:noWrap w:val="0"/>
                  <w:vAlign w:val="center"/>
                </w:tcPr>
                <w:p w14:paraId="45449F5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85~90</w:t>
                  </w:r>
                </w:p>
              </w:tc>
              <w:tc>
                <w:tcPr>
                  <w:tcW w:w="660" w:type="dxa"/>
                  <w:tcBorders>
                    <w:tl2br w:val="nil"/>
                    <w:tr2bl w:val="nil"/>
                  </w:tcBorders>
                  <w:noWrap w:val="0"/>
                  <w:vAlign w:val="center"/>
                </w:tcPr>
                <w:p w14:paraId="4F4DC62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90</w:t>
                  </w:r>
                </w:p>
              </w:tc>
              <w:tc>
                <w:tcPr>
                  <w:tcW w:w="555" w:type="dxa"/>
                  <w:tcBorders>
                    <w:tl2br w:val="nil"/>
                    <w:tr2bl w:val="nil"/>
                  </w:tcBorders>
                  <w:noWrap w:val="0"/>
                  <w:vAlign w:val="center"/>
                </w:tcPr>
                <w:p w14:paraId="4094A648">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35</w:t>
                  </w:r>
                </w:p>
              </w:tc>
              <w:tc>
                <w:tcPr>
                  <w:tcW w:w="630" w:type="dxa"/>
                  <w:tcBorders>
                    <w:tl2br w:val="nil"/>
                    <w:tr2bl w:val="nil"/>
                  </w:tcBorders>
                  <w:noWrap w:val="0"/>
                  <w:vAlign w:val="center"/>
                </w:tcPr>
                <w:p w14:paraId="699478F4">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noWrap w:val="0"/>
                  <w:vAlign w:val="center"/>
                </w:tcPr>
                <w:p w14:paraId="120BA322">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noWrap w:val="0"/>
                  <w:vAlign w:val="center"/>
                </w:tcPr>
                <w:p w14:paraId="56A3554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noWrap w:val="0"/>
                  <w:vAlign w:val="center"/>
                </w:tcPr>
                <w:p w14:paraId="21A4A858">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6E6066A1">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35A4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112C835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restart"/>
                  <w:tcBorders>
                    <w:tl2br w:val="nil"/>
                    <w:tr2bl w:val="nil"/>
                  </w:tcBorders>
                  <w:shd w:val="clear" w:color="auto" w:fill="auto"/>
                  <w:noWrap w:val="0"/>
                  <w:vAlign w:val="center"/>
                </w:tcPr>
                <w:p w14:paraId="5947ADB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二层</w:t>
                  </w:r>
                </w:p>
              </w:tc>
              <w:tc>
                <w:tcPr>
                  <w:tcW w:w="1664" w:type="dxa"/>
                  <w:tcBorders>
                    <w:tl2br w:val="nil"/>
                    <w:tr2bl w:val="nil"/>
                  </w:tcBorders>
                  <w:shd w:val="clear" w:color="auto" w:fill="auto"/>
                  <w:noWrap w:val="0"/>
                  <w:vAlign w:val="center"/>
                </w:tcPr>
                <w:p w14:paraId="5F44F4A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TPV复合密封条挤出机组</w:t>
                  </w:r>
                  <w:r>
                    <w:rPr>
                      <w:rFonts w:hint="eastAsia" w:ascii="Times New Roman" w:hAnsi="Times New Roman" w:eastAsia="宋体" w:cs="Times New Roman"/>
                      <w:color w:val="auto"/>
                      <w:kern w:val="2"/>
                      <w:sz w:val="18"/>
                      <w:szCs w:val="18"/>
                      <w:highlight w:val="none"/>
                      <w:lang w:val="en-US" w:eastAsia="zh-CN" w:bidi="ar-SA"/>
                    </w:rPr>
                    <w:t>（</w:t>
                  </w:r>
                  <w:r>
                    <w:rPr>
                      <w:rFonts w:hint="eastAsia" w:cs="Times New Roman"/>
                      <w:color w:val="auto"/>
                      <w:kern w:val="2"/>
                      <w:sz w:val="18"/>
                      <w:szCs w:val="18"/>
                      <w:highlight w:val="none"/>
                      <w:lang w:val="en-US" w:eastAsia="zh-CN" w:bidi="ar-SA"/>
                    </w:rPr>
                    <w:t>7</w:t>
                  </w:r>
                  <w:r>
                    <w:rPr>
                      <w:rFonts w:hint="eastAsia" w:ascii="Times New Roman" w:hAnsi="Times New Roman" w:eastAsia="宋体" w:cs="Times New Roman"/>
                      <w:color w:val="auto"/>
                      <w:kern w:val="2"/>
                      <w:sz w:val="18"/>
                      <w:szCs w:val="18"/>
                      <w:highlight w:val="none"/>
                      <w:lang w:val="en-US" w:eastAsia="zh-CN" w:bidi="ar-SA"/>
                    </w:rPr>
                    <w:t>台）</w:t>
                  </w:r>
                </w:p>
              </w:tc>
              <w:tc>
                <w:tcPr>
                  <w:tcW w:w="733" w:type="dxa"/>
                  <w:tcBorders>
                    <w:tl2br w:val="nil"/>
                    <w:tr2bl w:val="nil"/>
                  </w:tcBorders>
                  <w:noWrap w:val="0"/>
                  <w:vAlign w:val="center"/>
                </w:tcPr>
                <w:p w14:paraId="4144F66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2FE7936B">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660" w:type="dxa"/>
                  <w:tcBorders>
                    <w:tl2br w:val="nil"/>
                    <w:tr2bl w:val="nil"/>
                  </w:tcBorders>
                  <w:noWrap w:val="0"/>
                  <w:vAlign w:val="center"/>
                </w:tcPr>
                <w:p w14:paraId="6400861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25</w:t>
                  </w:r>
                </w:p>
              </w:tc>
              <w:tc>
                <w:tcPr>
                  <w:tcW w:w="555" w:type="dxa"/>
                  <w:tcBorders>
                    <w:tl2br w:val="nil"/>
                    <w:tr2bl w:val="nil"/>
                  </w:tcBorders>
                  <w:noWrap w:val="0"/>
                  <w:vAlign w:val="center"/>
                </w:tcPr>
                <w:p w14:paraId="633584D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w:t>
                  </w:r>
                </w:p>
              </w:tc>
              <w:tc>
                <w:tcPr>
                  <w:tcW w:w="630" w:type="dxa"/>
                  <w:tcBorders>
                    <w:tl2br w:val="nil"/>
                    <w:tr2bl w:val="nil"/>
                  </w:tcBorders>
                  <w:noWrap w:val="0"/>
                  <w:vAlign w:val="center"/>
                </w:tcPr>
                <w:p w14:paraId="1FF1A11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w:t>
                  </w:r>
                </w:p>
              </w:tc>
              <w:tc>
                <w:tcPr>
                  <w:tcW w:w="576" w:type="dxa"/>
                  <w:vMerge w:val="continue"/>
                  <w:tcBorders>
                    <w:tl2br w:val="nil"/>
                    <w:tr2bl w:val="nil"/>
                  </w:tcBorders>
                  <w:noWrap w:val="0"/>
                  <w:vAlign w:val="center"/>
                </w:tcPr>
                <w:p w14:paraId="476252B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noWrap w:val="0"/>
                  <w:vAlign w:val="center"/>
                </w:tcPr>
                <w:p w14:paraId="6589E607">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noWrap w:val="0"/>
                  <w:vAlign w:val="center"/>
                </w:tcPr>
                <w:p w14:paraId="6E7DBBC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6970FA0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6D7F6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3044223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kern w:val="0"/>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391330B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418B34D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涂胶加热一体机（7台）</w:t>
                  </w:r>
                </w:p>
              </w:tc>
              <w:tc>
                <w:tcPr>
                  <w:tcW w:w="733" w:type="dxa"/>
                  <w:tcBorders>
                    <w:tl2br w:val="nil"/>
                    <w:tr2bl w:val="nil"/>
                  </w:tcBorders>
                  <w:noWrap w:val="0"/>
                  <w:vAlign w:val="center"/>
                </w:tcPr>
                <w:p w14:paraId="7B0850F2">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057A29F4">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75</w:t>
                  </w:r>
                  <w:r>
                    <w:rPr>
                      <w:rFonts w:hint="eastAsia" w:ascii="Times New Roman" w:hAnsi="Times New Roman" w:eastAsia="宋体" w:cs="Times New Roman"/>
                      <w:color w:val="auto"/>
                      <w:kern w:val="2"/>
                      <w:sz w:val="18"/>
                      <w:szCs w:val="18"/>
                      <w:highlight w:val="none"/>
                      <w:lang w:val="en-US" w:eastAsia="zh-CN" w:bidi="ar-SA"/>
                    </w:rPr>
                    <w:t>~8</w:t>
                  </w:r>
                  <w:r>
                    <w:rPr>
                      <w:rFonts w:hint="eastAsia" w:cs="Times New Roman"/>
                      <w:color w:val="auto"/>
                      <w:kern w:val="2"/>
                      <w:sz w:val="18"/>
                      <w:szCs w:val="18"/>
                      <w:highlight w:val="none"/>
                      <w:lang w:val="en-US" w:eastAsia="zh-CN" w:bidi="ar-SA"/>
                    </w:rPr>
                    <w:t>0</w:t>
                  </w:r>
                </w:p>
              </w:tc>
              <w:tc>
                <w:tcPr>
                  <w:tcW w:w="660" w:type="dxa"/>
                  <w:tcBorders>
                    <w:tl2br w:val="nil"/>
                    <w:tr2bl w:val="nil"/>
                  </w:tcBorders>
                  <w:noWrap w:val="0"/>
                  <w:vAlign w:val="center"/>
                </w:tcPr>
                <w:p w14:paraId="7F49E51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w:t>
                  </w:r>
                </w:p>
              </w:tc>
              <w:tc>
                <w:tcPr>
                  <w:tcW w:w="555" w:type="dxa"/>
                  <w:tcBorders>
                    <w:tl2br w:val="nil"/>
                    <w:tr2bl w:val="nil"/>
                  </w:tcBorders>
                  <w:noWrap w:val="0"/>
                  <w:vAlign w:val="center"/>
                </w:tcPr>
                <w:p w14:paraId="2D0449D7">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w:t>
                  </w:r>
                </w:p>
              </w:tc>
              <w:tc>
                <w:tcPr>
                  <w:tcW w:w="630" w:type="dxa"/>
                  <w:tcBorders>
                    <w:tl2br w:val="nil"/>
                    <w:tr2bl w:val="nil"/>
                  </w:tcBorders>
                  <w:noWrap w:val="0"/>
                  <w:vAlign w:val="center"/>
                </w:tcPr>
                <w:p w14:paraId="08B64DE5">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5D889B0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bCs/>
                      <w:color w:val="auto"/>
                      <w:sz w:val="18"/>
                      <w:szCs w:val="18"/>
                      <w:highlight w:val="none"/>
                      <w:lang w:val="en-US" w:eastAsia="zh-CN"/>
                    </w:rPr>
                  </w:pPr>
                </w:p>
              </w:tc>
              <w:tc>
                <w:tcPr>
                  <w:tcW w:w="670" w:type="dxa"/>
                  <w:vMerge w:val="continue"/>
                  <w:tcBorders>
                    <w:tl2br w:val="nil"/>
                    <w:tr2bl w:val="nil"/>
                  </w:tcBorders>
                  <w:noWrap w:val="0"/>
                  <w:vAlign w:val="center"/>
                </w:tcPr>
                <w:p w14:paraId="2B2293E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788" w:type="dxa"/>
                  <w:tcBorders>
                    <w:tl2br w:val="nil"/>
                    <w:tr2bl w:val="nil"/>
                  </w:tcBorders>
                  <w:noWrap w:val="0"/>
                  <w:vAlign w:val="center"/>
                </w:tcPr>
                <w:p w14:paraId="4AC841C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07FB516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1B72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6B7E6BA2">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724BE3B3">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4F39812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辊压成型机组</w:t>
                  </w:r>
                  <w:r>
                    <w:rPr>
                      <w:rFonts w:hint="eastAsia" w:ascii="Times New Roman" w:hAnsi="Times New Roman" w:eastAsia="宋体" w:cs="Times New Roman"/>
                      <w:color w:val="auto"/>
                      <w:kern w:val="2"/>
                      <w:sz w:val="18"/>
                      <w:szCs w:val="18"/>
                      <w:highlight w:val="none"/>
                      <w:lang w:val="en-US" w:eastAsia="zh-CN" w:bidi="ar-SA"/>
                    </w:rPr>
                    <w:t>（14台</w:t>
                  </w:r>
                  <w:r>
                    <w:rPr>
                      <w:rFonts w:hint="eastAsia" w:cs="Times New Roman"/>
                      <w:color w:val="auto"/>
                      <w:kern w:val="2"/>
                      <w:sz w:val="18"/>
                      <w:szCs w:val="18"/>
                      <w:highlight w:val="none"/>
                      <w:lang w:val="en-US" w:eastAsia="zh-CN" w:bidi="ar-SA"/>
                    </w:rPr>
                    <w:t>）</w:t>
                  </w:r>
                </w:p>
              </w:tc>
              <w:tc>
                <w:tcPr>
                  <w:tcW w:w="733" w:type="dxa"/>
                  <w:tcBorders>
                    <w:tl2br w:val="nil"/>
                    <w:tr2bl w:val="nil"/>
                  </w:tcBorders>
                  <w:noWrap w:val="0"/>
                  <w:vAlign w:val="center"/>
                </w:tcPr>
                <w:p w14:paraId="1585523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535B69E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015159E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w:t>
                  </w:r>
                </w:p>
              </w:tc>
              <w:tc>
                <w:tcPr>
                  <w:tcW w:w="555" w:type="dxa"/>
                  <w:tcBorders>
                    <w:tl2br w:val="nil"/>
                    <w:tr2bl w:val="nil"/>
                  </w:tcBorders>
                  <w:noWrap w:val="0"/>
                  <w:vAlign w:val="center"/>
                </w:tcPr>
                <w:p w14:paraId="46FF112E">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w:t>
                  </w:r>
                </w:p>
              </w:tc>
              <w:tc>
                <w:tcPr>
                  <w:tcW w:w="630" w:type="dxa"/>
                  <w:tcBorders>
                    <w:tl2br w:val="nil"/>
                    <w:tr2bl w:val="nil"/>
                  </w:tcBorders>
                  <w:noWrap w:val="0"/>
                  <w:vAlign w:val="center"/>
                </w:tcPr>
                <w:p w14:paraId="79DEF516">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031E49B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775BDE5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293542B7">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665B4DD2">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7F6C7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4162F7F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4AC9DDB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7E9FDCDE">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拉弯机（14台）</w:t>
                  </w:r>
                </w:p>
              </w:tc>
              <w:tc>
                <w:tcPr>
                  <w:tcW w:w="733" w:type="dxa"/>
                  <w:tcBorders>
                    <w:tl2br w:val="nil"/>
                    <w:tr2bl w:val="nil"/>
                  </w:tcBorders>
                  <w:noWrap w:val="0"/>
                  <w:vAlign w:val="center"/>
                </w:tcPr>
                <w:p w14:paraId="57A6C66E">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42AAC4E3">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283D2CA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70</w:t>
                  </w:r>
                </w:p>
              </w:tc>
              <w:tc>
                <w:tcPr>
                  <w:tcW w:w="555" w:type="dxa"/>
                  <w:tcBorders>
                    <w:tl2br w:val="nil"/>
                    <w:tr2bl w:val="nil"/>
                  </w:tcBorders>
                  <w:noWrap w:val="0"/>
                  <w:vAlign w:val="center"/>
                </w:tcPr>
                <w:p w14:paraId="4E5C0A3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18</w:t>
                  </w:r>
                </w:p>
              </w:tc>
              <w:tc>
                <w:tcPr>
                  <w:tcW w:w="630" w:type="dxa"/>
                  <w:tcBorders>
                    <w:tl2br w:val="nil"/>
                    <w:tr2bl w:val="nil"/>
                  </w:tcBorders>
                  <w:noWrap w:val="0"/>
                  <w:vAlign w:val="center"/>
                </w:tcPr>
                <w:p w14:paraId="7407F9D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00E2330E">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6B08E75C">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69AA1326">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397F3337">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4948F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4E6AE43A">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581512A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16FFCF0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裁切机（14台）</w:t>
                  </w:r>
                </w:p>
              </w:tc>
              <w:tc>
                <w:tcPr>
                  <w:tcW w:w="733" w:type="dxa"/>
                  <w:tcBorders>
                    <w:tl2br w:val="nil"/>
                    <w:tr2bl w:val="nil"/>
                  </w:tcBorders>
                  <w:noWrap w:val="0"/>
                  <w:vAlign w:val="center"/>
                </w:tcPr>
                <w:p w14:paraId="04EE1E1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01FE5B08">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16F4C40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w:t>
                  </w:r>
                </w:p>
              </w:tc>
              <w:tc>
                <w:tcPr>
                  <w:tcW w:w="555" w:type="dxa"/>
                  <w:tcBorders>
                    <w:tl2br w:val="nil"/>
                    <w:tr2bl w:val="nil"/>
                  </w:tcBorders>
                  <w:noWrap w:val="0"/>
                  <w:vAlign w:val="center"/>
                </w:tcPr>
                <w:p w14:paraId="38E243D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18</w:t>
                  </w:r>
                </w:p>
              </w:tc>
              <w:tc>
                <w:tcPr>
                  <w:tcW w:w="630" w:type="dxa"/>
                  <w:tcBorders>
                    <w:tl2br w:val="nil"/>
                    <w:tr2bl w:val="nil"/>
                  </w:tcBorders>
                  <w:noWrap w:val="0"/>
                  <w:vAlign w:val="center"/>
                </w:tcPr>
                <w:p w14:paraId="500F2FB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5AB788E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51BEEA2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3964C78D">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24F9707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4C9A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1B51135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168941FC">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6D7F97D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开卷机（7台）</w:t>
                  </w:r>
                </w:p>
              </w:tc>
              <w:tc>
                <w:tcPr>
                  <w:tcW w:w="733" w:type="dxa"/>
                  <w:tcBorders>
                    <w:tl2br w:val="nil"/>
                    <w:tr2bl w:val="nil"/>
                  </w:tcBorders>
                  <w:noWrap w:val="0"/>
                  <w:vAlign w:val="center"/>
                </w:tcPr>
                <w:p w14:paraId="745F85F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5772E60B">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4DA8C9A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w:t>
                  </w:r>
                </w:p>
              </w:tc>
              <w:tc>
                <w:tcPr>
                  <w:tcW w:w="555" w:type="dxa"/>
                  <w:tcBorders>
                    <w:tl2br w:val="nil"/>
                    <w:tr2bl w:val="nil"/>
                  </w:tcBorders>
                  <w:noWrap w:val="0"/>
                  <w:vAlign w:val="center"/>
                </w:tcPr>
                <w:p w14:paraId="42EFBA1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w:t>
                  </w:r>
                </w:p>
              </w:tc>
              <w:tc>
                <w:tcPr>
                  <w:tcW w:w="630" w:type="dxa"/>
                  <w:tcBorders>
                    <w:tl2br w:val="nil"/>
                    <w:tr2bl w:val="nil"/>
                  </w:tcBorders>
                  <w:noWrap w:val="0"/>
                  <w:vAlign w:val="center"/>
                </w:tcPr>
                <w:p w14:paraId="0B7F9713">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6DCA460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34E7207F">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693018F9">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58FE7D6A">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4FBA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405E78C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042DC30D">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42C2520F">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收卷机（1台）</w:t>
                  </w:r>
                </w:p>
              </w:tc>
              <w:tc>
                <w:tcPr>
                  <w:tcW w:w="733" w:type="dxa"/>
                  <w:tcBorders>
                    <w:tl2br w:val="nil"/>
                    <w:tr2bl w:val="nil"/>
                  </w:tcBorders>
                  <w:noWrap w:val="0"/>
                  <w:vAlign w:val="center"/>
                </w:tcPr>
                <w:p w14:paraId="782EE2D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7BFE24D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151DFAA5">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60</w:t>
                  </w:r>
                </w:p>
              </w:tc>
              <w:tc>
                <w:tcPr>
                  <w:tcW w:w="555" w:type="dxa"/>
                  <w:tcBorders>
                    <w:tl2br w:val="nil"/>
                    <w:tr2bl w:val="nil"/>
                  </w:tcBorders>
                  <w:noWrap w:val="0"/>
                  <w:vAlign w:val="center"/>
                </w:tcPr>
                <w:p w14:paraId="7F5F68B6">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25</w:t>
                  </w:r>
                </w:p>
              </w:tc>
              <w:tc>
                <w:tcPr>
                  <w:tcW w:w="630" w:type="dxa"/>
                  <w:tcBorders>
                    <w:tl2br w:val="nil"/>
                    <w:tr2bl w:val="nil"/>
                  </w:tcBorders>
                  <w:noWrap w:val="0"/>
                  <w:vAlign w:val="center"/>
                </w:tcPr>
                <w:p w14:paraId="593FB1B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4FDF517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6100576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3212AEC0">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7E3F6036">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77A1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45995EB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59288D7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2485C53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冷却塔（1台）</w:t>
                  </w:r>
                </w:p>
              </w:tc>
              <w:tc>
                <w:tcPr>
                  <w:tcW w:w="733" w:type="dxa"/>
                  <w:tcBorders>
                    <w:tl2br w:val="nil"/>
                    <w:tr2bl w:val="nil"/>
                  </w:tcBorders>
                  <w:noWrap w:val="0"/>
                  <w:vAlign w:val="center"/>
                </w:tcPr>
                <w:p w14:paraId="308A166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71EBCD00">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85~90</w:t>
                  </w:r>
                </w:p>
              </w:tc>
              <w:tc>
                <w:tcPr>
                  <w:tcW w:w="660" w:type="dxa"/>
                  <w:tcBorders>
                    <w:tl2br w:val="nil"/>
                    <w:tr2bl w:val="nil"/>
                  </w:tcBorders>
                  <w:noWrap w:val="0"/>
                  <w:vAlign w:val="center"/>
                </w:tcPr>
                <w:p w14:paraId="51DE21A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60</w:t>
                  </w:r>
                </w:p>
              </w:tc>
              <w:tc>
                <w:tcPr>
                  <w:tcW w:w="555" w:type="dxa"/>
                  <w:tcBorders>
                    <w:tl2br w:val="nil"/>
                    <w:tr2bl w:val="nil"/>
                  </w:tcBorders>
                  <w:noWrap w:val="0"/>
                  <w:vAlign w:val="center"/>
                </w:tcPr>
                <w:p w14:paraId="082B309D">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22</w:t>
                  </w:r>
                </w:p>
              </w:tc>
              <w:tc>
                <w:tcPr>
                  <w:tcW w:w="630" w:type="dxa"/>
                  <w:tcBorders>
                    <w:tl2br w:val="nil"/>
                    <w:tr2bl w:val="nil"/>
                  </w:tcBorders>
                  <w:noWrap w:val="0"/>
                  <w:vAlign w:val="center"/>
                </w:tcPr>
                <w:p w14:paraId="44685DD1">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w:t>
                  </w:r>
                </w:p>
              </w:tc>
              <w:tc>
                <w:tcPr>
                  <w:tcW w:w="576" w:type="dxa"/>
                  <w:vMerge w:val="continue"/>
                  <w:tcBorders>
                    <w:tl2br w:val="nil"/>
                    <w:tr2bl w:val="nil"/>
                  </w:tcBorders>
                  <w:noWrap w:val="0"/>
                  <w:vAlign w:val="center"/>
                </w:tcPr>
                <w:p w14:paraId="4D7E9DF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7837BB8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57FA2797">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38652FF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54EDE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569BFCE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p>
              </w:tc>
              <w:tc>
                <w:tcPr>
                  <w:tcW w:w="390" w:type="dxa"/>
                  <w:tcBorders>
                    <w:tl2br w:val="nil"/>
                    <w:tr2bl w:val="nil"/>
                  </w:tcBorders>
                  <w:shd w:val="clear" w:color="auto" w:fill="auto"/>
                  <w:noWrap w:val="0"/>
                  <w:vAlign w:val="center"/>
                </w:tcPr>
                <w:p w14:paraId="3A16F98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楼顶</w:t>
                  </w:r>
                </w:p>
              </w:tc>
              <w:tc>
                <w:tcPr>
                  <w:tcW w:w="1664" w:type="dxa"/>
                  <w:tcBorders>
                    <w:tl2br w:val="nil"/>
                    <w:tr2bl w:val="nil"/>
                  </w:tcBorders>
                  <w:shd w:val="clear" w:color="auto" w:fill="auto"/>
                  <w:noWrap w:val="0"/>
                  <w:vAlign w:val="center"/>
                </w:tcPr>
                <w:p w14:paraId="0E3C7AAD">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DA002风机（1台）</w:t>
                  </w:r>
                </w:p>
              </w:tc>
              <w:tc>
                <w:tcPr>
                  <w:tcW w:w="733" w:type="dxa"/>
                  <w:tcBorders>
                    <w:tl2br w:val="nil"/>
                    <w:tr2bl w:val="nil"/>
                  </w:tcBorders>
                  <w:noWrap w:val="0"/>
                  <w:vAlign w:val="center"/>
                </w:tcPr>
                <w:p w14:paraId="442A61B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10D8DE8D">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90~95</w:t>
                  </w:r>
                </w:p>
              </w:tc>
              <w:tc>
                <w:tcPr>
                  <w:tcW w:w="660" w:type="dxa"/>
                  <w:tcBorders>
                    <w:tl2br w:val="nil"/>
                    <w:tr2bl w:val="nil"/>
                  </w:tcBorders>
                  <w:noWrap w:val="0"/>
                  <w:vAlign w:val="center"/>
                </w:tcPr>
                <w:p w14:paraId="69741495">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w:t>
                  </w:r>
                </w:p>
              </w:tc>
              <w:tc>
                <w:tcPr>
                  <w:tcW w:w="555" w:type="dxa"/>
                  <w:tcBorders>
                    <w:tl2br w:val="nil"/>
                    <w:tr2bl w:val="nil"/>
                  </w:tcBorders>
                  <w:noWrap w:val="0"/>
                  <w:vAlign w:val="center"/>
                </w:tcPr>
                <w:p w14:paraId="22A0BE59">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45</w:t>
                  </w:r>
                </w:p>
              </w:tc>
              <w:tc>
                <w:tcPr>
                  <w:tcW w:w="630" w:type="dxa"/>
                  <w:tcBorders>
                    <w:tl2br w:val="nil"/>
                    <w:tr2bl w:val="nil"/>
                  </w:tcBorders>
                  <w:noWrap w:val="0"/>
                  <w:vAlign w:val="center"/>
                </w:tcPr>
                <w:p w14:paraId="5CE44F71">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23</w:t>
                  </w:r>
                </w:p>
              </w:tc>
              <w:tc>
                <w:tcPr>
                  <w:tcW w:w="576" w:type="dxa"/>
                  <w:vMerge w:val="continue"/>
                  <w:tcBorders>
                    <w:tl2br w:val="nil"/>
                    <w:tr2bl w:val="nil"/>
                  </w:tcBorders>
                  <w:noWrap w:val="0"/>
                  <w:vAlign w:val="center"/>
                </w:tcPr>
                <w:p w14:paraId="45C57430">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tcBorders>
                    <w:tl2br w:val="nil"/>
                    <w:tr2bl w:val="nil"/>
                  </w:tcBorders>
                  <w:noWrap w:val="0"/>
                  <w:vAlign w:val="center"/>
                </w:tcPr>
                <w:p w14:paraId="7DB0865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设备基础减振</w:t>
                  </w:r>
                </w:p>
              </w:tc>
              <w:tc>
                <w:tcPr>
                  <w:tcW w:w="788" w:type="dxa"/>
                  <w:tcBorders>
                    <w:tl2br w:val="nil"/>
                    <w:tr2bl w:val="nil"/>
                  </w:tcBorders>
                  <w:noWrap w:val="0"/>
                  <w:vAlign w:val="center"/>
                </w:tcPr>
                <w:p w14:paraId="32949433">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5FED1E29">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6FB9B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restart"/>
                  <w:tcBorders>
                    <w:tl2br w:val="nil"/>
                    <w:tr2bl w:val="nil"/>
                  </w:tcBorders>
                  <w:noWrap w:val="0"/>
                  <w:vAlign w:val="center"/>
                </w:tcPr>
                <w:p w14:paraId="79518179">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厂房</w:t>
                  </w:r>
                </w:p>
                <w:p w14:paraId="723EB3F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四</w:t>
                  </w:r>
                </w:p>
              </w:tc>
              <w:tc>
                <w:tcPr>
                  <w:tcW w:w="390" w:type="dxa"/>
                  <w:vMerge w:val="restart"/>
                  <w:tcBorders>
                    <w:tl2br w:val="nil"/>
                    <w:tr2bl w:val="nil"/>
                  </w:tcBorders>
                  <w:shd w:val="clear" w:color="auto" w:fill="auto"/>
                  <w:noWrap w:val="0"/>
                  <w:vAlign w:val="center"/>
                </w:tcPr>
                <w:p w14:paraId="0927C65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一层</w:t>
                  </w:r>
                </w:p>
              </w:tc>
              <w:tc>
                <w:tcPr>
                  <w:tcW w:w="1664" w:type="dxa"/>
                  <w:tcBorders>
                    <w:tl2br w:val="nil"/>
                    <w:tr2bl w:val="nil"/>
                  </w:tcBorders>
                  <w:shd w:val="clear" w:color="auto" w:fill="auto"/>
                  <w:noWrap w:val="0"/>
                  <w:vAlign w:val="center"/>
                </w:tcPr>
                <w:p w14:paraId="027275D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冲床（15台）</w:t>
                  </w:r>
                </w:p>
              </w:tc>
              <w:tc>
                <w:tcPr>
                  <w:tcW w:w="733" w:type="dxa"/>
                  <w:tcBorders>
                    <w:tl2br w:val="nil"/>
                    <w:tr2bl w:val="nil"/>
                  </w:tcBorders>
                  <w:noWrap w:val="0"/>
                  <w:vAlign w:val="center"/>
                </w:tcPr>
                <w:p w14:paraId="10ADAE1C">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00301CD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47988D2E">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60</w:t>
                  </w:r>
                </w:p>
              </w:tc>
              <w:tc>
                <w:tcPr>
                  <w:tcW w:w="555" w:type="dxa"/>
                  <w:tcBorders>
                    <w:tl2br w:val="nil"/>
                    <w:tr2bl w:val="nil"/>
                  </w:tcBorders>
                  <w:noWrap w:val="0"/>
                  <w:vAlign w:val="center"/>
                </w:tcPr>
                <w:p w14:paraId="0FB827A2">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90</w:t>
                  </w:r>
                </w:p>
              </w:tc>
              <w:tc>
                <w:tcPr>
                  <w:tcW w:w="630" w:type="dxa"/>
                  <w:tcBorders>
                    <w:tl2br w:val="nil"/>
                    <w:tr2bl w:val="nil"/>
                  </w:tcBorders>
                  <w:noWrap w:val="0"/>
                  <w:vAlign w:val="center"/>
                </w:tcPr>
                <w:p w14:paraId="4FFD7AB0">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noWrap w:val="0"/>
                  <w:vAlign w:val="center"/>
                </w:tcPr>
                <w:p w14:paraId="00A6F8C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restart"/>
                  <w:tcBorders>
                    <w:tl2br w:val="nil"/>
                    <w:tr2bl w:val="nil"/>
                  </w:tcBorders>
                  <w:noWrap w:val="0"/>
                  <w:vAlign w:val="center"/>
                </w:tcPr>
                <w:p w14:paraId="07D27251">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车间</w:t>
                  </w:r>
                  <w:r>
                    <w:rPr>
                      <w:rFonts w:hint="default" w:ascii="Times New Roman" w:hAnsi="Times New Roman" w:eastAsia="宋体" w:cs="Times New Roman"/>
                      <w:color w:val="auto"/>
                      <w:sz w:val="18"/>
                      <w:szCs w:val="18"/>
                      <w:highlight w:val="none"/>
                    </w:rPr>
                    <w:t>隔声、</w:t>
                  </w:r>
                  <w:r>
                    <w:rPr>
                      <w:rFonts w:hint="default" w:ascii="Times New Roman" w:hAnsi="Times New Roman" w:eastAsia="宋体" w:cs="Times New Roman"/>
                      <w:color w:val="auto"/>
                      <w:sz w:val="18"/>
                      <w:szCs w:val="18"/>
                      <w:highlight w:val="none"/>
                      <w:lang w:val="en-US" w:eastAsia="zh-CN"/>
                    </w:rPr>
                    <w:t>设备基础</w:t>
                  </w:r>
                  <w:r>
                    <w:rPr>
                      <w:rFonts w:hint="default" w:ascii="Times New Roman" w:hAnsi="Times New Roman" w:eastAsia="宋体" w:cs="Times New Roman"/>
                      <w:color w:val="auto"/>
                      <w:sz w:val="18"/>
                      <w:szCs w:val="18"/>
                      <w:highlight w:val="none"/>
                    </w:rPr>
                    <w:t>减振</w:t>
                  </w:r>
                  <w:r>
                    <w:rPr>
                      <w:rFonts w:hint="default" w:ascii="Times New Roman" w:hAnsi="Times New Roman" w:eastAsia="宋体" w:cs="Times New Roman"/>
                      <w:color w:val="auto"/>
                      <w:sz w:val="18"/>
                      <w:szCs w:val="18"/>
                      <w:highlight w:val="none"/>
                      <w:lang w:val="en-US" w:eastAsia="zh-CN"/>
                    </w:rPr>
                    <w:t>等综合降噪措施</w:t>
                  </w:r>
                </w:p>
              </w:tc>
              <w:tc>
                <w:tcPr>
                  <w:tcW w:w="788" w:type="dxa"/>
                  <w:tcBorders>
                    <w:tl2br w:val="nil"/>
                    <w:tr2bl w:val="nil"/>
                  </w:tcBorders>
                  <w:noWrap w:val="0"/>
                  <w:vAlign w:val="center"/>
                </w:tcPr>
                <w:p w14:paraId="6E8C274F">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30D85DB8">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3EA20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142F5685">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27DD78B7">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159A57A7">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焊接区（5台）</w:t>
                  </w:r>
                </w:p>
              </w:tc>
              <w:tc>
                <w:tcPr>
                  <w:tcW w:w="733" w:type="dxa"/>
                  <w:tcBorders>
                    <w:tl2br w:val="nil"/>
                    <w:tr2bl w:val="nil"/>
                  </w:tcBorders>
                  <w:noWrap w:val="0"/>
                  <w:vAlign w:val="center"/>
                </w:tcPr>
                <w:p w14:paraId="63DA12B8">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7D5411C3">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1EB3E4A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w:t>
                  </w:r>
                </w:p>
              </w:tc>
              <w:tc>
                <w:tcPr>
                  <w:tcW w:w="555" w:type="dxa"/>
                  <w:tcBorders>
                    <w:tl2br w:val="nil"/>
                    <w:tr2bl w:val="nil"/>
                  </w:tcBorders>
                  <w:noWrap w:val="0"/>
                  <w:vAlign w:val="center"/>
                </w:tcPr>
                <w:p w14:paraId="68428577">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630" w:type="dxa"/>
                  <w:tcBorders>
                    <w:tl2br w:val="nil"/>
                    <w:tr2bl w:val="nil"/>
                  </w:tcBorders>
                  <w:noWrap w:val="0"/>
                  <w:vAlign w:val="center"/>
                </w:tcPr>
                <w:p w14:paraId="362F82F0">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continue"/>
                  <w:tcBorders>
                    <w:tl2br w:val="nil"/>
                    <w:tr2bl w:val="nil"/>
                  </w:tcBorders>
                  <w:noWrap w:val="0"/>
                  <w:vAlign w:val="center"/>
                </w:tcPr>
                <w:p w14:paraId="238791D8">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75AD5AA5">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0CAA3A07">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25FCBD88">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3BCB3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79671223">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2157C645">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1EA88579">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自动攻牙机（2台）</w:t>
                  </w:r>
                </w:p>
              </w:tc>
              <w:tc>
                <w:tcPr>
                  <w:tcW w:w="733" w:type="dxa"/>
                  <w:tcBorders>
                    <w:tl2br w:val="nil"/>
                    <w:tr2bl w:val="nil"/>
                  </w:tcBorders>
                  <w:noWrap w:val="0"/>
                  <w:vAlign w:val="center"/>
                </w:tcPr>
                <w:p w14:paraId="1F31D71F">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36238C56">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80~85</w:t>
                  </w:r>
                </w:p>
              </w:tc>
              <w:tc>
                <w:tcPr>
                  <w:tcW w:w="660" w:type="dxa"/>
                  <w:tcBorders>
                    <w:tl2br w:val="nil"/>
                    <w:tr2bl w:val="nil"/>
                  </w:tcBorders>
                  <w:noWrap w:val="0"/>
                  <w:vAlign w:val="center"/>
                </w:tcPr>
                <w:p w14:paraId="55ECAD8B">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65</w:t>
                  </w:r>
                </w:p>
              </w:tc>
              <w:tc>
                <w:tcPr>
                  <w:tcW w:w="555" w:type="dxa"/>
                  <w:tcBorders>
                    <w:tl2br w:val="nil"/>
                    <w:tr2bl w:val="nil"/>
                  </w:tcBorders>
                  <w:noWrap w:val="0"/>
                  <w:vAlign w:val="center"/>
                </w:tcPr>
                <w:p w14:paraId="508F89E8">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630" w:type="dxa"/>
                  <w:tcBorders>
                    <w:tl2br w:val="nil"/>
                    <w:tr2bl w:val="nil"/>
                  </w:tcBorders>
                  <w:noWrap w:val="0"/>
                  <w:vAlign w:val="center"/>
                </w:tcPr>
                <w:p w14:paraId="2A5C720A">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576" w:type="dxa"/>
                  <w:vMerge w:val="continue"/>
                  <w:tcBorders>
                    <w:tl2br w:val="nil"/>
                    <w:tr2bl w:val="nil"/>
                  </w:tcBorders>
                  <w:noWrap w:val="0"/>
                  <w:vAlign w:val="center"/>
                </w:tcPr>
                <w:p w14:paraId="2CA51E8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37E6B5D3">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3B76C61F">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2EE1BB75">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r w14:paraId="4880F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325" w:type="dxa"/>
                  <w:vMerge w:val="continue"/>
                  <w:tcBorders>
                    <w:tl2br w:val="nil"/>
                    <w:tr2bl w:val="nil"/>
                  </w:tcBorders>
                  <w:noWrap w:val="0"/>
                  <w:vAlign w:val="center"/>
                </w:tcPr>
                <w:p w14:paraId="0687BF27">
                  <w:pPr>
                    <w:pStyle w:val="134"/>
                    <w:keepNext w:val="0"/>
                    <w:keepLines w:val="0"/>
                    <w:pageBreakBefore w:val="0"/>
                    <w:kinsoku/>
                    <w:wordWrap/>
                    <w:overflowPunct/>
                    <w:topLinePunct w:val="0"/>
                    <w:autoSpaceDE/>
                    <w:autoSpaceDN/>
                    <w:bidi w:val="0"/>
                    <w:adjustRightInd w:val="0"/>
                    <w:snapToGrid w:val="0"/>
                    <w:spacing w:line="240" w:lineRule="auto"/>
                    <w:rPr>
                      <w:rFonts w:hint="eastAsia" w:ascii="Times New Roman" w:hAnsi="Times New Roman" w:eastAsia="宋体" w:cs="Times New Roman"/>
                      <w:color w:val="auto"/>
                      <w:sz w:val="18"/>
                      <w:szCs w:val="18"/>
                      <w:highlight w:val="none"/>
                      <w:lang w:val="en-US" w:eastAsia="zh-CN"/>
                    </w:rPr>
                  </w:pPr>
                </w:p>
              </w:tc>
              <w:tc>
                <w:tcPr>
                  <w:tcW w:w="390" w:type="dxa"/>
                  <w:vMerge w:val="continue"/>
                  <w:tcBorders>
                    <w:tl2br w:val="nil"/>
                    <w:tr2bl w:val="nil"/>
                  </w:tcBorders>
                  <w:shd w:val="clear" w:color="auto" w:fill="auto"/>
                  <w:noWrap w:val="0"/>
                  <w:vAlign w:val="center"/>
                </w:tcPr>
                <w:p w14:paraId="15F58F75">
                  <w:pPr>
                    <w:widowControl/>
                    <w:kinsoku w:val="0"/>
                    <w:autoSpaceDE w:val="0"/>
                    <w:autoSpaceDN w:val="0"/>
                    <w:adjustRightInd w:val="0"/>
                    <w:snapToGrid w:val="0"/>
                    <w:spacing w:line="240" w:lineRule="auto"/>
                    <w:jc w:val="center"/>
                    <w:textAlignment w:val="baseline"/>
                    <w:rPr>
                      <w:rFonts w:hint="eastAsia" w:cs="Times New Roman"/>
                      <w:color w:val="auto"/>
                      <w:kern w:val="2"/>
                      <w:sz w:val="18"/>
                      <w:szCs w:val="18"/>
                      <w:highlight w:val="none"/>
                      <w:lang w:val="en-US" w:eastAsia="zh-CN" w:bidi="ar-SA"/>
                    </w:rPr>
                  </w:pPr>
                </w:p>
              </w:tc>
              <w:tc>
                <w:tcPr>
                  <w:tcW w:w="1664" w:type="dxa"/>
                  <w:tcBorders>
                    <w:tl2br w:val="nil"/>
                    <w:tr2bl w:val="nil"/>
                  </w:tcBorders>
                  <w:shd w:val="clear" w:color="auto" w:fill="auto"/>
                  <w:noWrap w:val="0"/>
                  <w:vAlign w:val="center"/>
                </w:tcPr>
                <w:p w14:paraId="7329D815">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空压机（2台）</w:t>
                  </w:r>
                </w:p>
              </w:tc>
              <w:tc>
                <w:tcPr>
                  <w:tcW w:w="733" w:type="dxa"/>
                  <w:tcBorders>
                    <w:tl2br w:val="nil"/>
                    <w:tr2bl w:val="nil"/>
                  </w:tcBorders>
                  <w:noWrap w:val="0"/>
                  <w:vAlign w:val="center"/>
                </w:tcPr>
                <w:p w14:paraId="59F9BDDA">
                  <w:pPr>
                    <w:widowControl/>
                    <w:kinsoku w:val="0"/>
                    <w:autoSpaceDE w:val="0"/>
                    <w:autoSpaceDN w:val="0"/>
                    <w:adjustRightInd w:val="0"/>
                    <w:snapToGrid w:val="0"/>
                    <w:spacing w:line="240" w:lineRule="auto"/>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间断</w:t>
                  </w:r>
                </w:p>
              </w:tc>
              <w:tc>
                <w:tcPr>
                  <w:tcW w:w="1019" w:type="dxa"/>
                  <w:tcBorders>
                    <w:tl2br w:val="nil"/>
                    <w:tr2bl w:val="nil"/>
                  </w:tcBorders>
                  <w:noWrap w:val="0"/>
                  <w:vAlign w:val="center"/>
                </w:tcPr>
                <w:p w14:paraId="0298B1DF">
                  <w:pPr>
                    <w:widowControl/>
                    <w:kinsoku w:val="0"/>
                    <w:autoSpaceDE w:val="0"/>
                    <w:autoSpaceDN w:val="0"/>
                    <w:adjustRightInd w:val="0"/>
                    <w:snapToGrid w:val="0"/>
                    <w:spacing w:line="240" w:lineRule="auto"/>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85~90</w:t>
                  </w:r>
                </w:p>
              </w:tc>
              <w:tc>
                <w:tcPr>
                  <w:tcW w:w="660" w:type="dxa"/>
                  <w:tcBorders>
                    <w:tl2br w:val="nil"/>
                    <w:tr2bl w:val="nil"/>
                  </w:tcBorders>
                  <w:noWrap w:val="0"/>
                  <w:vAlign w:val="center"/>
                </w:tcPr>
                <w:p w14:paraId="2627E725">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52</w:t>
                  </w:r>
                </w:p>
              </w:tc>
              <w:tc>
                <w:tcPr>
                  <w:tcW w:w="555" w:type="dxa"/>
                  <w:tcBorders>
                    <w:tl2br w:val="nil"/>
                    <w:tr2bl w:val="nil"/>
                  </w:tcBorders>
                  <w:noWrap w:val="0"/>
                  <w:vAlign w:val="center"/>
                </w:tcPr>
                <w:p w14:paraId="3EEB218F">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85</w:t>
                  </w:r>
                </w:p>
              </w:tc>
              <w:tc>
                <w:tcPr>
                  <w:tcW w:w="630" w:type="dxa"/>
                  <w:tcBorders>
                    <w:tl2br w:val="nil"/>
                    <w:tr2bl w:val="nil"/>
                  </w:tcBorders>
                  <w:noWrap w:val="0"/>
                  <w:vAlign w:val="center"/>
                </w:tcPr>
                <w:p w14:paraId="5BD12829">
                  <w:pPr>
                    <w:widowControl/>
                    <w:kinsoku w:val="0"/>
                    <w:autoSpaceDE w:val="0"/>
                    <w:autoSpaceDN w:val="0"/>
                    <w:adjustRightInd w:val="0"/>
                    <w:snapToGrid w:val="0"/>
                    <w:spacing w:line="240" w:lineRule="auto"/>
                    <w:jc w:val="center"/>
                    <w:textAlignment w:val="baseline"/>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c>
                <w:tcPr>
                  <w:tcW w:w="576" w:type="dxa"/>
                  <w:vMerge w:val="continue"/>
                  <w:tcBorders>
                    <w:tl2br w:val="nil"/>
                    <w:tr2bl w:val="nil"/>
                  </w:tcBorders>
                  <w:noWrap w:val="0"/>
                  <w:vAlign w:val="center"/>
                </w:tcPr>
                <w:p w14:paraId="0D82848B">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670" w:type="dxa"/>
                  <w:vMerge w:val="continue"/>
                  <w:tcBorders>
                    <w:tl2br w:val="nil"/>
                    <w:tr2bl w:val="nil"/>
                  </w:tcBorders>
                  <w:noWrap w:val="0"/>
                  <w:vAlign w:val="center"/>
                </w:tcPr>
                <w:p w14:paraId="5CCFA42D">
                  <w:pPr>
                    <w:pStyle w:val="134"/>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18"/>
                      <w:szCs w:val="18"/>
                      <w:highlight w:val="none"/>
                    </w:rPr>
                  </w:pPr>
                </w:p>
              </w:tc>
              <w:tc>
                <w:tcPr>
                  <w:tcW w:w="788" w:type="dxa"/>
                  <w:tcBorders>
                    <w:tl2br w:val="nil"/>
                    <w:tr2bl w:val="nil"/>
                  </w:tcBorders>
                  <w:noWrap w:val="0"/>
                  <w:vAlign w:val="center"/>
                </w:tcPr>
                <w:p w14:paraId="6B970F43">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昼间8h</w:t>
                  </w:r>
                </w:p>
              </w:tc>
              <w:tc>
                <w:tcPr>
                  <w:tcW w:w="711" w:type="dxa"/>
                  <w:tcBorders>
                    <w:tl2br w:val="nil"/>
                    <w:tr2bl w:val="nil"/>
                  </w:tcBorders>
                  <w:noWrap w:val="0"/>
                  <w:vAlign w:val="center"/>
                </w:tcPr>
                <w:p w14:paraId="79EC3695">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r>
          </w:tbl>
          <w:p w14:paraId="5812B23B">
            <w:pPr>
              <w:adjustRightInd w:val="0"/>
              <w:snapToGrid w:val="0"/>
              <w:spacing w:before="120" w:beforeLines="50" w:line="360" w:lineRule="auto"/>
              <w:rPr>
                <w:rFonts w:hint="default" w:eastAsia="黑体"/>
                <w:b w:val="0"/>
                <w:bCs w:val="0"/>
                <w:color w:val="auto"/>
                <w:kern w:val="0"/>
                <w:sz w:val="21"/>
                <w:szCs w:val="21"/>
                <w:highlight w:val="none"/>
                <w:lang w:val="en-US" w:eastAsia="zh-CN"/>
              </w:rPr>
            </w:pPr>
            <w:r>
              <w:rPr>
                <w:rFonts w:hint="eastAsia" w:eastAsia="黑体"/>
                <w:b w:val="0"/>
                <w:bCs w:val="0"/>
                <w:color w:val="auto"/>
                <w:kern w:val="0"/>
                <w:sz w:val="21"/>
                <w:szCs w:val="21"/>
                <w:highlight w:val="none"/>
                <w:lang w:eastAsia="zh-CN"/>
              </w:rPr>
              <w:t>注：以</w:t>
            </w:r>
            <w:r>
              <w:rPr>
                <w:rFonts w:hint="eastAsia" w:eastAsia="黑体"/>
                <w:b w:val="0"/>
                <w:bCs w:val="0"/>
                <w:color w:val="auto"/>
                <w:kern w:val="0"/>
                <w:sz w:val="21"/>
                <w:szCs w:val="21"/>
                <w:highlight w:val="none"/>
                <w:lang w:val="en-US" w:eastAsia="zh-CN"/>
              </w:rPr>
              <w:t>厂房五西南角为原点</w:t>
            </w:r>
          </w:p>
          <w:p w14:paraId="4BC52430">
            <w:pPr>
              <w:adjustRightInd w:val="0"/>
              <w:snapToGrid w:val="0"/>
              <w:spacing w:before="120" w:beforeLines="50" w:line="360" w:lineRule="auto"/>
              <w:rPr>
                <w:rFonts w:hint="eastAsia" w:eastAsia="黑体"/>
                <w:b/>
                <w:bCs/>
                <w:color w:val="auto"/>
                <w:kern w:val="0"/>
                <w:sz w:val="24"/>
                <w:highlight w:val="none"/>
              </w:rPr>
            </w:pPr>
            <w:r>
              <w:rPr>
                <w:rFonts w:hint="eastAsia" w:eastAsia="黑体"/>
                <w:b/>
                <w:bCs/>
                <w:color w:val="auto"/>
                <w:kern w:val="0"/>
                <w:sz w:val="24"/>
                <w:highlight w:val="none"/>
              </w:rPr>
              <w:t>4.4.2</w:t>
            </w:r>
            <w:r>
              <w:rPr>
                <w:rFonts w:eastAsia="黑体"/>
                <w:b/>
                <w:bCs/>
                <w:color w:val="auto"/>
                <w:kern w:val="0"/>
                <w:sz w:val="24"/>
                <w:highlight w:val="none"/>
              </w:rPr>
              <w:t>运营期声环境影响分析</w:t>
            </w:r>
          </w:p>
          <w:p w14:paraId="49FA278D">
            <w:pPr>
              <w:spacing w:line="360" w:lineRule="auto"/>
              <w:ind w:firstLine="555"/>
              <w:rPr>
                <w:color w:val="auto"/>
                <w:sz w:val="24"/>
                <w:highlight w:val="none"/>
              </w:rPr>
            </w:pPr>
            <w:r>
              <w:rPr>
                <w:color w:val="auto"/>
                <w:sz w:val="24"/>
                <w:highlight w:val="none"/>
              </w:rPr>
              <w:t>项目噪声预测模式采用《环境影响评价技术导则</w:t>
            </w:r>
            <w:r>
              <w:rPr>
                <w:rFonts w:hint="eastAsia"/>
                <w:color w:val="auto"/>
                <w:sz w:val="24"/>
                <w:highlight w:val="none"/>
              </w:rPr>
              <w:t xml:space="preserve"> </w:t>
            </w:r>
            <w:r>
              <w:rPr>
                <w:color w:val="auto"/>
                <w:sz w:val="24"/>
                <w:highlight w:val="none"/>
              </w:rPr>
              <w:t>声环境》(HJ2.4-20</w:t>
            </w:r>
            <w:r>
              <w:rPr>
                <w:rFonts w:hint="eastAsia"/>
                <w:color w:val="auto"/>
                <w:sz w:val="24"/>
                <w:highlight w:val="none"/>
              </w:rPr>
              <w:t>21</w:t>
            </w:r>
            <w:r>
              <w:rPr>
                <w:color w:val="auto"/>
                <w:sz w:val="24"/>
                <w:highlight w:val="none"/>
              </w:rPr>
              <w:t>)中附录A户外声传播的衰减</w:t>
            </w:r>
            <w:r>
              <w:rPr>
                <w:rFonts w:hint="eastAsia"/>
                <w:color w:val="auto"/>
                <w:sz w:val="24"/>
                <w:highlight w:val="none"/>
              </w:rPr>
              <w:t>及</w:t>
            </w:r>
            <w:r>
              <w:rPr>
                <w:color w:val="auto"/>
                <w:sz w:val="24"/>
                <w:highlight w:val="none"/>
              </w:rPr>
              <w:t>附录B典型行业噪声预测模型</w:t>
            </w:r>
            <w:r>
              <w:rPr>
                <w:rFonts w:hint="eastAsia"/>
                <w:color w:val="auto"/>
                <w:sz w:val="24"/>
                <w:highlight w:val="none"/>
              </w:rPr>
              <w:t>进行分析。</w:t>
            </w:r>
          </w:p>
          <w:p w14:paraId="06940CA4">
            <w:pPr>
              <w:adjustRightInd w:val="0"/>
              <w:snapToGrid w:val="0"/>
              <w:spacing w:line="360" w:lineRule="auto"/>
              <w:ind w:firstLine="480"/>
              <w:rPr>
                <w:rFonts w:hint="eastAsia"/>
                <w:b/>
                <w:color w:val="auto"/>
                <w:sz w:val="24"/>
                <w:highlight w:val="none"/>
              </w:rPr>
            </w:pPr>
            <w:r>
              <w:rPr>
                <w:b/>
                <w:color w:val="auto"/>
                <w:sz w:val="24"/>
                <w:highlight w:val="none"/>
              </w:rPr>
              <w:t>⑴室内声源</w:t>
            </w:r>
            <w:r>
              <w:rPr>
                <w:rFonts w:hint="eastAsia"/>
                <w:b/>
                <w:color w:val="auto"/>
                <w:sz w:val="24"/>
                <w:highlight w:val="none"/>
              </w:rPr>
              <w:t>等效室外声源声功率级计算方法</w:t>
            </w:r>
          </w:p>
          <w:p w14:paraId="3EB0DC33">
            <w:pPr>
              <w:adjustRightInd w:val="0"/>
              <w:snapToGrid w:val="0"/>
              <w:spacing w:line="360" w:lineRule="auto"/>
              <w:ind w:firstLine="480"/>
              <w:rPr>
                <w:rFonts w:hint="eastAsia"/>
                <w:color w:val="auto"/>
                <w:sz w:val="24"/>
                <w:highlight w:val="none"/>
              </w:rPr>
            </w:pPr>
            <w:r>
              <w:rPr>
                <w:rFonts w:hint="eastAsia"/>
                <w:color w:val="auto"/>
                <w:sz w:val="24"/>
                <w:highlight w:val="none"/>
              </w:rPr>
              <w:t>①</w:t>
            </w:r>
            <w:r>
              <w:rPr>
                <w:color w:val="auto"/>
                <w:sz w:val="24"/>
                <w:highlight w:val="none"/>
              </w:rPr>
              <w:t>如</w:t>
            </w:r>
            <w:r>
              <w:rPr>
                <w:rFonts w:hint="eastAsia"/>
                <w:color w:val="auto"/>
                <w:sz w:val="24"/>
                <w:highlight w:val="none"/>
              </w:rPr>
              <w:t>下</w:t>
            </w:r>
            <w:r>
              <w:rPr>
                <w:color w:val="auto"/>
                <w:sz w:val="24"/>
                <w:highlight w:val="none"/>
              </w:rPr>
              <w:t>图所示，</w:t>
            </w:r>
            <w:r>
              <w:rPr>
                <w:rFonts w:hint="eastAsia"/>
                <w:color w:val="auto"/>
                <w:sz w:val="24"/>
                <w:highlight w:val="none"/>
              </w:rPr>
              <w:t>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14:paraId="2FD98089">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244600" cy="241300"/>
                  <wp:effectExtent l="0" t="0" r="12700" b="5080"/>
                  <wp:docPr id="8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2"/>
                          <pic:cNvPicPr>
                            <a:picLocks noChangeAspect="1"/>
                          </pic:cNvPicPr>
                        </pic:nvPicPr>
                        <pic:blipFill>
                          <a:blip r:embed="rId42"/>
                          <a:stretch>
                            <a:fillRect/>
                          </a:stretch>
                        </pic:blipFill>
                        <pic:spPr>
                          <a:xfrm>
                            <a:off x="0" y="0"/>
                            <a:ext cx="1244600" cy="241300"/>
                          </a:xfrm>
                          <a:prstGeom prst="rect">
                            <a:avLst/>
                          </a:prstGeom>
                          <a:noFill/>
                          <a:ln>
                            <a:noFill/>
                          </a:ln>
                        </pic:spPr>
                      </pic:pic>
                    </a:graphicData>
                  </a:graphic>
                </wp:inline>
              </w:drawing>
            </w:r>
          </w:p>
          <w:p w14:paraId="6F3939F4">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0A9046FD">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w:t>
            </w:r>
            <w:r>
              <w:rPr>
                <w:rFonts w:hint="eastAsia"/>
                <w:color w:val="auto"/>
                <w:sz w:val="24"/>
                <w:highlight w:val="none"/>
              </w:rPr>
              <w:t>—靠近开口处(或窗户)室内某倍频带的声压级或A声级，dB；</w:t>
            </w:r>
          </w:p>
          <w:p w14:paraId="02726DB3">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p2</w:t>
            </w:r>
            <w:r>
              <w:rPr>
                <w:rFonts w:hint="eastAsia"/>
                <w:color w:val="auto"/>
                <w:sz w:val="24"/>
                <w:highlight w:val="none"/>
              </w:rPr>
              <w:t>—靠近开口处(或窗户)室外某倍频带的声压级或A声级，dB；</w:t>
            </w:r>
          </w:p>
          <w:p w14:paraId="64A38FB7">
            <w:pPr>
              <w:adjustRightInd w:val="0"/>
              <w:snapToGrid w:val="0"/>
              <w:spacing w:line="360" w:lineRule="auto"/>
              <w:ind w:firstLine="480"/>
              <w:rPr>
                <w:rFonts w:hint="eastAsia"/>
                <w:color w:val="auto"/>
                <w:sz w:val="24"/>
                <w:highlight w:val="none"/>
              </w:rPr>
            </w:pPr>
            <w:r>
              <w:rPr>
                <w:rFonts w:hint="eastAsia"/>
                <w:color w:val="auto"/>
                <w:sz w:val="24"/>
                <w:highlight w:val="none"/>
              </w:rPr>
              <w:t>TI—隔墙(或窗户)倍频带或A声级的隔声量，dB。</w:t>
            </w:r>
          </w:p>
          <w:p w14:paraId="105D9342">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2320290" cy="1279525"/>
                  <wp:effectExtent l="0" t="0" r="3810" b="15875"/>
                  <wp:docPr id="8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3"/>
                          <pic:cNvPicPr>
                            <a:picLocks noChangeAspect="1"/>
                          </pic:cNvPicPr>
                        </pic:nvPicPr>
                        <pic:blipFill>
                          <a:blip r:embed="rId43"/>
                          <a:stretch>
                            <a:fillRect/>
                          </a:stretch>
                        </pic:blipFill>
                        <pic:spPr>
                          <a:xfrm>
                            <a:off x="0" y="0"/>
                            <a:ext cx="2320290" cy="1279525"/>
                          </a:xfrm>
                          <a:prstGeom prst="rect">
                            <a:avLst/>
                          </a:prstGeom>
                          <a:noFill/>
                          <a:ln>
                            <a:noFill/>
                          </a:ln>
                        </pic:spPr>
                      </pic:pic>
                    </a:graphicData>
                  </a:graphic>
                </wp:inline>
              </w:drawing>
            </w:r>
          </w:p>
          <w:p w14:paraId="23A66216">
            <w:pPr>
              <w:adjustRightInd w:val="0"/>
              <w:snapToGrid w:val="0"/>
              <w:spacing w:line="360" w:lineRule="auto"/>
              <w:ind w:firstLine="480"/>
              <w:jc w:val="center"/>
              <w:rPr>
                <w:rFonts w:eastAsia="黑体"/>
                <w:color w:val="auto"/>
                <w:sz w:val="24"/>
                <w:highlight w:val="none"/>
              </w:rPr>
            </w:pPr>
            <w:r>
              <w:rPr>
                <w:rFonts w:eastAsia="黑体"/>
                <w:color w:val="auto"/>
                <w:sz w:val="24"/>
                <w:highlight w:val="none"/>
              </w:rPr>
              <w:t>图4-</w:t>
            </w:r>
            <w:r>
              <w:rPr>
                <w:rFonts w:hint="eastAsia" w:eastAsia="黑体"/>
                <w:color w:val="auto"/>
                <w:sz w:val="24"/>
                <w:highlight w:val="none"/>
                <w:lang w:val="en-US" w:eastAsia="zh-CN"/>
              </w:rPr>
              <w:t>6</w:t>
            </w:r>
            <w:r>
              <w:rPr>
                <w:rFonts w:eastAsia="黑体"/>
                <w:color w:val="auto"/>
                <w:sz w:val="24"/>
                <w:highlight w:val="none"/>
              </w:rPr>
              <w:t xml:space="preserve"> 室内声源等效室外声源图例</w:t>
            </w:r>
          </w:p>
          <w:p w14:paraId="5A8F2D7C">
            <w:pPr>
              <w:adjustRightInd w:val="0"/>
              <w:snapToGrid w:val="0"/>
              <w:spacing w:line="360" w:lineRule="auto"/>
              <w:ind w:firstLine="480"/>
              <w:rPr>
                <w:rFonts w:hint="eastAsia"/>
                <w:color w:val="auto"/>
                <w:sz w:val="24"/>
                <w:highlight w:val="none"/>
              </w:rPr>
            </w:pPr>
            <w:r>
              <w:rPr>
                <w:rFonts w:hint="eastAsia"/>
                <w:color w:val="auto"/>
                <w:sz w:val="24"/>
                <w:highlight w:val="none"/>
              </w:rPr>
              <w:t>②按下式计算某一室内声源靠近围护结构处产生的倍频带声压级或A声级：</w:t>
            </w:r>
          </w:p>
          <w:p w14:paraId="773D2225">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714500" cy="482600"/>
                  <wp:effectExtent l="0" t="0" r="0" b="13335"/>
                  <wp:docPr id="8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4"/>
                          <pic:cNvPicPr>
                            <a:picLocks noChangeAspect="1"/>
                          </pic:cNvPicPr>
                        </pic:nvPicPr>
                        <pic:blipFill>
                          <a:blip r:embed="rId44"/>
                          <a:stretch>
                            <a:fillRect/>
                          </a:stretch>
                        </pic:blipFill>
                        <pic:spPr>
                          <a:xfrm>
                            <a:off x="0" y="0"/>
                            <a:ext cx="1714500" cy="482600"/>
                          </a:xfrm>
                          <a:prstGeom prst="rect">
                            <a:avLst/>
                          </a:prstGeom>
                          <a:noFill/>
                          <a:ln>
                            <a:noFill/>
                          </a:ln>
                        </pic:spPr>
                      </pic:pic>
                    </a:graphicData>
                  </a:graphic>
                </wp:inline>
              </w:drawing>
            </w:r>
          </w:p>
          <w:p w14:paraId="686FB1FB">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式中：</w:t>
            </w:r>
          </w:p>
          <w:p w14:paraId="3B3CB0CB">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Lp</w:t>
            </w:r>
            <w:r>
              <w:rPr>
                <w:rFonts w:hint="eastAsia" w:hAnsi="宋体" w:cs="宋体"/>
                <w:color w:val="auto"/>
                <w:sz w:val="24"/>
                <w:highlight w:val="none"/>
                <w:vertAlign w:val="subscript"/>
              </w:rPr>
              <w:t>1</w:t>
            </w:r>
            <w:r>
              <w:rPr>
                <w:rFonts w:hint="eastAsia" w:hAnsi="宋体" w:cs="宋体"/>
                <w:color w:val="auto"/>
                <w:sz w:val="24"/>
                <w:highlight w:val="none"/>
              </w:rPr>
              <w:t>—靠近开口处(或窗户)室内某倍频带的声压级或A声级，dB；</w:t>
            </w:r>
          </w:p>
          <w:p w14:paraId="7773E598">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Lw—点声源声功率级(A计权或倍频带)，dB；</w:t>
            </w:r>
          </w:p>
          <w:p w14:paraId="3B0FA256">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Q—指向性因数；通常对无指向性声源，当声源放在房间中心时，Q=1；当放在一面墙的中心时，Q=2；当放在两面墙夹角处时，Q=4；当放在三面墙夹角处时，Q=8；</w:t>
            </w:r>
          </w:p>
          <w:p w14:paraId="011445CB">
            <w:pPr>
              <w:adjustRightInd w:val="0"/>
              <w:snapToGrid w:val="0"/>
              <w:spacing w:line="360" w:lineRule="auto"/>
              <w:ind w:firstLine="480"/>
              <w:rPr>
                <w:rFonts w:hint="eastAsia" w:hAnsi="宋体" w:cs="宋体"/>
                <w:color w:val="auto"/>
                <w:sz w:val="24"/>
                <w:highlight w:val="none"/>
              </w:rPr>
            </w:pPr>
            <w:r>
              <w:rPr>
                <w:rFonts w:hint="eastAsia" w:hAnsi="宋体" w:cs="宋体"/>
                <w:color w:val="auto"/>
                <w:sz w:val="24"/>
                <w:highlight w:val="none"/>
              </w:rPr>
              <w:t>R—房间常数；R=Sa/(1-a)，s为房间内表面面积，m</w:t>
            </w:r>
            <w:r>
              <w:rPr>
                <w:rFonts w:hint="eastAsia" w:hAnsi="宋体" w:cs="宋体"/>
                <w:color w:val="auto"/>
                <w:sz w:val="24"/>
                <w:highlight w:val="none"/>
                <w:vertAlign w:val="superscript"/>
              </w:rPr>
              <w:t>2</w:t>
            </w:r>
            <w:r>
              <w:rPr>
                <w:rFonts w:hint="eastAsia" w:hAnsi="宋体" w:cs="宋体"/>
                <w:color w:val="auto"/>
                <w:sz w:val="24"/>
                <w:highlight w:val="none"/>
              </w:rPr>
              <w:t>；a为平均吸声系数；</w:t>
            </w:r>
          </w:p>
          <w:p w14:paraId="5E9BC3E1">
            <w:pPr>
              <w:adjustRightInd w:val="0"/>
              <w:snapToGrid w:val="0"/>
              <w:spacing w:line="360" w:lineRule="auto"/>
              <w:ind w:firstLine="480"/>
              <w:rPr>
                <w:rFonts w:hint="eastAsia"/>
                <w:color w:val="auto"/>
                <w:sz w:val="24"/>
                <w:highlight w:val="none"/>
              </w:rPr>
            </w:pPr>
            <w:r>
              <w:rPr>
                <w:rFonts w:hint="eastAsia"/>
                <w:color w:val="auto"/>
                <w:sz w:val="24"/>
                <w:highlight w:val="none"/>
              </w:rPr>
              <w:t>r</w:t>
            </w:r>
            <w:r>
              <w:rPr>
                <w:rFonts w:hint="eastAsia" w:hAnsi="宋体" w:cs="宋体"/>
                <w:color w:val="auto"/>
                <w:sz w:val="24"/>
                <w:highlight w:val="none"/>
              </w:rPr>
              <w:t>—</w:t>
            </w:r>
            <w:r>
              <w:rPr>
                <w:rFonts w:hint="eastAsia"/>
                <w:color w:val="auto"/>
                <w:sz w:val="24"/>
                <w:highlight w:val="none"/>
              </w:rPr>
              <w:t>声源到靠近围护结构某点处的距离，m。</w:t>
            </w:r>
          </w:p>
          <w:p w14:paraId="0801A398">
            <w:pPr>
              <w:adjustRightInd w:val="0"/>
              <w:snapToGrid w:val="0"/>
              <w:spacing w:line="360" w:lineRule="auto"/>
              <w:ind w:firstLine="480"/>
              <w:rPr>
                <w:color w:val="auto"/>
                <w:sz w:val="24"/>
                <w:highlight w:val="none"/>
              </w:rPr>
            </w:pPr>
            <w:r>
              <w:rPr>
                <w:rFonts w:hint="eastAsia"/>
                <w:color w:val="auto"/>
                <w:sz w:val="24"/>
                <w:highlight w:val="none"/>
              </w:rPr>
              <w:t>③按下式</w:t>
            </w:r>
            <w:r>
              <w:rPr>
                <w:color w:val="auto"/>
                <w:sz w:val="24"/>
                <w:highlight w:val="none"/>
              </w:rPr>
              <w:t>计算出所有室内声源在靠近围护结构处产生的</w:t>
            </w:r>
            <w:r>
              <w:rPr>
                <w:rFonts w:hint="eastAsia"/>
                <w:color w:val="auto"/>
                <w:sz w:val="24"/>
                <w:highlight w:val="none"/>
              </w:rPr>
              <w:t>i</w:t>
            </w:r>
            <w:r>
              <w:rPr>
                <w:color w:val="auto"/>
                <w:sz w:val="24"/>
                <w:highlight w:val="none"/>
              </w:rPr>
              <w:t>倍频带</w:t>
            </w:r>
            <w:r>
              <w:rPr>
                <w:rFonts w:hint="eastAsia"/>
                <w:color w:val="auto"/>
                <w:sz w:val="24"/>
                <w:highlight w:val="none"/>
              </w:rPr>
              <w:t>叠加</w:t>
            </w:r>
            <w:r>
              <w:rPr>
                <w:color w:val="auto"/>
                <w:sz w:val="24"/>
                <w:highlight w:val="none"/>
              </w:rPr>
              <w:t>声压级：</w:t>
            </w:r>
          </w:p>
          <w:p w14:paraId="06BE37CD">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1688465" cy="482600"/>
                  <wp:effectExtent l="0" t="0" r="6985" b="13335"/>
                  <wp:docPr id="8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5"/>
                          <pic:cNvPicPr>
                            <a:picLocks noChangeAspect="1"/>
                          </pic:cNvPicPr>
                        </pic:nvPicPr>
                        <pic:blipFill>
                          <a:blip r:embed="rId45"/>
                          <a:stretch>
                            <a:fillRect/>
                          </a:stretch>
                        </pic:blipFill>
                        <pic:spPr>
                          <a:xfrm>
                            <a:off x="0" y="0"/>
                            <a:ext cx="1688465" cy="482600"/>
                          </a:xfrm>
                          <a:prstGeom prst="rect">
                            <a:avLst/>
                          </a:prstGeom>
                          <a:noFill/>
                          <a:ln>
                            <a:noFill/>
                          </a:ln>
                        </pic:spPr>
                      </pic:pic>
                    </a:graphicData>
                  </a:graphic>
                </wp:inline>
              </w:drawing>
            </w:r>
          </w:p>
          <w:p w14:paraId="232A1E7D">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1830D41C">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靠近围护结构处室内N个声源i倍频带的叠加声压级，dB；</w:t>
            </w:r>
          </w:p>
          <w:p w14:paraId="0D75641A">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p1ij</w:t>
            </w:r>
            <w:r>
              <w:rPr>
                <w:rFonts w:hint="eastAsia" w:hAnsi="宋体" w:cs="宋体"/>
                <w:color w:val="auto"/>
                <w:sz w:val="24"/>
                <w:highlight w:val="none"/>
              </w:rPr>
              <w:t>—</w:t>
            </w:r>
            <w:r>
              <w:rPr>
                <w:rFonts w:hint="eastAsia"/>
                <w:color w:val="auto"/>
                <w:sz w:val="24"/>
                <w:highlight w:val="none"/>
              </w:rPr>
              <w:t>室内j声源i倍频带的声压级，dB；</w:t>
            </w:r>
          </w:p>
          <w:p w14:paraId="3C6E250D">
            <w:pPr>
              <w:adjustRightInd w:val="0"/>
              <w:snapToGrid w:val="0"/>
              <w:spacing w:line="360" w:lineRule="auto"/>
              <w:ind w:firstLine="480"/>
              <w:rPr>
                <w:rFonts w:hint="eastAsia"/>
                <w:color w:val="auto"/>
                <w:sz w:val="24"/>
                <w:highlight w:val="none"/>
              </w:rPr>
            </w:pPr>
            <w:r>
              <w:rPr>
                <w:rFonts w:hint="eastAsia"/>
                <w:color w:val="auto"/>
                <w:sz w:val="24"/>
                <w:highlight w:val="none"/>
              </w:rPr>
              <w:t>N</w:t>
            </w:r>
            <w:r>
              <w:rPr>
                <w:rFonts w:hint="eastAsia" w:hAnsi="宋体" w:cs="宋体"/>
                <w:color w:val="auto"/>
                <w:sz w:val="24"/>
                <w:highlight w:val="none"/>
              </w:rPr>
              <w:t>—</w:t>
            </w:r>
            <w:r>
              <w:rPr>
                <w:rFonts w:hint="eastAsia"/>
                <w:color w:val="auto"/>
                <w:sz w:val="24"/>
                <w:highlight w:val="none"/>
              </w:rPr>
              <w:t>室内声源总数。</w:t>
            </w:r>
          </w:p>
          <w:p w14:paraId="39CEEA7B">
            <w:pPr>
              <w:adjustRightInd w:val="0"/>
              <w:snapToGrid w:val="0"/>
              <w:spacing w:line="360" w:lineRule="auto"/>
              <w:ind w:firstLine="480"/>
              <w:rPr>
                <w:rFonts w:hint="eastAsia"/>
                <w:color w:val="auto"/>
                <w:sz w:val="24"/>
                <w:highlight w:val="none"/>
              </w:rPr>
            </w:pPr>
            <w:r>
              <w:rPr>
                <w:rFonts w:hint="eastAsia"/>
                <w:color w:val="auto"/>
                <w:sz w:val="24"/>
                <w:highlight w:val="none"/>
              </w:rPr>
              <w:t>④</w:t>
            </w:r>
            <w:r>
              <w:rPr>
                <w:color w:val="auto"/>
                <w:sz w:val="24"/>
                <w:highlight w:val="none"/>
              </w:rPr>
              <w:t>在室内近似为扩散声场时，按</w:t>
            </w:r>
            <w:r>
              <w:rPr>
                <w:rFonts w:hint="eastAsia"/>
                <w:color w:val="auto"/>
                <w:sz w:val="24"/>
                <w:highlight w:val="none"/>
              </w:rPr>
              <w:t>下</w:t>
            </w:r>
            <w:r>
              <w:rPr>
                <w:color w:val="auto"/>
                <w:sz w:val="24"/>
                <w:highlight w:val="none"/>
              </w:rPr>
              <w:t>式</w:t>
            </w:r>
            <w:r>
              <w:rPr>
                <w:rFonts w:hint="eastAsia"/>
                <w:color w:val="auto"/>
                <w:sz w:val="24"/>
                <w:highlight w:val="none"/>
              </w:rPr>
              <w:t>计算出室外靠近围护结构处的声压级：</w:t>
            </w:r>
          </w:p>
          <w:p w14:paraId="0124FDC9">
            <w:pPr>
              <w:adjustRightInd w:val="0"/>
              <w:snapToGrid w:val="0"/>
              <w:spacing w:line="360" w:lineRule="auto"/>
              <w:ind w:firstLine="480"/>
              <w:jc w:val="center"/>
              <w:rPr>
                <w:rFonts w:hint="eastAsia"/>
                <w:color w:val="auto"/>
                <w:sz w:val="24"/>
                <w:highlight w:val="none"/>
              </w:rPr>
            </w:pPr>
            <w:r>
              <w:rPr>
                <w:color w:val="auto"/>
                <w:sz w:val="24"/>
                <w:highlight w:val="none"/>
              </w:rPr>
              <w:drawing>
                <wp:inline distT="0" distB="0" distL="114300" distR="114300">
                  <wp:extent cx="1777365" cy="241300"/>
                  <wp:effectExtent l="0" t="0" r="13335" b="5080"/>
                  <wp:docPr id="8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6"/>
                          <pic:cNvPicPr>
                            <a:picLocks noChangeAspect="1"/>
                          </pic:cNvPicPr>
                        </pic:nvPicPr>
                        <pic:blipFill>
                          <a:blip r:embed="rId46"/>
                          <a:stretch>
                            <a:fillRect/>
                          </a:stretch>
                        </pic:blipFill>
                        <pic:spPr>
                          <a:xfrm>
                            <a:off x="0" y="0"/>
                            <a:ext cx="1777365" cy="241300"/>
                          </a:xfrm>
                          <a:prstGeom prst="rect">
                            <a:avLst/>
                          </a:prstGeom>
                          <a:noFill/>
                          <a:ln>
                            <a:noFill/>
                          </a:ln>
                        </pic:spPr>
                      </pic:pic>
                    </a:graphicData>
                  </a:graphic>
                </wp:inline>
              </w:drawing>
            </w:r>
          </w:p>
          <w:p w14:paraId="6E120E2C">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00185235">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p2i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靠近围护结构处室外N个声源i倍频带的叠加声压级，dB；</w:t>
            </w:r>
          </w:p>
          <w:p w14:paraId="4B0050CD">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w:t>
            </w:r>
            <w:r>
              <w:rPr>
                <w:rFonts w:hint="eastAsia"/>
                <w:color w:val="auto"/>
                <w:sz w:val="24"/>
                <w:highlight w:val="none"/>
              </w:rPr>
              <w:t>(T)</w:t>
            </w:r>
            <w:r>
              <w:rPr>
                <w:rFonts w:hint="eastAsia" w:hAnsi="宋体" w:cs="宋体"/>
                <w:color w:val="auto"/>
                <w:sz w:val="24"/>
                <w:highlight w:val="none"/>
              </w:rPr>
              <w:t>—</w:t>
            </w:r>
            <w:r>
              <w:rPr>
                <w:rFonts w:hint="eastAsia"/>
                <w:color w:val="auto"/>
                <w:sz w:val="24"/>
                <w:highlight w:val="none"/>
              </w:rPr>
              <w:t>靠近围护结构处室内N个声源i倍频带的叠加声压级，dB；</w:t>
            </w:r>
          </w:p>
          <w:p w14:paraId="5C5C99C2">
            <w:pPr>
              <w:adjustRightInd w:val="0"/>
              <w:snapToGrid w:val="0"/>
              <w:spacing w:line="360" w:lineRule="auto"/>
              <w:ind w:firstLine="480"/>
              <w:rPr>
                <w:rFonts w:hint="eastAsia"/>
                <w:color w:val="auto"/>
                <w:sz w:val="24"/>
                <w:highlight w:val="none"/>
              </w:rPr>
            </w:pPr>
            <w:r>
              <w:rPr>
                <w:rFonts w:hint="eastAsia"/>
                <w:color w:val="auto"/>
                <w:sz w:val="24"/>
                <w:highlight w:val="none"/>
              </w:rPr>
              <w:t>TL</w:t>
            </w:r>
            <w:r>
              <w:rPr>
                <w:rFonts w:hint="eastAsia"/>
                <w:color w:val="auto"/>
                <w:sz w:val="24"/>
                <w:highlight w:val="none"/>
                <w:vertAlign w:val="subscript"/>
              </w:rPr>
              <w:t>i</w:t>
            </w:r>
            <w:r>
              <w:rPr>
                <w:rFonts w:hint="eastAsia" w:hAnsi="宋体" w:cs="宋体"/>
                <w:color w:val="auto"/>
                <w:sz w:val="24"/>
                <w:highlight w:val="none"/>
              </w:rPr>
              <w:t>—</w:t>
            </w:r>
            <w:r>
              <w:rPr>
                <w:rFonts w:hint="eastAsia"/>
                <w:color w:val="auto"/>
                <w:sz w:val="24"/>
                <w:highlight w:val="none"/>
              </w:rPr>
              <w:t>围护结构i倍频带的隔声量，dB。</w:t>
            </w:r>
          </w:p>
          <w:p w14:paraId="67D1D0B9">
            <w:pPr>
              <w:adjustRightInd w:val="0"/>
              <w:snapToGrid w:val="0"/>
              <w:spacing w:line="360" w:lineRule="auto"/>
              <w:ind w:firstLine="480"/>
              <w:rPr>
                <w:color w:val="auto"/>
                <w:sz w:val="24"/>
                <w:highlight w:val="none"/>
              </w:rPr>
            </w:pPr>
            <w:r>
              <w:rPr>
                <w:rFonts w:hint="eastAsia" w:hAnsi="宋体" w:cs="宋体"/>
                <w:color w:val="auto"/>
                <w:sz w:val="24"/>
                <w:highlight w:val="none"/>
              </w:rPr>
              <w:t>⑤按下式</w:t>
            </w:r>
            <w:r>
              <w:rPr>
                <w:color w:val="auto"/>
                <w:sz w:val="24"/>
                <w:highlight w:val="none"/>
              </w:rPr>
              <w:t>将室外</w:t>
            </w:r>
            <w:r>
              <w:rPr>
                <w:rFonts w:hint="eastAsia"/>
                <w:color w:val="auto"/>
                <w:sz w:val="24"/>
                <w:highlight w:val="none"/>
              </w:rPr>
              <w:t>声源的声压级</w:t>
            </w:r>
            <w:r>
              <w:rPr>
                <w:color w:val="auto"/>
                <w:sz w:val="24"/>
                <w:highlight w:val="none"/>
              </w:rPr>
              <w:t>和透声面积换算成等效的室外声源，计算出</w:t>
            </w:r>
            <w:r>
              <w:rPr>
                <w:rFonts w:hint="eastAsia"/>
                <w:color w:val="auto"/>
                <w:sz w:val="24"/>
                <w:highlight w:val="none"/>
              </w:rPr>
              <w:t>中心位置位于透声面积(S)处的</w:t>
            </w:r>
            <w:r>
              <w:rPr>
                <w:color w:val="auto"/>
                <w:sz w:val="24"/>
                <w:highlight w:val="none"/>
              </w:rPr>
              <w:t>等效声源</w:t>
            </w:r>
            <w:r>
              <w:rPr>
                <w:rFonts w:hint="eastAsia"/>
                <w:color w:val="auto"/>
                <w:sz w:val="24"/>
                <w:highlight w:val="none"/>
              </w:rPr>
              <w:t>的</w:t>
            </w:r>
            <w:r>
              <w:rPr>
                <w:color w:val="auto"/>
                <w:sz w:val="24"/>
                <w:highlight w:val="none"/>
              </w:rPr>
              <w:t>倍频带的声功率级</w:t>
            </w:r>
            <w:r>
              <w:rPr>
                <w:color w:val="auto"/>
                <w:sz w:val="24"/>
                <w:highlight w:val="none"/>
              </w:rPr>
              <w:softHyphen/>
            </w:r>
            <w:r>
              <w:rPr>
                <w:color w:val="auto"/>
                <w:sz w:val="24"/>
                <w:highlight w:val="none"/>
              </w:rPr>
              <w:softHyphen/>
            </w:r>
            <w:r>
              <w:rPr>
                <w:color w:val="auto"/>
                <w:sz w:val="24"/>
                <w:highlight w:val="none"/>
              </w:rPr>
              <w:t>：</w:t>
            </w:r>
          </w:p>
          <w:p w14:paraId="54B1F352">
            <w:pPr>
              <w:adjustRightInd w:val="0"/>
              <w:snapToGrid w:val="0"/>
              <w:spacing w:line="360" w:lineRule="auto"/>
              <w:ind w:firstLine="480"/>
              <w:jc w:val="center"/>
              <w:rPr>
                <w:color w:val="auto"/>
                <w:sz w:val="24"/>
                <w:highlight w:val="none"/>
              </w:rPr>
            </w:pPr>
            <w:r>
              <w:rPr>
                <w:color w:val="auto"/>
                <w:sz w:val="24"/>
                <w:highlight w:val="none"/>
              </w:rPr>
              <w:drawing>
                <wp:inline distT="0" distB="0" distL="114300" distR="114300">
                  <wp:extent cx="1333500" cy="241300"/>
                  <wp:effectExtent l="0" t="0" r="0" b="5080"/>
                  <wp:docPr id="8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7"/>
                          <pic:cNvPicPr>
                            <a:picLocks noChangeAspect="1"/>
                          </pic:cNvPicPr>
                        </pic:nvPicPr>
                        <pic:blipFill>
                          <a:blip r:embed="rId47"/>
                          <a:stretch>
                            <a:fillRect/>
                          </a:stretch>
                        </pic:blipFill>
                        <pic:spPr>
                          <a:xfrm>
                            <a:off x="0" y="0"/>
                            <a:ext cx="1333500" cy="241300"/>
                          </a:xfrm>
                          <a:prstGeom prst="rect">
                            <a:avLst/>
                          </a:prstGeom>
                          <a:noFill/>
                          <a:ln>
                            <a:noFill/>
                          </a:ln>
                        </pic:spPr>
                      </pic:pic>
                    </a:graphicData>
                  </a:graphic>
                </wp:inline>
              </w:drawing>
            </w:r>
          </w:p>
          <w:p w14:paraId="5CB3E1F3">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1E403911">
            <w:pPr>
              <w:adjustRightInd w:val="0"/>
              <w:snapToGrid w:val="0"/>
              <w:spacing w:line="360" w:lineRule="auto"/>
              <w:ind w:firstLine="480"/>
              <w:rPr>
                <w:rFonts w:hint="eastAsia"/>
                <w:color w:val="auto"/>
                <w:sz w:val="24"/>
                <w:highlight w:val="none"/>
              </w:rPr>
            </w:pPr>
            <w:r>
              <w:rPr>
                <w:rFonts w:hint="eastAsia"/>
                <w:color w:val="auto"/>
                <w:sz w:val="24"/>
                <w:highlight w:val="none"/>
              </w:rPr>
              <w:t>Lw—中心位置位于透声面积(S)处的等效声源的倍频带声功率级，dB；</w:t>
            </w:r>
          </w:p>
          <w:p w14:paraId="063B4194">
            <w:pPr>
              <w:adjustRightInd w:val="0"/>
              <w:snapToGrid w:val="0"/>
              <w:spacing w:line="360" w:lineRule="auto"/>
              <w:ind w:firstLine="480"/>
              <w:rPr>
                <w:rFonts w:hint="eastAsia"/>
                <w:color w:val="auto"/>
                <w:sz w:val="24"/>
                <w:highlight w:val="none"/>
              </w:rPr>
            </w:pPr>
            <w:r>
              <w:rPr>
                <w:rFonts w:hint="eastAsia"/>
                <w:color w:val="auto"/>
                <w:sz w:val="24"/>
                <w:highlight w:val="none"/>
              </w:rPr>
              <w:t>Lp</w:t>
            </w:r>
            <w:r>
              <w:rPr>
                <w:rFonts w:hint="eastAsia"/>
                <w:color w:val="auto"/>
                <w:sz w:val="24"/>
                <w:highlight w:val="none"/>
                <w:vertAlign w:val="subscript"/>
              </w:rPr>
              <w:t>2</w:t>
            </w:r>
            <w:r>
              <w:rPr>
                <w:rFonts w:hint="eastAsia"/>
                <w:color w:val="auto"/>
                <w:sz w:val="24"/>
                <w:highlight w:val="none"/>
              </w:rPr>
              <w:t>(T)—靠近围护结构处室外声源的声压级，dB；</w:t>
            </w:r>
          </w:p>
          <w:p w14:paraId="3824081E">
            <w:pPr>
              <w:adjustRightInd w:val="0"/>
              <w:snapToGrid w:val="0"/>
              <w:spacing w:line="360" w:lineRule="auto"/>
              <w:ind w:firstLine="480"/>
              <w:rPr>
                <w:rFonts w:hint="eastAsia"/>
                <w:color w:val="auto"/>
                <w:sz w:val="24"/>
                <w:highlight w:val="none"/>
              </w:rPr>
            </w:pPr>
            <w:r>
              <w:rPr>
                <w:rFonts w:hint="eastAsia"/>
                <w:color w:val="auto"/>
                <w:sz w:val="24"/>
                <w:highlight w:val="none"/>
              </w:rPr>
              <w:t>S透声面积，m</w:t>
            </w:r>
            <w:r>
              <w:rPr>
                <w:rFonts w:hint="eastAsia"/>
                <w:color w:val="auto"/>
                <w:sz w:val="24"/>
                <w:highlight w:val="none"/>
                <w:vertAlign w:val="superscript"/>
              </w:rPr>
              <w:t>2</w:t>
            </w:r>
            <w:r>
              <w:rPr>
                <w:rFonts w:hint="eastAsia"/>
                <w:color w:val="auto"/>
                <w:sz w:val="24"/>
                <w:highlight w:val="none"/>
              </w:rPr>
              <w:t>。</w:t>
            </w:r>
          </w:p>
          <w:p w14:paraId="4ED8D139">
            <w:pPr>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户外声传播的衰减</w:t>
            </w:r>
          </w:p>
          <w:p w14:paraId="4C17EEA7">
            <w:pPr>
              <w:spacing w:line="360" w:lineRule="auto"/>
              <w:ind w:firstLine="480" w:firstLineChars="200"/>
              <w:rPr>
                <w:color w:val="auto"/>
                <w:sz w:val="24"/>
                <w:highlight w:val="none"/>
              </w:rPr>
            </w:pPr>
            <w:r>
              <w:rPr>
                <w:color w:val="auto"/>
                <w:sz w:val="24"/>
                <w:highlight w:val="none"/>
              </w:rPr>
              <w:t>户外声传播衰减包括几何发散</w:t>
            </w:r>
            <w:r>
              <w:rPr>
                <w:rFonts w:hint="eastAsia"/>
                <w:color w:val="auto"/>
                <w:sz w:val="24"/>
                <w:highlight w:val="none"/>
              </w:rPr>
              <w:t>(</w:t>
            </w:r>
            <w:r>
              <w:rPr>
                <w:color w:val="auto"/>
                <w:sz w:val="24"/>
                <w:highlight w:val="none"/>
              </w:rPr>
              <w:t>Adiv</w:t>
            </w:r>
            <w:r>
              <w:rPr>
                <w:rFonts w:hint="eastAsia"/>
                <w:color w:val="auto"/>
                <w:sz w:val="24"/>
                <w:highlight w:val="none"/>
              </w:rPr>
              <w:t>)</w:t>
            </w:r>
            <w:r>
              <w:rPr>
                <w:color w:val="auto"/>
                <w:sz w:val="24"/>
                <w:highlight w:val="none"/>
              </w:rPr>
              <w:t>、大气吸收</w:t>
            </w:r>
            <w:r>
              <w:rPr>
                <w:rFonts w:hint="eastAsia"/>
                <w:color w:val="auto"/>
                <w:sz w:val="24"/>
                <w:highlight w:val="none"/>
              </w:rPr>
              <w:t>(</w:t>
            </w:r>
            <w:r>
              <w:rPr>
                <w:color w:val="auto"/>
                <w:sz w:val="24"/>
                <w:highlight w:val="none"/>
              </w:rPr>
              <w:t>Aatm</w:t>
            </w:r>
            <w:r>
              <w:rPr>
                <w:rFonts w:hint="eastAsia"/>
                <w:color w:val="auto"/>
                <w:sz w:val="24"/>
                <w:highlight w:val="none"/>
              </w:rPr>
              <w:t>)</w:t>
            </w:r>
            <w:r>
              <w:rPr>
                <w:color w:val="auto"/>
                <w:sz w:val="24"/>
                <w:highlight w:val="none"/>
              </w:rPr>
              <w:t>、地面效应</w:t>
            </w:r>
            <w:r>
              <w:rPr>
                <w:rFonts w:hint="eastAsia"/>
                <w:color w:val="auto"/>
                <w:sz w:val="24"/>
                <w:highlight w:val="none"/>
              </w:rPr>
              <w:t>(</w:t>
            </w:r>
            <w:r>
              <w:rPr>
                <w:color w:val="auto"/>
                <w:sz w:val="24"/>
                <w:highlight w:val="none"/>
              </w:rPr>
              <w:t>Agr</w:t>
            </w:r>
            <w:r>
              <w:rPr>
                <w:rFonts w:hint="eastAsia"/>
                <w:color w:val="auto"/>
                <w:sz w:val="24"/>
                <w:highlight w:val="none"/>
              </w:rPr>
              <w:t>)</w:t>
            </w:r>
            <w:r>
              <w:rPr>
                <w:color w:val="auto"/>
                <w:sz w:val="24"/>
                <w:highlight w:val="none"/>
              </w:rPr>
              <w:t>、障碍物屏蔽</w:t>
            </w:r>
            <w:r>
              <w:rPr>
                <w:rFonts w:hint="eastAsia"/>
                <w:color w:val="auto"/>
                <w:sz w:val="24"/>
                <w:highlight w:val="none"/>
              </w:rPr>
              <w:t>(</w:t>
            </w:r>
            <w:r>
              <w:rPr>
                <w:color w:val="auto"/>
                <w:sz w:val="24"/>
                <w:highlight w:val="none"/>
              </w:rPr>
              <w:t>Abar</w:t>
            </w:r>
            <w:r>
              <w:rPr>
                <w:rFonts w:hint="eastAsia"/>
                <w:color w:val="auto"/>
                <w:sz w:val="24"/>
                <w:highlight w:val="none"/>
              </w:rPr>
              <w:t>)</w:t>
            </w:r>
            <w:r>
              <w:rPr>
                <w:color w:val="auto"/>
                <w:sz w:val="24"/>
                <w:highlight w:val="none"/>
              </w:rPr>
              <w:t>、其他多方面效应</w:t>
            </w:r>
            <w:r>
              <w:rPr>
                <w:rFonts w:hint="eastAsia"/>
                <w:color w:val="auto"/>
                <w:sz w:val="24"/>
                <w:highlight w:val="none"/>
              </w:rPr>
              <w:t>(</w:t>
            </w:r>
            <w:r>
              <w:rPr>
                <w:color w:val="auto"/>
                <w:sz w:val="24"/>
                <w:highlight w:val="none"/>
              </w:rPr>
              <w:t>Amisc</w:t>
            </w:r>
            <w:r>
              <w:rPr>
                <w:rFonts w:hint="eastAsia"/>
                <w:color w:val="auto"/>
                <w:sz w:val="24"/>
                <w:highlight w:val="none"/>
              </w:rPr>
              <w:t>)</w:t>
            </w:r>
            <w:r>
              <w:rPr>
                <w:color w:val="auto"/>
                <w:sz w:val="24"/>
                <w:highlight w:val="none"/>
              </w:rPr>
              <w:t>引起的衰减。</w:t>
            </w:r>
          </w:p>
          <w:p w14:paraId="0F532901">
            <w:pPr>
              <w:spacing w:line="360" w:lineRule="auto"/>
              <w:ind w:firstLine="480" w:firstLineChars="200"/>
              <w:rPr>
                <w:rFonts w:hint="eastAsia"/>
                <w:color w:val="auto"/>
                <w:sz w:val="24"/>
                <w:highlight w:val="none"/>
              </w:rPr>
            </w:pPr>
            <w:r>
              <w:rPr>
                <w:color w:val="auto"/>
                <w:sz w:val="24"/>
                <w:highlight w:val="none"/>
              </w:rPr>
              <w:t>①</w:t>
            </w:r>
            <w:r>
              <w:rPr>
                <w:rFonts w:hint="eastAsia"/>
                <w:color w:val="auto"/>
                <w:sz w:val="24"/>
                <w:highlight w:val="none"/>
              </w:rPr>
              <w:t>基本公式</w:t>
            </w:r>
          </w:p>
          <w:p w14:paraId="2C2FC9F1">
            <w:pPr>
              <w:spacing w:line="360" w:lineRule="auto"/>
              <w:ind w:firstLine="480" w:firstLineChars="200"/>
              <w:rPr>
                <w:rFonts w:hint="eastAsia"/>
                <w:color w:val="auto"/>
                <w:sz w:val="24"/>
                <w:highlight w:val="none"/>
              </w:rPr>
            </w:pPr>
            <w:r>
              <w:rPr>
                <w:rFonts w:hint="eastAsia"/>
                <w:color w:val="auto"/>
                <w:sz w:val="24"/>
                <w:highlight w:val="none"/>
              </w:rPr>
              <w:t>某个声源在预测点处声压级的计算公式如下：</w:t>
            </w:r>
          </w:p>
          <w:p w14:paraId="36746445">
            <w:pPr>
              <w:adjustRightInd w:val="0"/>
              <w:snapToGrid w:val="0"/>
              <w:spacing w:line="360" w:lineRule="auto"/>
              <w:ind w:firstLine="480"/>
              <w:jc w:val="center"/>
              <w:rPr>
                <w:color w:val="auto"/>
                <w:sz w:val="24"/>
                <w:highlight w:val="none"/>
              </w:rPr>
            </w:pP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r>
              <w:rPr>
                <w:rFonts w:eastAsia="Times New Roman"/>
                <w:i/>
                <w:color w:val="auto"/>
                <w:sz w:val="24"/>
                <w:highlight w:val="none"/>
              </w:rPr>
              <w:t>Lw</w:t>
            </w:r>
            <w:r>
              <w:rPr>
                <w:rFonts w:eastAsia="Times New Roman"/>
                <w:color w:val="auto"/>
                <w:sz w:val="24"/>
                <w:highlight w:val="none"/>
              </w:rPr>
              <w:t>+</w:t>
            </w:r>
            <w:r>
              <w:rPr>
                <w:rFonts w:eastAsia="Times New Roman"/>
                <w:i/>
                <w:color w:val="auto"/>
                <w:sz w:val="24"/>
                <w:highlight w:val="none"/>
              </w:rPr>
              <w:t>D</w:t>
            </w:r>
            <w:r>
              <w:rPr>
                <w:rFonts w:eastAsia="Times New Roman"/>
                <w:color w:val="auto"/>
                <w:sz w:val="24"/>
                <w:highlight w:val="none"/>
              </w:rPr>
              <w:t>C</w:t>
            </w:r>
            <w:r>
              <w:rPr>
                <w:rFonts w:ascii="宋体" w:hAnsi="宋体"/>
                <w:color w:val="auto"/>
                <w:sz w:val="24"/>
                <w:highlight w:val="none"/>
              </w:rPr>
              <w:t>－</w:t>
            </w:r>
            <w:r>
              <w:rPr>
                <w:rFonts w:eastAsia="Times New Roman"/>
                <w:color w:val="auto"/>
                <w:sz w:val="24"/>
                <w:highlight w:val="none"/>
              </w:rPr>
              <w:t>(</w:t>
            </w:r>
            <w:r>
              <w:rPr>
                <w:rFonts w:eastAsia="Times New Roman"/>
                <w:i/>
                <w:color w:val="auto"/>
                <w:sz w:val="24"/>
                <w:highlight w:val="none"/>
              </w:rPr>
              <w:t>A</w:t>
            </w:r>
            <w:r>
              <w:rPr>
                <w:rFonts w:eastAsia="Times New Roman"/>
                <w:color w:val="auto"/>
                <w:sz w:val="24"/>
                <w:highlight w:val="none"/>
              </w:rPr>
              <w:t>div</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atm</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gr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bar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misc)</w:t>
            </w:r>
          </w:p>
          <w:p w14:paraId="40DCD5FD">
            <w:pPr>
              <w:adjustRightInd w:val="0"/>
              <w:snapToGrid w:val="0"/>
              <w:spacing w:line="360" w:lineRule="auto"/>
              <w:ind w:firstLine="480"/>
              <w:jc w:val="center"/>
              <w:rPr>
                <w:rFonts w:hint="eastAsia"/>
                <w:color w:val="auto"/>
                <w:sz w:val="24"/>
                <w:highlight w:val="none"/>
              </w:rPr>
            </w:pP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r>
              <w:rPr>
                <w:rFonts w:eastAsia="Times New Roman"/>
                <w:i/>
                <w:color w:val="auto"/>
                <w:sz w:val="24"/>
                <w:highlight w:val="none"/>
              </w:rPr>
              <w:t>Lp</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0)+</w:t>
            </w:r>
            <w:r>
              <w:rPr>
                <w:rFonts w:eastAsia="Times New Roman"/>
                <w:i/>
                <w:color w:val="auto"/>
                <w:sz w:val="24"/>
                <w:highlight w:val="none"/>
              </w:rPr>
              <w:t>D</w:t>
            </w:r>
            <w:r>
              <w:rPr>
                <w:rFonts w:eastAsia="Times New Roman"/>
                <w:color w:val="auto"/>
                <w:sz w:val="24"/>
                <w:highlight w:val="none"/>
              </w:rPr>
              <w:t>C</w:t>
            </w:r>
            <w:r>
              <w:rPr>
                <w:rFonts w:ascii="宋体" w:hAnsi="宋体"/>
                <w:color w:val="auto"/>
                <w:sz w:val="24"/>
                <w:highlight w:val="none"/>
              </w:rPr>
              <w:t>－</w:t>
            </w:r>
            <w:r>
              <w:rPr>
                <w:rFonts w:eastAsia="Times New Roman"/>
                <w:color w:val="auto"/>
                <w:sz w:val="24"/>
                <w:highlight w:val="none"/>
              </w:rPr>
              <w:t>(</w:t>
            </w:r>
            <w:r>
              <w:rPr>
                <w:rFonts w:eastAsia="Times New Roman"/>
                <w:i/>
                <w:color w:val="auto"/>
                <w:sz w:val="24"/>
                <w:highlight w:val="none"/>
              </w:rPr>
              <w:t>A</w:t>
            </w:r>
            <w:r>
              <w:rPr>
                <w:rFonts w:eastAsia="Times New Roman"/>
                <w:color w:val="auto"/>
                <w:sz w:val="24"/>
                <w:highlight w:val="none"/>
              </w:rPr>
              <w:t>div</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atm</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gr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bar</w:t>
            </w:r>
            <w:r>
              <w:rPr>
                <w:rFonts w:ascii="宋体" w:hAnsi="宋体"/>
                <w:color w:val="auto"/>
                <w:sz w:val="24"/>
                <w:highlight w:val="none"/>
              </w:rPr>
              <w:t>＋</w:t>
            </w:r>
            <w:r>
              <w:rPr>
                <w:rFonts w:eastAsia="Times New Roman"/>
                <w:i/>
                <w:color w:val="auto"/>
                <w:sz w:val="24"/>
                <w:highlight w:val="none"/>
              </w:rPr>
              <w:t>A</w:t>
            </w:r>
            <w:r>
              <w:rPr>
                <w:rFonts w:eastAsia="Times New Roman"/>
                <w:color w:val="auto"/>
                <w:sz w:val="24"/>
                <w:highlight w:val="none"/>
              </w:rPr>
              <w:t>misc)</w:t>
            </w:r>
          </w:p>
          <w:p w14:paraId="75EE6FE0">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72E879F6">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Lp(r)—预测点处声压级，dB； </w:t>
            </w:r>
          </w:p>
          <w:p w14:paraId="237003C3">
            <w:pPr>
              <w:adjustRightInd w:val="0"/>
              <w:snapToGrid w:val="0"/>
              <w:spacing w:line="360" w:lineRule="auto"/>
              <w:ind w:firstLine="480"/>
              <w:rPr>
                <w:rFonts w:hint="eastAsia"/>
                <w:color w:val="auto"/>
                <w:sz w:val="24"/>
                <w:highlight w:val="none"/>
              </w:rPr>
            </w:pPr>
            <w:r>
              <w:rPr>
                <w:rFonts w:hint="eastAsia"/>
                <w:color w:val="auto"/>
                <w:sz w:val="24"/>
                <w:highlight w:val="none"/>
              </w:rPr>
              <w:t>L</w:t>
            </w:r>
            <w:r>
              <w:rPr>
                <w:rFonts w:hint="eastAsia"/>
                <w:color w:val="auto"/>
                <w:sz w:val="24"/>
                <w:highlight w:val="none"/>
              </w:rPr>
              <w:softHyphen/>
            </w:r>
            <w:r>
              <w:rPr>
                <w:rFonts w:hint="eastAsia"/>
                <w:color w:val="auto"/>
                <w:sz w:val="24"/>
                <w:highlight w:val="none"/>
              </w:rPr>
              <w:softHyphen/>
            </w:r>
            <w:r>
              <w:rPr>
                <w:rFonts w:hint="eastAsia"/>
                <w:color w:val="auto"/>
                <w:sz w:val="24"/>
                <w:highlight w:val="none"/>
              </w:rPr>
              <w:t>w—由点声源产生的声功率级(A计权或倍频带)，dB；</w:t>
            </w:r>
          </w:p>
          <w:p w14:paraId="24F464F9">
            <w:pPr>
              <w:adjustRightInd w:val="0"/>
              <w:snapToGrid w:val="0"/>
              <w:spacing w:line="360" w:lineRule="auto"/>
              <w:ind w:firstLine="480"/>
              <w:rPr>
                <w:rFonts w:hint="eastAsia"/>
                <w:color w:val="auto"/>
                <w:sz w:val="24"/>
                <w:highlight w:val="none"/>
              </w:rPr>
            </w:pPr>
            <w:r>
              <w:rPr>
                <w:rFonts w:hint="eastAsia"/>
                <w:color w:val="auto"/>
                <w:sz w:val="24"/>
                <w:highlight w:val="none"/>
              </w:rPr>
              <w:t>Lp(r0)—</w:t>
            </w:r>
            <w:r>
              <w:rPr>
                <w:color w:val="auto"/>
                <w:sz w:val="24"/>
                <w:highlight w:val="none"/>
              </w:rPr>
              <w:t>参考位置</w:t>
            </w:r>
            <w:r>
              <w:rPr>
                <w:rFonts w:hint="eastAsia"/>
                <w:color w:val="auto"/>
                <w:sz w:val="24"/>
                <w:highlight w:val="none"/>
              </w:rPr>
              <w:t>r0</w:t>
            </w:r>
            <w:r>
              <w:rPr>
                <w:color w:val="auto"/>
                <w:sz w:val="24"/>
                <w:highlight w:val="none"/>
              </w:rPr>
              <w:t>处的声压级，</w:t>
            </w:r>
            <w:r>
              <w:rPr>
                <w:rFonts w:hint="eastAsia"/>
                <w:color w:val="auto"/>
                <w:sz w:val="24"/>
                <w:highlight w:val="none"/>
              </w:rPr>
              <w:t>dB</w:t>
            </w:r>
            <w:r>
              <w:rPr>
                <w:color w:val="auto"/>
                <w:sz w:val="24"/>
                <w:highlight w:val="none"/>
              </w:rPr>
              <w:t>；</w:t>
            </w:r>
          </w:p>
          <w:p w14:paraId="0F3AC3A6">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Dc—指向性校正，它描述点声源的等效连续声压级与产生声功率级Lw的全向点声源在规定方向的声级的偏差程度，dB； </w:t>
            </w:r>
          </w:p>
          <w:p w14:paraId="03CCEB33">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Adiv—几何发散引起的衰减，dB； </w:t>
            </w:r>
          </w:p>
          <w:p w14:paraId="0633287A">
            <w:pPr>
              <w:adjustRightInd w:val="0"/>
              <w:snapToGrid w:val="0"/>
              <w:spacing w:line="360" w:lineRule="auto"/>
              <w:ind w:firstLine="480"/>
              <w:rPr>
                <w:rFonts w:hint="eastAsia"/>
                <w:color w:val="auto"/>
                <w:sz w:val="24"/>
                <w:highlight w:val="none"/>
              </w:rPr>
            </w:pPr>
            <w:r>
              <w:rPr>
                <w:rFonts w:hint="eastAsia"/>
                <w:color w:val="auto"/>
                <w:sz w:val="24"/>
                <w:highlight w:val="none"/>
              </w:rPr>
              <w:t xml:space="preserve">Aatm—大气吸收引起的衰减，dB； </w:t>
            </w:r>
          </w:p>
          <w:p w14:paraId="177F0DEB">
            <w:pPr>
              <w:adjustRightInd w:val="0"/>
              <w:snapToGrid w:val="0"/>
              <w:spacing w:line="360" w:lineRule="auto"/>
              <w:ind w:firstLine="480"/>
              <w:rPr>
                <w:rFonts w:hint="eastAsia"/>
                <w:color w:val="auto"/>
                <w:sz w:val="24"/>
                <w:highlight w:val="none"/>
              </w:rPr>
            </w:pPr>
            <w:r>
              <w:rPr>
                <w:rFonts w:hint="eastAsia"/>
                <w:color w:val="auto"/>
                <w:sz w:val="24"/>
                <w:highlight w:val="none"/>
              </w:rPr>
              <w:t>Agr—地面效应引起的衰减，dB；</w:t>
            </w:r>
          </w:p>
          <w:p w14:paraId="6F37C0E6">
            <w:pPr>
              <w:adjustRightInd w:val="0"/>
              <w:snapToGrid w:val="0"/>
              <w:spacing w:line="360" w:lineRule="auto"/>
              <w:ind w:firstLine="480"/>
              <w:rPr>
                <w:rFonts w:hint="eastAsia"/>
                <w:color w:val="auto"/>
                <w:sz w:val="24"/>
                <w:highlight w:val="none"/>
              </w:rPr>
            </w:pPr>
            <w:r>
              <w:rPr>
                <w:rFonts w:hint="eastAsia"/>
                <w:color w:val="auto"/>
                <w:sz w:val="24"/>
                <w:highlight w:val="none"/>
              </w:rPr>
              <w:t>Abar—障碍物屏蔽引起的衰减，dB；</w:t>
            </w:r>
          </w:p>
          <w:p w14:paraId="242F6855">
            <w:pPr>
              <w:adjustRightInd w:val="0"/>
              <w:snapToGrid w:val="0"/>
              <w:spacing w:line="360" w:lineRule="auto"/>
              <w:ind w:firstLine="480"/>
              <w:rPr>
                <w:rFonts w:hint="eastAsia"/>
                <w:color w:val="auto"/>
                <w:sz w:val="24"/>
                <w:highlight w:val="none"/>
              </w:rPr>
            </w:pPr>
            <w:r>
              <w:rPr>
                <w:rFonts w:hint="eastAsia"/>
                <w:color w:val="auto"/>
                <w:sz w:val="24"/>
                <w:highlight w:val="none"/>
              </w:rPr>
              <w:t>Amisc—其他多方面效应引起的衰减，dB。</w:t>
            </w:r>
          </w:p>
          <w:p w14:paraId="6C4AE8EE">
            <w:pPr>
              <w:spacing w:line="360" w:lineRule="auto"/>
              <w:ind w:firstLine="480" w:firstLineChars="200"/>
              <w:rPr>
                <w:color w:val="auto"/>
                <w:sz w:val="24"/>
                <w:highlight w:val="none"/>
              </w:rPr>
            </w:pPr>
            <w:r>
              <w:rPr>
                <w:color w:val="auto"/>
                <w:sz w:val="24"/>
                <w:highlight w:val="none"/>
              </w:rPr>
              <w:t>②</w:t>
            </w:r>
            <w:r>
              <w:rPr>
                <w:rFonts w:ascii="宋体" w:hAnsi="宋体"/>
                <w:color w:val="auto"/>
                <w:sz w:val="24"/>
                <w:highlight w:val="none"/>
              </w:rPr>
              <w:t>预测点的</w:t>
            </w:r>
            <w:r>
              <w:rPr>
                <w:rFonts w:eastAsia="Times New Roman"/>
                <w:color w:val="auto"/>
                <w:sz w:val="24"/>
                <w:highlight w:val="none"/>
              </w:rPr>
              <w:t>A</w:t>
            </w:r>
            <w:r>
              <w:rPr>
                <w:rFonts w:ascii="宋体" w:hAnsi="宋体"/>
                <w:color w:val="auto"/>
                <w:sz w:val="24"/>
                <w:highlight w:val="none"/>
              </w:rPr>
              <w:t>声级</w:t>
            </w:r>
            <w:r>
              <w:rPr>
                <w:rFonts w:eastAsia="Times New Roman"/>
                <w:i/>
                <w:color w:val="auto"/>
                <w:sz w:val="24"/>
                <w:highlight w:val="none"/>
              </w:rPr>
              <w:t>L</w:t>
            </w:r>
            <w:r>
              <w:rPr>
                <w:rFonts w:eastAsia="Times New Roman"/>
                <w:color w:val="auto"/>
                <w:sz w:val="24"/>
                <w:highlight w:val="none"/>
                <w:vertAlign w:val="subscript"/>
              </w:rPr>
              <w:t>A</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可按</w:t>
            </w:r>
            <w:r>
              <w:rPr>
                <w:rFonts w:hint="eastAsia" w:ascii="宋体" w:hAnsi="宋体"/>
                <w:color w:val="auto"/>
                <w:sz w:val="24"/>
                <w:highlight w:val="none"/>
              </w:rPr>
              <w:t>下式</w:t>
            </w:r>
            <w:r>
              <w:rPr>
                <w:rFonts w:ascii="宋体" w:hAnsi="宋体"/>
                <w:color w:val="auto"/>
                <w:sz w:val="24"/>
                <w:highlight w:val="none"/>
              </w:rPr>
              <w:t>计算，即将</w:t>
            </w:r>
            <w:r>
              <w:rPr>
                <w:rFonts w:eastAsia="Times New Roman"/>
                <w:color w:val="auto"/>
                <w:sz w:val="24"/>
                <w:highlight w:val="none"/>
              </w:rPr>
              <w:t>8</w:t>
            </w:r>
            <w:r>
              <w:rPr>
                <w:rFonts w:ascii="宋体" w:hAnsi="宋体"/>
                <w:color w:val="auto"/>
                <w:sz w:val="24"/>
                <w:highlight w:val="none"/>
              </w:rPr>
              <w:t>个倍频带声压级合成，计算出预测点的</w:t>
            </w:r>
            <w:r>
              <w:rPr>
                <w:rFonts w:eastAsia="Times New Roman"/>
                <w:color w:val="auto"/>
                <w:sz w:val="24"/>
                <w:highlight w:val="none"/>
              </w:rPr>
              <w:t>A</w:t>
            </w:r>
            <w:r>
              <w:rPr>
                <w:rFonts w:ascii="宋体" w:hAnsi="宋体"/>
                <w:color w:val="auto"/>
                <w:sz w:val="24"/>
                <w:highlight w:val="none"/>
              </w:rPr>
              <w:t>声级</w:t>
            </w:r>
            <w:r>
              <w:rPr>
                <w:rFonts w:eastAsia="Times New Roman"/>
                <w:color w:val="auto"/>
                <w:sz w:val="24"/>
                <w:highlight w:val="none"/>
              </w:rPr>
              <w:t>[</w:t>
            </w:r>
            <w:r>
              <w:rPr>
                <w:rFonts w:eastAsia="Times New Roman"/>
                <w:i/>
                <w:color w:val="auto"/>
                <w:sz w:val="24"/>
                <w:highlight w:val="none"/>
              </w:rPr>
              <w:t>L</w:t>
            </w:r>
            <w:r>
              <w:rPr>
                <w:rFonts w:eastAsia="Times New Roman"/>
                <w:color w:val="auto"/>
                <w:sz w:val="24"/>
                <w:highlight w:val="none"/>
                <w:vertAlign w:val="subscript"/>
              </w:rPr>
              <w:t>A</w:t>
            </w:r>
            <w:r>
              <w:rPr>
                <w:rFonts w:eastAsia="Times New Roman"/>
                <w:color w:val="auto"/>
                <w:sz w:val="24"/>
                <w:highlight w:val="none"/>
              </w:rPr>
              <w:t>(</w:t>
            </w:r>
            <w:r>
              <w:rPr>
                <w:rFonts w:eastAsia="Times New Roman"/>
                <w:i/>
                <w:color w:val="auto"/>
                <w:sz w:val="24"/>
                <w:highlight w:val="none"/>
              </w:rPr>
              <w:t>r</w:t>
            </w:r>
            <w:r>
              <w:rPr>
                <w:rFonts w:eastAsia="Times New Roman"/>
                <w:color w:val="auto"/>
                <w:sz w:val="24"/>
                <w:highlight w:val="none"/>
              </w:rPr>
              <w:t>)]</w:t>
            </w:r>
            <w:r>
              <w:rPr>
                <w:rFonts w:ascii="宋体" w:hAnsi="宋体"/>
                <w:color w:val="auto"/>
                <w:sz w:val="24"/>
                <w:highlight w:val="none"/>
              </w:rPr>
              <w:t>。</w:t>
            </w:r>
          </w:p>
          <w:p w14:paraId="5D6128B0">
            <w:pPr>
              <w:spacing w:line="360" w:lineRule="auto"/>
              <w:ind w:firstLine="1778" w:firstLineChars="738"/>
              <w:rPr>
                <w:b/>
                <w:color w:val="auto"/>
                <w:sz w:val="24"/>
                <w:highlight w:val="none"/>
              </w:rPr>
            </w:pPr>
            <w:r>
              <w:rPr>
                <w:b/>
                <w:color w:val="auto"/>
                <w:sz w:val="24"/>
                <w:highlight w:val="none"/>
              </w:rPr>
              <w:drawing>
                <wp:inline distT="0" distB="0" distL="114300" distR="114300">
                  <wp:extent cx="1935480" cy="419100"/>
                  <wp:effectExtent l="0" t="0" r="7620" b="0"/>
                  <wp:docPr id="8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8"/>
                          <pic:cNvPicPr>
                            <a:picLocks noChangeAspect="1"/>
                          </pic:cNvPicPr>
                        </pic:nvPicPr>
                        <pic:blipFill>
                          <a:blip r:embed="rId48"/>
                          <a:stretch>
                            <a:fillRect/>
                          </a:stretch>
                        </pic:blipFill>
                        <pic:spPr>
                          <a:xfrm>
                            <a:off x="0" y="0"/>
                            <a:ext cx="1935480" cy="419100"/>
                          </a:xfrm>
                          <a:prstGeom prst="rect">
                            <a:avLst/>
                          </a:prstGeom>
                          <a:noFill/>
                          <a:ln>
                            <a:noFill/>
                          </a:ln>
                        </pic:spPr>
                      </pic:pic>
                    </a:graphicData>
                  </a:graphic>
                </wp:inline>
              </w:drawing>
            </w:r>
            <w:r>
              <w:rPr>
                <w:b/>
                <w:color w:val="auto"/>
                <w:sz w:val="24"/>
                <w:highlight w:val="none"/>
              </w:rPr>
              <w:t xml:space="preserve">                       </w:t>
            </w:r>
          </w:p>
          <w:p w14:paraId="464DA12E">
            <w:pPr>
              <w:adjustRightInd w:val="0"/>
              <w:snapToGrid w:val="0"/>
              <w:spacing w:line="360" w:lineRule="auto"/>
              <w:ind w:firstLine="480"/>
              <w:rPr>
                <w:rFonts w:hint="eastAsia"/>
                <w:color w:val="auto"/>
                <w:sz w:val="24"/>
                <w:highlight w:val="none"/>
              </w:rPr>
            </w:pPr>
            <w:r>
              <w:rPr>
                <w:rFonts w:hint="eastAsia"/>
                <w:color w:val="auto"/>
                <w:sz w:val="24"/>
                <w:highlight w:val="none"/>
              </w:rPr>
              <w:t>式中：</w:t>
            </w:r>
          </w:p>
          <w:p w14:paraId="32E865F3">
            <w:pPr>
              <w:adjustRightInd w:val="0"/>
              <w:snapToGrid w:val="0"/>
              <w:spacing w:line="360" w:lineRule="auto"/>
              <w:ind w:firstLine="480"/>
              <w:rPr>
                <w:rFonts w:hint="eastAsia"/>
                <w:color w:val="auto"/>
                <w:sz w:val="24"/>
                <w:highlight w:val="none"/>
              </w:rPr>
            </w:pPr>
            <w:r>
              <w:rPr>
                <w:color w:val="auto"/>
                <w:sz w:val="24"/>
                <w:highlight w:val="none"/>
              </w:rPr>
              <w:t>LA(r)</w:t>
            </w:r>
            <w:r>
              <w:rPr>
                <w:rFonts w:hint="eastAsia"/>
                <w:color w:val="auto"/>
                <w:sz w:val="24"/>
                <w:highlight w:val="none"/>
              </w:rPr>
              <w:t>—</w:t>
            </w:r>
            <w:r>
              <w:rPr>
                <w:color w:val="auto"/>
                <w:sz w:val="24"/>
                <w:highlight w:val="none"/>
              </w:rPr>
              <w:t>距声源r处的A声级，dB(A)；</w:t>
            </w:r>
          </w:p>
          <w:p w14:paraId="16654276">
            <w:pPr>
              <w:adjustRightInd w:val="0"/>
              <w:snapToGrid w:val="0"/>
              <w:spacing w:line="360" w:lineRule="auto"/>
              <w:ind w:firstLine="480"/>
              <w:rPr>
                <w:rFonts w:hint="eastAsia"/>
                <w:color w:val="auto"/>
                <w:sz w:val="24"/>
                <w:highlight w:val="none"/>
              </w:rPr>
            </w:pPr>
            <w:r>
              <w:rPr>
                <w:rFonts w:hint="eastAsia"/>
                <w:color w:val="auto"/>
                <w:sz w:val="24"/>
                <w:highlight w:val="none"/>
              </w:rPr>
              <w:t>Lpi(r)—预测点(r)处，第i倍频带声压级，dB；</w:t>
            </w:r>
          </w:p>
          <w:p w14:paraId="2F0E2A04">
            <w:pPr>
              <w:adjustRightInd w:val="0"/>
              <w:snapToGrid w:val="0"/>
              <w:spacing w:line="360" w:lineRule="auto"/>
              <w:ind w:firstLine="480"/>
              <w:rPr>
                <w:rFonts w:hint="eastAsia"/>
                <w:color w:val="auto"/>
                <w:sz w:val="24"/>
                <w:highlight w:val="none"/>
              </w:rPr>
            </w:pPr>
            <w:r>
              <w:rPr>
                <w:rFonts w:hint="eastAsia"/>
                <w:color w:val="auto"/>
                <w:sz w:val="24"/>
                <w:highlight w:val="none"/>
              </w:rPr>
              <w:t>△Li—i倍频带A计算网络修正值，dB(根据导则附录B计算)。</w:t>
            </w:r>
          </w:p>
          <w:p w14:paraId="27AA46E0">
            <w:pPr>
              <w:adjustRightInd w:val="0"/>
              <w:snapToGrid w:val="0"/>
              <w:spacing w:line="360" w:lineRule="auto"/>
              <w:ind w:firstLine="480"/>
              <w:rPr>
                <w:rFonts w:hint="eastAsia"/>
                <w:color w:val="auto"/>
                <w:sz w:val="24"/>
                <w:highlight w:val="none"/>
              </w:rPr>
            </w:pPr>
            <w:r>
              <w:rPr>
                <w:rFonts w:hint="eastAsia"/>
                <w:color w:val="auto"/>
                <w:sz w:val="24"/>
                <w:highlight w:val="none"/>
              </w:rPr>
              <w:t>衰减项计算按导则附录A中A.3相关模式计算。</w:t>
            </w:r>
          </w:p>
          <w:p w14:paraId="0BCED4D4">
            <w:pPr>
              <w:adjustRightInd w:val="0"/>
              <w:snapToGrid w:val="0"/>
              <w:spacing w:line="360" w:lineRule="auto"/>
              <w:ind w:firstLine="480"/>
              <w:rPr>
                <w:rFonts w:hint="eastAsia"/>
                <w:color w:val="auto"/>
                <w:sz w:val="24"/>
                <w:highlight w:val="none"/>
              </w:rPr>
            </w:pPr>
            <w:r>
              <w:rPr>
                <w:rFonts w:hint="eastAsia"/>
                <w:color w:val="auto"/>
                <w:sz w:val="24"/>
                <w:highlight w:val="none"/>
              </w:rPr>
              <w:t>(3)噪声贡献值计算</w:t>
            </w:r>
          </w:p>
          <w:p w14:paraId="036A250C">
            <w:pPr>
              <w:adjustRightInd w:val="0"/>
              <w:snapToGrid w:val="0"/>
              <w:spacing w:line="360" w:lineRule="auto"/>
              <w:ind w:firstLine="480"/>
              <w:rPr>
                <w:color w:val="auto"/>
                <w:sz w:val="24"/>
                <w:highlight w:val="none"/>
              </w:rPr>
            </w:pPr>
            <w:r>
              <w:rPr>
                <w:rFonts w:hint="eastAsia"/>
                <w:color w:val="auto"/>
                <w:sz w:val="24"/>
                <w:highlight w:val="none"/>
              </w:rPr>
              <w:t>设第</w:t>
            </w:r>
            <w:r>
              <w:rPr>
                <w:color w:val="auto"/>
                <w:sz w:val="24"/>
                <w:highlight w:val="none"/>
              </w:rPr>
              <w:t>i</w:t>
            </w:r>
            <w:r>
              <w:rPr>
                <w:rFonts w:hint="eastAsia"/>
                <w:color w:val="auto"/>
                <w:sz w:val="24"/>
                <w:highlight w:val="none"/>
              </w:rPr>
              <w:t>个室外声源在预测点产生的</w:t>
            </w:r>
            <w:r>
              <w:rPr>
                <w:color w:val="auto"/>
                <w:sz w:val="24"/>
                <w:highlight w:val="none"/>
              </w:rPr>
              <w:t>A</w:t>
            </w:r>
            <w:r>
              <w:rPr>
                <w:rFonts w:hint="eastAsia"/>
                <w:color w:val="auto"/>
                <w:sz w:val="24"/>
                <w:highlight w:val="none"/>
              </w:rPr>
              <w:t>声级为</w:t>
            </w:r>
            <w:r>
              <w:rPr>
                <w:color w:val="auto"/>
                <w:sz w:val="24"/>
                <w:highlight w:val="none"/>
              </w:rPr>
              <w:t>L</w:t>
            </w:r>
            <w:r>
              <w:rPr>
                <w:color w:val="auto"/>
                <w:sz w:val="24"/>
                <w:highlight w:val="none"/>
                <w:vertAlign w:val="subscript"/>
              </w:rPr>
              <w:t>Ai</w:t>
            </w:r>
            <w:r>
              <w:rPr>
                <w:rFonts w:hint="eastAsia"/>
                <w:color w:val="auto"/>
                <w:sz w:val="24"/>
                <w:highlight w:val="none"/>
              </w:rPr>
              <w:t>，在</w:t>
            </w:r>
            <w:r>
              <w:rPr>
                <w:color w:val="auto"/>
                <w:sz w:val="24"/>
                <w:highlight w:val="none"/>
              </w:rPr>
              <w:t>T</w:t>
            </w:r>
            <w:r>
              <w:rPr>
                <w:rFonts w:hint="eastAsia"/>
                <w:color w:val="auto"/>
                <w:sz w:val="24"/>
                <w:highlight w:val="none"/>
              </w:rPr>
              <w:t>时间内该声源工作时间为</w:t>
            </w:r>
            <w:r>
              <w:rPr>
                <w:color w:val="auto"/>
                <w:sz w:val="24"/>
                <w:highlight w:val="none"/>
              </w:rPr>
              <w:t>t</w:t>
            </w:r>
            <w:r>
              <w:rPr>
                <w:color w:val="auto"/>
                <w:sz w:val="24"/>
                <w:highlight w:val="none"/>
                <w:vertAlign w:val="subscript"/>
              </w:rPr>
              <w:t>i</w:t>
            </w:r>
            <w:r>
              <w:rPr>
                <w:rFonts w:hint="eastAsia"/>
                <w:color w:val="auto"/>
                <w:sz w:val="24"/>
                <w:highlight w:val="none"/>
              </w:rPr>
              <w:t>；第</w:t>
            </w:r>
            <w:r>
              <w:rPr>
                <w:color w:val="auto"/>
                <w:sz w:val="24"/>
                <w:highlight w:val="none"/>
              </w:rPr>
              <w:t>j</w:t>
            </w:r>
            <w:r>
              <w:rPr>
                <w:rFonts w:hint="eastAsia"/>
                <w:color w:val="auto"/>
                <w:sz w:val="24"/>
                <w:highlight w:val="none"/>
              </w:rPr>
              <w:t>个等效室外声源在预测点产生的</w:t>
            </w:r>
            <w:r>
              <w:rPr>
                <w:color w:val="auto"/>
                <w:sz w:val="24"/>
                <w:highlight w:val="none"/>
              </w:rPr>
              <w:t>A</w:t>
            </w:r>
            <w:r>
              <w:rPr>
                <w:rFonts w:hint="eastAsia"/>
                <w:color w:val="auto"/>
                <w:sz w:val="24"/>
                <w:highlight w:val="none"/>
              </w:rPr>
              <w:t>声级为</w:t>
            </w:r>
            <w:r>
              <w:rPr>
                <w:color w:val="auto"/>
                <w:sz w:val="24"/>
                <w:highlight w:val="none"/>
              </w:rPr>
              <w:t>L</w:t>
            </w:r>
            <w:r>
              <w:rPr>
                <w:color w:val="auto"/>
                <w:sz w:val="24"/>
                <w:highlight w:val="none"/>
                <w:vertAlign w:val="subscript"/>
              </w:rPr>
              <w:t>Aj</w:t>
            </w:r>
            <w:r>
              <w:rPr>
                <w:rFonts w:hint="eastAsia"/>
                <w:color w:val="auto"/>
                <w:sz w:val="24"/>
                <w:highlight w:val="none"/>
              </w:rPr>
              <w:t>，在</w:t>
            </w:r>
            <w:r>
              <w:rPr>
                <w:color w:val="auto"/>
                <w:sz w:val="24"/>
                <w:highlight w:val="none"/>
              </w:rPr>
              <w:t>T</w:t>
            </w:r>
            <w:r>
              <w:rPr>
                <w:rFonts w:hint="eastAsia"/>
                <w:color w:val="auto"/>
                <w:sz w:val="24"/>
                <w:highlight w:val="none"/>
              </w:rPr>
              <w:t>时间内该声源工作时间为</w:t>
            </w:r>
            <w:r>
              <w:rPr>
                <w:color w:val="auto"/>
                <w:sz w:val="24"/>
                <w:highlight w:val="none"/>
              </w:rPr>
              <w:t>t</w:t>
            </w:r>
            <w:r>
              <w:rPr>
                <w:color w:val="auto"/>
                <w:sz w:val="24"/>
                <w:highlight w:val="none"/>
                <w:vertAlign w:val="subscript"/>
              </w:rPr>
              <w:t xml:space="preserve"> j</w:t>
            </w:r>
            <w:r>
              <w:rPr>
                <w:rFonts w:hint="eastAsia"/>
                <w:color w:val="auto"/>
                <w:sz w:val="24"/>
                <w:highlight w:val="none"/>
              </w:rPr>
              <w:t>，则拟建工程声源对预测点产生的贡献值(</w:t>
            </w:r>
            <w:r>
              <w:rPr>
                <w:color w:val="auto"/>
                <w:sz w:val="24"/>
                <w:highlight w:val="none"/>
              </w:rPr>
              <w:t>Leqg</w:t>
            </w:r>
            <w:r>
              <w:rPr>
                <w:rFonts w:hint="eastAsia"/>
                <w:color w:val="auto"/>
                <w:sz w:val="24"/>
                <w:highlight w:val="none"/>
              </w:rPr>
              <w:t>)为：</w:t>
            </w:r>
          </w:p>
          <w:p w14:paraId="38B1B2FC">
            <w:pPr>
              <w:spacing w:line="360" w:lineRule="auto"/>
              <w:ind w:firstLine="555"/>
              <w:jc w:val="center"/>
              <w:rPr>
                <w:color w:val="auto"/>
                <w:szCs w:val="28"/>
                <w:highlight w:val="none"/>
              </w:rPr>
            </w:pPr>
            <w:r>
              <w:rPr>
                <w:color w:val="auto"/>
                <w:highlight w:val="none"/>
              </w:rPr>
              <w:drawing>
                <wp:inline distT="0" distB="0" distL="114300" distR="114300">
                  <wp:extent cx="2367280" cy="485775"/>
                  <wp:effectExtent l="0" t="0" r="13970" b="9525"/>
                  <wp:docPr id="8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9"/>
                          <pic:cNvPicPr>
                            <a:picLocks noChangeAspect="1"/>
                          </pic:cNvPicPr>
                        </pic:nvPicPr>
                        <pic:blipFill>
                          <a:blip r:embed="rId49"/>
                          <a:stretch>
                            <a:fillRect/>
                          </a:stretch>
                        </pic:blipFill>
                        <pic:spPr>
                          <a:xfrm>
                            <a:off x="0" y="0"/>
                            <a:ext cx="2367280" cy="485775"/>
                          </a:xfrm>
                          <a:prstGeom prst="rect">
                            <a:avLst/>
                          </a:prstGeom>
                          <a:noFill/>
                          <a:ln>
                            <a:noFill/>
                          </a:ln>
                        </pic:spPr>
                      </pic:pic>
                    </a:graphicData>
                  </a:graphic>
                </wp:inline>
              </w:drawing>
            </w:r>
            <w:r>
              <w:rPr>
                <w:color w:val="auto"/>
                <w:szCs w:val="28"/>
                <w:highlight w:val="none"/>
              </w:rPr>
              <w:t xml:space="preserve">  </w:t>
            </w:r>
          </w:p>
          <w:p w14:paraId="06E08E20">
            <w:pPr>
              <w:spacing w:line="360" w:lineRule="auto"/>
              <w:ind w:firstLine="480" w:firstLineChars="200"/>
              <w:rPr>
                <w:color w:val="auto"/>
                <w:sz w:val="24"/>
                <w:highlight w:val="none"/>
              </w:rPr>
            </w:pPr>
            <w:r>
              <w:rPr>
                <w:rFonts w:hint="eastAsia"/>
                <w:color w:val="auto"/>
                <w:sz w:val="24"/>
                <w:highlight w:val="none"/>
              </w:rPr>
              <w:t>式中：</w:t>
            </w:r>
            <w:r>
              <w:rPr>
                <w:color w:val="auto"/>
                <w:sz w:val="24"/>
                <w:highlight w:val="none"/>
              </w:rPr>
              <w:t>Leqg——</w:t>
            </w:r>
            <w:r>
              <w:rPr>
                <w:rFonts w:hint="eastAsia"/>
                <w:color w:val="auto"/>
                <w:sz w:val="24"/>
                <w:highlight w:val="none"/>
              </w:rPr>
              <w:t>建设项目声源在预测点产生的噪声贡献值，</w:t>
            </w:r>
            <w:r>
              <w:rPr>
                <w:color w:val="auto"/>
                <w:sz w:val="24"/>
                <w:highlight w:val="none"/>
              </w:rPr>
              <w:t>dB(A)</w:t>
            </w:r>
            <w:r>
              <w:rPr>
                <w:rFonts w:hint="eastAsia"/>
                <w:color w:val="auto"/>
                <w:sz w:val="24"/>
                <w:highlight w:val="none"/>
              </w:rPr>
              <w:t xml:space="preserve">； </w:t>
            </w:r>
          </w:p>
          <w:p w14:paraId="280783F5">
            <w:pPr>
              <w:spacing w:line="360" w:lineRule="auto"/>
              <w:ind w:firstLine="1200" w:firstLineChars="500"/>
              <w:rPr>
                <w:color w:val="auto"/>
                <w:sz w:val="24"/>
                <w:highlight w:val="none"/>
              </w:rPr>
            </w:pPr>
            <w:r>
              <w:rPr>
                <w:color w:val="auto"/>
                <w:sz w:val="24"/>
                <w:highlight w:val="none"/>
              </w:rPr>
              <w:t>T——</w:t>
            </w:r>
            <w:r>
              <w:rPr>
                <w:rFonts w:hint="eastAsia"/>
                <w:color w:val="auto"/>
                <w:sz w:val="24"/>
                <w:highlight w:val="none"/>
              </w:rPr>
              <w:t>用于计算等效声级的时间，</w:t>
            </w:r>
            <w:r>
              <w:rPr>
                <w:color w:val="auto"/>
                <w:sz w:val="24"/>
                <w:highlight w:val="none"/>
              </w:rPr>
              <w:t>s</w:t>
            </w:r>
            <w:r>
              <w:rPr>
                <w:rFonts w:hint="eastAsia"/>
                <w:color w:val="auto"/>
                <w:sz w:val="24"/>
                <w:highlight w:val="none"/>
              </w:rPr>
              <w:t xml:space="preserve">； </w:t>
            </w:r>
          </w:p>
          <w:p w14:paraId="47CFFB89">
            <w:pPr>
              <w:spacing w:line="360" w:lineRule="auto"/>
              <w:ind w:firstLine="1200" w:firstLineChars="500"/>
              <w:rPr>
                <w:color w:val="auto"/>
                <w:sz w:val="24"/>
                <w:highlight w:val="none"/>
              </w:rPr>
            </w:pPr>
            <w:r>
              <w:rPr>
                <w:color w:val="auto"/>
                <w:sz w:val="24"/>
                <w:highlight w:val="none"/>
              </w:rPr>
              <w:t>N——</w:t>
            </w:r>
            <w:r>
              <w:rPr>
                <w:rFonts w:hint="eastAsia"/>
                <w:color w:val="auto"/>
                <w:sz w:val="24"/>
                <w:highlight w:val="none"/>
              </w:rPr>
              <w:t xml:space="preserve">室外声源个数； </w:t>
            </w:r>
          </w:p>
          <w:p w14:paraId="329568F9">
            <w:pPr>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i</w:t>
            </w:r>
            <w:r>
              <w:rPr>
                <w:color w:val="auto"/>
                <w:sz w:val="24"/>
                <w:highlight w:val="none"/>
              </w:rPr>
              <w:t>——</w:t>
            </w:r>
            <w:r>
              <w:rPr>
                <w:rFonts w:hint="eastAsia"/>
                <w:color w:val="auto"/>
                <w:sz w:val="24"/>
                <w:highlight w:val="none"/>
              </w:rPr>
              <w:t>在</w:t>
            </w:r>
            <w:r>
              <w:rPr>
                <w:color w:val="auto"/>
                <w:sz w:val="24"/>
                <w:highlight w:val="none"/>
              </w:rPr>
              <w:t>T</w:t>
            </w:r>
            <w:r>
              <w:rPr>
                <w:rFonts w:hint="eastAsia"/>
                <w:color w:val="auto"/>
                <w:sz w:val="24"/>
                <w:highlight w:val="none"/>
              </w:rPr>
              <w:t>时间内</w:t>
            </w:r>
            <w:r>
              <w:rPr>
                <w:color w:val="auto"/>
                <w:sz w:val="24"/>
                <w:highlight w:val="none"/>
              </w:rPr>
              <w:t>i</w:t>
            </w:r>
            <w:r>
              <w:rPr>
                <w:rFonts w:hint="eastAsia"/>
                <w:color w:val="auto"/>
                <w:sz w:val="24"/>
                <w:highlight w:val="none"/>
              </w:rPr>
              <w:t>声源工作时间，</w:t>
            </w:r>
            <w:r>
              <w:rPr>
                <w:color w:val="auto"/>
                <w:sz w:val="24"/>
                <w:highlight w:val="none"/>
              </w:rPr>
              <w:t>s</w:t>
            </w:r>
            <w:r>
              <w:rPr>
                <w:rFonts w:hint="eastAsia"/>
                <w:color w:val="auto"/>
                <w:sz w:val="24"/>
                <w:highlight w:val="none"/>
              </w:rPr>
              <w:t xml:space="preserve">； </w:t>
            </w:r>
          </w:p>
          <w:p w14:paraId="050C2FB9">
            <w:pPr>
              <w:spacing w:line="360" w:lineRule="auto"/>
              <w:ind w:firstLine="1200" w:firstLineChars="500"/>
              <w:rPr>
                <w:color w:val="auto"/>
                <w:sz w:val="24"/>
                <w:highlight w:val="none"/>
              </w:rPr>
            </w:pPr>
            <w:r>
              <w:rPr>
                <w:color w:val="auto"/>
                <w:sz w:val="24"/>
                <w:highlight w:val="none"/>
              </w:rPr>
              <w:t>M——</w:t>
            </w:r>
            <w:r>
              <w:rPr>
                <w:rFonts w:hint="eastAsia"/>
                <w:color w:val="auto"/>
                <w:sz w:val="24"/>
                <w:highlight w:val="none"/>
              </w:rPr>
              <w:t xml:space="preserve">等效室外声源个数； </w:t>
            </w:r>
          </w:p>
          <w:p w14:paraId="4E2AD272">
            <w:pPr>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 xml:space="preserve">j </w:t>
            </w:r>
            <w:r>
              <w:rPr>
                <w:color w:val="auto"/>
                <w:sz w:val="24"/>
                <w:highlight w:val="none"/>
              </w:rPr>
              <w:t>——</w:t>
            </w:r>
            <w:r>
              <w:rPr>
                <w:rFonts w:hint="eastAsia"/>
                <w:color w:val="auto"/>
                <w:sz w:val="24"/>
                <w:highlight w:val="none"/>
              </w:rPr>
              <w:t>在</w:t>
            </w:r>
            <w:r>
              <w:rPr>
                <w:color w:val="auto"/>
                <w:sz w:val="24"/>
                <w:highlight w:val="none"/>
              </w:rPr>
              <w:t>T</w:t>
            </w:r>
            <w:r>
              <w:rPr>
                <w:rFonts w:hint="eastAsia"/>
                <w:color w:val="auto"/>
                <w:sz w:val="24"/>
                <w:highlight w:val="none"/>
              </w:rPr>
              <w:t>时间内</w:t>
            </w:r>
            <w:r>
              <w:rPr>
                <w:color w:val="auto"/>
                <w:sz w:val="24"/>
                <w:highlight w:val="none"/>
              </w:rPr>
              <w:t>j</w:t>
            </w:r>
            <w:r>
              <w:rPr>
                <w:rFonts w:hint="eastAsia"/>
                <w:color w:val="auto"/>
                <w:sz w:val="24"/>
                <w:highlight w:val="none"/>
              </w:rPr>
              <w:t>声源工作时间，</w:t>
            </w:r>
            <w:r>
              <w:rPr>
                <w:color w:val="auto"/>
                <w:sz w:val="24"/>
                <w:highlight w:val="none"/>
              </w:rPr>
              <w:t>s</w:t>
            </w:r>
            <w:r>
              <w:rPr>
                <w:rFonts w:hint="eastAsia"/>
                <w:color w:val="auto"/>
                <w:sz w:val="24"/>
                <w:highlight w:val="none"/>
              </w:rPr>
              <w:t>。</w:t>
            </w:r>
          </w:p>
          <w:p w14:paraId="635437A0">
            <w:pPr>
              <w:spacing w:line="360" w:lineRule="auto"/>
              <w:ind w:firstLine="480" w:firstLineChars="200"/>
              <w:rPr>
                <w:rFonts w:hint="eastAsia"/>
                <w:color w:val="auto"/>
                <w:sz w:val="24"/>
                <w:highlight w:val="none"/>
              </w:rPr>
            </w:pPr>
            <w:r>
              <w:rPr>
                <w:rFonts w:hint="eastAsia"/>
                <w:color w:val="auto"/>
                <w:sz w:val="24"/>
                <w:highlight w:val="none"/>
              </w:rPr>
              <w:t>(4)噪声预测值计算</w:t>
            </w:r>
          </w:p>
          <w:p w14:paraId="3938B636">
            <w:pPr>
              <w:spacing w:line="360" w:lineRule="auto"/>
              <w:ind w:firstLine="480" w:firstLineChars="200"/>
              <w:rPr>
                <w:color w:val="auto"/>
                <w:sz w:val="24"/>
                <w:highlight w:val="none"/>
              </w:rPr>
            </w:pPr>
            <w:r>
              <w:rPr>
                <w:color w:val="auto"/>
                <w:sz w:val="24"/>
                <w:highlight w:val="none"/>
              </w:rPr>
              <w:t>预测点的贡献值和背景值按能量叠加方法计算得到的声级</w:t>
            </w:r>
            <w:r>
              <w:rPr>
                <w:rFonts w:hint="eastAsia"/>
                <w:color w:val="auto"/>
                <w:sz w:val="24"/>
                <w:highlight w:val="none"/>
              </w:rPr>
              <w:t>，</w:t>
            </w:r>
            <w:r>
              <w:rPr>
                <w:color w:val="auto"/>
                <w:sz w:val="24"/>
                <w:highlight w:val="none"/>
              </w:rPr>
              <w:t>计算公式：</w:t>
            </w:r>
          </w:p>
          <w:p w14:paraId="3B26482C">
            <w:pPr>
              <w:spacing w:line="360" w:lineRule="auto"/>
              <w:ind w:firstLine="1680" w:firstLineChars="700"/>
              <w:rPr>
                <w:rFonts w:hint="eastAsia" w:eastAsia="宋体"/>
                <w:color w:val="auto"/>
                <w:sz w:val="24"/>
                <w:highlight w:val="none"/>
                <w:lang w:val="en-US" w:eastAsia="zh-CN"/>
              </w:rPr>
            </w:pPr>
            <w:r>
              <w:rPr>
                <w:color w:val="auto"/>
                <w:sz w:val="24"/>
                <w:highlight w:val="none"/>
              </w:rPr>
              <w:drawing>
                <wp:inline distT="0" distB="0" distL="114300" distR="114300">
                  <wp:extent cx="1907540" cy="304165"/>
                  <wp:effectExtent l="0" t="0" r="16510" b="635"/>
                  <wp:docPr id="9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0"/>
                          <pic:cNvPicPr>
                            <a:picLocks noChangeAspect="1"/>
                          </pic:cNvPicPr>
                        </pic:nvPicPr>
                        <pic:blipFill>
                          <a:blip r:embed="rId50"/>
                          <a:stretch>
                            <a:fillRect/>
                          </a:stretch>
                        </pic:blipFill>
                        <pic:spPr>
                          <a:xfrm>
                            <a:off x="0" y="0"/>
                            <a:ext cx="1907540" cy="304165"/>
                          </a:xfrm>
                          <a:prstGeom prst="rect">
                            <a:avLst/>
                          </a:prstGeom>
                          <a:noFill/>
                          <a:ln>
                            <a:noFill/>
                          </a:ln>
                        </pic:spPr>
                      </pic:pic>
                    </a:graphicData>
                  </a:graphic>
                </wp:inline>
              </w:drawing>
            </w:r>
            <w:r>
              <w:rPr>
                <w:color w:val="auto"/>
                <w:sz w:val="24"/>
                <w:highlight w:val="none"/>
              </w:rPr>
              <w:t xml:space="preserve">          </w:t>
            </w:r>
            <w:r>
              <w:rPr>
                <w:rFonts w:hint="eastAsia"/>
                <w:color w:val="auto"/>
                <w:sz w:val="24"/>
                <w:highlight w:val="none"/>
                <w:lang w:val="en-US" w:eastAsia="zh-CN"/>
              </w:rPr>
              <w:t xml:space="preserve"> </w:t>
            </w:r>
          </w:p>
          <w:p w14:paraId="7191A04D">
            <w:pPr>
              <w:spacing w:line="360" w:lineRule="auto"/>
              <w:ind w:firstLine="480"/>
              <w:rPr>
                <w:color w:val="auto"/>
                <w:sz w:val="24"/>
                <w:highlight w:val="none"/>
              </w:rPr>
            </w:pPr>
            <w:r>
              <w:rPr>
                <w:color w:val="auto"/>
                <w:sz w:val="24"/>
                <w:highlight w:val="none"/>
              </w:rPr>
              <w:t>式中：</w:t>
            </w:r>
          </w:p>
          <w:p w14:paraId="672910FB">
            <w:pPr>
              <w:spacing w:line="360" w:lineRule="auto"/>
              <w:ind w:firstLine="480"/>
              <w:rPr>
                <w:color w:val="auto"/>
                <w:sz w:val="24"/>
                <w:highlight w:val="none"/>
              </w:rPr>
            </w:pPr>
            <w:r>
              <w:rPr>
                <w:rFonts w:hint="eastAsia"/>
                <w:color w:val="auto"/>
                <w:sz w:val="24"/>
                <w:highlight w:val="none"/>
              </w:rPr>
              <w:t>Leq</w:t>
            </w:r>
            <w:r>
              <w:rPr>
                <w:color w:val="auto"/>
                <w:sz w:val="24"/>
                <w:highlight w:val="none"/>
              </w:rPr>
              <w:t>—预测点的噪声预测值，dB；</w:t>
            </w:r>
          </w:p>
          <w:p w14:paraId="19A4FD4D">
            <w:pPr>
              <w:spacing w:line="360" w:lineRule="auto"/>
              <w:ind w:firstLine="480"/>
              <w:rPr>
                <w:rFonts w:hint="eastAsia"/>
                <w:color w:val="auto"/>
                <w:sz w:val="24"/>
                <w:highlight w:val="none"/>
              </w:rPr>
            </w:pPr>
            <w:r>
              <w:rPr>
                <w:color w:val="auto"/>
                <w:sz w:val="24"/>
                <w:highlight w:val="none"/>
              </w:rPr>
              <w:t>Leqg—建设项目声源在预测点产生的噪声贡献值，dB</w:t>
            </w:r>
            <w:r>
              <w:rPr>
                <w:rFonts w:hint="eastAsia"/>
                <w:color w:val="auto"/>
                <w:sz w:val="24"/>
                <w:highlight w:val="none"/>
              </w:rPr>
              <w:t>；</w:t>
            </w:r>
          </w:p>
          <w:p w14:paraId="7C9186B4">
            <w:pPr>
              <w:spacing w:line="360" w:lineRule="auto"/>
              <w:ind w:firstLine="480"/>
              <w:rPr>
                <w:color w:val="auto"/>
                <w:sz w:val="24"/>
                <w:highlight w:val="none"/>
              </w:rPr>
            </w:pPr>
            <w:r>
              <w:rPr>
                <w:color w:val="auto"/>
                <w:sz w:val="24"/>
                <w:highlight w:val="none"/>
              </w:rPr>
              <w:t>Leq</w:t>
            </w:r>
            <w:r>
              <w:rPr>
                <w:rFonts w:hint="eastAsia"/>
                <w:color w:val="auto"/>
                <w:sz w:val="24"/>
                <w:highlight w:val="none"/>
              </w:rPr>
              <w:t>b</w:t>
            </w:r>
            <w:r>
              <w:rPr>
                <w:color w:val="auto"/>
                <w:sz w:val="24"/>
                <w:highlight w:val="none"/>
              </w:rPr>
              <w:t>—预测点的背景噪声值，dB。</w:t>
            </w:r>
          </w:p>
          <w:p w14:paraId="21913AB5">
            <w:pPr>
              <w:snapToGrid w:val="0"/>
              <w:spacing w:line="360" w:lineRule="auto"/>
              <w:ind w:right="11" w:firstLine="480" w:firstLineChars="200"/>
              <w:rPr>
                <w:color w:val="auto"/>
                <w:sz w:val="24"/>
                <w:highlight w:val="none"/>
              </w:rPr>
            </w:pPr>
            <w:r>
              <w:rPr>
                <w:rFonts w:hint="eastAsia"/>
                <w:color w:val="auto"/>
                <w:sz w:val="24"/>
                <w:highlight w:val="none"/>
              </w:rPr>
              <w:t>(5)隔声量的确定</w:t>
            </w:r>
          </w:p>
          <w:p w14:paraId="3882DAA1">
            <w:pPr>
              <w:snapToGrid w:val="0"/>
              <w:spacing w:line="360" w:lineRule="auto"/>
              <w:ind w:right="11" w:firstLine="480" w:firstLineChars="200"/>
              <w:rPr>
                <w:color w:val="auto"/>
                <w:sz w:val="24"/>
                <w:highlight w:val="none"/>
              </w:rPr>
            </w:pPr>
            <w:r>
              <w:rPr>
                <w:rFonts w:hint="eastAsia"/>
                <w:color w:val="auto"/>
                <w:sz w:val="24"/>
                <w:highlight w:val="none"/>
              </w:rPr>
              <w:t>项目主要噪声设备大多设置于各建构筑物内，设备噪声经墙体隔声，设备基础减振后，可削减15~20dB(A)以上。为确保项目厂界噪声达标排放，本评价要求项目隔声、减振按20dB(A)进行设计。</w:t>
            </w:r>
          </w:p>
          <w:p w14:paraId="1ECE16BA">
            <w:pPr>
              <w:spacing w:line="360" w:lineRule="auto"/>
              <w:ind w:firstLine="480"/>
              <w:rPr>
                <w:color w:val="auto"/>
                <w:sz w:val="24"/>
                <w:highlight w:val="none"/>
              </w:rPr>
            </w:pPr>
            <w:r>
              <w:rPr>
                <w:color w:val="auto"/>
                <w:sz w:val="24"/>
                <w:highlight w:val="none"/>
              </w:rPr>
              <w:t>(</w:t>
            </w:r>
            <w:r>
              <w:rPr>
                <w:rFonts w:hint="eastAsia"/>
                <w:color w:val="auto"/>
                <w:sz w:val="24"/>
                <w:highlight w:val="none"/>
              </w:rPr>
              <w:t>6</w:t>
            </w:r>
            <w:r>
              <w:rPr>
                <w:color w:val="auto"/>
                <w:sz w:val="24"/>
                <w:highlight w:val="none"/>
              </w:rPr>
              <w:t>)</w:t>
            </w:r>
            <w:r>
              <w:rPr>
                <w:rFonts w:hint="eastAsia"/>
                <w:color w:val="auto"/>
                <w:sz w:val="24"/>
                <w:highlight w:val="none"/>
              </w:rPr>
              <w:t>预测结果</w:t>
            </w:r>
          </w:p>
          <w:p w14:paraId="6CA04782">
            <w:pPr>
              <w:spacing w:line="360" w:lineRule="auto"/>
              <w:ind w:firstLine="480"/>
              <w:rPr>
                <w:color w:val="auto"/>
                <w:sz w:val="24"/>
                <w:highlight w:val="none"/>
              </w:rPr>
            </w:pPr>
            <w:r>
              <w:rPr>
                <w:rFonts w:hint="eastAsia"/>
                <w:color w:val="auto"/>
                <w:sz w:val="24"/>
                <w:highlight w:val="none"/>
                <w:lang w:val="zh-CN"/>
              </w:rPr>
              <w:t>①</w:t>
            </w:r>
            <w:r>
              <w:rPr>
                <w:rFonts w:hint="eastAsia"/>
                <w:color w:val="auto"/>
                <w:sz w:val="24"/>
                <w:highlight w:val="none"/>
              </w:rPr>
              <w:t>厂界噪声预测结果</w:t>
            </w:r>
          </w:p>
          <w:p w14:paraId="0ACCBF27">
            <w:pPr>
              <w:spacing w:line="360" w:lineRule="auto"/>
              <w:ind w:firstLine="480"/>
              <w:rPr>
                <w:color w:val="auto"/>
                <w:sz w:val="24"/>
                <w:highlight w:val="none"/>
                <w:lang w:val="zh-CN"/>
              </w:rPr>
            </w:pPr>
            <w:r>
              <w:rPr>
                <w:color w:val="auto"/>
                <w:sz w:val="24"/>
                <w:highlight w:val="none"/>
                <w:lang w:val="zh-CN"/>
              </w:rPr>
              <w:t>利用上述模式计算本项目噪声源同时工作时，预测到厂界的噪声最大值及位置，具体预测结果见表</w:t>
            </w:r>
            <w:r>
              <w:rPr>
                <w:rFonts w:hint="eastAsia"/>
                <w:color w:val="auto"/>
                <w:sz w:val="24"/>
                <w:highlight w:val="none"/>
              </w:rPr>
              <w:t>4-</w:t>
            </w:r>
            <w:r>
              <w:rPr>
                <w:rFonts w:hint="eastAsia"/>
                <w:color w:val="auto"/>
                <w:sz w:val="24"/>
                <w:highlight w:val="none"/>
                <w:lang w:val="en-US" w:eastAsia="zh-CN"/>
              </w:rPr>
              <w:t>16</w:t>
            </w:r>
            <w:r>
              <w:rPr>
                <w:color w:val="auto"/>
                <w:sz w:val="24"/>
                <w:highlight w:val="none"/>
                <w:lang w:val="zh-CN"/>
              </w:rPr>
              <w:t>所示。</w:t>
            </w:r>
          </w:p>
          <w:p w14:paraId="668E04E4">
            <w:pPr>
              <w:spacing w:before="120" w:beforeLines="50"/>
              <w:jc w:val="center"/>
              <w:rPr>
                <w:rFonts w:eastAsia="黑体"/>
                <w:color w:val="auto"/>
                <w:spacing w:val="8"/>
                <w:sz w:val="24"/>
                <w:highlight w:val="none"/>
                <w:lang w:bidi="ar"/>
              </w:rPr>
            </w:pPr>
            <w:r>
              <w:rPr>
                <w:rFonts w:eastAsia="黑体"/>
                <w:color w:val="auto"/>
                <w:spacing w:val="8"/>
                <w:sz w:val="24"/>
                <w:highlight w:val="none"/>
                <w:lang w:bidi="ar"/>
              </w:rPr>
              <w:t>表4-</w:t>
            </w:r>
            <w:r>
              <w:rPr>
                <w:rFonts w:hint="eastAsia" w:eastAsia="黑体"/>
                <w:color w:val="auto"/>
                <w:spacing w:val="8"/>
                <w:sz w:val="24"/>
                <w:highlight w:val="none"/>
                <w:lang w:val="en-US" w:eastAsia="zh-CN" w:bidi="ar"/>
              </w:rPr>
              <w:t>16</w:t>
            </w:r>
            <w:r>
              <w:rPr>
                <w:rFonts w:eastAsia="黑体"/>
                <w:color w:val="auto"/>
                <w:spacing w:val="8"/>
                <w:sz w:val="24"/>
                <w:highlight w:val="none"/>
                <w:lang w:bidi="ar"/>
              </w:rPr>
              <w:t xml:space="preserve">  厂界噪声预测结果   单位：dB(A)</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86"/>
              <w:gridCol w:w="1727"/>
              <w:gridCol w:w="1754"/>
              <w:gridCol w:w="1482"/>
              <w:gridCol w:w="1072"/>
              <w:gridCol w:w="1072"/>
              <w:gridCol w:w="1133"/>
            </w:tblGrid>
            <w:tr w14:paraId="57849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9" w:type="pct"/>
                  <w:vMerge w:val="restart"/>
                  <w:noWrap w:val="0"/>
                  <w:vAlign w:val="center"/>
                </w:tcPr>
                <w:p w14:paraId="03938ABD">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编号</w:t>
                  </w:r>
                </w:p>
              </w:tc>
              <w:tc>
                <w:tcPr>
                  <w:tcW w:w="990" w:type="pct"/>
                  <w:vMerge w:val="restart"/>
                  <w:noWrap w:val="0"/>
                  <w:vAlign w:val="center"/>
                </w:tcPr>
                <w:p w14:paraId="3DEDEF37">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测点位置</w:t>
                  </w:r>
                </w:p>
              </w:tc>
              <w:tc>
                <w:tcPr>
                  <w:tcW w:w="1005" w:type="pct"/>
                  <w:noWrap w:val="0"/>
                  <w:vAlign w:val="center"/>
                </w:tcPr>
                <w:p w14:paraId="51F927C1">
                  <w:pPr>
                    <w:pStyle w:val="7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现状</w:t>
                  </w:r>
                </w:p>
              </w:tc>
              <w:tc>
                <w:tcPr>
                  <w:tcW w:w="849" w:type="pct"/>
                  <w:vMerge w:val="restart"/>
                  <w:noWrap w:val="0"/>
                  <w:vAlign w:val="center"/>
                </w:tcPr>
                <w:p w14:paraId="5662EB61">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声源厂界贡献值（昼间）</w:t>
                  </w:r>
                </w:p>
              </w:tc>
              <w:tc>
                <w:tcPr>
                  <w:tcW w:w="614" w:type="pct"/>
                  <w:noWrap w:val="0"/>
                  <w:vAlign w:val="center"/>
                </w:tcPr>
                <w:p w14:paraId="05978253">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厂界噪声</w:t>
                  </w:r>
                  <w:r>
                    <w:rPr>
                      <w:rFonts w:hint="default" w:ascii="Times New Roman" w:hAnsi="Times New Roman" w:eastAsia="宋体" w:cs="Times New Roman"/>
                      <w:b/>
                      <w:bCs w:val="0"/>
                      <w:color w:val="auto"/>
                      <w:sz w:val="21"/>
                      <w:szCs w:val="21"/>
                      <w:highlight w:val="none"/>
                      <w:lang w:eastAsia="zh-CN"/>
                    </w:rPr>
                    <w:t>预测值</w:t>
                  </w:r>
                </w:p>
              </w:tc>
              <w:tc>
                <w:tcPr>
                  <w:tcW w:w="614" w:type="pct"/>
                  <w:noWrap w:val="0"/>
                  <w:vAlign w:val="center"/>
                </w:tcPr>
                <w:p w14:paraId="37395D74">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标准值</w:t>
                  </w:r>
                </w:p>
              </w:tc>
              <w:tc>
                <w:tcPr>
                  <w:tcW w:w="646" w:type="pct"/>
                  <w:vMerge w:val="restart"/>
                  <w:noWrap w:val="0"/>
                  <w:vAlign w:val="center"/>
                </w:tcPr>
                <w:p w14:paraId="49AA3065">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达标</w:t>
                  </w:r>
                </w:p>
                <w:p w14:paraId="477300BE">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情况</w:t>
                  </w:r>
                </w:p>
              </w:tc>
            </w:tr>
            <w:tr w14:paraId="06194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9" w:type="pct"/>
                  <w:vMerge w:val="continue"/>
                  <w:noWrap w:val="0"/>
                  <w:vAlign w:val="center"/>
                </w:tcPr>
                <w:p w14:paraId="52BAB76A">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p>
              </w:tc>
              <w:tc>
                <w:tcPr>
                  <w:tcW w:w="990" w:type="pct"/>
                  <w:vMerge w:val="continue"/>
                  <w:noWrap w:val="0"/>
                  <w:vAlign w:val="center"/>
                </w:tcPr>
                <w:p w14:paraId="0D79BE93">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p>
              </w:tc>
              <w:tc>
                <w:tcPr>
                  <w:tcW w:w="1005" w:type="pct"/>
                  <w:noWrap w:val="0"/>
                  <w:vAlign w:val="center"/>
                </w:tcPr>
                <w:p w14:paraId="6666575E">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昼间</w:t>
                  </w:r>
                </w:p>
              </w:tc>
              <w:tc>
                <w:tcPr>
                  <w:tcW w:w="849" w:type="pct"/>
                  <w:vMerge w:val="continue"/>
                  <w:noWrap w:val="0"/>
                  <w:vAlign w:val="center"/>
                </w:tcPr>
                <w:p w14:paraId="45145F5F">
                  <w:pPr>
                    <w:pStyle w:val="79"/>
                    <w:spacing w:beforeLines="0" w:afterLines="0" w:line="340" w:lineRule="exact"/>
                    <w:rPr>
                      <w:rFonts w:hint="default" w:ascii="Times New Roman" w:hAnsi="Times New Roman" w:eastAsia="宋体" w:cs="Times New Roman"/>
                      <w:b/>
                      <w:bCs w:val="0"/>
                      <w:color w:val="auto"/>
                      <w:kern w:val="0"/>
                      <w:sz w:val="21"/>
                      <w:szCs w:val="21"/>
                      <w:highlight w:val="none"/>
                      <w:lang w:val="en-US" w:eastAsia="zh-CN" w:bidi="ar-SA"/>
                    </w:rPr>
                  </w:pPr>
                </w:p>
              </w:tc>
              <w:tc>
                <w:tcPr>
                  <w:tcW w:w="614" w:type="pct"/>
                  <w:noWrap w:val="0"/>
                  <w:vAlign w:val="center"/>
                </w:tcPr>
                <w:p w14:paraId="4300D6D4">
                  <w:pPr>
                    <w:pStyle w:val="79"/>
                    <w:spacing w:beforeLines="0" w:afterLines="0" w:line="340" w:lineRule="exact"/>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昼间</w:t>
                  </w:r>
                </w:p>
              </w:tc>
              <w:tc>
                <w:tcPr>
                  <w:tcW w:w="614" w:type="pct"/>
                  <w:noWrap w:val="0"/>
                  <w:vAlign w:val="center"/>
                </w:tcPr>
                <w:p w14:paraId="1CE8E132">
                  <w:pPr>
                    <w:pStyle w:val="79"/>
                    <w:spacing w:beforeLines="0" w:afterLines="0" w:line="340" w:lineRule="exact"/>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昼间</w:t>
                  </w:r>
                </w:p>
              </w:tc>
              <w:tc>
                <w:tcPr>
                  <w:tcW w:w="646" w:type="pct"/>
                  <w:vMerge w:val="continue"/>
                  <w:noWrap w:val="0"/>
                  <w:vAlign w:val="center"/>
                </w:tcPr>
                <w:p w14:paraId="703697FA">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p>
              </w:tc>
            </w:tr>
            <w:tr w14:paraId="0D2C0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noWrap w:val="0"/>
                  <w:vAlign w:val="center"/>
                </w:tcPr>
                <w:p w14:paraId="67B10AAA">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990" w:type="pct"/>
                  <w:noWrap w:val="0"/>
                  <w:vAlign w:val="center"/>
                </w:tcPr>
                <w:p w14:paraId="3E7D2A38">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侧厂界</w:t>
                  </w:r>
                </w:p>
              </w:tc>
              <w:tc>
                <w:tcPr>
                  <w:tcW w:w="1005" w:type="pct"/>
                  <w:noWrap w:val="0"/>
                  <w:vAlign w:val="center"/>
                </w:tcPr>
                <w:p w14:paraId="25A532E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55.2</w:t>
                  </w:r>
                </w:p>
              </w:tc>
              <w:tc>
                <w:tcPr>
                  <w:tcW w:w="849" w:type="pct"/>
                  <w:noWrap w:val="0"/>
                  <w:vAlign w:val="center"/>
                </w:tcPr>
                <w:p w14:paraId="69ED3231">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59.3</w:t>
                  </w:r>
                </w:p>
              </w:tc>
              <w:tc>
                <w:tcPr>
                  <w:tcW w:w="614" w:type="pct"/>
                  <w:noWrap w:val="0"/>
                  <w:vAlign w:val="center"/>
                </w:tcPr>
                <w:p w14:paraId="2263599E">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60.7</w:t>
                  </w:r>
                </w:p>
              </w:tc>
              <w:tc>
                <w:tcPr>
                  <w:tcW w:w="614" w:type="pct"/>
                  <w:vMerge w:val="restart"/>
                  <w:noWrap w:val="0"/>
                  <w:vAlign w:val="center"/>
                </w:tcPr>
                <w:p w14:paraId="435EEE41">
                  <w:pPr>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65</w:t>
                  </w:r>
                </w:p>
              </w:tc>
              <w:tc>
                <w:tcPr>
                  <w:tcW w:w="646" w:type="pct"/>
                  <w:noWrap w:val="0"/>
                  <w:vAlign w:val="center"/>
                </w:tcPr>
                <w:p w14:paraId="798611EE">
                  <w:pPr>
                    <w:widowControl/>
                    <w:adjustRightInd w:val="0"/>
                    <w:snapToGrid w:val="0"/>
                    <w:spacing w:line="34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w:t>
                  </w:r>
                </w:p>
              </w:tc>
            </w:tr>
            <w:tr w14:paraId="1E5E3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noWrap w:val="0"/>
                  <w:vAlign w:val="center"/>
                </w:tcPr>
                <w:p w14:paraId="77DE9EA8">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990" w:type="pct"/>
                  <w:noWrap w:val="0"/>
                  <w:vAlign w:val="center"/>
                </w:tcPr>
                <w:p w14:paraId="20BC709C">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东侧厂界</w:t>
                  </w:r>
                </w:p>
              </w:tc>
              <w:tc>
                <w:tcPr>
                  <w:tcW w:w="1005" w:type="pct"/>
                  <w:noWrap w:val="0"/>
                  <w:vAlign w:val="center"/>
                </w:tcPr>
                <w:p w14:paraId="52F8E27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55.1</w:t>
                  </w:r>
                </w:p>
              </w:tc>
              <w:tc>
                <w:tcPr>
                  <w:tcW w:w="849" w:type="pct"/>
                  <w:noWrap w:val="0"/>
                  <w:vAlign w:val="center"/>
                </w:tcPr>
                <w:p w14:paraId="701E97A8">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63.2</w:t>
                  </w:r>
                </w:p>
              </w:tc>
              <w:tc>
                <w:tcPr>
                  <w:tcW w:w="614" w:type="pct"/>
                  <w:noWrap w:val="0"/>
                  <w:vAlign w:val="center"/>
                </w:tcPr>
                <w:p w14:paraId="5EABC384">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 xml:space="preserve">63.8 </w:t>
                  </w:r>
                </w:p>
              </w:tc>
              <w:tc>
                <w:tcPr>
                  <w:tcW w:w="614" w:type="pct"/>
                  <w:vMerge w:val="continue"/>
                  <w:noWrap w:val="0"/>
                  <w:vAlign w:val="center"/>
                </w:tcPr>
                <w:p w14:paraId="7018E36C">
                  <w:pPr>
                    <w:adjustRightInd w:val="0"/>
                    <w:snapToGrid w:val="0"/>
                    <w:spacing w:line="340" w:lineRule="exact"/>
                    <w:jc w:val="center"/>
                    <w:rPr>
                      <w:rFonts w:hint="default" w:ascii="Times New Roman" w:hAnsi="Times New Roman" w:eastAsia="宋体" w:cs="Times New Roman"/>
                      <w:bCs/>
                      <w:color w:val="auto"/>
                      <w:sz w:val="21"/>
                      <w:szCs w:val="21"/>
                      <w:highlight w:val="none"/>
                    </w:rPr>
                  </w:pPr>
                </w:p>
              </w:tc>
              <w:tc>
                <w:tcPr>
                  <w:tcW w:w="646" w:type="pct"/>
                  <w:noWrap w:val="0"/>
                  <w:vAlign w:val="center"/>
                </w:tcPr>
                <w:p w14:paraId="0BE52B3E">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达标</w:t>
                  </w:r>
                </w:p>
              </w:tc>
            </w:tr>
            <w:tr w14:paraId="67D8C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noWrap w:val="0"/>
                  <w:vAlign w:val="center"/>
                </w:tcPr>
                <w:p w14:paraId="105769D6">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990" w:type="pct"/>
                  <w:noWrap w:val="0"/>
                  <w:vAlign w:val="center"/>
                </w:tcPr>
                <w:p w14:paraId="10315B3F">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侧厂界</w:t>
                  </w:r>
                </w:p>
              </w:tc>
              <w:tc>
                <w:tcPr>
                  <w:tcW w:w="1005" w:type="pct"/>
                  <w:noWrap w:val="0"/>
                  <w:vAlign w:val="center"/>
                </w:tcPr>
                <w:p w14:paraId="26154D8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57.6</w:t>
                  </w:r>
                </w:p>
              </w:tc>
              <w:tc>
                <w:tcPr>
                  <w:tcW w:w="849" w:type="pct"/>
                  <w:noWrap w:val="0"/>
                  <w:vAlign w:val="center"/>
                </w:tcPr>
                <w:p w14:paraId="6BD98FCB">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53.0</w:t>
                  </w:r>
                </w:p>
              </w:tc>
              <w:tc>
                <w:tcPr>
                  <w:tcW w:w="614" w:type="pct"/>
                  <w:noWrap w:val="0"/>
                  <w:vAlign w:val="center"/>
                </w:tcPr>
                <w:p w14:paraId="1FC6A0E6">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58.9</w:t>
                  </w:r>
                </w:p>
              </w:tc>
              <w:tc>
                <w:tcPr>
                  <w:tcW w:w="614" w:type="pct"/>
                  <w:vMerge w:val="continue"/>
                  <w:noWrap w:val="0"/>
                  <w:vAlign w:val="center"/>
                </w:tcPr>
                <w:p w14:paraId="74BC1152">
                  <w:pPr>
                    <w:adjustRightInd w:val="0"/>
                    <w:snapToGrid w:val="0"/>
                    <w:spacing w:line="340" w:lineRule="exact"/>
                    <w:jc w:val="center"/>
                    <w:rPr>
                      <w:rFonts w:hint="default" w:ascii="Times New Roman" w:hAnsi="Times New Roman" w:eastAsia="宋体" w:cs="Times New Roman"/>
                      <w:bCs/>
                      <w:color w:val="auto"/>
                      <w:sz w:val="21"/>
                      <w:szCs w:val="21"/>
                      <w:highlight w:val="none"/>
                    </w:rPr>
                  </w:pPr>
                </w:p>
              </w:tc>
              <w:tc>
                <w:tcPr>
                  <w:tcW w:w="646" w:type="pct"/>
                  <w:noWrap w:val="0"/>
                  <w:vAlign w:val="center"/>
                </w:tcPr>
                <w:p w14:paraId="1579BF70">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达标</w:t>
                  </w:r>
                </w:p>
              </w:tc>
            </w:tr>
            <w:tr w14:paraId="7CF00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9" w:type="pct"/>
                  <w:noWrap w:val="0"/>
                  <w:vAlign w:val="center"/>
                </w:tcPr>
                <w:p w14:paraId="141851A1">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w:t>
                  </w:r>
                </w:p>
              </w:tc>
              <w:tc>
                <w:tcPr>
                  <w:tcW w:w="990" w:type="pct"/>
                  <w:noWrap w:val="0"/>
                  <w:vAlign w:val="center"/>
                </w:tcPr>
                <w:p w14:paraId="2EAD9BD8">
                  <w:pPr>
                    <w:pStyle w:val="79"/>
                    <w:spacing w:beforeLines="0" w:afterLines="0" w:line="3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西侧厂界</w:t>
                  </w:r>
                </w:p>
              </w:tc>
              <w:tc>
                <w:tcPr>
                  <w:tcW w:w="1005" w:type="pct"/>
                  <w:noWrap w:val="0"/>
                  <w:vAlign w:val="center"/>
                </w:tcPr>
                <w:p w14:paraId="0DB2D86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57.3</w:t>
                  </w:r>
                </w:p>
              </w:tc>
              <w:tc>
                <w:tcPr>
                  <w:tcW w:w="849" w:type="pct"/>
                  <w:noWrap w:val="0"/>
                  <w:vAlign w:val="center"/>
                </w:tcPr>
                <w:p w14:paraId="1115E8DE">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50.1</w:t>
                  </w:r>
                </w:p>
              </w:tc>
              <w:tc>
                <w:tcPr>
                  <w:tcW w:w="614" w:type="pct"/>
                  <w:noWrap w:val="0"/>
                  <w:vAlign w:val="center"/>
                </w:tcPr>
                <w:p w14:paraId="391D160B">
                  <w:pPr>
                    <w:widowControl/>
                    <w:adjustRightInd w:val="0"/>
                    <w:snapToGrid w:val="0"/>
                    <w:spacing w:line="34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58.1</w:t>
                  </w:r>
                </w:p>
              </w:tc>
              <w:tc>
                <w:tcPr>
                  <w:tcW w:w="614" w:type="pct"/>
                  <w:vMerge w:val="continue"/>
                  <w:noWrap w:val="0"/>
                  <w:vAlign w:val="center"/>
                </w:tcPr>
                <w:p w14:paraId="3FEF8D48">
                  <w:pPr>
                    <w:adjustRightInd w:val="0"/>
                    <w:snapToGrid w:val="0"/>
                    <w:spacing w:line="340" w:lineRule="exact"/>
                    <w:jc w:val="center"/>
                    <w:rPr>
                      <w:rFonts w:hint="default" w:ascii="Times New Roman" w:hAnsi="Times New Roman" w:eastAsia="宋体" w:cs="Times New Roman"/>
                      <w:bCs/>
                      <w:color w:val="auto"/>
                      <w:sz w:val="21"/>
                      <w:szCs w:val="21"/>
                      <w:highlight w:val="none"/>
                    </w:rPr>
                  </w:pPr>
                </w:p>
              </w:tc>
              <w:tc>
                <w:tcPr>
                  <w:tcW w:w="646" w:type="pct"/>
                  <w:noWrap w:val="0"/>
                  <w:vAlign w:val="center"/>
                </w:tcPr>
                <w:p w14:paraId="640F8221">
                  <w:pPr>
                    <w:pStyle w:val="79"/>
                    <w:spacing w:beforeLines="0" w:afterLines="0" w:line="340" w:lineRule="exac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达标</w:t>
                  </w:r>
                </w:p>
              </w:tc>
            </w:tr>
            <w:tr w14:paraId="06833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14:paraId="05CA2662">
                  <w:pPr>
                    <w:pStyle w:val="79"/>
                    <w:spacing w:beforeLines="0" w:afterLines="0" w:line="340" w:lineRule="exact"/>
                    <w:jc w:val="lef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备注：项目厂房四北侧厂界现状值类比南侧厂界声源强</w:t>
                  </w:r>
                </w:p>
              </w:tc>
            </w:tr>
          </w:tbl>
          <w:p w14:paraId="08A5E8AC">
            <w:pPr>
              <w:pStyle w:val="99"/>
              <w:spacing w:before="120" w:beforeLines="50" w:line="360" w:lineRule="auto"/>
              <w:ind w:firstLine="480" w:firstLineChars="200"/>
              <w:rPr>
                <w:color w:val="auto"/>
                <w:sz w:val="24"/>
                <w:highlight w:val="yellow"/>
              </w:rPr>
            </w:pPr>
            <w:r>
              <w:rPr>
                <w:color w:val="auto"/>
                <w:sz w:val="24"/>
                <w:highlight w:val="none"/>
              </w:rPr>
              <w:t>根据表</w:t>
            </w:r>
            <w:r>
              <w:rPr>
                <w:rFonts w:hint="eastAsia"/>
                <w:color w:val="auto"/>
                <w:sz w:val="24"/>
                <w:highlight w:val="none"/>
              </w:rPr>
              <w:t>4</w:t>
            </w:r>
            <w:r>
              <w:rPr>
                <w:rFonts w:hint="eastAsia"/>
                <w:color w:val="auto"/>
                <w:sz w:val="24"/>
                <w:highlight w:val="none"/>
                <w:lang w:val="en-US" w:eastAsia="zh-CN"/>
              </w:rPr>
              <w:t>-18</w:t>
            </w:r>
            <w:r>
              <w:rPr>
                <w:color w:val="auto"/>
                <w:sz w:val="24"/>
                <w:highlight w:val="none"/>
              </w:rPr>
              <w:t>预测结果表明，项目主要噪声源在采取有效的降噪措施前提下，</w:t>
            </w:r>
            <w:r>
              <w:rPr>
                <w:rFonts w:hint="eastAsia"/>
                <w:color w:val="auto"/>
                <w:sz w:val="24"/>
                <w:highlight w:val="none"/>
                <w:lang w:val="en-US" w:eastAsia="zh-CN"/>
              </w:rPr>
              <w:t>企业</w:t>
            </w:r>
            <w:r>
              <w:rPr>
                <w:color w:val="auto"/>
                <w:sz w:val="24"/>
                <w:highlight w:val="none"/>
              </w:rPr>
              <w:t>厂界</w:t>
            </w:r>
            <w:r>
              <w:rPr>
                <w:rFonts w:hint="eastAsia"/>
                <w:color w:val="auto"/>
                <w:sz w:val="24"/>
                <w:highlight w:val="none"/>
                <w:lang w:val="en-US" w:eastAsia="zh-CN"/>
              </w:rPr>
              <w:t>昼间</w:t>
            </w:r>
            <w:r>
              <w:rPr>
                <w:color w:val="auto"/>
                <w:sz w:val="24"/>
                <w:highlight w:val="none"/>
              </w:rPr>
              <w:t>噪声可满足《工业企业厂界环境噪声排放标准》</w:t>
            </w:r>
            <w:r>
              <w:rPr>
                <w:rFonts w:hint="eastAsia"/>
                <w:color w:val="auto"/>
                <w:sz w:val="24"/>
                <w:highlight w:val="none"/>
                <w:lang w:eastAsia="zh-CN"/>
              </w:rPr>
              <w:t>（</w:t>
            </w:r>
            <w:r>
              <w:rPr>
                <w:color w:val="auto"/>
                <w:sz w:val="24"/>
                <w:highlight w:val="none"/>
              </w:rPr>
              <w:t>GB12348-2008</w:t>
            </w:r>
            <w:r>
              <w:rPr>
                <w:rFonts w:hint="eastAsia"/>
                <w:color w:val="auto"/>
                <w:sz w:val="24"/>
                <w:highlight w:val="none"/>
                <w:lang w:eastAsia="zh-CN"/>
              </w:rPr>
              <w:t>）</w:t>
            </w:r>
            <w:r>
              <w:rPr>
                <w:color w:val="auto"/>
                <w:sz w:val="24"/>
                <w:highlight w:val="none"/>
              </w:rPr>
              <w:t>中</w:t>
            </w:r>
            <w:r>
              <w:rPr>
                <w:rFonts w:hint="eastAsia"/>
                <w:color w:val="auto"/>
                <w:sz w:val="24"/>
                <w:highlight w:val="none"/>
                <w:lang w:val="en-US" w:eastAsia="zh-CN"/>
              </w:rPr>
              <w:t>3</w:t>
            </w:r>
            <w:r>
              <w:rPr>
                <w:color w:val="auto"/>
                <w:sz w:val="24"/>
                <w:highlight w:val="none"/>
              </w:rPr>
              <w:t>类标准</w:t>
            </w:r>
            <w:r>
              <w:rPr>
                <w:rFonts w:hint="eastAsia"/>
                <w:color w:val="auto"/>
                <w:sz w:val="24"/>
                <w:highlight w:val="none"/>
                <w:lang w:eastAsia="zh-CN"/>
              </w:rPr>
              <w:t>（</w:t>
            </w:r>
            <w:r>
              <w:rPr>
                <w:rFonts w:hint="eastAsia"/>
                <w:color w:val="auto"/>
                <w:sz w:val="24"/>
                <w:highlight w:val="none"/>
                <w:lang w:val="en-US" w:eastAsia="zh-CN"/>
              </w:rPr>
              <w:t>夜间不生产</w:t>
            </w:r>
            <w:r>
              <w:rPr>
                <w:rFonts w:hint="eastAsia"/>
                <w:color w:val="auto"/>
                <w:sz w:val="24"/>
                <w:highlight w:val="none"/>
                <w:lang w:eastAsia="zh-CN"/>
              </w:rPr>
              <w:t>）。</w:t>
            </w:r>
          </w:p>
          <w:p w14:paraId="32E7E9F5">
            <w:pPr>
              <w:pStyle w:val="85"/>
              <w:ind w:firstLine="480"/>
              <w:rPr>
                <w:rFonts w:ascii="Times New Roman" w:hAnsi="Times New Roman"/>
                <w:color w:val="auto"/>
                <w:sz w:val="24"/>
                <w:szCs w:val="24"/>
                <w:highlight w:val="none"/>
                <w:lang w:val="zh-CN"/>
              </w:rPr>
            </w:pPr>
            <w:r>
              <w:rPr>
                <w:rFonts w:hint="eastAsia" w:ascii="Times New Roman" w:hAnsi="Times New Roman"/>
                <w:color w:val="auto"/>
                <w:sz w:val="24"/>
                <w:szCs w:val="24"/>
                <w:highlight w:val="none"/>
              </w:rPr>
              <w:t>②</w:t>
            </w:r>
            <w:r>
              <w:rPr>
                <w:rFonts w:ascii="Times New Roman" w:hAnsi="Times New Roman"/>
                <w:color w:val="auto"/>
                <w:sz w:val="24"/>
                <w:szCs w:val="24"/>
                <w:highlight w:val="none"/>
                <w:lang w:val="zh-CN"/>
              </w:rPr>
              <w:t>敏感点噪声预测结果分析</w:t>
            </w:r>
          </w:p>
          <w:p w14:paraId="029B6D13">
            <w:pPr>
              <w:spacing w:line="360" w:lineRule="auto"/>
              <w:ind w:firstLine="480"/>
              <w:rPr>
                <w:color w:val="auto"/>
                <w:sz w:val="24"/>
                <w:highlight w:val="none"/>
                <w:lang w:val="zh-CN"/>
              </w:rPr>
            </w:pPr>
            <w:r>
              <w:rPr>
                <w:rFonts w:hint="eastAsia"/>
                <w:color w:val="auto"/>
                <w:sz w:val="24"/>
                <w:highlight w:val="none"/>
                <w:lang w:val="zh-CN"/>
              </w:rPr>
              <w:t>根据现场勘查，项目</w:t>
            </w:r>
            <w:r>
              <w:rPr>
                <w:color w:val="auto"/>
                <w:sz w:val="24"/>
                <w:highlight w:val="none"/>
                <w:lang w:val="zh-CN"/>
              </w:rPr>
              <w:t>周边</w:t>
            </w:r>
            <w:r>
              <w:rPr>
                <w:rFonts w:hint="eastAsia"/>
                <w:color w:val="auto"/>
                <w:sz w:val="24"/>
                <w:highlight w:val="none"/>
              </w:rPr>
              <w:t>5</w:t>
            </w:r>
            <w:r>
              <w:rPr>
                <w:color w:val="auto"/>
                <w:sz w:val="24"/>
                <w:highlight w:val="none"/>
              </w:rPr>
              <w:t>0m范围内</w:t>
            </w:r>
            <w:r>
              <w:rPr>
                <w:rFonts w:hint="eastAsia"/>
                <w:color w:val="auto"/>
                <w:sz w:val="24"/>
                <w:highlight w:val="none"/>
              </w:rPr>
              <w:t>无</w:t>
            </w:r>
            <w:r>
              <w:rPr>
                <w:color w:val="auto"/>
                <w:sz w:val="24"/>
                <w:highlight w:val="none"/>
              </w:rPr>
              <w:t>声环境</w:t>
            </w:r>
            <w:r>
              <w:rPr>
                <w:rFonts w:hint="eastAsia"/>
                <w:color w:val="auto"/>
                <w:sz w:val="24"/>
                <w:highlight w:val="none"/>
              </w:rPr>
              <w:t>保护目标</w:t>
            </w:r>
            <w:r>
              <w:rPr>
                <w:color w:val="auto"/>
                <w:sz w:val="24"/>
                <w:highlight w:val="none"/>
                <w:lang w:val="zh-CN"/>
              </w:rPr>
              <w:t>。</w:t>
            </w:r>
          </w:p>
          <w:p w14:paraId="7B8120D7">
            <w:pPr>
              <w:pStyle w:val="4"/>
              <w:bidi w:val="0"/>
              <w:rPr>
                <w:color w:val="auto"/>
                <w:highlight w:val="none"/>
              </w:rPr>
            </w:pPr>
            <w:r>
              <w:rPr>
                <w:color w:val="auto"/>
                <w:highlight w:val="none"/>
              </w:rPr>
              <w:t>4.</w:t>
            </w:r>
            <w:r>
              <w:rPr>
                <w:rFonts w:hint="eastAsia"/>
                <w:color w:val="auto"/>
                <w:highlight w:val="none"/>
              </w:rPr>
              <w:t>4</w:t>
            </w:r>
            <w:r>
              <w:rPr>
                <w:color w:val="auto"/>
                <w:highlight w:val="none"/>
              </w:rPr>
              <w:t>.3 运营期噪声</w:t>
            </w:r>
            <w:r>
              <w:rPr>
                <w:rFonts w:hint="eastAsia"/>
                <w:color w:val="auto"/>
                <w:highlight w:val="none"/>
              </w:rPr>
              <w:t>控制</w:t>
            </w:r>
            <w:r>
              <w:rPr>
                <w:color w:val="auto"/>
                <w:highlight w:val="none"/>
              </w:rPr>
              <w:t>措施</w:t>
            </w:r>
          </w:p>
          <w:p w14:paraId="076637C4">
            <w:pPr>
              <w:adjustRightInd w:val="0"/>
              <w:snapToGrid w:val="0"/>
              <w:spacing w:line="360" w:lineRule="auto"/>
              <w:ind w:firstLine="480" w:firstLineChars="200"/>
              <w:rPr>
                <w:bCs/>
                <w:color w:val="auto"/>
                <w:sz w:val="24"/>
                <w:highlight w:val="none"/>
              </w:rPr>
            </w:pPr>
            <w:r>
              <w:rPr>
                <w:rFonts w:hint="eastAsia"/>
                <w:bCs/>
                <w:color w:val="auto"/>
                <w:sz w:val="24"/>
                <w:highlight w:val="none"/>
              </w:rPr>
              <w:t>(1)</w:t>
            </w:r>
            <w:r>
              <w:rPr>
                <w:rFonts w:hint="eastAsia"/>
                <w:bCs/>
                <w:color w:val="auto"/>
                <w:sz w:val="24"/>
                <w:highlight w:val="none"/>
                <w:lang w:val="zh-CN"/>
              </w:rPr>
              <w:t xml:space="preserve">噪声源控制措施 </w:t>
            </w:r>
          </w:p>
          <w:p w14:paraId="16D7EB6C">
            <w:pPr>
              <w:adjustRightInd w:val="0"/>
              <w:snapToGrid w:val="0"/>
              <w:spacing w:line="360" w:lineRule="auto"/>
              <w:ind w:firstLine="480" w:firstLineChars="200"/>
              <w:rPr>
                <w:bCs/>
                <w:color w:val="auto"/>
                <w:sz w:val="24"/>
                <w:highlight w:val="none"/>
              </w:rPr>
            </w:pPr>
            <w:r>
              <w:rPr>
                <w:rFonts w:hint="eastAsia"/>
                <w:bCs/>
                <w:color w:val="auto"/>
                <w:sz w:val="24"/>
                <w:highlight w:val="none"/>
              </w:rPr>
              <w:t>①</w:t>
            </w:r>
            <w:r>
              <w:rPr>
                <w:bCs/>
                <w:color w:val="auto"/>
                <w:sz w:val="24"/>
                <w:highlight w:val="none"/>
              </w:rPr>
              <w:t>项目选用低噪声生产设备，</w:t>
            </w:r>
            <w:r>
              <w:rPr>
                <w:rFonts w:hint="eastAsia"/>
                <w:bCs/>
                <w:color w:val="auto"/>
                <w:sz w:val="24"/>
                <w:highlight w:val="none"/>
              </w:rPr>
              <w:t>采用</w:t>
            </w:r>
            <w:r>
              <w:rPr>
                <w:bCs/>
                <w:color w:val="auto"/>
                <w:sz w:val="24"/>
                <w:highlight w:val="none"/>
              </w:rPr>
              <w:t>低噪声</w:t>
            </w:r>
            <w:r>
              <w:rPr>
                <w:rFonts w:hint="eastAsia"/>
                <w:bCs/>
                <w:color w:val="auto"/>
                <w:sz w:val="24"/>
                <w:highlight w:val="none"/>
              </w:rPr>
              <w:t>生产</w:t>
            </w:r>
            <w:r>
              <w:rPr>
                <w:bCs/>
                <w:color w:val="auto"/>
                <w:sz w:val="24"/>
                <w:highlight w:val="none"/>
              </w:rPr>
              <w:t>工艺；</w:t>
            </w:r>
            <w:r>
              <w:rPr>
                <w:rFonts w:hint="eastAsia"/>
                <w:color w:val="auto"/>
                <w:sz w:val="24"/>
                <w:highlight w:val="none"/>
              </w:rPr>
              <w:t>合理安排时间，夜间尽量减少高噪声设备作业；</w:t>
            </w:r>
          </w:p>
          <w:p w14:paraId="5F899DF0">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②</w:t>
            </w:r>
            <w:r>
              <w:rPr>
                <w:bCs/>
                <w:color w:val="auto"/>
                <w:sz w:val="24"/>
                <w:highlight w:val="none"/>
              </w:rPr>
              <w:t>对</w:t>
            </w:r>
            <w:r>
              <w:rPr>
                <w:rFonts w:hint="eastAsia"/>
                <w:bCs/>
                <w:color w:val="auto"/>
                <w:sz w:val="24"/>
                <w:highlight w:val="none"/>
              </w:rPr>
              <w:t>项目</w:t>
            </w:r>
            <w:r>
              <w:rPr>
                <w:bCs/>
                <w:color w:val="auto"/>
                <w:sz w:val="24"/>
                <w:highlight w:val="none"/>
              </w:rPr>
              <w:t>高噪声设备</w:t>
            </w:r>
            <w:r>
              <w:rPr>
                <w:rFonts w:hint="eastAsia"/>
                <w:bCs/>
                <w:color w:val="auto"/>
                <w:sz w:val="24"/>
                <w:highlight w:val="none"/>
              </w:rPr>
              <w:t>基础设置减振垫；</w:t>
            </w:r>
          </w:p>
          <w:p w14:paraId="37C5163F">
            <w:pPr>
              <w:adjustRightInd w:val="0"/>
              <w:snapToGrid w:val="0"/>
              <w:spacing w:line="360" w:lineRule="auto"/>
              <w:ind w:firstLine="480" w:firstLineChars="200"/>
              <w:rPr>
                <w:bCs/>
                <w:color w:val="auto"/>
                <w:sz w:val="24"/>
                <w:highlight w:val="none"/>
              </w:rPr>
            </w:pPr>
            <w:r>
              <w:rPr>
                <w:rFonts w:hint="eastAsia"/>
                <w:bCs/>
                <w:color w:val="auto"/>
                <w:sz w:val="24"/>
                <w:highlight w:val="none"/>
              </w:rPr>
              <w:t>③</w:t>
            </w:r>
            <w:r>
              <w:rPr>
                <w:bCs/>
                <w:color w:val="auto"/>
                <w:sz w:val="24"/>
                <w:highlight w:val="none"/>
              </w:rPr>
              <w:t>加强对设备的管理和维护，</w:t>
            </w:r>
            <w:r>
              <w:rPr>
                <w:rFonts w:hint="eastAsia"/>
                <w:bCs/>
                <w:color w:val="auto"/>
                <w:sz w:val="24"/>
                <w:highlight w:val="none"/>
              </w:rPr>
              <w:t>避免设备在异常情况运行；</w:t>
            </w:r>
          </w:p>
          <w:p w14:paraId="4D085061">
            <w:pPr>
              <w:adjustRightInd w:val="0"/>
              <w:snapToGrid w:val="0"/>
              <w:spacing w:line="360" w:lineRule="auto"/>
              <w:ind w:firstLine="480" w:firstLineChars="200"/>
              <w:rPr>
                <w:bCs/>
                <w:color w:val="auto"/>
                <w:sz w:val="24"/>
                <w:highlight w:val="none"/>
              </w:rPr>
            </w:pPr>
            <w:r>
              <w:rPr>
                <w:rFonts w:hint="eastAsia"/>
                <w:bCs/>
                <w:color w:val="auto"/>
                <w:sz w:val="24"/>
                <w:highlight w:val="none"/>
              </w:rPr>
              <w:t>④</w:t>
            </w:r>
            <w:r>
              <w:rPr>
                <w:bCs/>
                <w:color w:val="auto"/>
                <w:sz w:val="24"/>
                <w:highlight w:val="none"/>
              </w:rPr>
              <w:t>优先选用低噪声车辆</w:t>
            </w:r>
            <w:r>
              <w:rPr>
                <w:rFonts w:hint="eastAsia"/>
                <w:bCs/>
                <w:color w:val="auto"/>
                <w:sz w:val="24"/>
                <w:highlight w:val="none"/>
              </w:rPr>
              <w:t>，</w:t>
            </w:r>
            <w:r>
              <w:rPr>
                <w:bCs/>
                <w:color w:val="auto"/>
                <w:sz w:val="24"/>
                <w:highlight w:val="none"/>
              </w:rPr>
              <w:t>车辆运输物料</w:t>
            </w:r>
            <w:r>
              <w:rPr>
                <w:rFonts w:hint="eastAsia"/>
                <w:bCs/>
                <w:color w:val="auto"/>
                <w:sz w:val="24"/>
                <w:highlight w:val="none"/>
              </w:rPr>
              <w:t>时</w:t>
            </w:r>
            <w:r>
              <w:rPr>
                <w:bCs/>
                <w:color w:val="auto"/>
                <w:sz w:val="24"/>
                <w:highlight w:val="none"/>
              </w:rPr>
              <w:t>，在靠近居民点等对声环境质量要求较高的地方，应减小车速，禁止或少鸣喇叭。</w:t>
            </w:r>
          </w:p>
          <w:p w14:paraId="76943065">
            <w:pPr>
              <w:adjustRightInd w:val="0"/>
              <w:snapToGrid w:val="0"/>
              <w:spacing w:line="360" w:lineRule="auto"/>
              <w:ind w:firstLine="480" w:firstLineChars="200"/>
              <w:rPr>
                <w:bCs/>
                <w:color w:val="auto"/>
                <w:sz w:val="24"/>
                <w:highlight w:val="none"/>
              </w:rPr>
            </w:pPr>
            <w:r>
              <w:rPr>
                <w:rFonts w:hint="eastAsia"/>
                <w:bCs/>
                <w:color w:val="auto"/>
                <w:sz w:val="24"/>
                <w:highlight w:val="none"/>
              </w:rPr>
              <w:t xml:space="preserve">(2)噪声传播途径控制措施 </w:t>
            </w:r>
          </w:p>
          <w:p w14:paraId="34195338">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①合理规划平面布置，将高噪声设备设置于厂区中间，设备运转期间，关闭车间门窗，通过车间墙体等进行阻隔，降低噪声源强；</w:t>
            </w:r>
          </w:p>
          <w:p w14:paraId="0705BE78">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②</w:t>
            </w:r>
            <w:r>
              <w:rPr>
                <w:bCs/>
                <w:color w:val="auto"/>
                <w:sz w:val="24"/>
                <w:highlight w:val="none"/>
              </w:rPr>
              <w:t>设置声屏障等措施，</w:t>
            </w:r>
            <w:r>
              <w:rPr>
                <w:rFonts w:hint="eastAsia"/>
                <w:bCs/>
                <w:color w:val="auto"/>
                <w:sz w:val="24"/>
                <w:highlight w:val="none"/>
              </w:rPr>
              <w:t>将高噪声设备设置专门设备隔间，通过设备隔间墙体隔声等进行降噪。</w:t>
            </w:r>
          </w:p>
          <w:p w14:paraId="3D10B1EF">
            <w:pPr>
              <w:adjustRightInd w:val="0"/>
              <w:snapToGrid w:val="0"/>
              <w:spacing w:line="360" w:lineRule="auto"/>
              <w:ind w:firstLine="480" w:firstLineChars="200"/>
              <w:rPr>
                <w:bCs/>
                <w:color w:val="auto"/>
                <w:sz w:val="24"/>
                <w:highlight w:val="none"/>
              </w:rPr>
            </w:pPr>
            <w:r>
              <w:rPr>
                <w:bCs/>
                <w:color w:val="auto"/>
                <w:sz w:val="24"/>
                <w:highlight w:val="none"/>
              </w:rPr>
              <w:t>通过以上降噪措施，有效降低设备噪声对厂界的影响程度，确保</w:t>
            </w:r>
            <w:r>
              <w:rPr>
                <w:rFonts w:hint="eastAsia"/>
                <w:bCs/>
                <w:color w:val="auto"/>
                <w:sz w:val="24"/>
                <w:highlight w:val="none"/>
              </w:rPr>
              <w:t>厂</w:t>
            </w:r>
            <w:r>
              <w:rPr>
                <w:bCs/>
                <w:color w:val="auto"/>
                <w:sz w:val="24"/>
                <w:highlight w:val="none"/>
              </w:rPr>
              <w:t>界噪声符合《工业企业厂界环境噪声排放标准》</w:t>
            </w:r>
            <w:r>
              <w:rPr>
                <w:rFonts w:hint="eastAsia"/>
                <w:bCs/>
                <w:color w:val="auto"/>
                <w:sz w:val="24"/>
                <w:highlight w:val="none"/>
              </w:rPr>
              <w:t>(</w:t>
            </w:r>
            <w:r>
              <w:rPr>
                <w:bCs/>
                <w:color w:val="auto"/>
                <w:sz w:val="24"/>
                <w:highlight w:val="none"/>
              </w:rPr>
              <w:t>GB12348-2008</w:t>
            </w:r>
            <w:r>
              <w:rPr>
                <w:rFonts w:hint="eastAsia"/>
                <w:bCs/>
                <w:color w:val="auto"/>
                <w:sz w:val="24"/>
                <w:highlight w:val="none"/>
              </w:rPr>
              <w:t>)</w:t>
            </w:r>
            <w:r>
              <w:rPr>
                <w:bCs/>
                <w:color w:val="auto"/>
                <w:sz w:val="24"/>
                <w:highlight w:val="none"/>
              </w:rPr>
              <w:t>中的</w:t>
            </w:r>
            <w:r>
              <w:rPr>
                <w:rFonts w:hint="eastAsia"/>
                <w:bCs/>
                <w:color w:val="auto"/>
                <w:sz w:val="24"/>
                <w:highlight w:val="none"/>
                <w:lang w:val="en-US" w:eastAsia="zh-CN"/>
              </w:rPr>
              <w:t>3</w:t>
            </w:r>
            <w:r>
              <w:rPr>
                <w:rFonts w:hint="eastAsia"/>
                <w:bCs/>
                <w:color w:val="auto"/>
                <w:sz w:val="24"/>
                <w:highlight w:val="none"/>
              </w:rPr>
              <w:t>类</w:t>
            </w:r>
            <w:r>
              <w:rPr>
                <w:bCs/>
                <w:color w:val="auto"/>
                <w:sz w:val="24"/>
                <w:highlight w:val="none"/>
              </w:rPr>
              <w:t>标准要求，措施可行。</w:t>
            </w:r>
          </w:p>
          <w:p w14:paraId="408DF2C9">
            <w:pPr>
              <w:adjustRightInd w:val="0"/>
              <w:snapToGrid w:val="0"/>
              <w:spacing w:line="360" w:lineRule="auto"/>
              <w:rPr>
                <w:rFonts w:ascii="Times New Roman" w:hAnsi="Times New Roman" w:eastAsia="宋体"/>
                <w:b/>
                <w:bCs/>
                <w:color w:val="auto"/>
                <w:kern w:val="0"/>
                <w:sz w:val="24"/>
              </w:rPr>
            </w:pPr>
            <w:r>
              <w:rPr>
                <w:rFonts w:ascii="Times New Roman" w:hAnsi="Times New Roman" w:eastAsia="宋体"/>
                <w:b/>
                <w:bCs/>
                <w:color w:val="auto"/>
                <w:kern w:val="0"/>
                <w:sz w:val="24"/>
              </w:rPr>
              <w:t>4.</w:t>
            </w:r>
            <w:r>
              <w:rPr>
                <w:rFonts w:hint="eastAsia" w:ascii="Times New Roman" w:hAnsi="Times New Roman" w:eastAsia="宋体"/>
                <w:b/>
                <w:bCs/>
                <w:color w:val="auto"/>
                <w:kern w:val="0"/>
                <w:sz w:val="24"/>
                <w:lang w:val="en-US" w:eastAsia="zh-CN"/>
              </w:rPr>
              <w:t>4</w:t>
            </w:r>
            <w:r>
              <w:rPr>
                <w:rFonts w:ascii="Times New Roman" w:hAnsi="Times New Roman" w:eastAsia="宋体"/>
                <w:b/>
                <w:bCs/>
                <w:color w:val="auto"/>
                <w:kern w:val="0"/>
                <w:sz w:val="24"/>
              </w:rPr>
              <w:t>.4 自行监测计划</w:t>
            </w:r>
          </w:p>
          <w:p w14:paraId="16675706">
            <w:pPr>
              <w:pStyle w:val="98"/>
              <w:keepNext w:val="0"/>
              <w:keepLines w:val="0"/>
              <w:pageBreakBefore w:val="0"/>
              <w:widowControl w:val="0"/>
              <w:kinsoku/>
              <w:wordWrap/>
              <w:overflowPunct/>
              <w:topLinePunct w:val="0"/>
              <w:bidi w:val="0"/>
              <w:adjustRightInd w:val="0"/>
              <w:snapToGrid w:val="0"/>
              <w:spacing w:line="360" w:lineRule="auto"/>
              <w:ind w:firstLine="480"/>
              <w:jc w:val="both"/>
              <w:rPr>
                <w:rFonts w:hint="default" w:ascii="Times New Roman" w:hAnsi="Times New Roman" w:eastAsia="宋体" w:cs="Times New Roman"/>
                <w:color w:val="auto"/>
                <w:kern w:val="2"/>
                <w:highlight w:val="none"/>
                <w:lang w:val="en-US" w:eastAsia="zh-CN"/>
              </w:rPr>
            </w:pPr>
            <w:r>
              <w:rPr>
                <w:rFonts w:hint="eastAsia" w:ascii="Times New Roman" w:hAnsi="Times New Roman" w:eastAsia="宋体"/>
                <w:bCs/>
                <w:color w:val="auto"/>
                <w:sz w:val="24"/>
                <w:lang w:val="en-US" w:eastAsia="zh-CN"/>
              </w:rPr>
              <w:t>根据</w:t>
            </w:r>
            <w:r>
              <w:rPr>
                <w:rFonts w:hint="eastAsia" w:ascii="Times New Roman" w:hAnsi="Times New Roman" w:eastAsia="宋体" w:cs="Times New Roman"/>
                <w:color w:val="auto"/>
                <w:sz w:val="24"/>
                <w:lang w:val="en-US" w:eastAsia="zh-CN"/>
              </w:rPr>
              <w:t>《排污单位自行监测技术指南 总则》(HJ 819-2017)</w:t>
            </w:r>
            <w:r>
              <w:rPr>
                <w:rFonts w:hint="eastAsia" w:ascii="Times New Roman" w:hAnsi="Times New Roman" w:eastAsia="宋体"/>
                <w:bCs/>
                <w:color w:val="auto"/>
              </w:rPr>
              <w:t>要求，</w:t>
            </w:r>
            <w:r>
              <w:rPr>
                <w:rFonts w:hint="eastAsia" w:ascii="Times New Roman" w:hAnsi="Times New Roman" w:eastAsia="宋体"/>
                <w:bCs/>
                <w:color w:val="auto"/>
                <w:sz w:val="24"/>
                <w:lang w:eastAsia="zh-CN"/>
              </w:rPr>
              <w:t>提出项目</w:t>
            </w:r>
            <w:r>
              <w:rPr>
                <w:rFonts w:hint="eastAsia" w:ascii="Times New Roman" w:hAnsi="Times New Roman" w:eastAsia="宋体"/>
                <w:bCs/>
                <w:color w:val="auto"/>
                <w:sz w:val="24"/>
              </w:rPr>
              <w:t>运营期</w:t>
            </w:r>
            <w:r>
              <w:rPr>
                <w:rFonts w:hint="eastAsia" w:ascii="Times New Roman" w:hAnsi="Times New Roman" w:eastAsia="宋体"/>
                <w:bCs/>
                <w:color w:val="auto"/>
                <w:sz w:val="24"/>
                <w:lang w:eastAsia="zh-CN"/>
              </w:rPr>
              <w:t>噪声自行监测计划，具体详见表</w:t>
            </w:r>
            <w:r>
              <w:rPr>
                <w:rFonts w:hint="eastAsia" w:ascii="Times New Roman" w:hAnsi="Times New Roman" w:eastAsia="宋体"/>
                <w:bCs/>
                <w:color w:val="auto"/>
                <w:sz w:val="24"/>
                <w:lang w:val="en-US" w:eastAsia="zh-CN"/>
              </w:rPr>
              <w:t>4</w:t>
            </w:r>
            <w:r>
              <w:rPr>
                <w:rFonts w:hint="eastAsia"/>
                <w:bCs/>
                <w:color w:val="auto"/>
                <w:sz w:val="24"/>
                <w:lang w:val="en-US" w:eastAsia="zh-CN"/>
              </w:rPr>
              <w:t>-17</w:t>
            </w:r>
            <w:r>
              <w:rPr>
                <w:rFonts w:hint="eastAsia" w:ascii="Times New Roman" w:hAnsi="Times New Roman" w:eastAsia="宋体"/>
                <w:bCs/>
                <w:color w:val="auto"/>
                <w:sz w:val="24"/>
                <w:lang w:val="en-US" w:eastAsia="zh-CN"/>
              </w:rPr>
              <w:t>。</w:t>
            </w:r>
          </w:p>
          <w:p w14:paraId="7013C28B">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r>
              <w:rPr>
                <w:rFonts w:hint="default" w:ascii="Times New Roman" w:hAnsi="Times New Roman" w:eastAsia="黑体" w:cs="Times New Roman"/>
                <w:color w:val="auto"/>
                <w:kern w:val="2"/>
                <w:lang w:val="en-US" w:eastAsia="zh-CN"/>
              </w:rPr>
              <w:t>表</w:t>
            </w:r>
            <w:r>
              <w:rPr>
                <w:rFonts w:hint="eastAsia" w:ascii="Times New Roman" w:hAnsi="Times New Roman" w:eastAsia="黑体" w:cs="Times New Roman"/>
                <w:color w:val="auto"/>
                <w:kern w:val="2"/>
                <w:lang w:val="en-US" w:eastAsia="zh-CN"/>
              </w:rPr>
              <w:t xml:space="preserve">4-17 </w:t>
            </w:r>
            <w:r>
              <w:rPr>
                <w:rFonts w:hint="default" w:ascii="Times New Roman" w:hAnsi="Times New Roman" w:eastAsia="黑体" w:cs="Times New Roman"/>
                <w:color w:val="auto"/>
                <w:kern w:val="2"/>
                <w:lang w:val="en-US" w:eastAsia="zh-CN"/>
              </w:rPr>
              <w:t xml:space="preserve"> 项目</w:t>
            </w:r>
            <w:r>
              <w:rPr>
                <w:rFonts w:hint="eastAsia" w:ascii="Times New Roman" w:hAnsi="Times New Roman" w:eastAsia="黑体" w:cs="Times New Roman"/>
                <w:color w:val="auto"/>
                <w:kern w:val="2"/>
                <w:lang w:val="en-US" w:eastAsia="zh-CN"/>
              </w:rPr>
              <w:t>噪声</w:t>
            </w:r>
            <w:r>
              <w:rPr>
                <w:rFonts w:hint="default" w:ascii="Times New Roman" w:hAnsi="Times New Roman" w:eastAsia="黑体" w:cs="Times New Roman"/>
                <w:color w:val="auto"/>
                <w:kern w:val="2"/>
                <w:lang w:val="en-US" w:eastAsia="zh-CN"/>
              </w:rPr>
              <w:t>自行监测计划</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2638"/>
              <w:gridCol w:w="2228"/>
              <w:gridCol w:w="2977"/>
            </w:tblGrid>
            <w:tr w14:paraId="71B6B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tcBorders>
                    <w:tl2br w:val="nil"/>
                    <w:tr2bl w:val="nil"/>
                  </w:tcBorders>
                  <w:noWrap w:val="0"/>
                  <w:vAlign w:val="center"/>
                </w:tcPr>
                <w:p w14:paraId="6520F11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序号</w:t>
                  </w:r>
                </w:p>
              </w:tc>
              <w:tc>
                <w:tcPr>
                  <w:tcW w:w="1511" w:type="pct"/>
                  <w:tcBorders>
                    <w:tl2br w:val="nil"/>
                    <w:tr2bl w:val="nil"/>
                  </w:tcBorders>
                  <w:noWrap w:val="0"/>
                  <w:vAlign w:val="center"/>
                </w:tcPr>
                <w:p w14:paraId="75D114A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监测点位</w:t>
                  </w:r>
                </w:p>
              </w:tc>
              <w:tc>
                <w:tcPr>
                  <w:tcW w:w="1276" w:type="pct"/>
                  <w:tcBorders>
                    <w:tl2br w:val="nil"/>
                    <w:tr2bl w:val="nil"/>
                  </w:tcBorders>
                  <w:noWrap w:val="0"/>
                  <w:vAlign w:val="center"/>
                </w:tcPr>
                <w:p w14:paraId="22D15AF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监测因子</w:t>
                  </w:r>
                </w:p>
              </w:tc>
              <w:tc>
                <w:tcPr>
                  <w:tcW w:w="1705" w:type="pct"/>
                  <w:tcBorders>
                    <w:tl2br w:val="nil"/>
                    <w:tr2bl w:val="nil"/>
                  </w:tcBorders>
                  <w:noWrap w:val="0"/>
                  <w:vAlign w:val="center"/>
                </w:tcPr>
                <w:p w14:paraId="240D82D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val="0"/>
                      <w:color w:val="auto"/>
                      <w:sz w:val="21"/>
                      <w:szCs w:val="21"/>
                      <w:vertAlign w:val="baseline"/>
                      <w:lang w:eastAsia="zh-CN"/>
                    </w:rPr>
                  </w:pPr>
                  <w:r>
                    <w:rPr>
                      <w:rFonts w:hint="eastAsia" w:ascii="Times New Roman" w:hAnsi="Times New Roman" w:eastAsia="宋体" w:cs="Times New Roman"/>
                      <w:b/>
                      <w:bCs w:val="0"/>
                      <w:color w:val="auto"/>
                      <w:sz w:val="21"/>
                      <w:szCs w:val="21"/>
                      <w:vertAlign w:val="baseline"/>
                      <w:lang w:eastAsia="zh-CN"/>
                    </w:rPr>
                    <w:t>监测</w:t>
                  </w:r>
                  <w:r>
                    <w:rPr>
                      <w:rFonts w:hint="default" w:ascii="Times New Roman" w:hAnsi="Times New Roman" w:eastAsia="宋体" w:cs="Times New Roman"/>
                      <w:b/>
                      <w:bCs w:val="0"/>
                      <w:color w:val="auto"/>
                      <w:sz w:val="21"/>
                      <w:szCs w:val="21"/>
                      <w:vertAlign w:val="baseline"/>
                      <w:lang w:eastAsia="zh-CN"/>
                    </w:rPr>
                    <w:t>频次</w:t>
                  </w:r>
                </w:p>
              </w:tc>
            </w:tr>
            <w:tr w14:paraId="2A34C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tcBorders>
                    <w:tl2br w:val="nil"/>
                    <w:tr2bl w:val="nil"/>
                  </w:tcBorders>
                  <w:noWrap w:val="0"/>
                  <w:vAlign w:val="center"/>
                </w:tcPr>
                <w:p w14:paraId="1C72861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1511" w:type="pct"/>
                  <w:tcBorders>
                    <w:tl2br w:val="nil"/>
                    <w:tr2bl w:val="nil"/>
                  </w:tcBorders>
                  <w:noWrap w:val="0"/>
                  <w:vAlign w:val="center"/>
                </w:tcPr>
                <w:p w14:paraId="7DE30E8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厂界四周</w:t>
                  </w:r>
                </w:p>
              </w:tc>
              <w:tc>
                <w:tcPr>
                  <w:tcW w:w="1276" w:type="pct"/>
                  <w:tcBorders>
                    <w:tl2br w:val="nil"/>
                    <w:tr2bl w:val="nil"/>
                  </w:tcBorders>
                  <w:noWrap w:val="0"/>
                  <w:vAlign w:val="center"/>
                </w:tcPr>
                <w:p w14:paraId="74A513A1">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等效</w:t>
                  </w:r>
                  <w:r>
                    <w:rPr>
                      <w:rFonts w:hint="eastAsia" w:ascii="Times New Roman" w:hAnsi="Times New Roman" w:eastAsia="宋体" w:cs="Times New Roman"/>
                      <w:color w:val="auto"/>
                      <w:sz w:val="21"/>
                      <w:szCs w:val="21"/>
                      <w:lang w:val="en-US" w:eastAsia="zh-CN"/>
                    </w:rPr>
                    <w:t>A声级</w:t>
                  </w:r>
                </w:p>
              </w:tc>
              <w:tc>
                <w:tcPr>
                  <w:tcW w:w="1705" w:type="pct"/>
                  <w:tcBorders>
                    <w:tl2br w:val="nil"/>
                    <w:tr2bl w:val="nil"/>
                  </w:tcBorders>
                  <w:noWrap w:val="0"/>
                  <w:vAlign w:val="center"/>
                </w:tcPr>
                <w:p w14:paraId="7A0186B1">
                  <w:pPr>
                    <w:keepNext w:val="0"/>
                    <w:keepLines w:val="0"/>
                    <w:pageBreakBefore w:val="0"/>
                    <w:widowControl w:val="0"/>
                    <w:kinsoku/>
                    <w:wordWrap/>
                    <w:overflowPunct/>
                    <w:topLinePunct w:val="0"/>
                    <w:autoSpaceDE/>
                    <w:autoSpaceDN/>
                    <w:bidi w:val="0"/>
                    <w:adjustRightInd/>
                    <w:snapToGrid w:val="0"/>
                    <w:spacing w:line="3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次</w:t>
                  </w:r>
                  <w:r>
                    <w:rPr>
                      <w:rFonts w:hint="default" w:ascii="Times New Roman" w:hAnsi="Times New Roman" w:eastAsia="宋体" w:cs="Times New Roman"/>
                      <w:color w:val="auto"/>
                      <w:kern w:val="2"/>
                      <w:sz w:val="21"/>
                      <w:szCs w:val="21"/>
                      <w:lang w:val="en-US" w:eastAsia="zh-CN" w:bidi="ar-SA"/>
                    </w:rPr>
                    <w:t>/季度</w:t>
                  </w:r>
                  <w:r>
                    <w:rPr>
                      <w:rFonts w:hint="eastAsia" w:cs="Times New Roman"/>
                      <w:color w:val="auto"/>
                      <w:kern w:val="2"/>
                      <w:sz w:val="21"/>
                      <w:szCs w:val="21"/>
                      <w:lang w:val="en-US" w:eastAsia="zh-CN" w:bidi="ar-SA"/>
                    </w:rPr>
                    <w:t>（昼间）</w:t>
                  </w:r>
                </w:p>
              </w:tc>
            </w:tr>
          </w:tbl>
          <w:p w14:paraId="385FB203">
            <w:pPr>
              <w:adjustRightInd w:val="0"/>
              <w:snapToGrid w:val="0"/>
              <w:spacing w:line="360" w:lineRule="auto"/>
              <w:ind w:firstLine="480" w:firstLineChars="200"/>
              <w:rPr>
                <w:rFonts w:hint="eastAsia"/>
                <w:bCs/>
                <w:color w:val="auto"/>
                <w:sz w:val="24"/>
                <w:highlight w:val="none"/>
              </w:rPr>
            </w:pPr>
          </w:p>
          <w:p w14:paraId="021ED8B7">
            <w:pPr>
              <w:pStyle w:val="3"/>
              <w:numPr>
                <w:ilvl w:val="0"/>
                <w:numId w:val="0"/>
              </w:numPr>
              <w:bidi w:val="0"/>
              <w:ind w:leftChars="0"/>
              <w:rPr>
                <w:color w:val="auto"/>
              </w:rPr>
            </w:pPr>
            <w:r>
              <w:rPr>
                <w:color w:val="auto"/>
              </w:rPr>
              <w:t>4.</w:t>
            </w:r>
            <w:r>
              <w:rPr>
                <w:rFonts w:hint="eastAsia"/>
                <w:color w:val="auto"/>
              </w:rPr>
              <w:t>5</w:t>
            </w:r>
            <w:r>
              <w:rPr>
                <w:color w:val="auto"/>
              </w:rPr>
              <w:t>运营期固体废物影响分析和污染防治措施</w:t>
            </w:r>
          </w:p>
          <w:p w14:paraId="381205FD">
            <w:pPr>
              <w:pStyle w:val="4"/>
              <w:bidi w:val="0"/>
              <w:rPr>
                <w:color w:val="auto"/>
              </w:rPr>
            </w:pPr>
            <w:r>
              <w:rPr>
                <w:color w:val="auto"/>
              </w:rPr>
              <w:t>4.</w:t>
            </w:r>
            <w:r>
              <w:rPr>
                <w:rFonts w:hint="eastAsia"/>
                <w:color w:val="auto"/>
              </w:rPr>
              <w:t>5</w:t>
            </w:r>
            <w:r>
              <w:rPr>
                <w:color w:val="auto"/>
              </w:rPr>
              <w:t>.1 运营期</w:t>
            </w:r>
            <w:r>
              <w:rPr>
                <w:rFonts w:hint="eastAsia"/>
                <w:color w:val="auto"/>
                <w:lang w:eastAsia="zh-CN"/>
              </w:rPr>
              <w:t>固体废物</w:t>
            </w:r>
            <w:r>
              <w:rPr>
                <w:color w:val="auto"/>
              </w:rPr>
              <w:t>源强核算</w:t>
            </w:r>
          </w:p>
          <w:p w14:paraId="3170FC5F">
            <w:pPr>
              <w:spacing w:line="360" w:lineRule="auto"/>
              <w:ind w:firstLine="480" w:firstLineChars="200"/>
              <w:rPr>
                <w:color w:val="auto"/>
                <w:sz w:val="24"/>
              </w:rPr>
            </w:pPr>
            <w:r>
              <w:rPr>
                <w:rFonts w:hint="eastAsia"/>
                <w:color w:val="auto"/>
                <w:sz w:val="24"/>
                <w:lang w:bidi="ar"/>
              </w:rPr>
              <w:t>(1)</w:t>
            </w:r>
            <w:r>
              <w:rPr>
                <w:color w:val="auto"/>
                <w:sz w:val="24"/>
                <w:lang w:bidi="ar"/>
              </w:rPr>
              <w:t>一般工业固废</w:t>
            </w:r>
          </w:p>
          <w:p w14:paraId="3C86EB6F">
            <w:pPr>
              <w:spacing w:line="360" w:lineRule="auto"/>
              <w:ind w:firstLine="480" w:firstLineChars="200"/>
              <w:rPr>
                <w:rFonts w:hint="eastAsia"/>
                <w:color w:val="auto"/>
                <w:sz w:val="24"/>
                <w:highlight w:val="none"/>
              </w:rPr>
            </w:pPr>
            <w:r>
              <w:rPr>
                <w:rFonts w:hint="eastAsia"/>
                <w:color w:val="auto"/>
                <w:sz w:val="24"/>
                <w:highlight w:val="none"/>
                <w:lang w:val="en-US" w:eastAsia="zh-CN"/>
              </w:rPr>
              <w:t>①</w:t>
            </w:r>
            <w:r>
              <w:rPr>
                <w:rFonts w:hint="eastAsia"/>
                <w:color w:val="auto"/>
                <w:sz w:val="24"/>
                <w:highlight w:val="none"/>
              </w:rPr>
              <w:t>边角料</w:t>
            </w:r>
          </w:p>
          <w:p w14:paraId="6368EABC">
            <w:pPr>
              <w:spacing w:line="360" w:lineRule="auto"/>
              <w:ind w:firstLine="480" w:firstLineChars="200"/>
              <w:rPr>
                <w:rFonts w:hint="default" w:eastAsia="宋体"/>
                <w:color w:val="auto"/>
                <w:sz w:val="24"/>
                <w:highlight w:val="none"/>
                <w:lang w:val="en-US" w:eastAsia="zh-CN"/>
              </w:rPr>
            </w:pPr>
            <w:r>
              <w:rPr>
                <w:rFonts w:hint="default"/>
                <w:color w:val="auto"/>
                <w:sz w:val="24"/>
                <w:highlight w:val="none"/>
                <w:lang w:val="en-US" w:eastAsia="zh-CN"/>
              </w:rPr>
              <w:t>下卡条边角料：</w:t>
            </w:r>
          </w:p>
          <w:p w14:paraId="331793A9">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eastAsia="zh-CN"/>
              </w:rPr>
              <w:t>原料进行</w:t>
            </w:r>
            <w:r>
              <w:rPr>
                <w:rFonts w:hint="default" w:cs="Times New Roman"/>
                <w:color w:val="auto"/>
                <w:spacing w:val="0"/>
                <w:sz w:val="24"/>
                <w:szCs w:val="24"/>
                <w:highlight w:val="none"/>
                <w:lang w:val="en-US" w:eastAsia="zh-CN"/>
              </w:rPr>
              <w:t>辊压成型</w:t>
            </w:r>
            <w:r>
              <w:rPr>
                <w:rFonts w:hint="default" w:ascii="Times New Roman" w:hAnsi="Times New Roman" w:eastAsia="宋体" w:cs="Times New Roman"/>
                <w:color w:val="auto"/>
                <w:spacing w:val="0"/>
                <w:sz w:val="24"/>
                <w:szCs w:val="24"/>
                <w:highlight w:val="none"/>
                <w:lang w:eastAsia="zh-CN"/>
              </w:rPr>
              <w:t>、</w:t>
            </w:r>
            <w:r>
              <w:rPr>
                <w:rFonts w:hint="default" w:cs="Times New Roman"/>
                <w:color w:val="auto"/>
                <w:spacing w:val="0"/>
                <w:sz w:val="24"/>
                <w:szCs w:val="24"/>
                <w:highlight w:val="none"/>
                <w:lang w:val="en-US" w:eastAsia="zh-CN"/>
              </w:rPr>
              <w:t>裁切工序时会产生边角料，根据业主</w:t>
            </w:r>
            <w:r>
              <w:rPr>
                <w:rFonts w:hint="default" w:ascii="Times New Roman" w:hAnsi="Times New Roman" w:eastAsia="宋体" w:cs="Times New Roman"/>
                <w:color w:val="auto"/>
                <w:spacing w:val="0"/>
                <w:sz w:val="24"/>
                <w:szCs w:val="24"/>
                <w:highlight w:val="none"/>
                <w:lang w:eastAsia="zh-CN"/>
              </w:rPr>
              <w:t>提供的资料，产生量约为原材料用量的</w:t>
            </w:r>
            <w:r>
              <w:rPr>
                <w:rFonts w:hint="default"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eastAsia="zh-CN"/>
              </w:rPr>
              <w:t>%，</w:t>
            </w:r>
            <w:r>
              <w:rPr>
                <w:rFonts w:hint="default" w:cs="Times New Roman"/>
                <w:color w:val="auto"/>
                <w:spacing w:val="0"/>
                <w:sz w:val="24"/>
                <w:szCs w:val="24"/>
                <w:highlight w:val="none"/>
                <w:lang w:val="en-US" w:eastAsia="zh-CN"/>
              </w:rPr>
              <w:t>铝带原料总用量为80t/a，则金属边角料产生为4t/a；塑料（PP、TPV、PVC）原料总用量为800t/a，则塑料边角料产生为40t/a。</w:t>
            </w:r>
            <w:r>
              <w:rPr>
                <w:rFonts w:hint="default" w:ascii="Times New Roman" w:hAnsi="Times New Roman" w:eastAsia="宋体" w:cs="Times New Roman"/>
                <w:color w:val="auto"/>
                <w:spacing w:val="0"/>
                <w:sz w:val="24"/>
                <w:szCs w:val="24"/>
                <w:highlight w:val="none"/>
                <w:lang w:eastAsia="zh-CN"/>
              </w:rPr>
              <w:t>则</w:t>
            </w:r>
            <w:r>
              <w:rPr>
                <w:rFonts w:hint="default"/>
                <w:color w:val="auto"/>
                <w:sz w:val="24"/>
                <w:highlight w:val="none"/>
                <w:lang w:val="en-US" w:eastAsia="zh-CN"/>
              </w:rPr>
              <w:t>下卡条</w:t>
            </w:r>
            <w:r>
              <w:rPr>
                <w:rFonts w:hint="default" w:ascii="Times New Roman" w:hAnsi="Times New Roman" w:eastAsia="宋体" w:cs="Times New Roman"/>
                <w:color w:val="auto"/>
                <w:spacing w:val="0"/>
                <w:sz w:val="24"/>
                <w:szCs w:val="24"/>
                <w:highlight w:val="none"/>
                <w:lang w:eastAsia="zh-CN"/>
              </w:rPr>
              <w:t>边角料产生</w:t>
            </w:r>
            <w:r>
              <w:rPr>
                <w:rFonts w:hint="default" w:ascii="Times New Roman" w:hAnsi="Times New Roman" w:eastAsia="宋体" w:cs="Times New Roman"/>
                <w:color w:val="auto"/>
                <w:spacing w:val="0"/>
                <w:sz w:val="24"/>
                <w:szCs w:val="24"/>
                <w:highlight w:val="none"/>
                <w:lang w:val="en-US" w:eastAsia="zh-CN"/>
              </w:rPr>
              <w:t>共计</w:t>
            </w:r>
            <w:r>
              <w:rPr>
                <w:rFonts w:hint="default" w:cs="Times New Roman"/>
                <w:color w:val="auto"/>
                <w:spacing w:val="0"/>
                <w:sz w:val="24"/>
                <w:szCs w:val="24"/>
                <w:highlight w:val="none"/>
                <w:lang w:val="en-US" w:eastAsia="zh-CN"/>
              </w:rPr>
              <w:t>44</w:t>
            </w:r>
            <w:r>
              <w:rPr>
                <w:rFonts w:hint="default" w:ascii="Times New Roman" w:hAnsi="Times New Roman" w:eastAsia="宋体" w:cs="Times New Roman"/>
                <w:color w:val="auto"/>
                <w:spacing w:val="0"/>
                <w:sz w:val="24"/>
                <w:szCs w:val="24"/>
                <w:highlight w:val="none"/>
                <w:lang w:eastAsia="zh-CN"/>
              </w:rPr>
              <w:t>t/a，属于一般固体废物，统一收集后外售综合利用</w:t>
            </w:r>
            <w:r>
              <w:rPr>
                <w:rFonts w:hint="default" w:ascii="Times New Roman" w:hAnsi="Times New Roman" w:eastAsia="宋体" w:cs="Times New Roman"/>
                <w:color w:val="auto"/>
                <w:spacing w:val="0"/>
                <w:sz w:val="24"/>
                <w:szCs w:val="24"/>
                <w:highlight w:val="none"/>
                <w:lang w:val="en-US" w:eastAsia="zh-CN"/>
              </w:rPr>
              <w:t>。</w:t>
            </w:r>
          </w:p>
          <w:p w14:paraId="047D0306">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钣金件边角料：</w:t>
            </w:r>
          </w:p>
          <w:p w14:paraId="08DC662E">
            <w:pPr>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auto"/>
                <w:sz w:val="24"/>
              </w:rPr>
            </w:pPr>
            <w:r>
              <w:rPr>
                <w:rFonts w:hint="eastAsia" w:cs="Times New Roman"/>
                <w:color w:val="auto"/>
                <w:spacing w:val="0"/>
                <w:sz w:val="24"/>
                <w:szCs w:val="24"/>
                <w:highlight w:val="none"/>
                <w:lang w:val="en-US" w:eastAsia="zh-CN"/>
              </w:rPr>
              <w:t>钣金件</w:t>
            </w:r>
            <w:r>
              <w:rPr>
                <w:rFonts w:hint="eastAsia" w:ascii="Times New Roman" w:hAnsi="Times New Roman" w:eastAsia="宋体" w:cs="Times New Roman"/>
                <w:color w:val="auto"/>
                <w:spacing w:val="0"/>
                <w:sz w:val="24"/>
                <w:szCs w:val="24"/>
                <w:highlight w:val="none"/>
                <w:lang w:eastAsia="zh-CN"/>
              </w:rPr>
              <w:t>冲压、攻</w:t>
            </w:r>
            <w:r>
              <w:rPr>
                <w:rFonts w:hint="eastAsia" w:cs="Times New Roman"/>
                <w:color w:val="auto"/>
                <w:spacing w:val="0"/>
                <w:sz w:val="24"/>
                <w:szCs w:val="24"/>
                <w:highlight w:val="none"/>
                <w:lang w:val="en-US" w:eastAsia="zh-CN"/>
              </w:rPr>
              <w:t>牙</w:t>
            </w:r>
            <w:r>
              <w:rPr>
                <w:rFonts w:hint="eastAsia" w:ascii="Times New Roman" w:hAnsi="Times New Roman" w:eastAsia="宋体" w:cs="Times New Roman"/>
                <w:color w:val="auto"/>
                <w:spacing w:val="0"/>
                <w:sz w:val="24"/>
                <w:szCs w:val="24"/>
                <w:highlight w:val="none"/>
                <w:lang w:eastAsia="zh-CN"/>
              </w:rPr>
              <w:t>加工时会产生废边角料，根据业主提供的资料，产生量约为原材料用量的</w:t>
            </w:r>
            <w:r>
              <w:rPr>
                <w:rFonts w:hint="eastAsia" w:ascii="Times New Roman" w:hAnsi="Times New Roman" w:eastAsia="宋体" w:cs="Times New Roman"/>
                <w:color w:val="auto"/>
                <w:spacing w:val="0"/>
                <w:sz w:val="24"/>
                <w:szCs w:val="24"/>
                <w:highlight w:val="none"/>
                <w:lang w:val="en-US" w:eastAsia="zh-CN"/>
              </w:rPr>
              <w:t>10</w:t>
            </w:r>
            <w:r>
              <w:rPr>
                <w:rFonts w:hint="eastAsia" w:ascii="Times New Roman" w:hAnsi="Times New Roman" w:eastAsia="宋体" w:cs="Times New Roman"/>
                <w:color w:val="auto"/>
                <w:spacing w:val="0"/>
                <w:sz w:val="24"/>
                <w:szCs w:val="24"/>
                <w:highlight w:val="none"/>
                <w:lang w:eastAsia="zh-CN"/>
              </w:rPr>
              <w:t>%，项目</w:t>
            </w:r>
            <w:r>
              <w:rPr>
                <w:rFonts w:hint="eastAsia" w:cs="Times New Roman"/>
                <w:color w:val="auto"/>
                <w:spacing w:val="0"/>
                <w:sz w:val="24"/>
                <w:szCs w:val="24"/>
                <w:highlight w:val="none"/>
                <w:lang w:val="en-US" w:eastAsia="zh-CN"/>
              </w:rPr>
              <w:t>钣金件</w:t>
            </w:r>
            <w:r>
              <w:rPr>
                <w:rFonts w:hint="eastAsia" w:ascii="Times New Roman" w:hAnsi="Times New Roman" w:eastAsia="宋体" w:cs="Times New Roman"/>
                <w:color w:val="auto"/>
                <w:spacing w:val="0"/>
                <w:sz w:val="24"/>
                <w:szCs w:val="24"/>
                <w:highlight w:val="none"/>
                <w:lang w:eastAsia="zh-CN"/>
              </w:rPr>
              <w:t>总用量为</w:t>
            </w:r>
            <w:r>
              <w:rPr>
                <w:rFonts w:hint="eastAsia" w:cs="Times New Roman"/>
                <w:color w:val="auto"/>
                <w:spacing w:val="0"/>
                <w:sz w:val="24"/>
                <w:szCs w:val="24"/>
                <w:highlight w:val="none"/>
                <w:lang w:val="en-US" w:eastAsia="zh-CN"/>
              </w:rPr>
              <w:t>40</w:t>
            </w:r>
            <w:r>
              <w:rPr>
                <w:rFonts w:hint="eastAsia" w:ascii="Times New Roman" w:hAnsi="Times New Roman" w:eastAsia="宋体" w:cs="Times New Roman"/>
                <w:color w:val="auto"/>
                <w:spacing w:val="0"/>
                <w:sz w:val="24"/>
                <w:szCs w:val="24"/>
                <w:highlight w:val="none"/>
                <w:lang w:eastAsia="zh-CN"/>
              </w:rPr>
              <w:t>t/a，则</w:t>
            </w:r>
            <w:r>
              <w:rPr>
                <w:rFonts w:hint="eastAsia" w:cs="Times New Roman"/>
                <w:color w:val="auto"/>
                <w:spacing w:val="0"/>
                <w:sz w:val="24"/>
                <w:szCs w:val="24"/>
                <w:highlight w:val="none"/>
                <w:lang w:val="en-US" w:eastAsia="zh-CN"/>
              </w:rPr>
              <w:t>金属</w:t>
            </w:r>
            <w:r>
              <w:rPr>
                <w:rFonts w:hint="eastAsia" w:ascii="Times New Roman" w:hAnsi="Times New Roman" w:eastAsia="宋体" w:cs="Times New Roman"/>
                <w:color w:val="auto"/>
                <w:spacing w:val="0"/>
                <w:sz w:val="24"/>
                <w:szCs w:val="24"/>
                <w:highlight w:val="none"/>
                <w:lang w:eastAsia="zh-CN"/>
              </w:rPr>
              <w:t>边角料产生为</w:t>
            </w:r>
            <w:r>
              <w:rPr>
                <w:rFonts w:hint="eastAsia" w:cs="Times New Roman"/>
                <w:color w:val="auto"/>
                <w:spacing w:val="0"/>
                <w:sz w:val="24"/>
                <w:szCs w:val="24"/>
                <w:highlight w:val="none"/>
                <w:lang w:val="en-US" w:eastAsia="zh-CN"/>
              </w:rPr>
              <w:t>4</w:t>
            </w:r>
            <w:r>
              <w:rPr>
                <w:rFonts w:hint="eastAsia" w:ascii="Times New Roman" w:hAnsi="Times New Roman" w:eastAsia="宋体" w:cs="Times New Roman"/>
                <w:color w:val="auto"/>
                <w:spacing w:val="0"/>
                <w:sz w:val="24"/>
                <w:szCs w:val="24"/>
                <w:highlight w:val="none"/>
                <w:lang w:eastAsia="zh-CN"/>
              </w:rPr>
              <w:t>t/a，属于一般固体废物，统一收集后外售综合利用</w:t>
            </w:r>
            <w:r>
              <w:rPr>
                <w:rFonts w:hint="eastAsia" w:ascii="Times New Roman" w:hAnsi="Times New Roman" w:eastAsia="宋体" w:cs="Times New Roman"/>
                <w:color w:val="auto"/>
                <w:spacing w:val="0"/>
                <w:sz w:val="24"/>
                <w:szCs w:val="24"/>
                <w:highlight w:val="none"/>
                <w:lang w:val="en-US" w:eastAsia="zh-CN"/>
              </w:rPr>
              <w:t>。</w:t>
            </w:r>
          </w:p>
          <w:p w14:paraId="4E20648A">
            <w:pPr>
              <w:pStyle w:val="15"/>
              <w:ind w:firstLine="480" w:firstLineChars="200"/>
              <w:rPr>
                <w:rFonts w:hint="default"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②废焊丝、焊渣</w:t>
            </w:r>
          </w:p>
          <w:p w14:paraId="4D552360">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根据企业提供资料，本项目</w:t>
            </w:r>
            <w:r>
              <w:rPr>
                <w:rFonts w:hint="eastAsia" w:cs="Times New Roman"/>
                <w:color w:val="auto"/>
                <w:spacing w:val="0"/>
                <w:sz w:val="24"/>
                <w:szCs w:val="24"/>
                <w:highlight w:val="none"/>
                <w:lang w:val="en-US" w:eastAsia="zh-CN"/>
              </w:rPr>
              <w:t>废焊丝和焊渣</w:t>
            </w:r>
            <w:r>
              <w:rPr>
                <w:rFonts w:hint="eastAsia" w:ascii="Times New Roman" w:hAnsi="Times New Roman" w:eastAsia="宋体" w:cs="Times New Roman"/>
                <w:color w:val="auto"/>
                <w:spacing w:val="0"/>
                <w:sz w:val="24"/>
                <w:szCs w:val="24"/>
                <w:highlight w:val="none"/>
                <w:lang w:val="en-US" w:eastAsia="zh-CN"/>
              </w:rPr>
              <w:t>的产生量约为焊材用量的5%，本项目焊材用量0.1t/a，则</w:t>
            </w:r>
            <w:r>
              <w:rPr>
                <w:rFonts w:hint="eastAsia" w:cs="Times New Roman"/>
                <w:color w:val="auto"/>
                <w:spacing w:val="0"/>
                <w:sz w:val="24"/>
                <w:szCs w:val="24"/>
                <w:highlight w:val="none"/>
                <w:lang w:val="en-US" w:eastAsia="zh-CN"/>
              </w:rPr>
              <w:t>废焊丝、焊渣</w:t>
            </w:r>
            <w:r>
              <w:rPr>
                <w:rFonts w:hint="eastAsia" w:ascii="Times New Roman" w:hAnsi="Times New Roman" w:eastAsia="宋体" w:cs="Times New Roman"/>
                <w:color w:val="auto"/>
                <w:spacing w:val="0"/>
                <w:sz w:val="24"/>
                <w:szCs w:val="24"/>
                <w:highlight w:val="none"/>
                <w:lang w:val="en-US" w:eastAsia="zh-CN"/>
              </w:rPr>
              <w:t>的产生量约0</w:t>
            </w:r>
            <w:r>
              <w:rPr>
                <w:rFonts w:hint="eastAsia" w:cs="Times New Roman"/>
                <w:color w:val="auto"/>
                <w:spacing w:val="0"/>
                <w:sz w:val="24"/>
                <w:szCs w:val="24"/>
                <w:highlight w:val="none"/>
                <w:lang w:val="en-US" w:eastAsia="zh-CN"/>
              </w:rPr>
              <w:t>.005</w:t>
            </w:r>
            <w:r>
              <w:rPr>
                <w:rFonts w:hint="eastAsia" w:ascii="Times New Roman" w:hAnsi="Times New Roman" w:eastAsia="宋体" w:cs="Times New Roman"/>
                <w:color w:val="auto"/>
                <w:spacing w:val="0"/>
                <w:sz w:val="24"/>
                <w:szCs w:val="24"/>
                <w:highlight w:val="none"/>
                <w:lang w:val="en-US" w:eastAsia="zh-CN"/>
              </w:rPr>
              <w:t>t/a，属于一般固废，由企业统一收集后外售综合利用。</w:t>
            </w:r>
          </w:p>
          <w:p w14:paraId="7D6E473C">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③布袋收集尘</w:t>
            </w:r>
          </w:p>
          <w:p w14:paraId="3CCF7752">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根据废气源强核算部分，</w:t>
            </w:r>
            <w:r>
              <w:rPr>
                <w:rFonts w:hint="eastAsia" w:cs="Times New Roman"/>
                <w:color w:val="auto"/>
                <w:spacing w:val="0"/>
                <w:sz w:val="24"/>
                <w:szCs w:val="24"/>
                <w:highlight w:val="none"/>
                <w:lang w:val="en-US" w:eastAsia="zh-CN"/>
              </w:rPr>
              <w:t>破碎、焊接工序收集</w:t>
            </w:r>
            <w:r>
              <w:rPr>
                <w:rFonts w:hint="eastAsia" w:ascii="Times New Roman" w:hAnsi="Times New Roman" w:eastAsia="宋体" w:cs="Times New Roman"/>
                <w:color w:val="auto"/>
                <w:spacing w:val="0"/>
                <w:sz w:val="24"/>
                <w:szCs w:val="24"/>
                <w:highlight w:val="none"/>
                <w:lang w:val="en-US" w:eastAsia="zh-CN"/>
              </w:rPr>
              <w:t>粉尘共计</w:t>
            </w:r>
            <w:r>
              <w:rPr>
                <w:rFonts w:hint="eastAsia" w:cs="Times New Roman"/>
                <w:color w:val="auto"/>
                <w:spacing w:val="0"/>
                <w:sz w:val="24"/>
                <w:szCs w:val="24"/>
                <w:highlight w:val="none"/>
                <w:lang w:val="en-US" w:eastAsia="zh-CN"/>
              </w:rPr>
              <w:t>0.006</w:t>
            </w:r>
            <w:r>
              <w:rPr>
                <w:rFonts w:hint="eastAsia" w:ascii="Times New Roman" w:hAnsi="Times New Roman" w:eastAsia="宋体" w:cs="Times New Roman"/>
                <w:color w:val="auto"/>
                <w:spacing w:val="0"/>
                <w:sz w:val="24"/>
                <w:szCs w:val="24"/>
                <w:highlight w:val="none"/>
                <w:lang w:val="en-US" w:eastAsia="zh-CN"/>
              </w:rPr>
              <w:t>t/a，其主要成分为塑料粉尘，属于一般固废，由企业收集后外售综合利用。</w:t>
            </w:r>
          </w:p>
          <w:p w14:paraId="200A53E8">
            <w:pPr>
              <w:keepLines/>
              <w:pageBreakBefore w:val="0"/>
              <w:kinsoku/>
              <w:wordWrap/>
              <w:topLinePunct w:val="0"/>
              <w:bidi w:val="0"/>
              <w:spacing w:line="360" w:lineRule="auto"/>
              <w:ind w:firstLine="480" w:firstLineChars="200"/>
              <w:rPr>
                <w:rFonts w:hint="default" w:ascii="Times New Roman" w:hAnsi="Times New Roman" w:eastAsia="宋体" w:cs="Times New Roman"/>
                <w:b w:val="0"/>
                <w:bCs w:val="0"/>
                <w:color w:val="auto"/>
                <w:sz w:val="24"/>
                <w:szCs w:val="24"/>
                <w:highlight w:val="none"/>
                <w:u w:val="none"/>
                <w:lang w:val="en-US" w:eastAsia="zh-CN"/>
              </w:rPr>
            </w:pPr>
            <w:r>
              <w:rPr>
                <w:rFonts w:hint="eastAsia" w:cs="Times New Roman"/>
                <w:color w:val="auto"/>
                <w:spacing w:val="0"/>
                <w:sz w:val="24"/>
                <w:szCs w:val="24"/>
                <w:highlight w:val="none"/>
                <w:lang w:val="en-US" w:eastAsia="zh-CN"/>
              </w:rPr>
              <w:t>④</w:t>
            </w:r>
            <w:r>
              <w:rPr>
                <w:rFonts w:hint="default" w:ascii="Times New Roman" w:hAnsi="Times New Roman" w:eastAsia="宋体" w:cs="Times New Roman"/>
                <w:b w:val="0"/>
                <w:bCs w:val="0"/>
                <w:color w:val="auto"/>
                <w:sz w:val="24"/>
                <w:szCs w:val="24"/>
                <w:highlight w:val="none"/>
                <w:u w:val="none"/>
                <w:lang w:val="en-US" w:eastAsia="zh-CN"/>
              </w:rPr>
              <w:t>废包装材料</w:t>
            </w:r>
          </w:p>
          <w:p w14:paraId="5CC49B02">
            <w:pPr>
              <w:keepLines/>
              <w:pageBreakBefore w:val="0"/>
              <w:numPr>
                <w:ilvl w:val="0"/>
                <w:numId w:val="0"/>
              </w:numPr>
              <w:kinsoku/>
              <w:wordWrap/>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本项目塑料</w:t>
            </w:r>
            <w:r>
              <w:rPr>
                <w:rFonts w:hint="eastAsia" w:cs="Times New Roman"/>
                <w:b w:val="0"/>
                <w:bCs w:val="0"/>
                <w:color w:val="auto"/>
                <w:kern w:val="2"/>
                <w:sz w:val="24"/>
                <w:szCs w:val="24"/>
                <w:lang w:val="en-US" w:eastAsia="zh-CN" w:bidi="ar-SA"/>
              </w:rPr>
              <w:t>颗粒</w:t>
            </w:r>
            <w:r>
              <w:rPr>
                <w:rFonts w:hint="eastAsia" w:ascii="Times New Roman" w:hAnsi="Times New Roman" w:eastAsia="宋体" w:cs="Times New Roman"/>
                <w:b w:val="0"/>
                <w:bCs w:val="0"/>
                <w:color w:val="auto"/>
                <w:kern w:val="2"/>
                <w:sz w:val="24"/>
                <w:szCs w:val="24"/>
                <w:lang w:val="en-US" w:eastAsia="zh-CN" w:bidi="ar-SA"/>
              </w:rPr>
              <w:t>使用过程会有废包装袋产生，根据原辅材料用量（</w:t>
            </w:r>
            <w:r>
              <w:rPr>
                <w:rFonts w:hint="eastAsia" w:cs="Times New Roman"/>
                <w:b w:val="0"/>
                <w:bCs w:val="0"/>
                <w:color w:val="auto"/>
                <w:kern w:val="2"/>
                <w:sz w:val="24"/>
                <w:szCs w:val="24"/>
                <w:lang w:val="en-US" w:eastAsia="zh-CN" w:bidi="ar-SA"/>
              </w:rPr>
              <w:t>970.4</w:t>
            </w:r>
            <w:r>
              <w:rPr>
                <w:rFonts w:hint="eastAsia" w:ascii="Times New Roman" w:hAnsi="Times New Roman" w:eastAsia="宋体" w:cs="Times New Roman"/>
                <w:b w:val="0"/>
                <w:bCs w:val="0"/>
                <w:color w:val="auto"/>
                <w:kern w:val="2"/>
                <w:sz w:val="24"/>
                <w:szCs w:val="24"/>
                <w:lang w:val="en-US" w:eastAsia="zh-CN" w:bidi="ar-SA"/>
              </w:rPr>
              <w:t>t/a）及相应的包装规格（25kg/袋），废包装袋约为</w:t>
            </w:r>
            <w:r>
              <w:rPr>
                <w:rFonts w:hint="eastAsia" w:cs="Times New Roman"/>
                <w:b w:val="0"/>
                <w:bCs w:val="0"/>
                <w:color w:val="auto"/>
                <w:kern w:val="2"/>
                <w:sz w:val="24"/>
                <w:szCs w:val="24"/>
                <w:lang w:val="en-US" w:eastAsia="zh-CN" w:bidi="ar-SA"/>
              </w:rPr>
              <w:t>38816</w:t>
            </w:r>
            <w:r>
              <w:rPr>
                <w:rFonts w:hint="eastAsia" w:ascii="Times New Roman" w:hAnsi="Times New Roman" w:eastAsia="宋体" w:cs="Times New Roman"/>
                <w:b w:val="0"/>
                <w:bCs w:val="0"/>
                <w:color w:val="auto"/>
                <w:kern w:val="2"/>
                <w:sz w:val="24"/>
                <w:szCs w:val="24"/>
                <w:lang w:val="en-US" w:eastAsia="zh-CN" w:bidi="ar-SA"/>
              </w:rPr>
              <w:t>个，每个质量为0.2kg，则废包装材料产生量为</w:t>
            </w:r>
            <w:r>
              <w:rPr>
                <w:rFonts w:hint="eastAsia" w:cs="Times New Roman"/>
                <w:b w:val="0"/>
                <w:bCs w:val="0"/>
                <w:color w:val="auto"/>
                <w:kern w:val="2"/>
                <w:sz w:val="24"/>
                <w:szCs w:val="24"/>
                <w:lang w:val="en-US" w:eastAsia="zh-CN" w:bidi="ar-SA"/>
              </w:rPr>
              <w:t>7.763</w:t>
            </w:r>
            <w:r>
              <w:rPr>
                <w:rFonts w:hint="eastAsia" w:ascii="Times New Roman" w:hAnsi="Times New Roman" w:eastAsia="宋体" w:cs="Times New Roman"/>
                <w:b w:val="0"/>
                <w:bCs w:val="0"/>
                <w:color w:val="auto"/>
                <w:kern w:val="2"/>
                <w:sz w:val="24"/>
                <w:szCs w:val="24"/>
                <w:lang w:val="en-US" w:eastAsia="zh-CN" w:bidi="ar-SA"/>
              </w:rPr>
              <w:t>t/a，</w:t>
            </w:r>
            <w:r>
              <w:rPr>
                <w:rFonts w:hint="default" w:ascii="Times New Roman" w:hAnsi="Times New Roman" w:eastAsia="宋体" w:cs="Times New Roman"/>
                <w:b w:val="0"/>
                <w:bCs w:val="0"/>
                <w:color w:val="auto"/>
                <w:kern w:val="2"/>
                <w:sz w:val="24"/>
                <w:szCs w:val="24"/>
                <w:lang w:val="en-US" w:eastAsia="zh-CN" w:bidi="ar-SA"/>
              </w:rPr>
              <w:t>收集后，外售综合利用。</w:t>
            </w:r>
          </w:p>
          <w:p w14:paraId="07F1A94F">
            <w:pPr>
              <w:keepNext w:val="0"/>
              <w:keepLines w:val="0"/>
              <w:pageBreakBefore w:val="0"/>
              <w:kinsoku/>
              <w:wordWrap/>
              <w:overflowPunct/>
              <w:topLinePunct w:val="0"/>
              <w:autoSpaceDE/>
              <w:autoSpaceDN/>
              <w:bidi w:val="0"/>
              <w:adjustRightInd/>
              <w:spacing w:line="360" w:lineRule="auto"/>
              <w:ind w:right="0" w:firstLine="480" w:firstLineChars="200"/>
              <w:textAlignment w:val="auto"/>
              <w:rPr>
                <w:color w:val="auto"/>
                <w:sz w:val="24"/>
              </w:rPr>
            </w:pPr>
            <w:r>
              <w:rPr>
                <w:color w:val="auto"/>
                <w:sz w:val="24"/>
              </w:rPr>
              <w:t>(2)危险废物</w:t>
            </w:r>
          </w:p>
          <w:p w14:paraId="4E252CF9">
            <w:pPr>
              <w:spacing w:line="360" w:lineRule="auto"/>
              <w:ind w:firstLine="480" w:firstLineChars="200"/>
              <w:rPr>
                <w:rFonts w:hint="eastAsia"/>
                <w:color w:val="auto"/>
                <w:sz w:val="24"/>
              </w:rPr>
            </w:pPr>
            <w:r>
              <w:rPr>
                <w:rFonts w:hint="eastAsia"/>
                <w:color w:val="auto"/>
                <w:sz w:val="24"/>
                <w:lang w:val="en-US" w:eastAsia="zh-CN"/>
              </w:rPr>
              <w:t>①</w:t>
            </w:r>
            <w:r>
              <w:rPr>
                <w:rFonts w:hint="eastAsia"/>
                <w:color w:val="auto"/>
                <w:sz w:val="24"/>
                <w:lang w:eastAsia="zh-CN"/>
              </w:rPr>
              <w:t>废活性炭</w:t>
            </w:r>
          </w:p>
          <w:p w14:paraId="16683BDB">
            <w:pPr>
              <w:spacing w:line="360" w:lineRule="auto"/>
              <w:ind w:firstLine="480" w:firstLineChars="200"/>
              <w:jc w:val="both"/>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项目有机废气处理采用活性炭吸附装置，产生吸附有机物的废活性炭，参考《国家危险废物名录(202</w:t>
            </w:r>
            <w:r>
              <w:rPr>
                <w:rFonts w:hint="eastAsia"/>
                <w:color w:val="auto"/>
                <w:sz w:val="24"/>
                <w:lang w:val="en-US" w:eastAsia="zh-CN"/>
              </w:rPr>
              <w:t>5</w:t>
            </w:r>
            <w:r>
              <w:rPr>
                <w:rFonts w:hint="eastAsia" w:ascii="Times New Roman" w:hAnsi="Times New Roman" w:eastAsia="宋体"/>
                <w:color w:val="auto"/>
                <w:sz w:val="24"/>
                <w:lang w:eastAsia="zh-CN"/>
              </w:rPr>
              <w:t>)》，废弃活性炭吸附饱和物属于危险废物，废物类别为“HW49其他废物”，废物代码为“900-039-49 ”。</w:t>
            </w:r>
          </w:p>
          <w:p w14:paraId="1892263E">
            <w:pPr>
              <w:spacing w:line="360" w:lineRule="auto"/>
              <w:ind w:firstLine="480" w:firstLineChars="200"/>
              <w:jc w:val="both"/>
              <w:rPr>
                <w:rFonts w:hint="eastAsia" w:ascii="Times New Roman" w:hAnsi="Times New Roman" w:eastAsia="宋体"/>
                <w:color w:val="auto"/>
                <w:sz w:val="24"/>
                <w:lang w:val="en-US" w:eastAsia="zh-CN"/>
              </w:rPr>
            </w:pPr>
            <w:r>
              <w:rPr>
                <w:rFonts w:hint="eastAsia"/>
                <w:color w:val="auto"/>
                <w:sz w:val="24"/>
                <w:highlight w:val="none"/>
              </w:rPr>
              <w:t>根据《活性炭纤维在挥发性有机废气处理中应用》（杨芬 刘品华）的试验结果表明，每公斤活性炭可吸附0.22-0.25kg的有机废气，本次环评取每公斤活性炭吸附有机废气量为0.25kg</w:t>
            </w:r>
            <w:r>
              <w:rPr>
                <w:rFonts w:hint="eastAsia" w:ascii="Times New Roman" w:hAnsi="Times New Roman" w:eastAsia="宋体"/>
                <w:color w:val="auto"/>
                <w:sz w:val="24"/>
              </w:rPr>
              <w:t>计算，根据前文产排污分析，项目</w:t>
            </w:r>
            <w:r>
              <w:rPr>
                <w:rFonts w:hint="eastAsia" w:ascii="Times New Roman" w:hAnsi="Times New Roman" w:eastAsia="宋体"/>
                <w:color w:val="auto"/>
                <w:sz w:val="24"/>
                <w:lang w:val="en-US" w:eastAsia="zh-CN"/>
              </w:rPr>
              <w:t>有机废气活性炭吸附净化量约为</w:t>
            </w:r>
            <w:r>
              <w:rPr>
                <w:rFonts w:hint="eastAsia"/>
                <w:color w:val="auto"/>
                <w:sz w:val="24"/>
                <w:lang w:val="en-US" w:eastAsia="zh-CN"/>
              </w:rPr>
              <w:t>2.02</w:t>
            </w:r>
            <w:r>
              <w:rPr>
                <w:rFonts w:hint="eastAsia" w:ascii="Times New Roman" w:hAnsi="Times New Roman" w:eastAsia="宋体"/>
                <w:color w:val="auto"/>
                <w:sz w:val="24"/>
                <w:lang w:val="en-US" w:eastAsia="zh-CN"/>
              </w:rPr>
              <w:t>t/a，所需活性炭量约为</w:t>
            </w:r>
            <w:r>
              <w:rPr>
                <w:rFonts w:hint="eastAsia"/>
                <w:color w:val="auto"/>
                <w:sz w:val="24"/>
                <w:lang w:val="en-US" w:eastAsia="zh-CN"/>
              </w:rPr>
              <w:t>8.08</w:t>
            </w:r>
            <w:r>
              <w:rPr>
                <w:rFonts w:hint="eastAsia" w:ascii="Times New Roman" w:hAnsi="Times New Roman" w:eastAsia="宋体"/>
                <w:color w:val="auto"/>
                <w:sz w:val="24"/>
                <w:lang w:val="en-US" w:eastAsia="zh-CN"/>
              </w:rPr>
              <w:t>t/a，项目拟配套</w:t>
            </w:r>
            <w:r>
              <w:rPr>
                <w:rFonts w:hint="eastAsia"/>
                <w:color w:val="auto"/>
                <w:sz w:val="24"/>
                <w:lang w:val="en-US" w:eastAsia="zh-CN"/>
              </w:rPr>
              <w:t>二级</w:t>
            </w:r>
            <w:r>
              <w:rPr>
                <w:rFonts w:hint="eastAsia" w:ascii="Times New Roman" w:hAnsi="Times New Roman" w:eastAsia="宋体"/>
                <w:color w:val="auto"/>
                <w:sz w:val="24"/>
                <w:lang w:val="en-US" w:eastAsia="zh-CN"/>
              </w:rPr>
              <w:t>活性炭装置每级活性炭一次填装量为</w:t>
            </w:r>
            <w:r>
              <w:rPr>
                <w:rFonts w:hint="eastAsia"/>
                <w:color w:val="auto"/>
                <w:sz w:val="24"/>
                <w:lang w:val="en-US" w:eastAsia="zh-CN"/>
              </w:rPr>
              <w:t>1.1</w:t>
            </w:r>
            <w:r>
              <w:rPr>
                <w:rFonts w:hint="eastAsia" w:ascii="Times New Roman" w:hAnsi="Times New Roman" w:eastAsia="宋体"/>
                <w:color w:val="auto"/>
                <w:sz w:val="24"/>
                <w:lang w:val="en-US" w:eastAsia="zh-CN"/>
              </w:rPr>
              <w:t>t，每</w:t>
            </w:r>
            <w:r>
              <w:rPr>
                <w:rFonts w:hint="eastAsia"/>
                <w:color w:val="auto"/>
                <w:sz w:val="24"/>
                <w:lang w:val="en-US" w:eastAsia="zh-CN"/>
              </w:rPr>
              <w:t>三个月</w:t>
            </w:r>
            <w:r>
              <w:rPr>
                <w:rFonts w:hint="eastAsia" w:ascii="Times New Roman" w:hAnsi="Times New Roman" w:eastAsia="宋体"/>
                <w:color w:val="auto"/>
                <w:sz w:val="24"/>
                <w:lang w:val="en-US" w:eastAsia="zh-CN"/>
              </w:rPr>
              <w:t>更换一次，总使用活性炭量约为</w:t>
            </w:r>
            <w:r>
              <w:rPr>
                <w:rFonts w:hint="eastAsia"/>
                <w:color w:val="auto"/>
                <w:sz w:val="24"/>
                <w:lang w:val="en-US" w:eastAsia="zh-CN"/>
              </w:rPr>
              <w:t>8.8</w:t>
            </w:r>
            <w:r>
              <w:rPr>
                <w:rFonts w:hint="eastAsia" w:ascii="Times New Roman" w:hAnsi="Times New Roman" w:eastAsia="宋体"/>
                <w:color w:val="auto"/>
                <w:sz w:val="24"/>
                <w:lang w:val="en-US" w:eastAsia="zh-CN"/>
              </w:rPr>
              <w:t>t/a，产生的废活性炭量（含吸附有机物量）约</w:t>
            </w:r>
            <w:r>
              <w:rPr>
                <w:rFonts w:hint="eastAsia"/>
                <w:color w:val="auto"/>
                <w:sz w:val="24"/>
                <w:lang w:val="en-US" w:eastAsia="zh-CN"/>
              </w:rPr>
              <w:t>10.82t</w:t>
            </w:r>
            <w:r>
              <w:rPr>
                <w:rFonts w:hint="eastAsia" w:ascii="Times New Roman" w:hAnsi="Times New Roman" w:eastAsia="宋体"/>
                <w:color w:val="auto"/>
                <w:sz w:val="24"/>
                <w:lang w:val="en-US" w:eastAsia="zh-CN"/>
              </w:rPr>
              <w:t>/a。</w:t>
            </w:r>
          </w:p>
          <w:p w14:paraId="3E974AEE">
            <w:pPr>
              <w:spacing w:line="360" w:lineRule="auto"/>
              <w:ind w:firstLine="480" w:firstLineChars="200"/>
              <w:rPr>
                <w:rFonts w:hint="eastAsia"/>
                <w:color w:val="auto"/>
                <w:sz w:val="24"/>
                <w:lang w:eastAsia="zh-CN" w:bidi="ar"/>
              </w:rPr>
            </w:pPr>
            <w:r>
              <w:rPr>
                <w:rFonts w:hint="eastAsia"/>
                <w:color w:val="auto"/>
                <w:sz w:val="24"/>
                <w:lang w:val="en-US" w:eastAsia="zh-CN" w:bidi="ar"/>
              </w:rPr>
              <w:t>②</w:t>
            </w:r>
            <w:r>
              <w:rPr>
                <w:rFonts w:hint="eastAsia"/>
                <w:color w:val="auto"/>
                <w:sz w:val="24"/>
                <w:lang w:eastAsia="zh-CN" w:bidi="ar"/>
              </w:rPr>
              <w:t>废</w:t>
            </w:r>
            <w:r>
              <w:rPr>
                <w:rFonts w:hint="eastAsia"/>
                <w:color w:val="auto"/>
                <w:sz w:val="24"/>
                <w:lang w:val="en-US" w:eastAsia="zh-CN" w:bidi="ar"/>
              </w:rPr>
              <w:t>润滑</w:t>
            </w:r>
            <w:r>
              <w:rPr>
                <w:rFonts w:hint="eastAsia"/>
                <w:color w:val="auto"/>
                <w:sz w:val="24"/>
                <w:lang w:eastAsia="zh-CN" w:bidi="ar"/>
              </w:rPr>
              <w:t>油</w:t>
            </w:r>
          </w:p>
          <w:p w14:paraId="5E99F785">
            <w:pPr>
              <w:spacing w:line="360" w:lineRule="auto"/>
              <w:ind w:firstLine="480" w:firstLineChars="200"/>
              <w:rPr>
                <w:rFonts w:hint="eastAsia"/>
                <w:color w:val="auto"/>
                <w:sz w:val="24"/>
                <w:lang w:eastAsia="zh-CN" w:bidi="ar"/>
              </w:rPr>
            </w:pPr>
            <w:r>
              <w:rPr>
                <w:rFonts w:hint="eastAsia"/>
                <w:color w:val="auto"/>
                <w:sz w:val="24"/>
                <w:lang w:eastAsia="zh-CN" w:bidi="ar"/>
              </w:rPr>
              <w:t>本项目生产设备需定期检修，检修过程会产生少量废</w:t>
            </w:r>
            <w:r>
              <w:rPr>
                <w:rFonts w:hint="eastAsia"/>
                <w:color w:val="auto"/>
                <w:sz w:val="24"/>
                <w:lang w:val="en-US" w:eastAsia="zh-CN" w:bidi="ar"/>
              </w:rPr>
              <w:t>润滑</w:t>
            </w:r>
            <w:r>
              <w:rPr>
                <w:rFonts w:hint="eastAsia"/>
                <w:color w:val="auto"/>
                <w:sz w:val="24"/>
                <w:lang w:eastAsia="zh-CN" w:bidi="ar"/>
              </w:rPr>
              <w:t>油，根据建设单位提供的资料，废润滑油产生量约为0.</w:t>
            </w:r>
            <w:r>
              <w:rPr>
                <w:rFonts w:hint="eastAsia"/>
                <w:color w:val="auto"/>
                <w:sz w:val="24"/>
                <w:lang w:val="en-US" w:eastAsia="zh-CN" w:bidi="ar"/>
              </w:rPr>
              <w:t>2</w:t>
            </w:r>
            <w:r>
              <w:rPr>
                <w:rFonts w:hint="eastAsia"/>
                <w:color w:val="auto"/>
                <w:sz w:val="24"/>
                <w:lang w:eastAsia="zh-CN" w:bidi="ar"/>
              </w:rPr>
              <w:t>t/a。属于危险废物（HW08，900-214-08）废润滑油暂存于厂内危险废物贮存间，定期交由有相关危废处理资质的单位运走处理。</w:t>
            </w:r>
          </w:p>
          <w:p w14:paraId="2644ED60">
            <w:pPr>
              <w:spacing w:line="360" w:lineRule="auto"/>
              <w:ind w:firstLine="480" w:firstLineChars="200"/>
              <w:rPr>
                <w:rFonts w:hint="eastAsia"/>
                <w:color w:val="auto"/>
                <w:sz w:val="24"/>
                <w:lang w:val="en-US" w:eastAsia="zh-CN" w:bidi="ar"/>
              </w:rPr>
            </w:pPr>
            <w:r>
              <w:rPr>
                <w:rFonts w:hint="eastAsia"/>
                <w:color w:val="auto"/>
                <w:sz w:val="24"/>
                <w:lang w:val="en-US" w:eastAsia="zh-CN" w:bidi="ar"/>
              </w:rPr>
              <w:t>③废胶桶</w:t>
            </w:r>
          </w:p>
          <w:p w14:paraId="0451C12A">
            <w:pPr>
              <w:adjustRightInd w:val="0"/>
              <w:snapToGrid w:val="0"/>
              <w:spacing w:line="360" w:lineRule="auto"/>
              <w:ind w:firstLine="480" w:firstLineChars="200"/>
              <w:rPr>
                <w:rFonts w:hint="eastAsia"/>
                <w:color w:val="auto"/>
                <w:sz w:val="24"/>
                <w:lang w:eastAsia="zh-CN" w:bidi="ar"/>
              </w:rPr>
            </w:pPr>
            <w:r>
              <w:rPr>
                <w:color w:val="auto"/>
                <w:sz w:val="24"/>
              </w:rPr>
              <w:t>废包装容器</w:t>
            </w:r>
            <w:r>
              <w:rPr>
                <w:rFonts w:hint="eastAsia"/>
                <w:color w:val="auto"/>
                <w:sz w:val="24"/>
              </w:rPr>
              <w:t>主要包括</w:t>
            </w:r>
            <w:r>
              <w:rPr>
                <w:rFonts w:hint="eastAsia"/>
                <w:color w:val="auto"/>
                <w:sz w:val="24"/>
                <w:lang w:val="en-US" w:eastAsia="zh-CN"/>
              </w:rPr>
              <w:t>铝带底涂剂、PP底涂剂等的</w:t>
            </w:r>
            <w:r>
              <w:rPr>
                <w:rFonts w:hint="eastAsia"/>
                <w:color w:val="auto"/>
                <w:sz w:val="24"/>
              </w:rPr>
              <w:t>包装桶</w:t>
            </w:r>
            <w:r>
              <w:rPr>
                <w:color w:val="auto"/>
                <w:sz w:val="24"/>
              </w:rPr>
              <w:t>。根据企业提供资料，使用</w:t>
            </w:r>
            <w:r>
              <w:rPr>
                <w:rFonts w:hint="eastAsia"/>
                <w:color w:val="auto"/>
                <w:sz w:val="24"/>
                <w:lang w:val="en-US" w:eastAsia="zh-CN"/>
              </w:rPr>
              <w:t>底涂剂</w:t>
            </w:r>
            <w:r>
              <w:rPr>
                <w:color w:val="auto"/>
                <w:sz w:val="24"/>
              </w:rPr>
              <w:t>净含量2</w:t>
            </w:r>
            <w:r>
              <w:rPr>
                <w:rFonts w:hint="eastAsia"/>
                <w:color w:val="auto"/>
                <w:sz w:val="24"/>
              </w:rPr>
              <w:t>5</w:t>
            </w:r>
            <w:r>
              <w:rPr>
                <w:color w:val="auto"/>
                <w:sz w:val="24"/>
              </w:rPr>
              <w:t>kg/桶</w:t>
            </w:r>
            <w:r>
              <w:rPr>
                <w:rFonts w:hint="eastAsia"/>
                <w:color w:val="auto"/>
                <w:sz w:val="24"/>
                <w:lang w:val="en-US" w:eastAsia="zh-CN"/>
              </w:rPr>
              <w:t>，铝带底涂剂总用量0.1t/a、PP底涂剂总用量0.1t/a，</w:t>
            </w:r>
            <w:r>
              <w:rPr>
                <w:color w:val="auto"/>
                <w:sz w:val="24"/>
              </w:rPr>
              <w:t>废</w:t>
            </w:r>
            <w:r>
              <w:rPr>
                <w:rFonts w:hint="eastAsia"/>
                <w:color w:val="auto"/>
                <w:sz w:val="24"/>
                <w:lang w:val="en-US" w:eastAsia="zh-CN"/>
              </w:rPr>
              <w:t>胶</w:t>
            </w:r>
            <w:r>
              <w:rPr>
                <w:color w:val="auto"/>
                <w:sz w:val="24"/>
              </w:rPr>
              <w:t>桶产生量约</w:t>
            </w:r>
            <w:r>
              <w:rPr>
                <w:rFonts w:hint="eastAsia"/>
                <w:color w:val="auto"/>
                <w:sz w:val="24"/>
                <w:lang w:val="en-US" w:eastAsia="zh-CN"/>
              </w:rPr>
              <w:t>8</w:t>
            </w:r>
            <w:r>
              <w:rPr>
                <w:color w:val="auto"/>
                <w:sz w:val="24"/>
              </w:rPr>
              <w:t>个/a，空桶质量以1.5kg/个计，则废</w:t>
            </w:r>
            <w:r>
              <w:rPr>
                <w:rFonts w:hint="eastAsia"/>
                <w:color w:val="auto"/>
                <w:sz w:val="24"/>
                <w:lang w:val="en-US" w:eastAsia="zh-CN"/>
              </w:rPr>
              <w:t>胶</w:t>
            </w:r>
            <w:r>
              <w:rPr>
                <w:color w:val="auto"/>
                <w:sz w:val="24"/>
              </w:rPr>
              <w:t>桶量约</w:t>
            </w:r>
            <w:r>
              <w:rPr>
                <w:rFonts w:hint="eastAsia"/>
                <w:color w:val="auto"/>
                <w:sz w:val="24"/>
                <w:lang w:val="en-US" w:eastAsia="zh-CN"/>
              </w:rPr>
              <w:t>0.012t</w:t>
            </w:r>
            <w:r>
              <w:rPr>
                <w:color w:val="auto"/>
                <w:sz w:val="24"/>
              </w:rPr>
              <w:t>/a</w:t>
            </w:r>
            <w:r>
              <w:rPr>
                <w:rFonts w:hint="eastAsia"/>
                <w:color w:val="auto"/>
                <w:sz w:val="24"/>
                <w:lang w:eastAsia="zh-CN"/>
              </w:rPr>
              <w:t>。</w:t>
            </w:r>
            <w:r>
              <w:rPr>
                <w:color w:val="auto"/>
                <w:sz w:val="24"/>
              </w:rPr>
              <w:t>废包装桶</w:t>
            </w:r>
            <w:r>
              <w:rPr>
                <w:rFonts w:hint="eastAsia"/>
                <w:color w:val="auto"/>
                <w:sz w:val="24"/>
              </w:rPr>
              <w:t>属于危险废物（HW49，900-041-49），收集后贮存于危险废物暂存库，定期委托有资质单位处理。</w:t>
            </w:r>
          </w:p>
          <w:p w14:paraId="5DBC09A2">
            <w:pPr>
              <w:spacing w:line="360" w:lineRule="auto"/>
              <w:ind w:firstLine="480" w:firstLineChars="200"/>
              <w:rPr>
                <w:rFonts w:hint="eastAsia"/>
                <w:color w:val="auto"/>
                <w:sz w:val="24"/>
                <w:lang w:val="en-US" w:eastAsia="zh-CN" w:bidi="ar"/>
              </w:rPr>
            </w:pPr>
            <w:r>
              <w:rPr>
                <w:rFonts w:hint="eastAsia"/>
                <w:color w:val="auto"/>
                <w:sz w:val="24"/>
                <w:lang w:val="en-US" w:eastAsia="zh-CN" w:bidi="ar"/>
              </w:rPr>
              <w:t>④废液压油</w:t>
            </w:r>
          </w:p>
          <w:p w14:paraId="0F6C15ED">
            <w:pPr>
              <w:spacing w:line="360" w:lineRule="auto"/>
              <w:ind w:firstLine="480" w:firstLineChars="200"/>
              <w:rPr>
                <w:rFonts w:hint="eastAsia"/>
                <w:color w:val="auto"/>
                <w:sz w:val="24"/>
                <w:lang w:eastAsia="zh-CN" w:bidi="ar"/>
              </w:rPr>
            </w:pPr>
            <w:r>
              <w:rPr>
                <w:rFonts w:hint="eastAsia"/>
                <w:color w:val="auto"/>
                <w:sz w:val="24"/>
              </w:rPr>
              <w:t>根据建设单位提供的资料，</w:t>
            </w:r>
            <w:r>
              <w:rPr>
                <w:rFonts w:hint="eastAsia"/>
                <w:color w:val="auto"/>
                <w:sz w:val="24"/>
                <w:lang w:val="en-US" w:eastAsia="zh-CN"/>
              </w:rPr>
              <w:t>冲床</w:t>
            </w:r>
            <w:r>
              <w:rPr>
                <w:rFonts w:hint="eastAsia"/>
                <w:color w:val="auto"/>
                <w:sz w:val="24"/>
              </w:rPr>
              <w:t>中的液压油一次充装量约为0.2t，每年更换一次，废液压油产生量约0.</w:t>
            </w:r>
            <w:r>
              <w:rPr>
                <w:rFonts w:hint="eastAsia"/>
                <w:color w:val="auto"/>
                <w:sz w:val="24"/>
                <w:lang w:val="en-US" w:eastAsia="zh-CN"/>
              </w:rPr>
              <w:t>15</w:t>
            </w:r>
            <w:r>
              <w:rPr>
                <w:rFonts w:hint="eastAsia"/>
                <w:color w:val="auto"/>
                <w:sz w:val="24"/>
              </w:rPr>
              <w:t>t/a。根据《国家危险废物名录》</w:t>
            </w:r>
            <w:r>
              <w:rPr>
                <w:rFonts w:hint="eastAsia"/>
                <w:color w:val="auto"/>
                <w:sz w:val="24"/>
                <w:lang w:eastAsia="zh-CN"/>
              </w:rPr>
              <w:t>（</w:t>
            </w:r>
            <w:r>
              <w:rPr>
                <w:rFonts w:hint="eastAsia"/>
                <w:color w:val="auto"/>
                <w:sz w:val="24"/>
              </w:rPr>
              <w:t>202</w:t>
            </w:r>
            <w:r>
              <w:rPr>
                <w:rFonts w:hint="eastAsia"/>
                <w:color w:val="auto"/>
                <w:sz w:val="24"/>
                <w:lang w:val="en-US" w:eastAsia="zh-CN"/>
              </w:rPr>
              <w:t>5</w:t>
            </w:r>
            <w:r>
              <w:rPr>
                <w:rFonts w:hint="eastAsia"/>
                <w:color w:val="auto"/>
                <w:sz w:val="24"/>
              </w:rPr>
              <w:t>年版</w:t>
            </w:r>
            <w:r>
              <w:rPr>
                <w:rFonts w:hint="eastAsia"/>
                <w:color w:val="auto"/>
                <w:sz w:val="24"/>
                <w:lang w:eastAsia="zh-CN"/>
              </w:rPr>
              <w:t>）</w:t>
            </w:r>
            <w:r>
              <w:rPr>
                <w:rFonts w:hint="eastAsia"/>
                <w:color w:val="auto"/>
                <w:sz w:val="24"/>
              </w:rPr>
              <w:t>，废液压油为危险废物，类别为HW08废矿物油与含矿物油废物，危废代码为“900-218-08液压设备维护、更换和拆解过程中产生的废液压油”，危险特性为“T、I”。废液压油暂存于厂内</w:t>
            </w:r>
            <w:r>
              <w:rPr>
                <w:rFonts w:hint="eastAsia"/>
                <w:color w:val="auto"/>
                <w:sz w:val="24"/>
                <w:lang w:eastAsia="zh-CN"/>
              </w:rPr>
              <w:t>危险废物贮存间</w:t>
            </w:r>
            <w:r>
              <w:rPr>
                <w:rFonts w:hint="eastAsia" w:ascii="Times New Roman" w:hAnsi="Times New Roman" w:eastAsia="宋体" w:cs="Times New Roman"/>
                <w:color w:val="auto"/>
                <w:spacing w:val="0"/>
                <w:sz w:val="24"/>
                <w:szCs w:val="24"/>
                <w:highlight w:val="none"/>
                <w:lang w:eastAsia="zh-CN"/>
              </w:rPr>
              <w:t>，需委托有资质单位回收处理。</w:t>
            </w:r>
          </w:p>
          <w:p w14:paraId="42A31286">
            <w:pPr>
              <w:spacing w:line="360" w:lineRule="auto"/>
              <w:ind w:firstLine="480" w:firstLineChars="200"/>
              <w:rPr>
                <w:color w:val="auto"/>
                <w:szCs w:val="28"/>
              </w:rPr>
            </w:pPr>
            <w:r>
              <w:rPr>
                <w:rFonts w:hint="eastAsia"/>
                <w:color w:val="auto"/>
                <w:sz w:val="24"/>
                <w:lang w:bidi="ar"/>
              </w:rPr>
              <w:t>（3）</w:t>
            </w:r>
            <w:r>
              <w:rPr>
                <w:color w:val="auto"/>
                <w:sz w:val="24"/>
                <w:lang w:bidi="ar"/>
              </w:rPr>
              <w:t>生活垃圾</w:t>
            </w:r>
          </w:p>
          <w:p w14:paraId="388FA3B1">
            <w:pPr>
              <w:spacing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生活垃圾主要来源于项目职工日常生活中产生的垃圾，</w:t>
            </w:r>
            <w:r>
              <w:rPr>
                <w:rFonts w:hint="eastAsia" w:ascii="Times New Roman" w:hAnsi="Times New Roman" w:eastAsia="宋体" w:cs="Times New Roman"/>
                <w:color w:val="auto"/>
                <w:kern w:val="0"/>
                <w:sz w:val="24"/>
                <w:szCs w:val="24"/>
                <w:highlight w:val="none"/>
                <w:lang w:val="en-US" w:eastAsia="zh-CN" w:bidi="ar"/>
              </w:rPr>
              <w:t>扩建</w:t>
            </w:r>
            <w:r>
              <w:rPr>
                <w:rFonts w:hint="default" w:ascii="Times New Roman" w:hAnsi="Times New Roman" w:eastAsia="宋体" w:cs="Times New Roman"/>
                <w:color w:val="auto"/>
                <w:kern w:val="0"/>
                <w:sz w:val="24"/>
                <w:szCs w:val="24"/>
                <w:highlight w:val="none"/>
                <w:lang w:bidi="ar"/>
              </w:rPr>
              <w:t>项目</w:t>
            </w:r>
            <w:r>
              <w:rPr>
                <w:rFonts w:hint="eastAsia" w:ascii="Times New Roman" w:hAnsi="Times New Roman" w:eastAsia="宋体"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bidi="ar"/>
              </w:rPr>
              <w:t>职工人数</w:t>
            </w:r>
            <w:r>
              <w:rPr>
                <w:rFonts w:hint="eastAsia" w:ascii="Times New Roman" w:hAnsi="Times New Roman" w:eastAsia="宋体" w:cs="Times New Roman"/>
                <w:color w:val="auto"/>
                <w:kern w:val="0"/>
                <w:sz w:val="24"/>
                <w:szCs w:val="24"/>
                <w:highlight w:val="none"/>
                <w:lang w:val="en-US" w:eastAsia="zh-CN" w:bidi="ar"/>
              </w:rPr>
              <w:t>70</w:t>
            </w:r>
            <w:r>
              <w:rPr>
                <w:rFonts w:hint="eastAsia" w:ascii="Times New Roman" w:hAnsi="Times New Roman" w:eastAsia="宋体" w:cs="Times New Roman"/>
                <w:color w:val="auto"/>
                <w:kern w:val="0"/>
                <w:sz w:val="24"/>
                <w:szCs w:val="24"/>
                <w:highlight w:val="none"/>
                <w:lang w:eastAsia="zh-CN" w:bidi="ar"/>
              </w:rPr>
              <w:t>人</w:t>
            </w:r>
            <w:r>
              <w:rPr>
                <w:rFonts w:hint="default" w:ascii="Times New Roman" w:hAnsi="Times New Roman" w:eastAsia="宋体" w:cs="Times New Roman"/>
                <w:color w:val="auto"/>
                <w:kern w:val="0"/>
                <w:sz w:val="24"/>
                <w:szCs w:val="24"/>
                <w:highlight w:val="none"/>
                <w:lang w:bidi="ar"/>
              </w:rPr>
              <w:t>，</w:t>
            </w:r>
            <w:r>
              <w:rPr>
                <w:rFonts w:hint="eastAsia" w:ascii="Times New Roman" w:hAnsi="Times New Roman" w:eastAsia="宋体" w:cs="Times New Roman"/>
                <w:color w:val="auto"/>
                <w:kern w:val="0"/>
                <w:sz w:val="24"/>
                <w:szCs w:val="24"/>
                <w:highlight w:val="none"/>
                <w:lang w:eastAsia="zh-CN" w:bidi="ar"/>
              </w:rPr>
              <w:t>其中</w:t>
            </w:r>
            <w:r>
              <w:rPr>
                <w:rFonts w:hint="eastAsia" w:ascii="Times New Roman" w:hAnsi="Times New Roman" w:eastAsia="宋体" w:cs="Times New Roman"/>
                <w:color w:val="auto"/>
                <w:kern w:val="0"/>
                <w:sz w:val="24"/>
                <w:szCs w:val="24"/>
                <w:highlight w:val="none"/>
                <w:lang w:val="en-US" w:eastAsia="zh-CN" w:bidi="ar"/>
              </w:rPr>
              <w:t>45人住厂</w:t>
            </w:r>
            <w:r>
              <w:rPr>
                <w:rFonts w:hint="default" w:ascii="Times New Roman" w:hAnsi="Times New Roman" w:eastAsia="宋体" w:cs="Times New Roman"/>
                <w:color w:val="auto"/>
                <w:kern w:val="0"/>
                <w:sz w:val="24"/>
                <w:szCs w:val="24"/>
                <w:highlight w:val="none"/>
                <w:lang w:bidi="ar"/>
              </w:rPr>
              <w:t>，职工生活垃圾排放量按</w:t>
            </w:r>
            <w:r>
              <w:rPr>
                <w:rFonts w:hint="eastAsia" w:ascii="Times New Roman" w:hAnsi="Times New Roman" w:eastAsia="宋体" w:cs="Times New Roman"/>
                <w:color w:val="auto"/>
                <w:kern w:val="0"/>
                <w:sz w:val="24"/>
                <w:szCs w:val="24"/>
                <w:highlight w:val="none"/>
                <w:lang w:eastAsia="zh-CN" w:bidi="ar"/>
              </w:rPr>
              <w:t>不住厂</w:t>
            </w:r>
            <w:r>
              <w:rPr>
                <w:rFonts w:hint="default" w:ascii="Times New Roman" w:hAnsi="Times New Roman" w:eastAsia="宋体" w:cs="Times New Roman"/>
                <w:color w:val="auto"/>
                <w:kern w:val="0"/>
                <w:sz w:val="24"/>
                <w:szCs w:val="24"/>
                <w:highlight w:val="none"/>
                <w:lang w:bidi="ar"/>
              </w:rPr>
              <w:t>0.</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bidi="ar"/>
              </w:rPr>
              <w:t>kg/人·天计，</w:t>
            </w:r>
            <w:r>
              <w:rPr>
                <w:rFonts w:hint="eastAsia" w:ascii="Times New Roman" w:hAnsi="Times New Roman" w:eastAsia="宋体" w:cs="Times New Roman"/>
                <w:color w:val="auto"/>
                <w:kern w:val="0"/>
                <w:sz w:val="24"/>
                <w:szCs w:val="24"/>
                <w:highlight w:val="none"/>
                <w:lang w:eastAsia="zh-CN" w:bidi="ar"/>
              </w:rPr>
              <w:t>住厂</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bidi="ar"/>
              </w:rPr>
              <w:t>.</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bidi="ar"/>
              </w:rPr>
              <w:t>kg/人·天计</w:t>
            </w:r>
            <w:r>
              <w:rPr>
                <w:rFonts w:hint="eastAsia"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则</w:t>
            </w:r>
            <w:r>
              <w:rPr>
                <w:rFonts w:hint="eastAsia" w:ascii="Times New Roman" w:hAnsi="Times New Roman" w:eastAsia="宋体" w:cs="Times New Roman"/>
                <w:color w:val="auto"/>
                <w:kern w:val="0"/>
                <w:sz w:val="24"/>
                <w:szCs w:val="24"/>
                <w:highlight w:val="none"/>
                <w:lang w:eastAsia="zh-CN" w:bidi="ar"/>
              </w:rPr>
              <w:t>项目</w:t>
            </w:r>
            <w:r>
              <w:rPr>
                <w:rFonts w:hint="default" w:ascii="Times New Roman" w:hAnsi="Times New Roman" w:eastAsia="宋体" w:cs="Times New Roman"/>
                <w:color w:val="auto"/>
                <w:kern w:val="0"/>
                <w:sz w:val="24"/>
                <w:szCs w:val="24"/>
                <w:highlight w:val="none"/>
                <w:lang w:bidi="ar"/>
              </w:rPr>
              <w:t>生活垃圾产生量为</w:t>
            </w:r>
            <w:r>
              <w:rPr>
                <w:rFonts w:hint="eastAsia" w:ascii="Times New Roman" w:hAnsi="Times New Roman" w:eastAsia="宋体" w:cs="Times New Roman"/>
                <w:color w:val="auto"/>
                <w:kern w:val="0"/>
                <w:sz w:val="24"/>
                <w:szCs w:val="24"/>
                <w:highlight w:val="none"/>
                <w:lang w:val="en-US" w:eastAsia="zh-CN" w:bidi="ar"/>
              </w:rPr>
              <w:t>80kg</w:t>
            </w:r>
            <w:r>
              <w:rPr>
                <w:rFonts w:hint="default" w:ascii="Times New Roman" w:hAnsi="Times New Roman" w:eastAsia="宋体" w:cs="Times New Roman"/>
                <w:color w:val="auto"/>
                <w:kern w:val="0"/>
                <w:sz w:val="24"/>
                <w:szCs w:val="24"/>
                <w:highlight w:val="none"/>
                <w:lang w:bidi="ar"/>
              </w:rPr>
              <w:t>/d，年产生量约为</w:t>
            </w:r>
            <w:r>
              <w:rPr>
                <w:rFonts w:hint="eastAsia" w:ascii="Times New Roman" w:hAnsi="Times New Roman" w:eastAsia="宋体" w:cs="Times New Roman"/>
                <w:color w:val="auto"/>
                <w:kern w:val="0"/>
                <w:sz w:val="24"/>
                <w:szCs w:val="24"/>
                <w:highlight w:val="none"/>
                <w:lang w:val="en-US" w:eastAsia="zh-CN" w:bidi="ar"/>
              </w:rPr>
              <w:t>24</w:t>
            </w:r>
            <w:r>
              <w:rPr>
                <w:rFonts w:hint="default" w:ascii="Times New Roman" w:hAnsi="Times New Roman" w:eastAsia="宋体" w:cs="Times New Roman"/>
                <w:color w:val="auto"/>
                <w:kern w:val="0"/>
                <w:sz w:val="24"/>
                <w:szCs w:val="24"/>
                <w:highlight w:val="none"/>
                <w:lang w:bidi="ar"/>
              </w:rPr>
              <w:t>t(按年工作</w:t>
            </w:r>
            <w:r>
              <w:rPr>
                <w:rFonts w:hint="eastAsia" w:ascii="Times New Roman" w:hAnsi="Times New Roman" w:eastAsia="宋体" w:cs="Times New Roman"/>
                <w:color w:val="auto"/>
                <w:kern w:val="0"/>
                <w:sz w:val="24"/>
                <w:szCs w:val="24"/>
                <w:highlight w:val="none"/>
                <w:lang w:val="en-US" w:eastAsia="zh-CN" w:bidi="ar"/>
              </w:rPr>
              <w:t>280</w:t>
            </w:r>
            <w:r>
              <w:rPr>
                <w:rFonts w:hint="default" w:ascii="Times New Roman" w:hAnsi="Times New Roman" w:eastAsia="宋体" w:cs="Times New Roman"/>
                <w:color w:val="auto"/>
                <w:kern w:val="0"/>
                <w:sz w:val="24"/>
                <w:szCs w:val="24"/>
                <w:highlight w:val="none"/>
                <w:lang w:bidi="ar"/>
              </w:rPr>
              <w:t>天计)，</w:t>
            </w:r>
            <w:r>
              <w:rPr>
                <w:rFonts w:hint="eastAsia" w:ascii="Times New Roman" w:hAnsi="Times New Roman" w:eastAsia="宋体" w:cs="Times New Roman"/>
                <w:color w:val="auto"/>
                <w:kern w:val="0"/>
                <w:sz w:val="24"/>
                <w:szCs w:val="24"/>
                <w:highlight w:val="none"/>
                <w:lang w:eastAsia="zh-CN" w:bidi="ar"/>
              </w:rPr>
              <w:t>经厂内设置垃圾桶</w:t>
            </w:r>
            <w:r>
              <w:rPr>
                <w:rFonts w:hint="default" w:ascii="Times New Roman" w:hAnsi="Times New Roman" w:eastAsia="宋体" w:cs="Times New Roman"/>
                <w:color w:val="auto"/>
                <w:kern w:val="0"/>
                <w:sz w:val="24"/>
                <w:szCs w:val="24"/>
                <w:highlight w:val="none"/>
                <w:lang w:bidi="ar"/>
              </w:rPr>
              <w:t>收集后，全部委托环卫部门定期外运统一处置。</w:t>
            </w:r>
          </w:p>
          <w:p w14:paraId="327F70FB">
            <w:pPr>
              <w:spacing w:line="360" w:lineRule="auto"/>
              <w:ind w:firstLine="480" w:firstLineChars="200"/>
              <w:rPr>
                <w:color w:val="auto"/>
                <w:sz w:val="24"/>
              </w:rPr>
            </w:pPr>
            <w:r>
              <w:rPr>
                <w:rFonts w:hint="eastAsia"/>
                <w:color w:val="auto"/>
                <w:kern w:val="0"/>
                <w:sz w:val="24"/>
                <w:lang w:bidi="ar"/>
              </w:rPr>
              <w:t>综上所述，</w:t>
            </w:r>
            <w:r>
              <w:rPr>
                <w:color w:val="auto"/>
                <w:kern w:val="0"/>
                <w:sz w:val="24"/>
                <w:lang w:bidi="ar"/>
              </w:rPr>
              <w:t>项目体废物污染源源强核算结果一览表</w:t>
            </w:r>
            <w:r>
              <w:rPr>
                <w:rFonts w:hint="eastAsia"/>
                <w:color w:val="auto"/>
                <w:kern w:val="0"/>
                <w:sz w:val="24"/>
                <w:lang w:bidi="ar"/>
              </w:rPr>
              <w:t>详见表4-</w:t>
            </w:r>
            <w:r>
              <w:rPr>
                <w:rFonts w:hint="eastAsia"/>
                <w:color w:val="auto"/>
                <w:kern w:val="0"/>
                <w:sz w:val="24"/>
                <w:lang w:val="en-US" w:eastAsia="zh-CN" w:bidi="ar"/>
              </w:rPr>
              <w:t>18</w:t>
            </w:r>
            <w:r>
              <w:rPr>
                <w:rFonts w:hint="eastAsia"/>
                <w:color w:val="auto"/>
                <w:kern w:val="0"/>
                <w:sz w:val="24"/>
                <w:lang w:bidi="ar"/>
              </w:rPr>
              <w:t>。</w:t>
            </w:r>
          </w:p>
        </w:tc>
      </w:tr>
    </w:tbl>
    <w:p w14:paraId="1BBEE2C6">
      <w:pPr>
        <w:adjustRightInd w:val="0"/>
        <w:snapToGrid w:val="0"/>
        <w:spacing w:line="360" w:lineRule="auto"/>
        <w:rPr>
          <w:b/>
          <w:color w:val="auto"/>
          <w:kern w:val="0"/>
          <w:sz w:val="28"/>
          <w:szCs w:val="28"/>
        </w:rPr>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6"/>
        <w:tblW w:w="13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2828"/>
      </w:tblGrid>
      <w:tr w14:paraId="1E46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22" w:hRule="atLeast"/>
        </w:trPr>
        <w:tc>
          <w:tcPr>
            <w:tcW w:w="824" w:type="dxa"/>
            <w:noWrap w:val="0"/>
            <w:vAlign w:val="top"/>
          </w:tcPr>
          <w:p w14:paraId="52CF2B9D">
            <w:pPr>
              <w:pStyle w:val="30"/>
              <w:jc w:val="both"/>
              <w:outlineLvl w:val="0"/>
              <w:rPr>
                <w:rFonts w:hint="default" w:ascii="Times New Roman" w:hAnsi="Times New Roman" w:eastAsia="宋体" w:cs="Times New Roman"/>
                <w:snapToGrid w:val="0"/>
                <w:color w:val="auto"/>
                <w:sz w:val="30"/>
                <w:szCs w:val="30"/>
                <w:vertAlign w:val="baseline"/>
              </w:rPr>
            </w:pPr>
          </w:p>
        </w:tc>
        <w:tc>
          <w:tcPr>
            <w:tcW w:w="12828" w:type="dxa"/>
            <w:noWrap w:val="0"/>
            <w:vAlign w:val="top"/>
          </w:tcPr>
          <w:p w14:paraId="7839E9C8">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jc w:val="center"/>
              <w:textAlignment w:val="auto"/>
              <w:outlineLvl w:val="9"/>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eastAsia="zh-CN"/>
              </w:rPr>
              <w:t>表</w:t>
            </w:r>
            <w:r>
              <w:rPr>
                <w:rFonts w:hint="eastAsia" w:ascii="黑体" w:hAnsi="黑体" w:eastAsia="黑体" w:cs="黑体"/>
                <w:b w:val="0"/>
                <w:bCs w:val="0"/>
                <w:color w:val="auto"/>
                <w:sz w:val="24"/>
                <w:szCs w:val="24"/>
                <w:highlight w:val="none"/>
                <w:lang w:val="en-US" w:eastAsia="zh-CN"/>
              </w:rPr>
              <w:t>4-18固体废物污染源源强核算一览表</w:t>
            </w:r>
          </w:p>
          <w:tbl>
            <w:tblPr>
              <w:tblStyle w:val="35"/>
              <w:tblW w:w="126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355"/>
              <w:gridCol w:w="1491"/>
              <w:gridCol w:w="1524"/>
              <w:gridCol w:w="919"/>
              <w:gridCol w:w="1537"/>
              <w:gridCol w:w="732"/>
              <w:gridCol w:w="1199"/>
              <w:gridCol w:w="752"/>
              <w:gridCol w:w="729"/>
              <w:gridCol w:w="916"/>
              <w:gridCol w:w="916"/>
            </w:tblGrid>
            <w:tr w14:paraId="230FA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731CE82">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序号</w:t>
                  </w:r>
                </w:p>
              </w:tc>
              <w:tc>
                <w:tcPr>
                  <w:tcW w:w="1355" w:type="dxa"/>
                  <w:noWrap w:val="0"/>
                  <w:vAlign w:val="center"/>
                </w:tcPr>
                <w:p w14:paraId="15A7E480">
                  <w:pPr>
                    <w:topLinePunct/>
                    <w:jc w:val="center"/>
                    <w:rPr>
                      <w:rFonts w:ascii="Times New Roman" w:hAnsi="Times New Roman" w:eastAsia="宋体"/>
                      <w:b/>
                      <w:bCs/>
                      <w:color w:val="auto"/>
                      <w:kern w:val="0"/>
                      <w:sz w:val="18"/>
                      <w:szCs w:val="18"/>
                      <w:highlight w:val="none"/>
                    </w:rPr>
                  </w:pPr>
                  <w:r>
                    <w:rPr>
                      <w:rFonts w:hint="eastAsia" w:ascii="Times New Roman" w:hAnsi="Times New Roman" w:eastAsia="宋体"/>
                      <w:b/>
                      <w:bCs/>
                      <w:color w:val="auto"/>
                      <w:kern w:val="0"/>
                      <w:sz w:val="18"/>
                      <w:szCs w:val="18"/>
                      <w:highlight w:val="none"/>
                      <w:lang w:eastAsia="zh-CN"/>
                    </w:rPr>
                    <w:t>固体</w:t>
                  </w:r>
                  <w:r>
                    <w:rPr>
                      <w:rFonts w:ascii="Times New Roman" w:hAnsi="Times New Roman" w:eastAsia="宋体"/>
                      <w:b/>
                      <w:bCs/>
                      <w:color w:val="auto"/>
                      <w:kern w:val="0"/>
                      <w:sz w:val="18"/>
                      <w:szCs w:val="18"/>
                      <w:highlight w:val="none"/>
                    </w:rPr>
                    <w:t>废物名称</w:t>
                  </w:r>
                </w:p>
              </w:tc>
              <w:tc>
                <w:tcPr>
                  <w:tcW w:w="1491" w:type="dxa"/>
                  <w:noWrap w:val="0"/>
                  <w:vAlign w:val="center"/>
                </w:tcPr>
                <w:p w14:paraId="28BC7FBE">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类别</w:t>
                  </w:r>
                </w:p>
              </w:tc>
              <w:tc>
                <w:tcPr>
                  <w:tcW w:w="1524" w:type="dxa"/>
                  <w:noWrap w:val="0"/>
                  <w:vAlign w:val="center"/>
                </w:tcPr>
                <w:p w14:paraId="2D302991">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废物代码</w:t>
                  </w:r>
                </w:p>
              </w:tc>
              <w:tc>
                <w:tcPr>
                  <w:tcW w:w="919" w:type="dxa"/>
                  <w:noWrap w:val="0"/>
                  <w:vAlign w:val="center"/>
                </w:tcPr>
                <w:p w14:paraId="0C6D9B61">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产生量（吨/年）</w:t>
                  </w:r>
                </w:p>
              </w:tc>
              <w:tc>
                <w:tcPr>
                  <w:tcW w:w="1537" w:type="dxa"/>
                  <w:noWrap w:val="0"/>
                  <w:vAlign w:val="center"/>
                </w:tcPr>
                <w:p w14:paraId="4762E3F3">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产生工序及装置</w:t>
                  </w:r>
                </w:p>
              </w:tc>
              <w:tc>
                <w:tcPr>
                  <w:tcW w:w="732" w:type="dxa"/>
                  <w:noWrap w:val="0"/>
                  <w:vAlign w:val="center"/>
                </w:tcPr>
                <w:p w14:paraId="40E9B6DC">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形态</w:t>
                  </w:r>
                </w:p>
              </w:tc>
              <w:tc>
                <w:tcPr>
                  <w:tcW w:w="1199" w:type="dxa"/>
                  <w:noWrap w:val="0"/>
                  <w:vAlign w:val="center"/>
                </w:tcPr>
                <w:p w14:paraId="4CD87EBB">
                  <w:pPr>
                    <w:topLinePunct/>
                    <w:jc w:val="center"/>
                    <w:rPr>
                      <w:rFonts w:hint="eastAsia" w:ascii="Times New Roman" w:hAnsi="Times New Roman" w:eastAsia="宋体"/>
                      <w:b/>
                      <w:bCs/>
                      <w:color w:val="auto"/>
                      <w:kern w:val="0"/>
                      <w:sz w:val="18"/>
                      <w:szCs w:val="18"/>
                      <w:highlight w:val="none"/>
                      <w:lang w:eastAsia="zh-CN"/>
                    </w:rPr>
                  </w:pPr>
                  <w:r>
                    <w:rPr>
                      <w:rFonts w:ascii="Times New Roman" w:hAnsi="Times New Roman" w:eastAsia="宋体"/>
                      <w:b/>
                      <w:bCs/>
                      <w:color w:val="auto"/>
                      <w:kern w:val="0"/>
                      <w:sz w:val="18"/>
                      <w:szCs w:val="18"/>
                      <w:highlight w:val="none"/>
                    </w:rPr>
                    <w:t>有害成分</w:t>
                  </w:r>
                  <w:r>
                    <w:rPr>
                      <w:rFonts w:hint="eastAsia" w:ascii="Times New Roman" w:hAnsi="Times New Roman" w:eastAsia="宋体"/>
                      <w:b/>
                      <w:bCs/>
                      <w:color w:val="auto"/>
                      <w:kern w:val="0"/>
                      <w:sz w:val="18"/>
                      <w:szCs w:val="18"/>
                      <w:highlight w:val="none"/>
                      <w:lang w:eastAsia="zh-CN"/>
                    </w:rPr>
                    <w:t>（危险废物）</w:t>
                  </w:r>
                </w:p>
              </w:tc>
              <w:tc>
                <w:tcPr>
                  <w:tcW w:w="752" w:type="dxa"/>
                  <w:noWrap w:val="0"/>
                  <w:vAlign w:val="center"/>
                </w:tcPr>
                <w:p w14:paraId="154A9422">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危险</w:t>
                  </w:r>
                  <w:r>
                    <w:rPr>
                      <w:rFonts w:hint="eastAsia" w:ascii="Times New Roman" w:hAnsi="Times New Roman" w:eastAsia="宋体"/>
                      <w:b/>
                      <w:bCs/>
                      <w:color w:val="auto"/>
                      <w:kern w:val="0"/>
                      <w:sz w:val="18"/>
                      <w:szCs w:val="18"/>
                      <w:highlight w:val="none"/>
                      <w:lang w:eastAsia="zh-CN"/>
                    </w:rPr>
                    <w:t>废物</w:t>
                  </w:r>
                  <w:r>
                    <w:rPr>
                      <w:rFonts w:ascii="Times New Roman" w:hAnsi="Times New Roman" w:eastAsia="宋体"/>
                      <w:b/>
                      <w:bCs/>
                      <w:color w:val="auto"/>
                      <w:kern w:val="0"/>
                      <w:sz w:val="18"/>
                      <w:szCs w:val="18"/>
                      <w:highlight w:val="none"/>
                    </w:rPr>
                    <w:t>特性</w:t>
                  </w:r>
                </w:p>
              </w:tc>
              <w:tc>
                <w:tcPr>
                  <w:tcW w:w="729" w:type="dxa"/>
                  <w:noWrap w:val="0"/>
                  <w:vAlign w:val="center"/>
                </w:tcPr>
                <w:p w14:paraId="7E59C2FE">
                  <w:pPr>
                    <w:topLinePunct/>
                    <w:jc w:val="center"/>
                    <w:rPr>
                      <w:rFonts w:ascii="Times New Roman" w:hAnsi="Times New Roman" w:eastAsia="宋体"/>
                      <w:b/>
                      <w:bCs/>
                      <w:color w:val="auto"/>
                      <w:kern w:val="0"/>
                      <w:sz w:val="18"/>
                      <w:szCs w:val="18"/>
                      <w:highlight w:val="none"/>
                    </w:rPr>
                  </w:pPr>
                  <w:r>
                    <w:rPr>
                      <w:rFonts w:ascii="Times New Roman" w:hAnsi="Times New Roman" w:eastAsia="宋体"/>
                      <w:b/>
                      <w:bCs/>
                      <w:color w:val="auto"/>
                      <w:kern w:val="0"/>
                      <w:sz w:val="18"/>
                      <w:szCs w:val="18"/>
                      <w:highlight w:val="none"/>
                    </w:rPr>
                    <w:t>产废周期</w:t>
                  </w:r>
                </w:p>
              </w:tc>
              <w:tc>
                <w:tcPr>
                  <w:tcW w:w="916" w:type="dxa"/>
                  <w:noWrap w:val="0"/>
                  <w:vAlign w:val="center"/>
                </w:tcPr>
                <w:p w14:paraId="4BDE43D4">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暂存</w:t>
                  </w:r>
                </w:p>
                <w:p w14:paraId="5437A59E">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方式</w:t>
                  </w:r>
                </w:p>
              </w:tc>
              <w:tc>
                <w:tcPr>
                  <w:tcW w:w="916" w:type="dxa"/>
                  <w:noWrap w:val="0"/>
                  <w:vAlign w:val="center"/>
                </w:tcPr>
                <w:p w14:paraId="14BBC5C5">
                  <w:pPr>
                    <w:topLinePunct/>
                    <w:jc w:val="center"/>
                    <w:rPr>
                      <w:rFonts w:hint="eastAsia" w:ascii="Times New Roman" w:hAnsi="Times New Roman" w:eastAsia="宋体"/>
                      <w:b/>
                      <w:bCs/>
                      <w:color w:val="auto"/>
                      <w:kern w:val="0"/>
                      <w:sz w:val="18"/>
                      <w:szCs w:val="18"/>
                      <w:highlight w:val="none"/>
                      <w:lang w:eastAsia="zh-CN"/>
                    </w:rPr>
                  </w:pPr>
                  <w:r>
                    <w:rPr>
                      <w:rFonts w:hint="eastAsia" w:ascii="Times New Roman" w:hAnsi="Times New Roman" w:eastAsia="宋体"/>
                      <w:b/>
                      <w:bCs/>
                      <w:color w:val="auto"/>
                      <w:kern w:val="0"/>
                      <w:sz w:val="18"/>
                      <w:szCs w:val="18"/>
                      <w:highlight w:val="none"/>
                      <w:lang w:eastAsia="zh-CN"/>
                    </w:rPr>
                    <w:t>处置方式及去向</w:t>
                  </w:r>
                </w:p>
              </w:tc>
            </w:tr>
            <w:tr w14:paraId="21F2D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779FD816">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1</w:t>
                  </w:r>
                </w:p>
              </w:tc>
              <w:tc>
                <w:tcPr>
                  <w:tcW w:w="1355" w:type="dxa"/>
                  <w:noWrap w:val="0"/>
                  <w:vAlign w:val="center"/>
                </w:tcPr>
                <w:p w14:paraId="3169CD8F">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下卡条边角料</w:t>
                  </w:r>
                </w:p>
              </w:tc>
              <w:tc>
                <w:tcPr>
                  <w:tcW w:w="1491" w:type="dxa"/>
                  <w:vMerge w:val="restart"/>
                  <w:noWrap w:val="0"/>
                  <w:vAlign w:val="center"/>
                </w:tcPr>
                <w:p w14:paraId="0D118DA9">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一般工业固废</w:t>
                  </w:r>
                </w:p>
                <w:p w14:paraId="44D99341">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Ⅰ类</w:t>
                  </w:r>
                  <w:r>
                    <w:rPr>
                      <w:rFonts w:hint="eastAsia" w:ascii="Times New Roman" w:hAnsi="Times New Roman" w:eastAsia="宋体"/>
                      <w:color w:val="auto"/>
                      <w:sz w:val="18"/>
                      <w:szCs w:val="18"/>
                      <w:highlight w:val="none"/>
                      <w:lang w:eastAsia="zh-CN"/>
                    </w:rPr>
                    <w:t>）</w:t>
                  </w:r>
                </w:p>
              </w:tc>
              <w:tc>
                <w:tcPr>
                  <w:tcW w:w="1524" w:type="dxa"/>
                  <w:noWrap w:val="0"/>
                  <w:vAlign w:val="center"/>
                </w:tcPr>
                <w:p w14:paraId="49A0014D">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noWrap w:val="0"/>
                  <w:vAlign w:val="center"/>
                </w:tcPr>
                <w:p w14:paraId="14756923">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44</w:t>
                  </w:r>
                </w:p>
              </w:tc>
              <w:tc>
                <w:tcPr>
                  <w:tcW w:w="1537" w:type="dxa"/>
                  <w:noWrap w:val="0"/>
                  <w:vAlign w:val="center"/>
                </w:tcPr>
                <w:p w14:paraId="0779E5B7">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辊压成型、裁切</w:t>
                  </w:r>
                </w:p>
              </w:tc>
              <w:tc>
                <w:tcPr>
                  <w:tcW w:w="732" w:type="dxa"/>
                  <w:noWrap w:val="0"/>
                  <w:vAlign w:val="center"/>
                </w:tcPr>
                <w:p w14:paraId="77A8FF4D">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固态</w:t>
                  </w:r>
                </w:p>
              </w:tc>
              <w:tc>
                <w:tcPr>
                  <w:tcW w:w="1199" w:type="dxa"/>
                  <w:noWrap w:val="0"/>
                  <w:vAlign w:val="center"/>
                </w:tcPr>
                <w:p w14:paraId="36465C79">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25A579D5">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2FB05E8F">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每天</w:t>
                  </w:r>
                </w:p>
              </w:tc>
              <w:tc>
                <w:tcPr>
                  <w:tcW w:w="916" w:type="dxa"/>
                  <w:vMerge w:val="restart"/>
                  <w:noWrap w:val="0"/>
                  <w:vAlign w:val="center"/>
                </w:tcPr>
                <w:p w14:paraId="3DD1BCD4">
                  <w:pPr>
                    <w:topLinePunct/>
                    <w:spacing w:line="240" w:lineRule="auto"/>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暂存于一般工业固废暂存间</w:t>
                  </w:r>
                </w:p>
              </w:tc>
              <w:tc>
                <w:tcPr>
                  <w:tcW w:w="916" w:type="dxa"/>
                  <w:vMerge w:val="restart"/>
                  <w:noWrap w:val="0"/>
                  <w:vAlign w:val="center"/>
                </w:tcPr>
                <w:p w14:paraId="302E3C18">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交由合规物资回收单位回收利用</w:t>
                  </w:r>
                </w:p>
              </w:tc>
            </w:tr>
            <w:tr w14:paraId="0E3F8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7DE1A2F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2</w:t>
                  </w:r>
                </w:p>
              </w:tc>
              <w:tc>
                <w:tcPr>
                  <w:tcW w:w="1355" w:type="dxa"/>
                  <w:noWrap w:val="0"/>
                  <w:vAlign w:val="center"/>
                </w:tcPr>
                <w:p w14:paraId="1370C853">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钣金件边角料</w:t>
                  </w:r>
                </w:p>
              </w:tc>
              <w:tc>
                <w:tcPr>
                  <w:tcW w:w="1491" w:type="dxa"/>
                  <w:vMerge w:val="continue"/>
                  <w:noWrap w:val="0"/>
                  <w:vAlign w:val="center"/>
                </w:tcPr>
                <w:p w14:paraId="70857D3B">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79675346">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noWrap w:val="0"/>
                  <w:vAlign w:val="center"/>
                </w:tcPr>
                <w:p w14:paraId="5EF1519C">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4</w:t>
                  </w:r>
                </w:p>
              </w:tc>
              <w:tc>
                <w:tcPr>
                  <w:tcW w:w="1537" w:type="dxa"/>
                  <w:noWrap w:val="0"/>
                  <w:vAlign w:val="center"/>
                </w:tcPr>
                <w:p w14:paraId="3DBDF1E2">
                  <w:pPr>
                    <w:topLinePunct/>
                    <w:spacing w:line="240" w:lineRule="auto"/>
                    <w:jc w:val="center"/>
                    <w:rPr>
                      <w:rFonts w:hint="eastAsia"/>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冲压、攻牙</w:t>
                  </w:r>
                </w:p>
              </w:tc>
              <w:tc>
                <w:tcPr>
                  <w:tcW w:w="732" w:type="dxa"/>
                  <w:noWrap w:val="0"/>
                  <w:vAlign w:val="center"/>
                </w:tcPr>
                <w:p w14:paraId="75AB8A1F">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固态</w:t>
                  </w:r>
                </w:p>
              </w:tc>
              <w:tc>
                <w:tcPr>
                  <w:tcW w:w="1199" w:type="dxa"/>
                  <w:noWrap w:val="0"/>
                  <w:vAlign w:val="center"/>
                </w:tcPr>
                <w:p w14:paraId="243B75AC">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3FE6A2D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0F77AB10">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每天</w:t>
                  </w:r>
                </w:p>
              </w:tc>
              <w:tc>
                <w:tcPr>
                  <w:tcW w:w="916" w:type="dxa"/>
                  <w:vMerge w:val="continue"/>
                  <w:noWrap w:val="0"/>
                  <w:vAlign w:val="center"/>
                </w:tcPr>
                <w:p w14:paraId="5753BF3D">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716ACDD8">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4E3A5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6C0CF16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3</w:t>
                  </w:r>
                </w:p>
              </w:tc>
              <w:tc>
                <w:tcPr>
                  <w:tcW w:w="1355" w:type="dxa"/>
                  <w:noWrap w:val="0"/>
                  <w:vAlign w:val="center"/>
                </w:tcPr>
                <w:p w14:paraId="55FB704A">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废焊丝</w:t>
                  </w:r>
                </w:p>
              </w:tc>
              <w:tc>
                <w:tcPr>
                  <w:tcW w:w="1491" w:type="dxa"/>
                  <w:vMerge w:val="continue"/>
                  <w:noWrap w:val="0"/>
                  <w:vAlign w:val="center"/>
                </w:tcPr>
                <w:p w14:paraId="571CE076">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3711136F">
                  <w:pPr>
                    <w:adjustRightInd w:val="0"/>
                    <w:snapToGrid w:val="0"/>
                    <w:spacing w:line="240" w:lineRule="auto"/>
                    <w:jc w:val="center"/>
                    <w:rPr>
                      <w:rFonts w:hint="eastAsia" w:ascii="Times New Roman" w:hAnsi="Times New Roman" w:eastAsia="宋体"/>
                      <w:color w:val="auto"/>
                      <w:sz w:val="18"/>
                      <w:szCs w:val="18"/>
                      <w:highlight w:val="none"/>
                    </w:rPr>
                  </w:pPr>
                  <w:r>
                    <w:rPr>
                      <w:rFonts w:hint="default" w:ascii="Times New Roman" w:hAnsi="Times New Roman" w:eastAsia="宋体"/>
                      <w:color w:val="auto"/>
                      <w:sz w:val="18"/>
                      <w:szCs w:val="18"/>
                      <w:highlight w:val="none"/>
                      <w:lang w:val="en-US" w:eastAsia="zh-CN"/>
                    </w:rPr>
                    <w:t>900-</w:t>
                  </w:r>
                  <w:r>
                    <w:rPr>
                      <w:rFonts w:hint="eastAsia"/>
                      <w:color w:val="auto"/>
                      <w:sz w:val="18"/>
                      <w:szCs w:val="18"/>
                      <w:highlight w:val="none"/>
                      <w:lang w:val="en-US" w:eastAsia="zh-CN"/>
                    </w:rPr>
                    <w:t>099</w:t>
                  </w:r>
                  <w:r>
                    <w:rPr>
                      <w:rFonts w:hint="default" w:ascii="Times New Roman" w:hAnsi="Times New Roman" w:eastAsia="宋体"/>
                      <w:color w:val="auto"/>
                      <w:sz w:val="18"/>
                      <w:szCs w:val="18"/>
                      <w:highlight w:val="none"/>
                      <w:lang w:val="en-US" w:eastAsia="zh-CN"/>
                    </w:rPr>
                    <w:t>-S</w:t>
                  </w:r>
                  <w:r>
                    <w:rPr>
                      <w:rFonts w:hint="eastAsia"/>
                      <w:color w:val="auto"/>
                      <w:sz w:val="18"/>
                      <w:szCs w:val="18"/>
                      <w:highlight w:val="none"/>
                      <w:lang w:val="en-US" w:eastAsia="zh-CN"/>
                    </w:rPr>
                    <w:t>59</w:t>
                  </w:r>
                </w:p>
              </w:tc>
              <w:tc>
                <w:tcPr>
                  <w:tcW w:w="919" w:type="dxa"/>
                  <w:noWrap w:val="0"/>
                  <w:vAlign w:val="center"/>
                </w:tcPr>
                <w:p w14:paraId="011AF40C">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0.005</w:t>
                  </w:r>
                </w:p>
              </w:tc>
              <w:tc>
                <w:tcPr>
                  <w:tcW w:w="1537" w:type="dxa"/>
                  <w:noWrap w:val="0"/>
                  <w:vAlign w:val="center"/>
                </w:tcPr>
                <w:p w14:paraId="6FEE54E2">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焊接</w:t>
                  </w:r>
                </w:p>
              </w:tc>
              <w:tc>
                <w:tcPr>
                  <w:tcW w:w="732" w:type="dxa"/>
                  <w:noWrap w:val="0"/>
                  <w:vAlign w:val="center"/>
                </w:tcPr>
                <w:p w14:paraId="0653241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noWrap w:val="0"/>
                  <w:vAlign w:val="center"/>
                </w:tcPr>
                <w:p w14:paraId="187455A6">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4454CF80">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33EEDBFD">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每天</w:t>
                  </w:r>
                </w:p>
              </w:tc>
              <w:tc>
                <w:tcPr>
                  <w:tcW w:w="916" w:type="dxa"/>
                  <w:vMerge w:val="continue"/>
                  <w:noWrap w:val="0"/>
                  <w:vAlign w:val="center"/>
                </w:tcPr>
                <w:p w14:paraId="7C17B2FE">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32BFAFBD">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092CE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6220AA72">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4</w:t>
                  </w:r>
                </w:p>
              </w:tc>
              <w:tc>
                <w:tcPr>
                  <w:tcW w:w="1355" w:type="dxa"/>
                  <w:noWrap w:val="0"/>
                  <w:vAlign w:val="center"/>
                </w:tcPr>
                <w:p w14:paraId="1F6BC52E">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布袋收集尘</w:t>
                  </w:r>
                </w:p>
              </w:tc>
              <w:tc>
                <w:tcPr>
                  <w:tcW w:w="1491" w:type="dxa"/>
                  <w:vMerge w:val="continue"/>
                  <w:noWrap w:val="0"/>
                  <w:vAlign w:val="center"/>
                </w:tcPr>
                <w:p w14:paraId="3E6EAFDF">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6EC6C005">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noWrap w:val="0"/>
                  <w:vAlign w:val="center"/>
                </w:tcPr>
                <w:p w14:paraId="111B7574">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0.006</w:t>
                  </w:r>
                </w:p>
              </w:tc>
              <w:tc>
                <w:tcPr>
                  <w:tcW w:w="1537" w:type="dxa"/>
                  <w:noWrap w:val="0"/>
                  <w:vAlign w:val="center"/>
                </w:tcPr>
                <w:p w14:paraId="5E2229EE">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废气处理</w:t>
                  </w:r>
                </w:p>
              </w:tc>
              <w:tc>
                <w:tcPr>
                  <w:tcW w:w="732" w:type="dxa"/>
                  <w:noWrap w:val="0"/>
                  <w:vAlign w:val="center"/>
                </w:tcPr>
                <w:p w14:paraId="3EB9B4A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noWrap w:val="0"/>
                  <w:vAlign w:val="center"/>
                </w:tcPr>
                <w:p w14:paraId="6C85823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7B61EB9A">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7A83FC06">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每天</w:t>
                  </w:r>
                </w:p>
              </w:tc>
              <w:tc>
                <w:tcPr>
                  <w:tcW w:w="916" w:type="dxa"/>
                  <w:vMerge w:val="continue"/>
                  <w:noWrap w:val="0"/>
                  <w:vAlign w:val="center"/>
                </w:tcPr>
                <w:p w14:paraId="768DF850">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02820ED1">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08EDF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2DBA209">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5</w:t>
                  </w:r>
                </w:p>
              </w:tc>
              <w:tc>
                <w:tcPr>
                  <w:tcW w:w="1355" w:type="dxa"/>
                  <w:noWrap w:val="0"/>
                  <w:vAlign w:val="center"/>
                </w:tcPr>
                <w:p w14:paraId="15530521">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废包装材料</w:t>
                  </w:r>
                </w:p>
              </w:tc>
              <w:tc>
                <w:tcPr>
                  <w:tcW w:w="1491" w:type="dxa"/>
                  <w:vMerge w:val="continue"/>
                  <w:noWrap w:val="0"/>
                  <w:vAlign w:val="center"/>
                </w:tcPr>
                <w:p w14:paraId="174C4504">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096A19B4">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default" w:ascii="Times New Roman" w:hAnsi="Times New Roman" w:eastAsia="宋体"/>
                      <w:color w:val="auto"/>
                      <w:sz w:val="18"/>
                      <w:szCs w:val="18"/>
                      <w:highlight w:val="none"/>
                      <w:lang w:val="en-US" w:eastAsia="zh-CN"/>
                    </w:rPr>
                    <w:t>900-0</w:t>
                  </w:r>
                  <w:r>
                    <w:rPr>
                      <w:rFonts w:hint="eastAsia" w:ascii="Times New Roman" w:hAnsi="Times New Roman" w:eastAsia="宋体"/>
                      <w:color w:val="auto"/>
                      <w:sz w:val="18"/>
                      <w:szCs w:val="18"/>
                      <w:highlight w:val="none"/>
                      <w:lang w:val="en-US" w:eastAsia="zh-CN"/>
                    </w:rPr>
                    <w:t>99</w:t>
                  </w:r>
                  <w:r>
                    <w:rPr>
                      <w:rFonts w:hint="default" w:ascii="Times New Roman" w:hAnsi="Times New Roman" w:eastAsia="宋体"/>
                      <w:color w:val="auto"/>
                      <w:sz w:val="18"/>
                      <w:szCs w:val="18"/>
                      <w:highlight w:val="none"/>
                      <w:lang w:val="en-US" w:eastAsia="zh-CN"/>
                    </w:rPr>
                    <w:t>-S17</w:t>
                  </w:r>
                </w:p>
              </w:tc>
              <w:tc>
                <w:tcPr>
                  <w:tcW w:w="919" w:type="dxa"/>
                  <w:noWrap w:val="0"/>
                  <w:vAlign w:val="center"/>
                </w:tcPr>
                <w:p w14:paraId="0D3974D5">
                  <w:pPr>
                    <w:adjustRightInd w:val="0"/>
                    <w:snapToGrid w:val="0"/>
                    <w:spacing w:line="240" w:lineRule="auto"/>
                    <w:jc w:val="center"/>
                    <w:rPr>
                      <w:rFonts w:hint="default"/>
                      <w:color w:val="auto"/>
                      <w:sz w:val="18"/>
                      <w:szCs w:val="18"/>
                      <w:highlight w:val="none"/>
                      <w:lang w:val="en-US" w:eastAsia="zh-CN"/>
                    </w:rPr>
                  </w:pPr>
                  <w:r>
                    <w:rPr>
                      <w:rFonts w:hint="eastAsia"/>
                      <w:color w:val="auto"/>
                      <w:sz w:val="18"/>
                      <w:szCs w:val="18"/>
                      <w:highlight w:val="none"/>
                      <w:lang w:val="en-US" w:eastAsia="zh-CN"/>
                    </w:rPr>
                    <w:t>7.763</w:t>
                  </w:r>
                </w:p>
              </w:tc>
              <w:tc>
                <w:tcPr>
                  <w:tcW w:w="1537" w:type="dxa"/>
                  <w:noWrap w:val="0"/>
                  <w:vAlign w:val="center"/>
                </w:tcPr>
                <w:p w14:paraId="1FB50ED0">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原料包装</w:t>
                  </w:r>
                </w:p>
              </w:tc>
              <w:tc>
                <w:tcPr>
                  <w:tcW w:w="732" w:type="dxa"/>
                  <w:noWrap w:val="0"/>
                  <w:vAlign w:val="center"/>
                </w:tcPr>
                <w:p w14:paraId="714FA259">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固体</w:t>
                  </w:r>
                </w:p>
              </w:tc>
              <w:tc>
                <w:tcPr>
                  <w:tcW w:w="1199" w:type="dxa"/>
                  <w:noWrap w:val="0"/>
                  <w:vAlign w:val="center"/>
                </w:tcPr>
                <w:p w14:paraId="12A76CB2">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6F51DE2F">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584C30E3">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每天</w:t>
                  </w:r>
                </w:p>
              </w:tc>
              <w:tc>
                <w:tcPr>
                  <w:tcW w:w="916" w:type="dxa"/>
                  <w:vMerge w:val="continue"/>
                  <w:noWrap w:val="0"/>
                  <w:vAlign w:val="center"/>
                </w:tcPr>
                <w:p w14:paraId="52A9CC3F">
                  <w:pPr>
                    <w:topLinePunct/>
                    <w:spacing w:line="240" w:lineRule="auto"/>
                    <w:jc w:val="center"/>
                    <w:rPr>
                      <w:rFonts w:hint="eastAsia" w:ascii="Times New Roman" w:hAnsi="Times New Roman" w:eastAsia="宋体" w:cs="Times New Roman"/>
                      <w:color w:val="auto"/>
                      <w:kern w:val="0"/>
                      <w:sz w:val="18"/>
                      <w:szCs w:val="18"/>
                      <w:highlight w:val="none"/>
                      <w:lang w:eastAsia="zh-CN"/>
                    </w:rPr>
                  </w:pPr>
                </w:p>
              </w:tc>
              <w:tc>
                <w:tcPr>
                  <w:tcW w:w="916" w:type="dxa"/>
                  <w:vMerge w:val="continue"/>
                  <w:noWrap w:val="0"/>
                  <w:vAlign w:val="center"/>
                </w:tcPr>
                <w:p w14:paraId="4AEC4883">
                  <w:pPr>
                    <w:topLinePunct/>
                    <w:spacing w:line="240" w:lineRule="auto"/>
                    <w:jc w:val="center"/>
                    <w:rPr>
                      <w:rFonts w:hint="eastAsia" w:ascii="Times New Roman" w:hAnsi="Times New Roman" w:eastAsia="宋体"/>
                      <w:color w:val="auto"/>
                      <w:kern w:val="0"/>
                      <w:sz w:val="18"/>
                      <w:szCs w:val="18"/>
                      <w:highlight w:val="none"/>
                      <w:lang w:val="en-US" w:eastAsia="zh-CN"/>
                    </w:rPr>
                  </w:pPr>
                </w:p>
              </w:tc>
            </w:tr>
            <w:tr w14:paraId="084F3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48E239A9">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6</w:t>
                  </w:r>
                </w:p>
              </w:tc>
              <w:tc>
                <w:tcPr>
                  <w:tcW w:w="1355" w:type="dxa"/>
                  <w:noWrap w:val="0"/>
                  <w:vAlign w:val="center"/>
                </w:tcPr>
                <w:p w14:paraId="5BF4B0CE">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废活性炭</w:t>
                  </w:r>
                </w:p>
              </w:tc>
              <w:tc>
                <w:tcPr>
                  <w:tcW w:w="1491" w:type="dxa"/>
                  <w:vMerge w:val="restart"/>
                  <w:noWrap w:val="0"/>
                  <w:vAlign w:val="center"/>
                </w:tcPr>
                <w:p w14:paraId="199322FB">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危险废物</w:t>
                  </w:r>
                </w:p>
              </w:tc>
              <w:tc>
                <w:tcPr>
                  <w:tcW w:w="1524" w:type="dxa"/>
                  <w:noWrap w:val="0"/>
                  <w:vAlign w:val="center"/>
                </w:tcPr>
                <w:p w14:paraId="34178609">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HW49</w:t>
                  </w:r>
                </w:p>
                <w:p w14:paraId="6145DB14">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Style w:val="37"/>
                      <w:rFonts w:hint="eastAsia" w:ascii="Times New Roman" w:hAnsi="Times New Roman" w:eastAsia="宋体" w:cs="Times New Roman"/>
                      <w:color w:val="auto"/>
                      <w:sz w:val="18"/>
                      <w:szCs w:val="18"/>
                      <w:lang w:val="en-US" w:eastAsia="zh-CN"/>
                    </w:rPr>
                    <w:t>900-039-49</w:t>
                  </w:r>
                </w:p>
              </w:tc>
              <w:tc>
                <w:tcPr>
                  <w:tcW w:w="919" w:type="dxa"/>
                  <w:noWrap w:val="0"/>
                  <w:vAlign w:val="center"/>
                </w:tcPr>
                <w:p w14:paraId="38313B59">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10.82</w:t>
                  </w:r>
                </w:p>
              </w:tc>
              <w:tc>
                <w:tcPr>
                  <w:tcW w:w="1537" w:type="dxa"/>
                  <w:noWrap w:val="0"/>
                  <w:vAlign w:val="center"/>
                </w:tcPr>
                <w:p w14:paraId="4C893042">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废气处理</w:t>
                  </w:r>
                </w:p>
              </w:tc>
              <w:tc>
                <w:tcPr>
                  <w:tcW w:w="732" w:type="dxa"/>
                  <w:noWrap w:val="0"/>
                  <w:vAlign w:val="center"/>
                </w:tcPr>
                <w:p w14:paraId="5D1CFF49">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0231B1DC">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Style w:val="37"/>
                      <w:rFonts w:hint="default" w:ascii="Times New Roman" w:hAnsi="Times New Roman" w:eastAsia="宋体" w:cs="Times New Roman"/>
                      <w:color w:val="auto"/>
                      <w:sz w:val="18"/>
                      <w:szCs w:val="18"/>
                      <w:lang w:val="en-US" w:eastAsia="zh-CN"/>
                    </w:rPr>
                    <w:t>有机物、活性炭</w:t>
                  </w:r>
                </w:p>
              </w:tc>
              <w:tc>
                <w:tcPr>
                  <w:tcW w:w="752" w:type="dxa"/>
                  <w:noWrap w:val="0"/>
                  <w:vAlign w:val="center"/>
                </w:tcPr>
                <w:p w14:paraId="7850B94D">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lang w:val="en-US" w:eastAsia="zh-CN"/>
                    </w:rPr>
                    <w:t>T</w:t>
                  </w:r>
                </w:p>
              </w:tc>
              <w:tc>
                <w:tcPr>
                  <w:tcW w:w="729" w:type="dxa"/>
                  <w:noWrap w:val="0"/>
                  <w:vAlign w:val="center"/>
                </w:tcPr>
                <w:p w14:paraId="35C61706">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每3个月</w:t>
                  </w:r>
                </w:p>
              </w:tc>
              <w:tc>
                <w:tcPr>
                  <w:tcW w:w="916" w:type="dxa"/>
                  <w:vMerge w:val="restart"/>
                  <w:noWrap w:val="0"/>
                  <w:vAlign w:val="center"/>
                </w:tcPr>
                <w:p w14:paraId="384E7ACF">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val="en-US" w:eastAsia="zh-CN"/>
                    </w:rPr>
                    <w:t>密闭容器装存，</w:t>
                  </w:r>
                  <w:r>
                    <w:rPr>
                      <w:rFonts w:hint="eastAsia" w:ascii="Times New Roman" w:hAnsi="Times New Roman" w:eastAsia="宋体"/>
                      <w:color w:val="auto"/>
                      <w:kern w:val="0"/>
                      <w:sz w:val="18"/>
                      <w:szCs w:val="18"/>
                      <w:highlight w:val="none"/>
                    </w:rPr>
                    <w:t>分</w:t>
                  </w:r>
                  <w:r>
                    <w:rPr>
                      <w:rFonts w:hint="eastAsia" w:ascii="Times New Roman" w:hAnsi="Times New Roman" w:eastAsia="宋体"/>
                      <w:color w:val="auto"/>
                      <w:kern w:val="0"/>
                      <w:sz w:val="18"/>
                      <w:szCs w:val="18"/>
                      <w:highlight w:val="none"/>
                      <w:lang w:eastAsia="zh-CN"/>
                    </w:rPr>
                    <w:t>区</w:t>
                  </w:r>
                  <w:r>
                    <w:rPr>
                      <w:rFonts w:hint="eastAsia" w:ascii="Times New Roman" w:hAnsi="Times New Roman" w:eastAsia="宋体"/>
                      <w:color w:val="auto"/>
                      <w:kern w:val="0"/>
                      <w:sz w:val="18"/>
                      <w:szCs w:val="18"/>
                      <w:highlight w:val="none"/>
                    </w:rPr>
                    <w:t>暂存于</w:t>
                  </w:r>
                  <w:r>
                    <w:rPr>
                      <w:rFonts w:hint="eastAsia"/>
                      <w:color w:val="auto"/>
                      <w:sz w:val="18"/>
                      <w:szCs w:val="18"/>
                      <w:highlight w:val="none"/>
                      <w:lang w:eastAsia="zh-CN"/>
                    </w:rPr>
                    <w:t>危险废物贮存间</w:t>
                  </w:r>
                </w:p>
              </w:tc>
              <w:tc>
                <w:tcPr>
                  <w:tcW w:w="916" w:type="dxa"/>
                  <w:vMerge w:val="restart"/>
                  <w:noWrap w:val="0"/>
                  <w:vAlign w:val="center"/>
                </w:tcPr>
                <w:p w14:paraId="139FBFDA">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定期委托危险废物资质单位清运处置</w:t>
                  </w:r>
                </w:p>
              </w:tc>
            </w:tr>
            <w:tr w14:paraId="23D00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0C6EFB9">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7</w:t>
                  </w:r>
                </w:p>
              </w:tc>
              <w:tc>
                <w:tcPr>
                  <w:tcW w:w="1355" w:type="dxa"/>
                  <w:noWrap w:val="0"/>
                  <w:vAlign w:val="center"/>
                </w:tcPr>
                <w:p w14:paraId="452332C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eastAsia="zh-CN"/>
                    </w:rPr>
                    <w:t>废润滑油</w:t>
                  </w:r>
                </w:p>
              </w:tc>
              <w:tc>
                <w:tcPr>
                  <w:tcW w:w="1491" w:type="dxa"/>
                  <w:vMerge w:val="continue"/>
                  <w:noWrap w:val="0"/>
                  <w:vAlign w:val="center"/>
                </w:tcPr>
                <w:p w14:paraId="326B2F98">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7F63DDFD">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HW08</w:t>
                  </w:r>
                </w:p>
                <w:p w14:paraId="0D8B4DD4">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214-08</w:t>
                  </w:r>
                </w:p>
              </w:tc>
              <w:tc>
                <w:tcPr>
                  <w:tcW w:w="919" w:type="dxa"/>
                  <w:noWrap w:val="0"/>
                  <w:vAlign w:val="center"/>
                </w:tcPr>
                <w:p w14:paraId="7DD8F335">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0.2</w:t>
                  </w:r>
                </w:p>
              </w:tc>
              <w:tc>
                <w:tcPr>
                  <w:tcW w:w="1537" w:type="dxa"/>
                  <w:noWrap w:val="0"/>
                  <w:vAlign w:val="center"/>
                </w:tcPr>
                <w:p w14:paraId="58FEF2B1">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设备维护</w:t>
                  </w:r>
                </w:p>
              </w:tc>
              <w:tc>
                <w:tcPr>
                  <w:tcW w:w="732" w:type="dxa"/>
                  <w:noWrap w:val="0"/>
                  <w:vAlign w:val="center"/>
                </w:tcPr>
                <w:p w14:paraId="36BDF764">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液态</w:t>
                  </w:r>
                </w:p>
              </w:tc>
              <w:tc>
                <w:tcPr>
                  <w:tcW w:w="1199" w:type="dxa"/>
                  <w:noWrap w:val="0"/>
                  <w:vAlign w:val="center"/>
                </w:tcPr>
                <w:p w14:paraId="49372104">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Style w:val="37"/>
                      <w:rFonts w:hint="default" w:ascii="Times New Roman" w:hAnsi="Times New Roman" w:eastAsia="宋体" w:cs="Times New Roman"/>
                      <w:color w:val="auto"/>
                      <w:sz w:val="18"/>
                      <w:szCs w:val="18"/>
                      <w:lang w:val="en-US" w:eastAsia="zh-CN"/>
                    </w:rPr>
                    <w:t>矿物油</w:t>
                  </w:r>
                </w:p>
              </w:tc>
              <w:tc>
                <w:tcPr>
                  <w:tcW w:w="752" w:type="dxa"/>
                  <w:noWrap w:val="0"/>
                  <w:vAlign w:val="center"/>
                </w:tcPr>
                <w:p w14:paraId="567B8419">
                  <w:pPr>
                    <w:topLinePunct/>
                    <w:spacing w:line="240" w:lineRule="auto"/>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729" w:type="dxa"/>
                  <w:noWrap w:val="0"/>
                  <w:vAlign w:val="center"/>
                </w:tcPr>
                <w:p w14:paraId="3227F930">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eastAsia="zh-CN"/>
                    </w:rPr>
                    <w:t>半年</w:t>
                  </w:r>
                </w:p>
              </w:tc>
              <w:tc>
                <w:tcPr>
                  <w:tcW w:w="916" w:type="dxa"/>
                  <w:vMerge w:val="continue"/>
                  <w:noWrap w:val="0"/>
                  <w:vAlign w:val="center"/>
                </w:tcPr>
                <w:p w14:paraId="777C447F">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4DD41298">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1FB3B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FC9682D">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8</w:t>
                  </w:r>
                </w:p>
              </w:tc>
              <w:tc>
                <w:tcPr>
                  <w:tcW w:w="1355" w:type="dxa"/>
                  <w:noWrap w:val="0"/>
                  <w:vAlign w:val="center"/>
                </w:tcPr>
                <w:p w14:paraId="7EA3344C">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废胶桶</w:t>
                  </w:r>
                </w:p>
              </w:tc>
              <w:tc>
                <w:tcPr>
                  <w:tcW w:w="1491" w:type="dxa"/>
                  <w:vMerge w:val="continue"/>
                  <w:noWrap w:val="0"/>
                  <w:vAlign w:val="center"/>
                </w:tcPr>
                <w:p w14:paraId="1F5C8224">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6AECFE07">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HW49</w:t>
                  </w:r>
                </w:p>
                <w:p w14:paraId="49F717ED">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900-041-49</w:t>
                  </w:r>
                </w:p>
              </w:tc>
              <w:tc>
                <w:tcPr>
                  <w:tcW w:w="919" w:type="dxa"/>
                  <w:noWrap w:val="0"/>
                  <w:vAlign w:val="center"/>
                </w:tcPr>
                <w:p w14:paraId="27579736">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0.012</w:t>
                  </w:r>
                </w:p>
              </w:tc>
              <w:tc>
                <w:tcPr>
                  <w:tcW w:w="1537" w:type="dxa"/>
                  <w:noWrap w:val="0"/>
                  <w:vAlign w:val="center"/>
                </w:tcPr>
                <w:p w14:paraId="5071768D">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原料包装</w:t>
                  </w:r>
                </w:p>
              </w:tc>
              <w:tc>
                <w:tcPr>
                  <w:tcW w:w="732" w:type="dxa"/>
                  <w:noWrap w:val="0"/>
                  <w:vAlign w:val="center"/>
                </w:tcPr>
                <w:p w14:paraId="7F54845D">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固态</w:t>
                  </w:r>
                </w:p>
              </w:tc>
              <w:tc>
                <w:tcPr>
                  <w:tcW w:w="1199" w:type="dxa"/>
                  <w:noWrap w:val="0"/>
                  <w:vAlign w:val="center"/>
                </w:tcPr>
                <w:p w14:paraId="55A290FA">
                  <w:pPr>
                    <w:topLinePunct/>
                    <w:jc w:val="center"/>
                    <w:rPr>
                      <w:rStyle w:val="37"/>
                      <w:rFonts w:hint="default" w:ascii="Times New Roman" w:hAnsi="Times New Roman" w:eastAsia="宋体" w:cs="Times New Roman"/>
                      <w:color w:val="auto"/>
                      <w:sz w:val="18"/>
                      <w:szCs w:val="18"/>
                      <w:lang w:val="en-US" w:eastAsia="zh-CN"/>
                    </w:rPr>
                  </w:pPr>
                  <w:r>
                    <w:rPr>
                      <w:rFonts w:hint="eastAsia" w:ascii="Times New Roman" w:hAnsi="Times New Roman" w:eastAsia="宋体"/>
                      <w:color w:val="auto"/>
                      <w:kern w:val="0"/>
                      <w:sz w:val="18"/>
                      <w:szCs w:val="18"/>
                      <w:highlight w:val="none"/>
                      <w:lang w:val="en-US" w:eastAsia="zh-CN"/>
                    </w:rPr>
                    <w:t>有机溶剂</w:t>
                  </w:r>
                </w:p>
              </w:tc>
              <w:tc>
                <w:tcPr>
                  <w:tcW w:w="752" w:type="dxa"/>
                  <w:noWrap w:val="0"/>
                  <w:vAlign w:val="center"/>
                </w:tcPr>
                <w:p w14:paraId="55356CB2">
                  <w:pPr>
                    <w:keepNext w:val="0"/>
                    <w:keepLines w:val="0"/>
                    <w:widowControl/>
                    <w:suppressLineNumbers w:val="0"/>
                    <w:jc w:val="center"/>
                    <w:rPr>
                      <w:rFonts w:ascii="Times New Roman" w:hAnsi="Times New Roman" w:eastAsia="宋体"/>
                      <w:color w:val="auto"/>
                      <w:kern w:val="0"/>
                      <w:sz w:val="18"/>
                      <w:szCs w:val="18"/>
                      <w:highlight w:val="none"/>
                    </w:rPr>
                  </w:pPr>
                  <w:r>
                    <w:rPr>
                      <w:rFonts w:hint="default" w:ascii="Times New Roman" w:hAnsi="Times New Roman" w:eastAsia="宋体" w:cs="Times New Roman"/>
                      <w:color w:val="auto"/>
                      <w:kern w:val="0"/>
                      <w:sz w:val="18"/>
                      <w:szCs w:val="18"/>
                      <w:lang w:val="en-US" w:eastAsia="zh-CN" w:bidi="ar"/>
                    </w:rPr>
                    <w:t>T/In</w:t>
                  </w:r>
                </w:p>
              </w:tc>
              <w:tc>
                <w:tcPr>
                  <w:tcW w:w="729" w:type="dxa"/>
                  <w:noWrap w:val="0"/>
                  <w:vAlign w:val="center"/>
                </w:tcPr>
                <w:p w14:paraId="15AF270B">
                  <w:pPr>
                    <w:topLinePunct/>
                    <w:jc w:val="center"/>
                    <w:rPr>
                      <w:rFonts w:hint="eastAsia" w:ascii="Times New Roman" w:hAnsi="Times New Roman" w:eastAsia="宋体"/>
                      <w:color w:val="auto"/>
                      <w:kern w:val="0"/>
                      <w:sz w:val="18"/>
                      <w:szCs w:val="18"/>
                      <w:highlight w:val="none"/>
                      <w:lang w:eastAsia="zh-CN"/>
                    </w:rPr>
                  </w:pPr>
                  <w:r>
                    <w:rPr>
                      <w:rFonts w:hint="eastAsia"/>
                      <w:color w:val="auto"/>
                      <w:kern w:val="0"/>
                      <w:sz w:val="18"/>
                      <w:szCs w:val="18"/>
                      <w:highlight w:val="none"/>
                      <w:lang w:val="en-US" w:eastAsia="zh-CN"/>
                    </w:rPr>
                    <w:t>每周</w:t>
                  </w:r>
                </w:p>
              </w:tc>
              <w:tc>
                <w:tcPr>
                  <w:tcW w:w="916" w:type="dxa"/>
                  <w:vMerge w:val="continue"/>
                  <w:noWrap w:val="0"/>
                  <w:vAlign w:val="center"/>
                </w:tcPr>
                <w:p w14:paraId="52733BE7">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6E7B4A92">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1113C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79E6A014">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9</w:t>
                  </w:r>
                </w:p>
              </w:tc>
              <w:tc>
                <w:tcPr>
                  <w:tcW w:w="1355" w:type="dxa"/>
                  <w:noWrap w:val="0"/>
                  <w:vAlign w:val="center"/>
                </w:tcPr>
                <w:p w14:paraId="1C94851E">
                  <w:pPr>
                    <w:topLinePunct/>
                    <w:spacing w:line="240" w:lineRule="auto"/>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废液压油</w:t>
                  </w:r>
                </w:p>
              </w:tc>
              <w:tc>
                <w:tcPr>
                  <w:tcW w:w="1491" w:type="dxa"/>
                  <w:vMerge w:val="continue"/>
                  <w:noWrap w:val="0"/>
                  <w:vAlign w:val="center"/>
                </w:tcPr>
                <w:p w14:paraId="19BEAA0A">
                  <w:pPr>
                    <w:topLinePunct/>
                    <w:spacing w:line="240" w:lineRule="auto"/>
                    <w:jc w:val="center"/>
                    <w:rPr>
                      <w:rFonts w:hint="eastAsia" w:ascii="Times New Roman" w:hAnsi="Times New Roman" w:eastAsia="宋体"/>
                      <w:color w:val="auto"/>
                      <w:sz w:val="18"/>
                      <w:szCs w:val="18"/>
                      <w:highlight w:val="none"/>
                      <w:lang w:eastAsia="zh-CN"/>
                    </w:rPr>
                  </w:pPr>
                </w:p>
              </w:tc>
              <w:tc>
                <w:tcPr>
                  <w:tcW w:w="1524" w:type="dxa"/>
                  <w:noWrap w:val="0"/>
                  <w:vAlign w:val="center"/>
                </w:tcPr>
                <w:p w14:paraId="1323CCA1">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HW08</w:t>
                  </w:r>
                </w:p>
                <w:p w14:paraId="451DD7BF">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218-08</w:t>
                  </w:r>
                </w:p>
              </w:tc>
              <w:tc>
                <w:tcPr>
                  <w:tcW w:w="919" w:type="dxa"/>
                  <w:noWrap w:val="0"/>
                  <w:vAlign w:val="center"/>
                </w:tcPr>
                <w:p w14:paraId="3145198B">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0.15</w:t>
                  </w:r>
                </w:p>
              </w:tc>
              <w:tc>
                <w:tcPr>
                  <w:tcW w:w="1537" w:type="dxa"/>
                  <w:noWrap w:val="0"/>
                  <w:vAlign w:val="center"/>
                </w:tcPr>
                <w:p w14:paraId="6F206F43">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设备维护</w:t>
                  </w:r>
                </w:p>
              </w:tc>
              <w:tc>
                <w:tcPr>
                  <w:tcW w:w="732" w:type="dxa"/>
                  <w:noWrap w:val="0"/>
                  <w:vAlign w:val="center"/>
                </w:tcPr>
                <w:p w14:paraId="08D983F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液态</w:t>
                  </w:r>
                </w:p>
              </w:tc>
              <w:tc>
                <w:tcPr>
                  <w:tcW w:w="1199" w:type="dxa"/>
                  <w:noWrap w:val="0"/>
                  <w:vAlign w:val="center"/>
                </w:tcPr>
                <w:p w14:paraId="2EDE7CAD">
                  <w:pPr>
                    <w:pStyle w:val="1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37"/>
                      <w:rFonts w:hint="default" w:ascii="Times New Roman" w:hAnsi="Times New Roman" w:eastAsia="宋体" w:cs="Times New Roman"/>
                      <w:color w:val="auto"/>
                      <w:sz w:val="18"/>
                      <w:szCs w:val="18"/>
                      <w:lang w:val="en-US" w:eastAsia="zh-CN"/>
                    </w:rPr>
                  </w:pPr>
                  <w:r>
                    <w:rPr>
                      <w:rStyle w:val="37"/>
                      <w:rFonts w:hint="default" w:ascii="Times New Roman" w:hAnsi="Times New Roman" w:eastAsia="宋体" w:cs="Times New Roman"/>
                      <w:color w:val="auto"/>
                      <w:sz w:val="18"/>
                      <w:szCs w:val="18"/>
                      <w:lang w:val="en-US" w:eastAsia="zh-CN"/>
                    </w:rPr>
                    <w:t>矿物油</w:t>
                  </w:r>
                </w:p>
              </w:tc>
              <w:tc>
                <w:tcPr>
                  <w:tcW w:w="752" w:type="dxa"/>
                  <w:noWrap w:val="0"/>
                  <w:vAlign w:val="center"/>
                </w:tcPr>
                <w:p w14:paraId="316A3D51">
                  <w:pPr>
                    <w:topLinePunct/>
                    <w:spacing w:line="240" w:lineRule="auto"/>
                    <w:jc w:val="center"/>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729" w:type="dxa"/>
                  <w:noWrap w:val="0"/>
                  <w:vAlign w:val="center"/>
                </w:tcPr>
                <w:p w14:paraId="345558B1">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半年</w:t>
                  </w:r>
                </w:p>
              </w:tc>
              <w:tc>
                <w:tcPr>
                  <w:tcW w:w="916" w:type="dxa"/>
                  <w:vMerge w:val="continue"/>
                  <w:noWrap w:val="0"/>
                  <w:vAlign w:val="center"/>
                </w:tcPr>
                <w:p w14:paraId="4A5B0763">
                  <w:pPr>
                    <w:topLinePunct/>
                    <w:spacing w:line="240" w:lineRule="auto"/>
                    <w:jc w:val="center"/>
                    <w:rPr>
                      <w:rFonts w:hint="eastAsia" w:ascii="Times New Roman" w:hAnsi="Times New Roman" w:eastAsia="宋体"/>
                      <w:color w:val="auto"/>
                      <w:kern w:val="0"/>
                      <w:sz w:val="18"/>
                      <w:szCs w:val="18"/>
                      <w:highlight w:val="none"/>
                      <w:lang w:val="en-US" w:eastAsia="zh-CN"/>
                    </w:rPr>
                  </w:pPr>
                </w:p>
              </w:tc>
              <w:tc>
                <w:tcPr>
                  <w:tcW w:w="916" w:type="dxa"/>
                  <w:vMerge w:val="continue"/>
                  <w:noWrap w:val="0"/>
                  <w:vAlign w:val="center"/>
                </w:tcPr>
                <w:p w14:paraId="275516CB">
                  <w:pPr>
                    <w:topLinePunct/>
                    <w:spacing w:line="240" w:lineRule="auto"/>
                    <w:jc w:val="center"/>
                    <w:rPr>
                      <w:rFonts w:hint="eastAsia" w:ascii="Times New Roman" w:hAnsi="Times New Roman" w:eastAsia="宋体"/>
                      <w:color w:val="auto"/>
                      <w:kern w:val="0"/>
                      <w:sz w:val="18"/>
                      <w:szCs w:val="18"/>
                      <w:highlight w:val="none"/>
                      <w:lang w:eastAsia="zh-CN"/>
                    </w:rPr>
                  </w:pPr>
                </w:p>
              </w:tc>
            </w:tr>
            <w:tr w14:paraId="26E0C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2" w:type="dxa"/>
                  <w:noWrap w:val="0"/>
                  <w:vAlign w:val="center"/>
                </w:tcPr>
                <w:p w14:paraId="107C2689">
                  <w:pPr>
                    <w:topLinePunct/>
                    <w:spacing w:line="240" w:lineRule="auto"/>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10</w:t>
                  </w:r>
                </w:p>
              </w:tc>
              <w:tc>
                <w:tcPr>
                  <w:tcW w:w="1355" w:type="dxa"/>
                  <w:noWrap w:val="0"/>
                  <w:vAlign w:val="center"/>
                </w:tcPr>
                <w:p w14:paraId="25B6EA2E">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生活垃圾</w:t>
                  </w:r>
                </w:p>
              </w:tc>
              <w:tc>
                <w:tcPr>
                  <w:tcW w:w="1491" w:type="dxa"/>
                  <w:noWrap w:val="0"/>
                  <w:vAlign w:val="center"/>
                </w:tcPr>
                <w:p w14:paraId="174E5AF5">
                  <w:pPr>
                    <w:topLinePunct/>
                    <w:spacing w:line="240" w:lineRule="auto"/>
                    <w:jc w:val="center"/>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kern w:val="0"/>
                      <w:sz w:val="18"/>
                      <w:szCs w:val="18"/>
                      <w:highlight w:val="none"/>
                      <w:lang w:eastAsia="zh-CN"/>
                    </w:rPr>
                    <w:t>生活垃圾</w:t>
                  </w:r>
                </w:p>
              </w:tc>
              <w:tc>
                <w:tcPr>
                  <w:tcW w:w="1524" w:type="dxa"/>
                  <w:noWrap w:val="0"/>
                  <w:vAlign w:val="center"/>
                </w:tcPr>
                <w:p w14:paraId="3774FF4E">
                  <w:pPr>
                    <w:adjustRightInd w:val="0"/>
                    <w:snapToGrid w:val="0"/>
                    <w:spacing w:line="240" w:lineRule="auto"/>
                    <w:jc w:val="center"/>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919" w:type="dxa"/>
                  <w:noWrap w:val="0"/>
                  <w:vAlign w:val="center"/>
                </w:tcPr>
                <w:p w14:paraId="22EBC2DA">
                  <w:pPr>
                    <w:adjustRightInd w:val="0"/>
                    <w:snapToGrid w:val="0"/>
                    <w:spacing w:line="240" w:lineRule="auto"/>
                    <w:jc w:val="center"/>
                    <w:rPr>
                      <w:rFonts w:hint="default" w:ascii="Times New Roman" w:hAnsi="Times New Roman" w:eastAsia="宋体"/>
                      <w:color w:val="auto"/>
                      <w:sz w:val="18"/>
                      <w:szCs w:val="18"/>
                      <w:highlight w:val="none"/>
                      <w:lang w:val="en-US" w:eastAsia="zh-CN"/>
                    </w:rPr>
                  </w:pPr>
                  <w:r>
                    <w:rPr>
                      <w:rFonts w:hint="eastAsia"/>
                      <w:color w:val="auto"/>
                      <w:sz w:val="18"/>
                      <w:szCs w:val="18"/>
                      <w:highlight w:val="none"/>
                      <w:lang w:val="en-US" w:eastAsia="zh-CN"/>
                    </w:rPr>
                    <w:t>24</w:t>
                  </w:r>
                </w:p>
              </w:tc>
              <w:tc>
                <w:tcPr>
                  <w:tcW w:w="1537" w:type="dxa"/>
                  <w:noWrap w:val="0"/>
                  <w:vAlign w:val="center"/>
                </w:tcPr>
                <w:p w14:paraId="48D14706">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员工日常生活</w:t>
                  </w:r>
                </w:p>
              </w:tc>
              <w:tc>
                <w:tcPr>
                  <w:tcW w:w="732" w:type="dxa"/>
                  <w:noWrap w:val="0"/>
                  <w:vAlign w:val="center"/>
                </w:tcPr>
                <w:p w14:paraId="2736A964">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固态</w:t>
                  </w:r>
                </w:p>
              </w:tc>
              <w:tc>
                <w:tcPr>
                  <w:tcW w:w="1199" w:type="dxa"/>
                  <w:noWrap w:val="0"/>
                  <w:vAlign w:val="center"/>
                </w:tcPr>
                <w:p w14:paraId="1B115908">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52" w:type="dxa"/>
                  <w:noWrap w:val="0"/>
                  <w:vAlign w:val="center"/>
                </w:tcPr>
                <w:p w14:paraId="2590E01E">
                  <w:pPr>
                    <w:topLinePunct/>
                    <w:spacing w:line="240" w:lineRule="auto"/>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eastAsia="宋体"/>
                      <w:color w:val="auto"/>
                      <w:kern w:val="0"/>
                      <w:sz w:val="18"/>
                      <w:szCs w:val="18"/>
                      <w:highlight w:val="none"/>
                      <w:lang w:val="en-US" w:eastAsia="zh-CN"/>
                    </w:rPr>
                    <w:t>/</w:t>
                  </w:r>
                </w:p>
              </w:tc>
              <w:tc>
                <w:tcPr>
                  <w:tcW w:w="729" w:type="dxa"/>
                  <w:noWrap w:val="0"/>
                  <w:vAlign w:val="center"/>
                </w:tcPr>
                <w:p w14:paraId="237874A5">
                  <w:pPr>
                    <w:topLinePunct/>
                    <w:spacing w:line="240" w:lineRule="auto"/>
                    <w:jc w:val="center"/>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每天</w:t>
                  </w:r>
                </w:p>
              </w:tc>
              <w:tc>
                <w:tcPr>
                  <w:tcW w:w="916" w:type="dxa"/>
                  <w:noWrap w:val="0"/>
                  <w:vAlign w:val="center"/>
                </w:tcPr>
                <w:p w14:paraId="5FC7B07A">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采用垃圾桶定点收集</w:t>
                  </w:r>
                </w:p>
              </w:tc>
              <w:tc>
                <w:tcPr>
                  <w:tcW w:w="916" w:type="dxa"/>
                  <w:noWrap w:val="0"/>
                  <w:vAlign w:val="center"/>
                </w:tcPr>
                <w:p w14:paraId="126CDCA8">
                  <w:pPr>
                    <w:topLinePunct/>
                    <w:spacing w:line="240" w:lineRule="auto"/>
                    <w:jc w:val="center"/>
                    <w:rPr>
                      <w:rFonts w:hint="eastAsia" w:ascii="Times New Roman" w:hAnsi="Times New Roman" w:eastAsia="宋体"/>
                      <w:color w:val="auto"/>
                      <w:kern w:val="0"/>
                      <w:sz w:val="18"/>
                      <w:szCs w:val="18"/>
                      <w:highlight w:val="none"/>
                      <w:lang w:eastAsia="zh-CN"/>
                    </w:rPr>
                  </w:pPr>
                  <w:r>
                    <w:rPr>
                      <w:rFonts w:hint="eastAsia" w:ascii="Times New Roman" w:hAnsi="Times New Roman" w:eastAsia="宋体"/>
                      <w:color w:val="auto"/>
                      <w:kern w:val="0"/>
                      <w:sz w:val="18"/>
                      <w:szCs w:val="18"/>
                      <w:highlight w:val="none"/>
                      <w:lang w:eastAsia="zh-CN"/>
                    </w:rPr>
                    <w:t>交由环卫部门统一清运处置</w:t>
                  </w:r>
                </w:p>
              </w:tc>
            </w:tr>
          </w:tbl>
          <w:p w14:paraId="01CAB9E9">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3DADC89F">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33339E07">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4ACE75D1">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5F81245F">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3487CA20">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2F6677FB">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77C7DDB4">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r>
              <w:rPr>
                <w:rFonts w:hint="eastAsia" w:ascii="黑体" w:hAnsi="黑体" w:eastAsia="黑体" w:cs="黑体"/>
                <w:b w:val="0"/>
                <w:bCs w:val="0"/>
                <w:color w:val="auto"/>
                <w:sz w:val="24"/>
                <w:lang w:val="en-US" w:eastAsia="zh-CN"/>
              </w:rPr>
              <w:t>表4-19 建设项目危险废物贮存间所（设施）基本情况表</w:t>
            </w:r>
          </w:p>
          <w:tbl>
            <w:tblPr>
              <w:tblStyle w:val="35"/>
              <w:tblW w:w="1260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090"/>
              <w:gridCol w:w="1158"/>
              <w:gridCol w:w="1196"/>
              <w:gridCol w:w="1368"/>
              <w:gridCol w:w="977"/>
              <w:gridCol w:w="853"/>
              <w:gridCol w:w="747"/>
              <w:gridCol w:w="883"/>
              <w:gridCol w:w="1158"/>
              <w:gridCol w:w="1032"/>
              <w:gridCol w:w="856"/>
            </w:tblGrid>
            <w:tr w14:paraId="6739D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4" w:type="dxa"/>
                  <w:gridSpan w:val="2"/>
                  <w:tcBorders>
                    <w:tl2br w:val="nil"/>
                    <w:tr2bl w:val="nil"/>
                  </w:tcBorders>
                  <w:noWrap w:val="0"/>
                  <w:vAlign w:val="center"/>
                </w:tcPr>
                <w:p w14:paraId="52A8FCC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贮存场</w:t>
                  </w:r>
                </w:p>
                <w:p w14:paraId="42A18CA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所名称</w:t>
                  </w:r>
                </w:p>
              </w:tc>
              <w:tc>
                <w:tcPr>
                  <w:tcW w:w="1158" w:type="dxa"/>
                  <w:tcBorders>
                    <w:tl2br w:val="nil"/>
                    <w:tr2bl w:val="nil"/>
                  </w:tcBorders>
                  <w:noWrap w:val="0"/>
                  <w:vAlign w:val="center"/>
                </w:tcPr>
                <w:p w14:paraId="2161638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危险废物名称</w:t>
                  </w:r>
                </w:p>
              </w:tc>
              <w:tc>
                <w:tcPr>
                  <w:tcW w:w="1196" w:type="dxa"/>
                  <w:tcBorders>
                    <w:tl2br w:val="nil"/>
                    <w:tr2bl w:val="nil"/>
                  </w:tcBorders>
                  <w:noWrap w:val="0"/>
                  <w:vAlign w:val="center"/>
                </w:tcPr>
                <w:p w14:paraId="06D09B1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危险废物类别</w:t>
                  </w:r>
                </w:p>
              </w:tc>
              <w:tc>
                <w:tcPr>
                  <w:tcW w:w="1368" w:type="dxa"/>
                  <w:tcBorders>
                    <w:tl2br w:val="nil"/>
                    <w:tr2bl w:val="nil"/>
                  </w:tcBorders>
                  <w:noWrap w:val="0"/>
                  <w:vAlign w:val="center"/>
                </w:tcPr>
                <w:p w14:paraId="1FCDD9E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危险废物</w:t>
                  </w:r>
                </w:p>
                <w:p w14:paraId="64025B3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代码</w:t>
                  </w:r>
                </w:p>
              </w:tc>
              <w:tc>
                <w:tcPr>
                  <w:tcW w:w="977" w:type="dxa"/>
                  <w:tcBorders>
                    <w:tl2br w:val="nil"/>
                    <w:tr2bl w:val="nil"/>
                  </w:tcBorders>
                  <w:noWrap w:val="0"/>
                  <w:vAlign w:val="center"/>
                </w:tcPr>
                <w:p w14:paraId="618FCF6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危险特性</w:t>
                  </w:r>
                </w:p>
              </w:tc>
              <w:tc>
                <w:tcPr>
                  <w:tcW w:w="853" w:type="dxa"/>
                  <w:tcBorders>
                    <w:tl2br w:val="nil"/>
                    <w:tr2bl w:val="nil"/>
                  </w:tcBorders>
                  <w:noWrap w:val="0"/>
                  <w:vAlign w:val="center"/>
                </w:tcPr>
                <w:p w14:paraId="2446428F">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占地</w:t>
                  </w:r>
                </w:p>
                <w:p w14:paraId="7A0BA99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面积</w:t>
                  </w:r>
                </w:p>
              </w:tc>
              <w:tc>
                <w:tcPr>
                  <w:tcW w:w="747" w:type="dxa"/>
                  <w:tcBorders>
                    <w:tl2br w:val="nil"/>
                    <w:tr2bl w:val="nil"/>
                  </w:tcBorders>
                  <w:noWrap w:val="0"/>
                  <w:vAlign w:val="center"/>
                </w:tcPr>
                <w:p w14:paraId="4A0D89F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贮存</w:t>
                  </w:r>
                </w:p>
                <w:p w14:paraId="48DF7AA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能力</w:t>
                  </w:r>
                </w:p>
              </w:tc>
              <w:tc>
                <w:tcPr>
                  <w:tcW w:w="883" w:type="dxa"/>
                  <w:tcBorders>
                    <w:tl2br w:val="nil"/>
                    <w:tr2bl w:val="nil"/>
                  </w:tcBorders>
                  <w:noWrap w:val="0"/>
                  <w:vAlign w:val="center"/>
                </w:tcPr>
                <w:p w14:paraId="2A8A88A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贮存方式</w:t>
                  </w:r>
                </w:p>
              </w:tc>
              <w:tc>
                <w:tcPr>
                  <w:tcW w:w="1158" w:type="dxa"/>
                  <w:tcBorders>
                    <w:tl2br w:val="nil"/>
                    <w:tr2bl w:val="nil"/>
                  </w:tcBorders>
                  <w:noWrap w:val="0"/>
                  <w:vAlign w:val="center"/>
                </w:tcPr>
                <w:p w14:paraId="3F01AF3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年产生量（t/a）</w:t>
                  </w:r>
                </w:p>
              </w:tc>
              <w:tc>
                <w:tcPr>
                  <w:tcW w:w="1032" w:type="dxa"/>
                  <w:tcBorders>
                    <w:tl2br w:val="nil"/>
                    <w:tr2bl w:val="nil"/>
                  </w:tcBorders>
                  <w:noWrap w:val="0"/>
                  <w:vAlign w:val="center"/>
                </w:tcPr>
                <w:p w14:paraId="620A5B04">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b/>
                      <w:bCs/>
                      <w:color w:val="auto"/>
                      <w:kern w:val="0"/>
                      <w:sz w:val="18"/>
                      <w:szCs w:val="18"/>
                      <w:lang w:eastAsia="zh-CN"/>
                    </w:rPr>
                  </w:pPr>
                  <w:r>
                    <w:rPr>
                      <w:rFonts w:hint="eastAsia" w:ascii="Times New Roman" w:hAnsi="Times New Roman" w:eastAsia="宋体" w:cs="Times New Roman"/>
                      <w:b/>
                      <w:bCs/>
                      <w:color w:val="auto"/>
                      <w:kern w:val="0"/>
                      <w:sz w:val="18"/>
                      <w:szCs w:val="18"/>
                      <w:lang w:eastAsia="zh-CN"/>
                    </w:rPr>
                    <w:t>最大贮存量</w:t>
                  </w:r>
                </w:p>
              </w:tc>
              <w:tc>
                <w:tcPr>
                  <w:tcW w:w="856" w:type="dxa"/>
                  <w:tcBorders>
                    <w:tl2br w:val="nil"/>
                    <w:tr2bl w:val="nil"/>
                  </w:tcBorders>
                  <w:noWrap w:val="0"/>
                  <w:vAlign w:val="center"/>
                </w:tcPr>
                <w:p w14:paraId="7A9434C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贮存</w:t>
                  </w:r>
                </w:p>
                <w:p w14:paraId="669A773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周期</w:t>
                  </w:r>
                </w:p>
              </w:tc>
            </w:tr>
            <w:tr w14:paraId="2E47B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84" w:type="dxa"/>
                  <w:vMerge w:val="restart"/>
                  <w:tcBorders>
                    <w:tl2br w:val="nil"/>
                    <w:tr2bl w:val="nil"/>
                  </w:tcBorders>
                  <w:noWrap w:val="0"/>
                  <w:vAlign w:val="center"/>
                </w:tcPr>
                <w:p w14:paraId="27A487F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危险废物贮存间</w:t>
                  </w:r>
                </w:p>
                <w:p w14:paraId="0E67710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w:t>
                  </w:r>
                  <w:r>
                    <w:rPr>
                      <w:rFonts w:hint="eastAsia" w:cs="Times New Roman"/>
                      <w:color w:val="auto"/>
                      <w:kern w:val="0"/>
                      <w:sz w:val="18"/>
                      <w:szCs w:val="18"/>
                      <w:lang w:val="en-US" w:eastAsia="zh-CN"/>
                    </w:rPr>
                    <w:t>厂房五三层北侧）E119°20'5.633"N25°44'26.729"</w:t>
                  </w:r>
                </w:p>
              </w:tc>
              <w:tc>
                <w:tcPr>
                  <w:tcW w:w="1090" w:type="dxa"/>
                  <w:vMerge w:val="restart"/>
                  <w:tcBorders>
                    <w:tl2br w:val="nil"/>
                    <w:tr2bl w:val="nil"/>
                  </w:tcBorders>
                  <w:noWrap w:val="0"/>
                  <w:vAlign w:val="center"/>
                </w:tcPr>
                <w:p w14:paraId="64B5F122">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HW08类分区</w:t>
                  </w:r>
                </w:p>
              </w:tc>
              <w:tc>
                <w:tcPr>
                  <w:tcW w:w="1158" w:type="dxa"/>
                  <w:tcBorders>
                    <w:tl2br w:val="nil"/>
                    <w:tr2bl w:val="nil"/>
                  </w:tcBorders>
                  <w:noWrap w:val="0"/>
                  <w:vAlign w:val="center"/>
                </w:tcPr>
                <w:p w14:paraId="2AD4FBF0">
                  <w:pPr>
                    <w:topLinePunct/>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kern w:val="0"/>
                      <w:sz w:val="18"/>
                      <w:szCs w:val="18"/>
                      <w:highlight w:val="none"/>
                      <w:lang w:eastAsia="zh-CN"/>
                    </w:rPr>
                    <w:t>废液压油</w:t>
                  </w:r>
                </w:p>
              </w:tc>
              <w:tc>
                <w:tcPr>
                  <w:tcW w:w="1196" w:type="dxa"/>
                  <w:tcBorders>
                    <w:tl2br w:val="nil"/>
                    <w:tr2bl w:val="nil"/>
                  </w:tcBorders>
                  <w:noWrap w:val="0"/>
                  <w:vAlign w:val="center"/>
                </w:tcPr>
                <w:p w14:paraId="5C916AF6">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HW08</w:t>
                  </w:r>
                </w:p>
              </w:tc>
              <w:tc>
                <w:tcPr>
                  <w:tcW w:w="1368" w:type="dxa"/>
                  <w:tcBorders>
                    <w:tl2br w:val="nil"/>
                    <w:tr2bl w:val="nil"/>
                  </w:tcBorders>
                  <w:noWrap w:val="0"/>
                  <w:vAlign w:val="center"/>
                </w:tcPr>
                <w:p w14:paraId="0BC99CBF">
                  <w:pPr>
                    <w:pStyle w:val="12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Style w:val="37"/>
                      <w:rFonts w:hint="eastAsia" w:ascii="Times New Roman" w:hAnsi="Times New Roman" w:eastAsia="宋体" w:cs="Times New Roman"/>
                      <w:color w:val="auto"/>
                      <w:sz w:val="18"/>
                      <w:szCs w:val="18"/>
                      <w:lang w:val="en-US" w:eastAsia="zh-CN"/>
                    </w:rPr>
                    <w:t>900-218-08</w:t>
                  </w:r>
                </w:p>
              </w:tc>
              <w:tc>
                <w:tcPr>
                  <w:tcW w:w="977" w:type="dxa"/>
                  <w:tcBorders>
                    <w:tl2br w:val="nil"/>
                    <w:tr2bl w:val="nil"/>
                  </w:tcBorders>
                  <w:noWrap w:val="0"/>
                  <w:vAlign w:val="center"/>
                </w:tcPr>
                <w:p w14:paraId="32991020">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853" w:type="dxa"/>
                  <w:vMerge w:val="restart"/>
                  <w:tcBorders>
                    <w:tl2br w:val="nil"/>
                    <w:tr2bl w:val="nil"/>
                  </w:tcBorders>
                  <w:noWrap w:val="0"/>
                  <w:vAlign w:val="center"/>
                </w:tcPr>
                <w:p w14:paraId="13F4187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4</w:t>
                  </w:r>
                  <w:r>
                    <w:rPr>
                      <w:rFonts w:hint="eastAsia" w:ascii="Times New Roman" w:hAnsi="Times New Roman" w:eastAsia="宋体" w:cs="Times New Roman"/>
                      <w:color w:val="auto"/>
                      <w:kern w:val="0"/>
                      <w:sz w:val="18"/>
                      <w:szCs w:val="18"/>
                      <w:lang w:val="en-US" w:eastAsia="zh-CN"/>
                    </w:rPr>
                    <w:t>m</w:t>
                  </w:r>
                  <w:r>
                    <w:rPr>
                      <w:rFonts w:hint="eastAsia" w:ascii="Times New Roman" w:hAnsi="Times New Roman" w:eastAsia="宋体" w:cs="Times New Roman"/>
                      <w:color w:val="auto"/>
                      <w:kern w:val="0"/>
                      <w:sz w:val="18"/>
                      <w:szCs w:val="18"/>
                      <w:vertAlign w:val="superscript"/>
                      <w:lang w:val="en-US" w:eastAsia="zh-CN"/>
                    </w:rPr>
                    <w:t>2</w:t>
                  </w:r>
                </w:p>
              </w:tc>
              <w:tc>
                <w:tcPr>
                  <w:tcW w:w="747" w:type="dxa"/>
                  <w:vMerge w:val="restart"/>
                  <w:tcBorders>
                    <w:tl2br w:val="nil"/>
                    <w:tr2bl w:val="nil"/>
                  </w:tcBorders>
                  <w:noWrap w:val="0"/>
                  <w:vAlign w:val="center"/>
                </w:tcPr>
                <w:p w14:paraId="54C421FC">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3</w:t>
                  </w:r>
                  <w:r>
                    <w:rPr>
                      <w:rFonts w:hint="eastAsia" w:ascii="Times New Roman" w:hAnsi="Times New Roman" w:eastAsia="宋体" w:cs="Times New Roman"/>
                      <w:color w:val="auto"/>
                      <w:kern w:val="0"/>
                      <w:sz w:val="18"/>
                      <w:szCs w:val="18"/>
                      <w:lang w:val="en-US" w:eastAsia="zh-CN"/>
                    </w:rPr>
                    <w:t>t</w:t>
                  </w:r>
                </w:p>
              </w:tc>
              <w:tc>
                <w:tcPr>
                  <w:tcW w:w="883" w:type="dxa"/>
                  <w:vMerge w:val="restart"/>
                  <w:tcBorders>
                    <w:tl2br w:val="nil"/>
                    <w:tr2bl w:val="nil"/>
                  </w:tcBorders>
                  <w:noWrap w:val="0"/>
                  <w:vAlign w:val="center"/>
                </w:tcPr>
                <w:p w14:paraId="6CFC4AD0">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r>
                    <w:rPr>
                      <w:rFonts w:hint="eastAsia" w:ascii="Times New Roman" w:hAnsi="Times New Roman" w:eastAsia="宋体" w:cs="Times New Roman"/>
                      <w:color w:val="auto"/>
                      <w:spacing w:val="0"/>
                      <w:kern w:val="0"/>
                      <w:sz w:val="18"/>
                      <w:szCs w:val="18"/>
                      <w:highlight w:val="none"/>
                      <w:lang w:val="en-US" w:eastAsia="zh-CN" w:bidi="he-IL"/>
                    </w:rPr>
                    <w:t>密闭容器装存</w:t>
                  </w:r>
                </w:p>
              </w:tc>
              <w:tc>
                <w:tcPr>
                  <w:tcW w:w="1158" w:type="dxa"/>
                  <w:tcBorders>
                    <w:tl2br w:val="nil"/>
                    <w:tr2bl w:val="nil"/>
                  </w:tcBorders>
                  <w:noWrap w:val="0"/>
                  <w:vAlign w:val="center"/>
                </w:tcPr>
                <w:p w14:paraId="14FF198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0.15</w:t>
                  </w:r>
                </w:p>
              </w:tc>
              <w:tc>
                <w:tcPr>
                  <w:tcW w:w="1032" w:type="dxa"/>
                  <w:tcBorders>
                    <w:tl2br w:val="nil"/>
                    <w:tr2bl w:val="nil"/>
                  </w:tcBorders>
                  <w:noWrap w:val="0"/>
                  <w:vAlign w:val="center"/>
                </w:tcPr>
                <w:p w14:paraId="2BF7ABD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0.15</w:t>
                  </w:r>
                </w:p>
              </w:tc>
              <w:tc>
                <w:tcPr>
                  <w:tcW w:w="856" w:type="dxa"/>
                  <w:tcBorders>
                    <w:tl2br w:val="nil"/>
                    <w:tr2bl w:val="nil"/>
                  </w:tcBorders>
                  <w:noWrap w:val="0"/>
                  <w:vAlign w:val="center"/>
                </w:tcPr>
                <w:p w14:paraId="020D181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158E4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284" w:type="dxa"/>
                  <w:vMerge w:val="continue"/>
                  <w:tcBorders>
                    <w:tl2br w:val="nil"/>
                    <w:tr2bl w:val="nil"/>
                  </w:tcBorders>
                  <w:noWrap w:val="0"/>
                  <w:vAlign w:val="center"/>
                </w:tcPr>
                <w:p w14:paraId="684E51C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cs="Times New Roman"/>
                      <w:color w:val="auto"/>
                      <w:kern w:val="0"/>
                      <w:sz w:val="18"/>
                      <w:szCs w:val="18"/>
                      <w:highlight w:val="none"/>
                      <w:lang w:val="en-US" w:eastAsia="zh-CN"/>
                    </w:rPr>
                  </w:pPr>
                </w:p>
              </w:tc>
              <w:tc>
                <w:tcPr>
                  <w:tcW w:w="1090" w:type="dxa"/>
                  <w:vMerge w:val="continue"/>
                  <w:tcBorders>
                    <w:tl2br w:val="nil"/>
                    <w:tr2bl w:val="nil"/>
                  </w:tcBorders>
                  <w:noWrap w:val="0"/>
                  <w:vAlign w:val="center"/>
                </w:tcPr>
                <w:p w14:paraId="07AF99FB">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lang w:val="en-US" w:eastAsia="zh-CN"/>
                    </w:rPr>
                  </w:pPr>
                </w:p>
              </w:tc>
              <w:tc>
                <w:tcPr>
                  <w:tcW w:w="1158" w:type="dxa"/>
                  <w:tcBorders>
                    <w:tl2br w:val="nil"/>
                    <w:tr2bl w:val="nil"/>
                  </w:tcBorders>
                  <w:noWrap w:val="0"/>
                  <w:vAlign w:val="center"/>
                </w:tcPr>
                <w:p w14:paraId="17D0071E">
                  <w:pPr>
                    <w:topLinePunct/>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kern w:val="0"/>
                      <w:sz w:val="18"/>
                      <w:szCs w:val="18"/>
                      <w:highlight w:val="none"/>
                      <w:lang w:eastAsia="zh-CN"/>
                    </w:rPr>
                    <w:t>废</w:t>
                  </w:r>
                  <w:r>
                    <w:rPr>
                      <w:rFonts w:hint="eastAsia" w:ascii="Times New Roman" w:hAnsi="Times New Roman" w:eastAsia="宋体"/>
                      <w:color w:val="auto"/>
                      <w:kern w:val="0"/>
                      <w:sz w:val="18"/>
                      <w:szCs w:val="18"/>
                      <w:highlight w:val="none"/>
                      <w:lang w:val="en-US" w:eastAsia="zh-CN"/>
                    </w:rPr>
                    <w:t>润滑</w:t>
                  </w:r>
                  <w:r>
                    <w:rPr>
                      <w:rFonts w:hint="eastAsia" w:ascii="Times New Roman" w:hAnsi="Times New Roman" w:eastAsia="宋体"/>
                      <w:color w:val="auto"/>
                      <w:kern w:val="0"/>
                      <w:sz w:val="18"/>
                      <w:szCs w:val="18"/>
                      <w:highlight w:val="none"/>
                      <w:lang w:eastAsia="zh-CN"/>
                    </w:rPr>
                    <w:t>油</w:t>
                  </w:r>
                </w:p>
              </w:tc>
              <w:tc>
                <w:tcPr>
                  <w:tcW w:w="1196" w:type="dxa"/>
                  <w:tcBorders>
                    <w:tl2br w:val="nil"/>
                    <w:tr2bl w:val="nil"/>
                  </w:tcBorders>
                  <w:noWrap w:val="0"/>
                  <w:vAlign w:val="center"/>
                </w:tcPr>
                <w:p w14:paraId="2B9F4AC6">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HW08</w:t>
                  </w:r>
                </w:p>
              </w:tc>
              <w:tc>
                <w:tcPr>
                  <w:tcW w:w="1368" w:type="dxa"/>
                  <w:tcBorders>
                    <w:tl2br w:val="nil"/>
                    <w:tr2bl w:val="nil"/>
                  </w:tcBorders>
                  <w:noWrap w:val="0"/>
                  <w:vAlign w:val="center"/>
                </w:tcPr>
                <w:p w14:paraId="23F55802">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sz w:val="18"/>
                      <w:szCs w:val="18"/>
                      <w:highlight w:val="none"/>
                    </w:rPr>
                    <w:t>900-</w:t>
                  </w:r>
                  <w:r>
                    <w:rPr>
                      <w:rFonts w:hint="eastAsia" w:ascii="Times New Roman" w:hAnsi="Times New Roman" w:eastAsia="宋体"/>
                      <w:color w:val="auto"/>
                      <w:sz w:val="18"/>
                      <w:szCs w:val="18"/>
                      <w:highlight w:val="none"/>
                      <w:lang w:val="en-US" w:eastAsia="zh-CN"/>
                    </w:rPr>
                    <w:t>214-08</w:t>
                  </w:r>
                </w:p>
              </w:tc>
              <w:tc>
                <w:tcPr>
                  <w:tcW w:w="977" w:type="dxa"/>
                  <w:tcBorders>
                    <w:tl2br w:val="nil"/>
                    <w:tr2bl w:val="nil"/>
                  </w:tcBorders>
                  <w:noWrap w:val="0"/>
                  <w:vAlign w:val="center"/>
                </w:tcPr>
                <w:p w14:paraId="6057E889">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ascii="Times New Roman" w:hAnsi="Times New Roman" w:eastAsia="宋体"/>
                      <w:color w:val="auto"/>
                      <w:kern w:val="0"/>
                      <w:sz w:val="18"/>
                      <w:szCs w:val="18"/>
                      <w:highlight w:val="none"/>
                    </w:rPr>
                  </w:pPr>
                  <w:r>
                    <w:rPr>
                      <w:rFonts w:ascii="Times New Roman" w:hAnsi="Times New Roman" w:eastAsia="宋体"/>
                      <w:color w:val="auto"/>
                      <w:kern w:val="0"/>
                      <w:sz w:val="18"/>
                      <w:szCs w:val="18"/>
                      <w:highlight w:val="none"/>
                    </w:rPr>
                    <w:t>T，</w:t>
                  </w:r>
                  <w:r>
                    <w:rPr>
                      <w:rFonts w:hint="eastAsia" w:ascii="Times New Roman" w:hAnsi="Times New Roman" w:eastAsia="宋体"/>
                      <w:color w:val="auto"/>
                      <w:kern w:val="0"/>
                      <w:sz w:val="18"/>
                      <w:szCs w:val="18"/>
                      <w:highlight w:val="none"/>
                    </w:rPr>
                    <w:t>I</w:t>
                  </w:r>
                </w:p>
              </w:tc>
              <w:tc>
                <w:tcPr>
                  <w:tcW w:w="853" w:type="dxa"/>
                  <w:vMerge w:val="continue"/>
                  <w:tcBorders>
                    <w:tl2br w:val="nil"/>
                    <w:tr2bl w:val="nil"/>
                  </w:tcBorders>
                  <w:noWrap w:val="0"/>
                  <w:vAlign w:val="center"/>
                </w:tcPr>
                <w:p w14:paraId="4E75B0E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cs="Times New Roman"/>
                      <w:color w:val="auto"/>
                      <w:kern w:val="0"/>
                      <w:sz w:val="18"/>
                      <w:szCs w:val="18"/>
                      <w:lang w:val="en-US" w:eastAsia="zh-CN"/>
                    </w:rPr>
                  </w:pPr>
                </w:p>
              </w:tc>
              <w:tc>
                <w:tcPr>
                  <w:tcW w:w="747" w:type="dxa"/>
                  <w:vMerge w:val="continue"/>
                  <w:tcBorders>
                    <w:tl2br w:val="nil"/>
                    <w:tr2bl w:val="nil"/>
                  </w:tcBorders>
                  <w:noWrap w:val="0"/>
                  <w:vAlign w:val="center"/>
                </w:tcPr>
                <w:p w14:paraId="63D8D47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cs="Times New Roman"/>
                      <w:color w:val="auto"/>
                      <w:kern w:val="0"/>
                      <w:sz w:val="18"/>
                      <w:szCs w:val="18"/>
                      <w:lang w:val="en-US" w:eastAsia="zh-CN"/>
                    </w:rPr>
                  </w:pPr>
                </w:p>
              </w:tc>
              <w:tc>
                <w:tcPr>
                  <w:tcW w:w="883" w:type="dxa"/>
                  <w:vMerge w:val="continue"/>
                  <w:tcBorders>
                    <w:tl2br w:val="nil"/>
                    <w:tr2bl w:val="nil"/>
                  </w:tcBorders>
                  <w:noWrap w:val="0"/>
                  <w:vAlign w:val="center"/>
                </w:tcPr>
                <w:p w14:paraId="650358E5">
                  <w:pPr>
                    <w:adjustRightInd w:val="0"/>
                    <w:snapToGrid w:val="0"/>
                    <w:jc w:val="center"/>
                    <w:rPr>
                      <w:rFonts w:hint="eastAsia"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22B50D6B">
                  <w:pPr>
                    <w:adjustRightInd w:val="0"/>
                    <w:snapToGrid w:val="0"/>
                    <w:jc w:val="center"/>
                    <w:rPr>
                      <w:rFonts w:hint="default" w:cs="Times New Roman"/>
                      <w:color w:val="auto"/>
                      <w:kern w:val="0"/>
                      <w:sz w:val="18"/>
                      <w:szCs w:val="18"/>
                      <w:lang w:val="en-US" w:eastAsia="zh-CN"/>
                    </w:rPr>
                  </w:pPr>
                  <w:r>
                    <w:rPr>
                      <w:rFonts w:hint="eastAsia"/>
                      <w:color w:val="auto"/>
                      <w:sz w:val="18"/>
                      <w:szCs w:val="18"/>
                      <w:highlight w:val="none"/>
                      <w:lang w:val="en-US" w:eastAsia="zh-CN"/>
                    </w:rPr>
                    <w:t>0.2</w:t>
                  </w:r>
                </w:p>
              </w:tc>
              <w:tc>
                <w:tcPr>
                  <w:tcW w:w="1032" w:type="dxa"/>
                  <w:tcBorders>
                    <w:tl2br w:val="nil"/>
                    <w:tr2bl w:val="nil"/>
                  </w:tcBorders>
                  <w:noWrap w:val="0"/>
                  <w:vAlign w:val="center"/>
                </w:tcPr>
                <w:p w14:paraId="60DAA719">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eastAsia"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0.1</w:t>
                  </w:r>
                </w:p>
              </w:tc>
              <w:tc>
                <w:tcPr>
                  <w:tcW w:w="856" w:type="dxa"/>
                  <w:tcBorders>
                    <w:tl2br w:val="nil"/>
                    <w:tr2bl w:val="nil"/>
                  </w:tcBorders>
                  <w:noWrap w:val="0"/>
                  <w:vAlign w:val="center"/>
                </w:tcPr>
                <w:p w14:paraId="3F4A8B90">
                  <w:pPr>
                    <w:keepNext w:val="0"/>
                    <w:keepLines w:val="0"/>
                    <w:pageBreakBefore w:val="0"/>
                    <w:widowControl w:val="0"/>
                    <w:kinsoku/>
                    <w:wordWrap/>
                    <w:overflowPunct/>
                    <w:topLinePunct/>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3DFF5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noWrap w:val="0"/>
                  <w:vAlign w:val="center"/>
                </w:tcPr>
                <w:p w14:paraId="544652D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090" w:type="dxa"/>
                  <w:vMerge w:val="restart"/>
                  <w:tcBorders>
                    <w:tl2br w:val="nil"/>
                    <w:tr2bl w:val="nil"/>
                  </w:tcBorders>
                  <w:noWrap w:val="0"/>
                  <w:vAlign w:val="center"/>
                </w:tcPr>
                <w:p w14:paraId="6E40C9A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HW49类分区</w:t>
                  </w:r>
                </w:p>
              </w:tc>
              <w:tc>
                <w:tcPr>
                  <w:tcW w:w="1158" w:type="dxa"/>
                  <w:tcBorders>
                    <w:tl2br w:val="nil"/>
                    <w:tr2bl w:val="nil"/>
                  </w:tcBorders>
                  <w:noWrap w:val="0"/>
                  <w:vAlign w:val="center"/>
                </w:tcPr>
                <w:p w14:paraId="11FB39EC">
                  <w:pPr>
                    <w:topLinePunct/>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kern w:val="0"/>
                      <w:sz w:val="18"/>
                      <w:szCs w:val="18"/>
                      <w:highlight w:val="none"/>
                      <w:lang w:val="en-US" w:eastAsia="zh-CN"/>
                    </w:rPr>
                    <w:t>废活性炭</w:t>
                  </w:r>
                </w:p>
              </w:tc>
              <w:tc>
                <w:tcPr>
                  <w:tcW w:w="1196" w:type="dxa"/>
                  <w:tcBorders>
                    <w:tl2br w:val="nil"/>
                    <w:tr2bl w:val="nil"/>
                  </w:tcBorders>
                  <w:noWrap w:val="0"/>
                  <w:vAlign w:val="center"/>
                </w:tcPr>
                <w:p w14:paraId="173BE651">
                  <w:pPr>
                    <w:keepNext w:val="0"/>
                    <w:keepLines w:val="0"/>
                    <w:pageBreakBefore w:val="0"/>
                    <w:widowControl w:val="0"/>
                    <w:kinsoku/>
                    <w:wordWrap/>
                    <w:overflowPunct/>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23F62293">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900-039-49</w:t>
                  </w:r>
                </w:p>
              </w:tc>
              <w:tc>
                <w:tcPr>
                  <w:tcW w:w="977" w:type="dxa"/>
                  <w:tcBorders>
                    <w:tl2br w:val="nil"/>
                    <w:tr2bl w:val="nil"/>
                  </w:tcBorders>
                  <w:noWrap w:val="0"/>
                  <w:vAlign w:val="center"/>
                </w:tcPr>
                <w:p w14:paraId="77D9E532">
                  <w:pPr>
                    <w:pStyle w:val="127"/>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T</w:t>
                  </w:r>
                </w:p>
              </w:tc>
              <w:tc>
                <w:tcPr>
                  <w:tcW w:w="853" w:type="dxa"/>
                  <w:vMerge w:val="restart"/>
                  <w:tcBorders>
                    <w:tl2br w:val="nil"/>
                    <w:tr2bl w:val="nil"/>
                  </w:tcBorders>
                  <w:noWrap w:val="0"/>
                  <w:vAlign w:val="center"/>
                </w:tcPr>
                <w:p w14:paraId="0904308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20m</w:t>
                  </w:r>
                  <w:r>
                    <w:rPr>
                      <w:rFonts w:hint="eastAsia" w:ascii="Times New Roman" w:hAnsi="Times New Roman" w:eastAsia="宋体" w:cs="Times New Roman"/>
                      <w:color w:val="auto"/>
                      <w:kern w:val="0"/>
                      <w:sz w:val="18"/>
                      <w:szCs w:val="18"/>
                      <w:highlight w:val="none"/>
                      <w:vertAlign w:val="superscript"/>
                      <w:lang w:val="en-US" w:eastAsia="zh-CN"/>
                    </w:rPr>
                    <w:t>2</w:t>
                  </w:r>
                </w:p>
              </w:tc>
              <w:tc>
                <w:tcPr>
                  <w:tcW w:w="747" w:type="dxa"/>
                  <w:vMerge w:val="restart"/>
                  <w:tcBorders>
                    <w:tl2br w:val="nil"/>
                    <w:tr2bl w:val="nil"/>
                  </w:tcBorders>
                  <w:noWrap w:val="0"/>
                  <w:vAlign w:val="center"/>
                </w:tcPr>
                <w:p w14:paraId="4CA01A2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883" w:type="dxa"/>
                  <w:vMerge w:val="restart"/>
                  <w:tcBorders>
                    <w:tl2br w:val="nil"/>
                    <w:tr2bl w:val="nil"/>
                  </w:tcBorders>
                  <w:noWrap w:val="0"/>
                  <w:vAlign w:val="center"/>
                </w:tcPr>
                <w:p w14:paraId="76780400">
                  <w:pPr>
                    <w:pStyle w:val="94"/>
                    <w:keepNext w:val="0"/>
                    <w:keepLines w:val="0"/>
                    <w:pageBreakBefore w:val="0"/>
                    <w:widowControl w:val="0"/>
                    <w:numPr>
                      <w:ilvl w:val="0"/>
                      <w:numId w:val="0"/>
                    </w:numPr>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r>
                    <w:rPr>
                      <w:rFonts w:hint="eastAsia" w:ascii="Times New Roman" w:hAnsi="Times New Roman" w:eastAsia="宋体" w:cs="Times New Roman"/>
                      <w:color w:val="auto"/>
                      <w:spacing w:val="0"/>
                      <w:kern w:val="0"/>
                      <w:sz w:val="18"/>
                      <w:szCs w:val="18"/>
                      <w:highlight w:val="none"/>
                      <w:lang w:val="en-US" w:eastAsia="zh-CN" w:bidi="he-IL"/>
                    </w:rPr>
                    <w:t>密闭容器装存</w:t>
                  </w:r>
                </w:p>
              </w:tc>
              <w:tc>
                <w:tcPr>
                  <w:tcW w:w="1158" w:type="dxa"/>
                  <w:tcBorders>
                    <w:tl2br w:val="nil"/>
                    <w:tr2bl w:val="nil"/>
                  </w:tcBorders>
                  <w:noWrap w:val="0"/>
                  <w:vAlign w:val="center"/>
                </w:tcPr>
                <w:p w14:paraId="2C861E1B">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color w:val="auto"/>
                      <w:sz w:val="18"/>
                      <w:szCs w:val="18"/>
                      <w:highlight w:val="none"/>
                      <w:lang w:val="en-US" w:eastAsia="zh-CN"/>
                    </w:rPr>
                    <w:t>11.099</w:t>
                  </w:r>
                </w:p>
              </w:tc>
              <w:tc>
                <w:tcPr>
                  <w:tcW w:w="1032" w:type="dxa"/>
                  <w:tcBorders>
                    <w:tl2br w:val="nil"/>
                    <w:tr2bl w:val="nil"/>
                  </w:tcBorders>
                  <w:noWrap w:val="0"/>
                  <w:vAlign w:val="center"/>
                </w:tcPr>
                <w:p w14:paraId="01A8093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5.550</w:t>
                  </w:r>
                </w:p>
              </w:tc>
              <w:tc>
                <w:tcPr>
                  <w:tcW w:w="856" w:type="dxa"/>
                  <w:tcBorders>
                    <w:tl2br w:val="nil"/>
                    <w:tr2bl w:val="nil"/>
                  </w:tcBorders>
                  <w:noWrap w:val="0"/>
                  <w:vAlign w:val="center"/>
                </w:tcPr>
                <w:p w14:paraId="392E0CA7">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6719A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noWrap w:val="0"/>
                  <w:vAlign w:val="center"/>
                </w:tcPr>
                <w:p w14:paraId="32A5FF49">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090" w:type="dxa"/>
                  <w:vMerge w:val="continue"/>
                  <w:tcBorders>
                    <w:tl2br w:val="nil"/>
                    <w:tr2bl w:val="nil"/>
                  </w:tcBorders>
                  <w:noWrap w:val="0"/>
                  <w:vAlign w:val="center"/>
                </w:tcPr>
                <w:p w14:paraId="28BAB336">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p>
              </w:tc>
              <w:tc>
                <w:tcPr>
                  <w:tcW w:w="1158" w:type="dxa"/>
                  <w:tcBorders>
                    <w:tl2br w:val="nil"/>
                    <w:tr2bl w:val="nil"/>
                  </w:tcBorders>
                  <w:noWrap w:val="0"/>
                  <w:vAlign w:val="center"/>
                </w:tcPr>
                <w:p w14:paraId="060E4BDD">
                  <w:pPr>
                    <w:topLinePunct/>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olor w:val="auto"/>
                      <w:kern w:val="0"/>
                      <w:sz w:val="18"/>
                      <w:szCs w:val="18"/>
                      <w:highlight w:val="none"/>
                      <w:lang w:eastAsia="zh-CN"/>
                    </w:rPr>
                    <w:t>废</w:t>
                  </w:r>
                  <w:r>
                    <w:rPr>
                      <w:rFonts w:hint="eastAsia" w:ascii="Times New Roman" w:hAnsi="Times New Roman" w:eastAsia="宋体"/>
                      <w:color w:val="auto"/>
                      <w:kern w:val="0"/>
                      <w:sz w:val="18"/>
                      <w:szCs w:val="18"/>
                      <w:highlight w:val="none"/>
                      <w:lang w:val="en-US" w:eastAsia="zh-CN"/>
                    </w:rPr>
                    <w:t>胶桶</w:t>
                  </w:r>
                </w:p>
              </w:tc>
              <w:tc>
                <w:tcPr>
                  <w:tcW w:w="1196" w:type="dxa"/>
                  <w:tcBorders>
                    <w:tl2br w:val="nil"/>
                    <w:tr2bl w:val="nil"/>
                  </w:tcBorders>
                  <w:noWrap w:val="0"/>
                  <w:vAlign w:val="center"/>
                </w:tcPr>
                <w:p w14:paraId="582EAB91">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0CC2BF6C">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900-041-49</w:t>
                  </w:r>
                </w:p>
              </w:tc>
              <w:tc>
                <w:tcPr>
                  <w:tcW w:w="977" w:type="dxa"/>
                  <w:tcBorders>
                    <w:tl2br w:val="nil"/>
                    <w:tr2bl w:val="nil"/>
                  </w:tcBorders>
                  <w:noWrap w:val="0"/>
                  <w:vAlign w:val="center"/>
                </w:tcPr>
                <w:p w14:paraId="720881CD">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olor w:val="auto"/>
                      <w:kern w:val="0"/>
                      <w:sz w:val="18"/>
                      <w:szCs w:val="18"/>
                      <w:highlight w:val="none"/>
                    </w:rPr>
                    <w:t>T</w:t>
                  </w:r>
                  <w:r>
                    <w:rPr>
                      <w:rFonts w:hint="eastAsia"/>
                      <w:color w:val="auto"/>
                      <w:kern w:val="0"/>
                      <w:sz w:val="18"/>
                      <w:szCs w:val="18"/>
                      <w:highlight w:val="none"/>
                      <w:lang w:val="en-US" w:eastAsia="zh-CN"/>
                    </w:rPr>
                    <w:t>/In</w:t>
                  </w:r>
                </w:p>
              </w:tc>
              <w:tc>
                <w:tcPr>
                  <w:tcW w:w="853" w:type="dxa"/>
                  <w:vMerge w:val="continue"/>
                  <w:tcBorders>
                    <w:tl2br w:val="nil"/>
                    <w:tr2bl w:val="nil"/>
                  </w:tcBorders>
                  <w:noWrap w:val="0"/>
                  <w:vAlign w:val="center"/>
                </w:tcPr>
                <w:p w14:paraId="27A9E24E">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noWrap w:val="0"/>
                  <w:vAlign w:val="center"/>
                </w:tcPr>
                <w:p w14:paraId="3867B03A">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noWrap w:val="0"/>
                  <w:vAlign w:val="center"/>
                </w:tcPr>
                <w:p w14:paraId="5AE8FD81">
                  <w:pPr>
                    <w:pStyle w:val="94"/>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63F794A8">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color w:val="auto"/>
                      <w:sz w:val="18"/>
                      <w:szCs w:val="18"/>
                      <w:highlight w:val="none"/>
                      <w:lang w:val="en-US" w:eastAsia="zh-CN"/>
                    </w:rPr>
                    <w:t>0.012</w:t>
                  </w:r>
                </w:p>
              </w:tc>
              <w:tc>
                <w:tcPr>
                  <w:tcW w:w="1032" w:type="dxa"/>
                  <w:tcBorders>
                    <w:tl2br w:val="nil"/>
                    <w:tr2bl w:val="nil"/>
                  </w:tcBorders>
                  <w:noWrap w:val="0"/>
                  <w:vAlign w:val="center"/>
                </w:tcPr>
                <w:p w14:paraId="1D830D4B">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0.006</w:t>
                  </w:r>
                </w:p>
              </w:tc>
              <w:tc>
                <w:tcPr>
                  <w:tcW w:w="856" w:type="dxa"/>
                  <w:tcBorders>
                    <w:tl2br w:val="nil"/>
                    <w:tr2bl w:val="nil"/>
                  </w:tcBorders>
                  <w:noWrap w:val="0"/>
                  <w:vAlign w:val="center"/>
                </w:tcPr>
                <w:p w14:paraId="0CF5A3B3">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r w14:paraId="2274E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84" w:type="dxa"/>
                  <w:vMerge w:val="continue"/>
                  <w:tcBorders>
                    <w:tl2br w:val="nil"/>
                    <w:tr2bl w:val="nil"/>
                  </w:tcBorders>
                  <w:noWrap w:val="0"/>
                  <w:vAlign w:val="center"/>
                </w:tcPr>
                <w:p w14:paraId="58AAEAB8">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1090" w:type="dxa"/>
                  <w:vMerge w:val="continue"/>
                  <w:tcBorders>
                    <w:tl2br w:val="nil"/>
                    <w:tr2bl w:val="nil"/>
                  </w:tcBorders>
                  <w:noWrap w:val="0"/>
                  <w:vAlign w:val="center"/>
                </w:tcPr>
                <w:p w14:paraId="0B974175">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p>
              </w:tc>
              <w:tc>
                <w:tcPr>
                  <w:tcW w:w="1158" w:type="dxa"/>
                  <w:tcBorders>
                    <w:tl2br w:val="nil"/>
                    <w:tr2bl w:val="nil"/>
                  </w:tcBorders>
                  <w:noWrap w:val="0"/>
                  <w:vAlign w:val="center"/>
                </w:tcPr>
                <w:p w14:paraId="3113B627">
                  <w:pPr>
                    <w:topLinePunct/>
                    <w:jc w:val="center"/>
                    <w:rPr>
                      <w:rFonts w:hint="default" w:ascii="Times New Roman" w:hAnsi="Times New Roman" w:eastAsia="宋体"/>
                      <w:color w:val="auto"/>
                      <w:kern w:val="0"/>
                      <w:sz w:val="18"/>
                      <w:szCs w:val="18"/>
                      <w:highlight w:val="none"/>
                      <w:lang w:val="en-US" w:eastAsia="zh-CN"/>
                    </w:rPr>
                  </w:pPr>
                  <w:r>
                    <w:rPr>
                      <w:rFonts w:hint="eastAsia"/>
                      <w:color w:val="auto"/>
                      <w:kern w:val="0"/>
                      <w:sz w:val="18"/>
                      <w:szCs w:val="18"/>
                      <w:highlight w:val="none"/>
                      <w:lang w:val="en-US" w:eastAsia="zh-CN"/>
                    </w:rPr>
                    <w:t>废过滤棉</w:t>
                  </w:r>
                </w:p>
              </w:tc>
              <w:tc>
                <w:tcPr>
                  <w:tcW w:w="1196" w:type="dxa"/>
                  <w:tcBorders>
                    <w:tl2br w:val="nil"/>
                    <w:tr2bl w:val="nil"/>
                  </w:tcBorders>
                  <w:noWrap w:val="0"/>
                  <w:vAlign w:val="center"/>
                </w:tcPr>
                <w:p w14:paraId="36DE59FB">
                  <w:pPr>
                    <w:keepNext w:val="0"/>
                    <w:keepLines w:val="0"/>
                    <w:pageBreakBefore w:val="0"/>
                    <w:widowControl w:val="0"/>
                    <w:kinsoku/>
                    <w:wordWrap/>
                    <w:overflowPunct/>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HW49</w:t>
                  </w:r>
                </w:p>
              </w:tc>
              <w:tc>
                <w:tcPr>
                  <w:tcW w:w="1368" w:type="dxa"/>
                  <w:tcBorders>
                    <w:tl2br w:val="nil"/>
                    <w:tr2bl w:val="nil"/>
                  </w:tcBorders>
                  <w:noWrap w:val="0"/>
                  <w:vAlign w:val="center"/>
                </w:tcPr>
                <w:p w14:paraId="25D838BC">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900-041-49</w:t>
                  </w:r>
                </w:p>
              </w:tc>
              <w:tc>
                <w:tcPr>
                  <w:tcW w:w="977" w:type="dxa"/>
                  <w:tcBorders>
                    <w:tl2br w:val="nil"/>
                    <w:tr2bl w:val="nil"/>
                  </w:tcBorders>
                  <w:noWrap w:val="0"/>
                  <w:vAlign w:val="center"/>
                </w:tcPr>
                <w:p w14:paraId="0D67F7B0">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jc w:val="center"/>
                    <w:textAlignment w:val="auto"/>
                    <w:rPr>
                      <w:rFonts w:hint="eastAsia" w:ascii="Times New Roman" w:hAnsi="Times New Roman" w:eastAsia="宋体"/>
                      <w:color w:val="auto"/>
                      <w:kern w:val="0"/>
                      <w:sz w:val="18"/>
                      <w:szCs w:val="18"/>
                      <w:highlight w:val="none"/>
                    </w:rPr>
                  </w:pPr>
                  <w:r>
                    <w:rPr>
                      <w:rFonts w:hint="eastAsia" w:ascii="Times New Roman" w:hAnsi="Times New Roman" w:eastAsia="宋体"/>
                      <w:color w:val="auto"/>
                      <w:kern w:val="0"/>
                      <w:sz w:val="18"/>
                      <w:szCs w:val="18"/>
                      <w:highlight w:val="none"/>
                    </w:rPr>
                    <w:t>T</w:t>
                  </w:r>
                  <w:r>
                    <w:rPr>
                      <w:rFonts w:hint="eastAsia"/>
                      <w:color w:val="auto"/>
                      <w:kern w:val="0"/>
                      <w:sz w:val="18"/>
                      <w:szCs w:val="18"/>
                      <w:highlight w:val="none"/>
                      <w:lang w:val="en-US" w:eastAsia="zh-CN"/>
                    </w:rPr>
                    <w:t>/In</w:t>
                  </w:r>
                </w:p>
              </w:tc>
              <w:tc>
                <w:tcPr>
                  <w:tcW w:w="853" w:type="dxa"/>
                  <w:vMerge w:val="continue"/>
                  <w:tcBorders>
                    <w:tl2br w:val="nil"/>
                    <w:tr2bl w:val="nil"/>
                  </w:tcBorders>
                  <w:noWrap w:val="0"/>
                  <w:vAlign w:val="center"/>
                </w:tcPr>
                <w:p w14:paraId="3E4F7421">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p>
              </w:tc>
              <w:tc>
                <w:tcPr>
                  <w:tcW w:w="747" w:type="dxa"/>
                  <w:vMerge w:val="continue"/>
                  <w:tcBorders>
                    <w:tl2br w:val="nil"/>
                    <w:tr2bl w:val="nil"/>
                  </w:tcBorders>
                  <w:noWrap w:val="0"/>
                  <w:vAlign w:val="center"/>
                </w:tcPr>
                <w:p w14:paraId="58C4555D">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highlight w:val="none"/>
                      <w:lang w:val="en-US" w:eastAsia="zh-CN"/>
                    </w:rPr>
                  </w:pPr>
                </w:p>
              </w:tc>
              <w:tc>
                <w:tcPr>
                  <w:tcW w:w="883" w:type="dxa"/>
                  <w:vMerge w:val="continue"/>
                  <w:tcBorders>
                    <w:tl2br w:val="nil"/>
                    <w:tr2bl w:val="nil"/>
                  </w:tcBorders>
                  <w:noWrap w:val="0"/>
                  <w:vAlign w:val="center"/>
                </w:tcPr>
                <w:p w14:paraId="66B09E01">
                  <w:pPr>
                    <w:pStyle w:val="94"/>
                    <w:keepNext w:val="0"/>
                    <w:keepLines w:val="0"/>
                    <w:pageBreakBefore w:val="0"/>
                    <w:widowControl w:val="0"/>
                    <w:kinsoku/>
                    <w:wordWrap/>
                    <w:overflowPunct/>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pacing w:val="0"/>
                      <w:kern w:val="0"/>
                      <w:sz w:val="18"/>
                      <w:szCs w:val="18"/>
                      <w:highlight w:val="none"/>
                      <w:lang w:val="en-US" w:eastAsia="zh-CN" w:bidi="he-IL"/>
                    </w:rPr>
                  </w:pPr>
                </w:p>
              </w:tc>
              <w:tc>
                <w:tcPr>
                  <w:tcW w:w="1158" w:type="dxa"/>
                  <w:tcBorders>
                    <w:tl2br w:val="nil"/>
                    <w:tr2bl w:val="nil"/>
                  </w:tcBorders>
                  <w:noWrap w:val="0"/>
                  <w:vAlign w:val="center"/>
                </w:tcPr>
                <w:p w14:paraId="00C7F90E">
                  <w:pPr>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0.1</w:t>
                  </w:r>
                </w:p>
              </w:tc>
              <w:tc>
                <w:tcPr>
                  <w:tcW w:w="1032" w:type="dxa"/>
                  <w:tcBorders>
                    <w:tl2br w:val="nil"/>
                    <w:tr2bl w:val="nil"/>
                  </w:tcBorders>
                  <w:noWrap w:val="0"/>
                  <w:vAlign w:val="center"/>
                </w:tcPr>
                <w:p w14:paraId="1F4FF8A2">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0.05</w:t>
                  </w:r>
                </w:p>
              </w:tc>
              <w:tc>
                <w:tcPr>
                  <w:tcW w:w="856" w:type="dxa"/>
                  <w:tcBorders>
                    <w:tl2br w:val="nil"/>
                    <w:tr2bl w:val="nil"/>
                  </w:tcBorders>
                  <w:noWrap w:val="0"/>
                  <w:vAlign w:val="center"/>
                </w:tcPr>
                <w:p w14:paraId="7D3FAC60">
                  <w:pPr>
                    <w:keepNext w:val="0"/>
                    <w:keepLines w:val="0"/>
                    <w:pageBreakBefore w:val="0"/>
                    <w:widowControl w:val="0"/>
                    <w:kinsoku/>
                    <w:wordWrap/>
                    <w:overflowPunct/>
                    <w:topLinePunct/>
                    <w:bidi w:val="0"/>
                    <w:adjustRightInd w:val="0"/>
                    <w:snapToGrid w:val="0"/>
                    <w:spacing w:beforeAutospacing="0" w:afterAutospacing="0" w:line="340" w:lineRule="exact"/>
                    <w:ind w:left="0"/>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不超过半年</w:t>
                  </w:r>
                </w:p>
              </w:tc>
            </w:tr>
          </w:tbl>
          <w:p w14:paraId="0F0A5A87">
            <w:pPr>
              <w:pStyle w:val="30"/>
              <w:jc w:val="both"/>
              <w:outlineLvl w:val="0"/>
              <w:rPr>
                <w:rFonts w:hint="default" w:ascii="Times New Roman" w:hAnsi="Times New Roman" w:eastAsia="宋体" w:cs="Times New Roman"/>
                <w:snapToGrid w:val="0"/>
                <w:color w:val="auto"/>
                <w:sz w:val="30"/>
                <w:szCs w:val="30"/>
                <w:vertAlign w:val="baseline"/>
                <w:lang w:val="en-US" w:eastAsia="zh-CN"/>
              </w:rPr>
            </w:pPr>
          </w:p>
        </w:tc>
      </w:tr>
    </w:tbl>
    <w:p w14:paraId="3F2A31F2">
      <w:pPr>
        <w:adjustRightInd w:val="0"/>
        <w:snapToGrid w:val="0"/>
        <w:jc w:val="center"/>
        <w:rPr>
          <w:bCs/>
          <w:color w:val="auto"/>
          <w:sz w:val="24"/>
          <w:szCs w:val="24"/>
        </w:rPr>
        <w:sectPr>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5"/>
        <w:tblW w:w="90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755"/>
      </w:tblGrid>
      <w:tr w14:paraId="7AA28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2" w:hRule="atLeast"/>
          <w:jc w:val="center"/>
        </w:trPr>
        <w:tc>
          <w:tcPr>
            <w:tcW w:w="296" w:type="dxa"/>
            <w:noWrap w:val="0"/>
            <w:tcMar>
              <w:left w:w="28" w:type="dxa"/>
              <w:right w:w="28" w:type="dxa"/>
            </w:tcMar>
            <w:vAlign w:val="center"/>
          </w:tcPr>
          <w:p w14:paraId="5865BAC6">
            <w:pPr>
              <w:adjustRightInd w:val="0"/>
              <w:snapToGrid w:val="0"/>
              <w:jc w:val="center"/>
              <w:rPr>
                <w:bCs/>
                <w:color w:val="auto"/>
                <w:sz w:val="24"/>
                <w:szCs w:val="24"/>
              </w:rPr>
            </w:pPr>
            <w:r>
              <w:rPr>
                <w:bCs/>
                <w:color w:val="auto"/>
                <w:sz w:val="24"/>
                <w:szCs w:val="24"/>
              </w:rPr>
              <w:t>运营</w:t>
            </w:r>
          </w:p>
          <w:p w14:paraId="25336B53">
            <w:pPr>
              <w:adjustRightInd w:val="0"/>
              <w:snapToGrid w:val="0"/>
              <w:jc w:val="center"/>
              <w:rPr>
                <w:bCs/>
                <w:color w:val="auto"/>
                <w:sz w:val="24"/>
                <w:szCs w:val="24"/>
              </w:rPr>
            </w:pPr>
            <w:r>
              <w:rPr>
                <w:bCs/>
                <w:color w:val="auto"/>
                <w:sz w:val="24"/>
                <w:szCs w:val="24"/>
              </w:rPr>
              <w:t>期环</w:t>
            </w:r>
          </w:p>
          <w:p w14:paraId="7E7D9619">
            <w:pPr>
              <w:adjustRightInd w:val="0"/>
              <w:snapToGrid w:val="0"/>
              <w:jc w:val="center"/>
              <w:rPr>
                <w:bCs/>
                <w:color w:val="auto"/>
                <w:sz w:val="24"/>
                <w:szCs w:val="24"/>
              </w:rPr>
            </w:pPr>
            <w:r>
              <w:rPr>
                <w:bCs/>
                <w:color w:val="auto"/>
                <w:sz w:val="24"/>
                <w:szCs w:val="24"/>
              </w:rPr>
              <w:t>境影</w:t>
            </w:r>
          </w:p>
          <w:p w14:paraId="25D63161">
            <w:pPr>
              <w:adjustRightInd w:val="0"/>
              <w:snapToGrid w:val="0"/>
              <w:jc w:val="center"/>
              <w:rPr>
                <w:bCs/>
                <w:color w:val="auto"/>
                <w:sz w:val="24"/>
                <w:szCs w:val="24"/>
              </w:rPr>
            </w:pPr>
            <w:r>
              <w:rPr>
                <w:bCs/>
                <w:color w:val="auto"/>
                <w:sz w:val="24"/>
                <w:szCs w:val="24"/>
              </w:rPr>
              <w:t>响和</w:t>
            </w:r>
          </w:p>
          <w:p w14:paraId="79109421">
            <w:pPr>
              <w:adjustRightInd w:val="0"/>
              <w:snapToGrid w:val="0"/>
              <w:jc w:val="center"/>
              <w:rPr>
                <w:bCs/>
                <w:color w:val="auto"/>
                <w:sz w:val="24"/>
                <w:szCs w:val="24"/>
              </w:rPr>
            </w:pPr>
            <w:r>
              <w:rPr>
                <w:bCs/>
                <w:color w:val="auto"/>
                <w:sz w:val="24"/>
                <w:szCs w:val="24"/>
              </w:rPr>
              <w:t>保护</w:t>
            </w:r>
          </w:p>
          <w:p w14:paraId="7C812EB7">
            <w:pPr>
              <w:adjustRightInd w:val="0"/>
              <w:snapToGrid w:val="0"/>
              <w:jc w:val="center"/>
              <w:rPr>
                <w:bCs/>
                <w:color w:val="auto"/>
                <w:szCs w:val="21"/>
              </w:rPr>
            </w:pPr>
            <w:r>
              <w:rPr>
                <w:bCs/>
                <w:color w:val="auto"/>
                <w:sz w:val="24"/>
                <w:szCs w:val="24"/>
              </w:rPr>
              <w:t>措施</w:t>
            </w:r>
          </w:p>
        </w:tc>
        <w:tc>
          <w:tcPr>
            <w:tcW w:w="8755" w:type="dxa"/>
            <w:noWrap w:val="0"/>
            <w:vAlign w:val="center"/>
          </w:tcPr>
          <w:p w14:paraId="4C2219F6">
            <w:pPr>
              <w:pStyle w:val="4"/>
              <w:bidi w:val="0"/>
              <w:rPr>
                <w:color w:val="auto"/>
              </w:rPr>
            </w:pPr>
            <w:r>
              <w:rPr>
                <w:color w:val="auto"/>
              </w:rPr>
              <w:t>4.</w:t>
            </w:r>
            <w:r>
              <w:rPr>
                <w:rFonts w:hint="eastAsia"/>
                <w:color w:val="auto"/>
              </w:rPr>
              <w:t>5.</w:t>
            </w:r>
            <w:r>
              <w:rPr>
                <w:color w:val="auto"/>
              </w:rPr>
              <w:t>2 运营期固体废物影响分析及环境管理要求</w:t>
            </w:r>
          </w:p>
          <w:p w14:paraId="528E6A9B">
            <w:pPr>
              <w:spacing w:line="360" w:lineRule="auto"/>
              <w:rPr>
                <w:b/>
                <w:bCs/>
                <w:color w:val="auto"/>
                <w:sz w:val="24"/>
              </w:rPr>
            </w:pPr>
            <w:r>
              <w:rPr>
                <w:rFonts w:hint="eastAsia"/>
                <w:b/>
                <w:bCs/>
                <w:color w:val="auto"/>
                <w:sz w:val="24"/>
              </w:rPr>
              <w:t>4.5.2.1</w:t>
            </w:r>
            <w:r>
              <w:rPr>
                <w:b/>
                <w:bCs/>
                <w:color w:val="auto"/>
                <w:sz w:val="24"/>
              </w:rPr>
              <w:t>一般工业固废</w:t>
            </w:r>
          </w:p>
          <w:p w14:paraId="553C0CAB">
            <w:pPr>
              <w:spacing w:line="360" w:lineRule="auto"/>
              <w:ind w:firstLine="482" w:firstLineChars="200"/>
              <w:jc w:val="both"/>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eastAsia="zh-CN"/>
              </w:rPr>
              <w:t>）储存管理要求</w:t>
            </w:r>
          </w:p>
          <w:p w14:paraId="7E08E140">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本评价要求项目产生的一般工业固废应按</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一般工业固体废物贮存和填埋污染控制标准</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GB18599-2020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要求进行规范化的处理处置</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对一般工业固废暂存场所按照《一般工业固体废物贮存和填埋污染控制标准》（GB18599-2020）相关规定建设：</w:t>
            </w:r>
          </w:p>
          <w:p w14:paraId="5944BB60">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①地面应采取硬化措施并满足承载力要求，必要时采取相应措施防止地基下沉。I类场技术要求：当天然基础层饱和渗透系数不大于1.0×10</w:t>
            </w:r>
            <w:r>
              <w:rPr>
                <w:rFonts w:hint="eastAsia" w:ascii="Times New Roman" w:hAnsi="Times New Roman" w:eastAsia="宋体" w:cs="Times New Roman"/>
                <w:color w:val="auto"/>
                <w:sz w:val="24"/>
                <w:vertAlign w:val="superscript"/>
                <w:lang w:val="en-US" w:eastAsia="zh-CN"/>
              </w:rPr>
              <w:t>-5</w:t>
            </w:r>
            <w:r>
              <w:rPr>
                <w:rFonts w:hint="eastAsia" w:ascii="Times New Roman" w:hAnsi="Times New Roman" w:eastAsia="宋体" w:cs="Times New Roman"/>
                <w:color w:val="auto"/>
                <w:sz w:val="24"/>
                <w:lang w:val="en-US" w:eastAsia="zh-CN"/>
              </w:rPr>
              <w:t xml:space="preserve"> cm/s</w:t>
            </w:r>
            <w:r>
              <w:rPr>
                <w:rFonts w:hint="eastAsia" w:cs="Times New Roman"/>
                <w:color w:val="auto"/>
                <w:sz w:val="24"/>
                <w:lang w:val="en-US" w:eastAsia="zh-CN"/>
              </w:rPr>
              <w:t>且</w:t>
            </w:r>
            <w:r>
              <w:rPr>
                <w:rFonts w:hint="eastAsia" w:ascii="Times New Roman" w:hAnsi="Times New Roman" w:eastAsia="宋体" w:cs="Times New Roman"/>
                <w:color w:val="auto"/>
                <w:sz w:val="24"/>
                <w:lang w:val="en-US" w:eastAsia="zh-CN"/>
              </w:rPr>
              <w:t>厚度不小于0.75m时，可以采用天然基础层作为防渗衬层。当天然基础层不能满足上条防渗要求时，可采用改性压实</w:t>
            </w:r>
            <w:r>
              <w:rPr>
                <w:rFonts w:hint="eastAsia" w:cs="Times New Roman"/>
                <w:color w:val="auto"/>
                <w:sz w:val="24"/>
                <w:lang w:val="en-US" w:eastAsia="zh-CN"/>
              </w:rPr>
              <w:t>黏土</w:t>
            </w:r>
            <w:r>
              <w:rPr>
                <w:rFonts w:hint="eastAsia" w:ascii="Times New Roman" w:hAnsi="Times New Roman" w:eastAsia="宋体" w:cs="Times New Roman"/>
                <w:color w:val="auto"/>
                <w:sz w:val="24"/>
                <w:lang w:val="en-US" w:eastAsia="zh-CN"/>
              </w:rPr>
              <w:t>类衬层或具有同等以上隔水效力的其他材料防渗衬层，其防渗性能应至少相当于渗透系数为1.0×10</w:t>
            </w:r>
            <w:r>
              <w:rPr>
                <w:rFonts w:hint="eastAsia" w:ascii="Times New Roman" w:hAnsi="Times New Roman" w:eastAsia="宋体" w:cs="Times New Roman"/>
                <w:color w:val="auto"/>
                <w:sz w:val="24"/>
                <w:vertAlign w:val="superscript"/>
                <w:lang w:val="en-US" w:eastAsia="zh-CN"/>
              </w:rPr>
              <w:t>-5</w:t>
            </w:r>
            <w:r>
              <w:rPr>
                <w:rFonts w:hint="eastAsia" w:ascii="Times New Roman" w:hAnsi="Times New Roman" w:eastAsia="宋体" w:cs="Times New Roman"/>
                <w:color w:val="auto"/>
                <w:sz w:val="24"/>
                <w:lang w:val="en-US" w:eastAsia="zh-CN"/>
              </w:rPr>
              <w:t xml:space="preserve"> cm/s 且厚度为0.75 m的天然基础层。</w:t>
            </w:r>
          </w:p>
          <w:p w14:paraId="61A646F5">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②要求设置必要的防风、防雨、防晒措施，并采取相应的防尘措施。</w:t>
            </w:r>
          </w:p>
          <w:p w14:paraId="218F72CE">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③按《环境保护图形标识－固体废物贮存（处置）场》（GB15562.2）及其修改单设置环境保护图形标志。</w:t>
            </w:r>
          </w:p>
          <w:p w14:paraId="18B5E193">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④一般固体废物区内一般工业固废应按类别分区存放，不得随意堆放，严禁一般工业固废混合堆放。禁止生活垃圾、危险废物混入一般工业固废仓库堆放。</w:t>
            </w:r>
          </w:p>
          <w:p w14:paraId="14B22501">
            <w:pPr>
              <w:spacing w:line="360" w:lineRule="auto"/>
              <w:ind w:firstLine="480" w:firstLineChars="200"/>
              <w:jc w:val="both"/>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同时，</w:t>
            </w: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应当采取防扬散、防流失、防渗漏或者其他防止污染环境的措施，不得擅自倾倒、堆放、丢弃、遗撒固体废物。应当建立健全工业固体废物产生、收集、贮存、运输、利用、处置全过程的污染环境防治责任制度，建立工业固体废物管理台账，如实记录产生工业</w:t>
            </w:r>
            <w:r>
              <w:rPr>
                <w:rFonts w:hint="eastAsia" w:ascii="Times New Roman" w:hAnsi="Times New Roman" w:eastAsia="宋体" w:cs="Times New Roman"/>
                <w:color w:val="auto"/>
                <w:sz w:val="24"/>
                <w:lang w:eastAsia="zh-CN"/>
              </w:rPr>
              <w:t>固</w:t>
            </w:r>
            <w:r>
              <w:rPr>
                <w:rFonts w:hint="default" w:ascii="Times New Roman" w:hAnsi="Times New Roman" w:eastAsia="宋体" w:cs="Times New Roman"/>
                <w:color w:val="auto"/>
                <w:sz w:val="24"/>
              </w:rPr>
              <w:t>体废物的种类、数量、流向、贮存、利用、处置等信息，实现工业固体废物可追溯、可查询，并采取防治工业固体废物污染环境的措施</w:t>
            </w:r>
            <w:r>
              <w:rPr>
                <w:rFonts w:hint="default" w:ascii="Times New Roman" w:hAnsi="Times New Roman" w:eastAsia="宋体" w:cs="Times New Roman"/>
                <w:color w:val="auto"/>
                <w:sz w:val="24"/>
                <w:lang w:eastAsia="zh-CN"/>
              </w:rPr>
              <w:t>。</w:t>
            </w:r>
          </w:p>
          <w:p w14:paraId="787B2C77">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中华人民共和国固体废物污染环境防治法》要求，产生工业固体废物的单位在委托他人运输、‌利用、‌处置工业固体废物时，‌应当对受托方的主体资格和技术能力进行核实，‌并依法签订书面合同，‌在合同中约定污染防治要求。因此建设单位对一般工业固废委托综合利用前，将对物资回收单位审查，‌‌审查内包括但不限于包括对企业的营业执照、环保资质、安全生产许可证等证照进行检查，核实企业是否具备从事工业固废处理活动的合法资质。同时，还需审查企业的组织机构、管理体系、人员配备等方面，确保企业具备完善的管理制度和专业的技术团队，确保回收单位的合规性。</w:t>
            </w:r>
          </w:p>
          <w:p w14:paraId="44CCCC04">
            <w:pPr>
              <w:spacing w:line="360" w:lineRule="auto"/>
              <w:ind w:firstLine="482" w:firstLineChars="200"/>
              <w:jc w:val="both"/>
              <w:rPr>
                <w:rFonts w:hint="default"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eastAsia="zh-CN"/>
              </w:rPr>
              <w:t>）一般工业固废储存情况</w:t>
            </w:r>
          </w:p>
          <w:p w14:paraId="07E7450C">
            <w:pPr>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厂区</w:t>
            </w:r>
            <w:r>
              <w:rPr>
                <w:rFonts w:hint="eastAsia" w:cs="Times New Roman"/>
                <w:color w:val="auto"/>
                <w:sz w:val="24"/>
                <w:highlight w:val="none"/>
                <w:lang w:val="en-US" w:eastAsia="zh-CN"/>
              </w:rPr>
              <w:t>在</w:t>
            </w:r>
            <w:r>
              <w:rPr>
                <w:rFonts w:hint="eastAsia" w:ascii="Times New Roman" w:hAnsi="Times New Roman" w:eastAsia="宋体" w:cs="Times New Roman"/>
                <w:color w:val="auto"/>
                <w:sz w:val="24"/>
                <w:highlight w:val="none"/>
                <w:lang w:val="en-US" w:eastAsia="zh-CN"/>
              </w:rPr>
              <w:t>厂房五三层</w:t>
            </w:r>
            <w:r>
              <w:rPr>
                <w:rFonts w:hint="eastAsia" w:ascii="Times New Roman" w:hAnsi="Times New Roman" w:eastAsia="宋体" w:cs="Times New Roman"/>
                <w:color w:val="auto"/>
                <w:sz w:val="24"/>
                <w:highlight w:val="none"/>
                <w:lang w:eastAsia="zh-CN"/>
              </w:rPr>
              <w:t>北侧</w:t>
            </w:r>
            <w:r>
              <w:rPr>
                <w:rFonts w:hint="eastAsia" w:cs="Times New Roman"/>
                <w:color w:val="auto"/>
                <w:sz w:val="24"/>
                <w:highlight w:val="none"/>
                <w:lang w:val="en-US" w:eastAsia="zh-CN"/>
              </w:rPr>
              <w:t>现有</w:t>
            </w:r>
            <w:r>
              <w:rPr>
                <w:rFonts w:hint="eastAsia" w:ascii="Times New Roman" w:hAnsi="Times New Roman" w:eastAsia="宋体" w:cs="Times New Roman"/>
                <w:color w:val="auto"/>
                <w:sz w:val="24"/>
                <w:highlight w:val="none"/>
                <w:lang w:eastAsia="zh-CN"/>
              </w:rPr>
              <w:t>一间一般工业固废暂存间，建筑面积约</w:t>
            </w:r>
            <w:r>
              <w:rPr>
                <w:rFonts w:hint="eastAsia"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2</w:t>
            </w:r>
            <w:r>
              <w:rPr>
                <w:rFonts w:hint="eastAsia" w:cs="Times New Roman"/>
                <w:color w:val="auto"/>
                <w:sz w:val="24"/>
                <w:highlight w:val="none"/>
                <w:lang w:val="en-US" w:eastAsia="zh-CN"/>
              </w:rPr>
              <w:t>，面积较小，无法满足企业需要，</w:t>
            </w:r>
            <w:r>
              <w:rPr>
                <w:rFonts w:hint="eastAsia" w:cs="Times New Roman"/>
                <w:color w:val="auto"/>
                <w:kern w:val="0"/>
                <w:sz w:val="24"/>
                <w:highlight w:val="none"/>
                <w:lang w:val="en-US" w:eastAsia="zh-CN"/>
              </w:rPr>
              <w:t>本次扩建后对厂房五三层北侧现有一般固废暂存间进行扩建，扩建后面积约50m</w:t>
            </w:r>
            <w:r>
              <w:rPr>
                <w:rFonts w:hint="eastAsia" w:cs="Times New Roman"/>
                <w:color w:val="auto"/>
                <w:kern w:val="0"/>
                <w:sz w:val="24"/>
                <w:highlight w:val="none"/>
                <w:vertAlign w:val="superscript"/>
                <w:lang w:val="en-US" w:eastAsia="zh-CN"/>
              </w:rPr>
              <w:t>2</w:t>
            </w:r>
            <w:r>
              <w:rPr>
                <w:rFonts w:hint="eastAsia" w:cs="Times New Roman"/>
                <w:color w:val="auto"/>
                <w:kern w:val="0"/>
                <w:sz w:val="24"/>
                <w:highlight w:val="none"/>
                <w:vertAlign w:val="baseline"/>
                <w:lang w:val="en-US" w:eastAsia="zh-CN"/>
              </w:rPr>
              <w:t>，</w:t>
            </w:r>
            <w:r>
              <w:rPr>
                <w:rFonts w:hint="eastAsia" w:cs="Times New Roman"/>
                <w:color w:val="auto"/>
                <w:sz w:val="24"/>
                <w:highlight w:val="none"/>
                <w:vertAlign w:val="baseline"/>
                <w:lang w:val="en-US" w:eastAsia="zh-CN"/>
              </w:rPr>
              <w:t>暂存能力约为40t</w:t>
            </w:r>
            <w:r>
              <w:rPr>
                <w:rFonts w:hint="eastAsia" w:cs="Times New Roman"/>
                <w:color w:val="auto"/>
                <w:kern w:val="0"/>
                <w:sz w:val="24"/>
                <w:highlight w:val="none"/>
                <w:lang w:val="en-US" w:eastAsia="zh-CN"/>
              </w:rPr>
              <w:t>；同时在厂房四一层北侧新建一间一般固废暂存间，面积约10m</w:t>
            </w:r>
            <w:r>
              <w:rPr>
                <w:rFonts w:hint="eastAsia" w:cs="Times New Roman"/>
                <w:color w:val="auto"/>
                <w:kern w:val="0"/>
                <w:sz w:val="24"/>
                <w:highlight w:val="none"/>
                <w:vertAlign w:val="superscript"/>
                <w:lang w:val="en-US" w:eastAsia="zh-CN"/>
              </w:rPr>
              <w:t>2</w:t>
            </w:r>
            <w:r>
              <w:rPr>
                <w:rFonts w:hint="eastAsia" w:cs="Times New Roman"/>
                <w:color w:val="auto"/>
                <w:kern w:val="0"/>
                <w:sz w:val="24"/>
                <w:highlight w:val="none"/>
                <w:vertAlign w:val="baseline"/>
                <w:lang w:val="en-US" w:eastAsia="zh-CN"/>
              </w:rPr>
              <w:t>，</w:t>
            </w:r>
            <w:r>
              <w:rPr>
                <w:rFonts w:hint="eastAsia" w:cs="Times New Roman"/>
                <w:color w:val="auto"/>
                <w:sz w:val="24"/>
                <w:highlight w:val="none"/>
                <w:vertAlign w:val="baseline"/>
                <w:lang w:val="en-US" w:eastAsia="zh-CN"/>
              </w:rPr>
              <w:t>暂存能力约为8t</w:t>
            </w:r>
            <w:r>
              <w:rPr>
                <w:rFonts w:hint="eastAsia"/>
                <w:color w:val="auto"/>
                <w:lang w:eastAsia="zh-CN"/>
              </w:rPr>
              <w:t>。</w:t>
            </w:r>
            <w:r>
              <w:rPr>
                <w:rFonts w:hint="eastAsia" w:ascii="Times New Roman" w:hAnsi="Times New Roman" w:eastAsia="宋体" w:cs="Times New Roman"/>
                <w:color w:val="auto"/>
                <w:sz w:val="24"/>
                <w:highlight w:val="none"/>
                <w:lang w:val="en-US" w:eastAsia="zh-CN"/>
              </w:rPr>
              <w:t>根据前文分析，扩建项目</w:t>
            </w:r>
            <w:r>
              <w:rPr>
                <w:rFonts w:hint="eastAsia" w:cs="Times New Roman"/>
                <w:color w:val="auto"/>
                <w:kern w:val="0"/>
                <w:sz w:val="24"/>
                <w:highlight w:val="none"/>
                <w:lang w:val="en-US" w:eastAsia="zh-CN"/>
              </w:rPr>
              <w:t>厂房五</w:t>
            </w:r>
            <w:r>
              <w:rPr>
                <w:rFonts w:hint="eastAsia" w:ascii="Times New Roman" w:hAnsi="Times New Roman" w:eastAsia="宋体" w:cs="Times New Roman"/>
                <w:color w:val="auto"/>
                <w:sz w:val="24"/>
                <w:highlight w:val="none"/>
                <w:lang w:val="en-US" w:eastAsia="zh-CN"/>
              </w:rPr>
              <w:t>新增一般工业固废产生量约为</w:t>
            </w:r>
            <w:r>
              <w:rPr>
                <w:rFonts w:hint="eastAsia" w:cs="Times New Roman"/>
                <w:color w:val="auto"/>
                <w:sz w:val="24"/>
                <w:highlight w:val="none"/>
                <w:lang w:val="en-US" w:eastAsia="zh-CN"/>
              </w:rPr>
              <w:t>51.769</w:t>
            </w:r>
            <w:r>
              <w:rPr>
                <w:rFonts w:hint="eastAsia"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color w:val="auto"/>
                <w:sz w:val="24"/>
                <w:highlight w:val="none"/>
                <w:lang w:eastAsia="zh-CN"/>
              </w:rPr>
              <w:t>，现有工程</w:t>
            </w:r>
            <w:r>
              <w:rPr>
                <w:rFonts w:hint="eastAsia" w:cs="Times New Roman"/>
                <w:color w:val="auto"/>
                <w:kern w:val="0"/>
                <w:sz w:val="24"/>
                <w:highlight w:val="none"/>
                <w:lang w:val="en-US" w:eastAsia="zh-CN"/>
              </w:rPr>
              <w:t>厂房五</w:t>
            </w:r>
            <w:r>
              <w:rPr>
                <w:rFonts w:hint="default" w:ascii="Times New Roman" w:hAnsi="Times New Roman" w:eastAsia="宋体" w:cs="Times New Roman"/>
                <w:color w:val="auto"/>
                <w:sz w:val="24"/>
                <w:highlight w:val="none"/>
                <w:lang w:eastAsia="zh-CN"/>
              </w:rPr>
              <w:t>一般工业固废产生量15t/a，扩建后全厂</w:t>
            </w:r>
            <w:r>
              <w:rPr>
                <w:rFonts w:hint="eastAsia" w:cs="Times New Roman"/>
                <w:color w:val="auto"/>
                <w:kern w:val="0"/>
                <w:sz w:val="24"/>
                <w:highlight w:val="none"/>
                <w:lang w:val="en-US" w:eastAsia="zh-CN"/>
              </w:rPr>
              <w:t>厂房五</w:t>
            </w:r>
            <w:r>
              <w:rPr>
                <w:rFonts w:hint="default" w:ascii="Times New Roman" w:hAnsi="Times New Roman" w:eastAsia="宋体" w:cs="Times New Roman"/>
                <w:color w:val="auto"/>
                <w:sz w:val="24"/>
                <w:highlight w:val="none"/>
                <w:lang w:eastAsia="zh-CN"/>
              </w:rPr>
              <w:t>一般工业固废产生量约为</w:t>
            </w:r>
            <w:r>
              <w:rPr>
                <w:rFonts w:hint="eastAsia" w:ascii="Times New Roman" w:hAnsi="Times New Roman" w:eastAsia="宋体" w:cs="Times New Roman"/>
                <w:color w:val="auto"/>
                <w:sz w:val="24"/>
                <w:highlight w:val="none"/>
                <w:lang w:val="en-US" w:eastAsia="zh-CN"/>
              </w:rPr>
              <w:t>66.769</w:t>
            </w:r>
            <w:r>
              <w:rPr>
                <w:rFonts w:hint="default" w:ascii="Times New Roman" w:hAnsi="Times New Roman" w:eastAsia="宋体" w:cs="Times New Roman"/>
                <w:color w:val="auto"/>
                <w:sz w:val="24"/>
                <w:highlight w:val="none"/>
                <w:lang w:eastAsia="zh-CN"/>
              </w:rPr>
              <w:t>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转运周期不超过半年，因此一般工业固废暂存间内一次最大暂存量约</w:t>
            </w:r>
            <w:r>
              <w:rPr>
                <w:rFonts w:hint="eastAsia" w:ascii="Times New Roman" w:hAnsi="Times New Roman" w:eastAsia="宋体" w:cs="Times New Roman"/>
                <w:color w:val="auto"/>
                <w:sz w:val="24"/>
                <w:highlight w:val="none"/>
                <w:lang w:val="en-US" w:eastAsia="zh-CN"/>
              </w:rPr>
              <w:t>33.3845</w:t>
            </w:r>
            <w:r>
              <w:rPr>
                <w:rFonts w:hint="default" w:ascii="Times New Roman" w:hAnsi="Times New Roman" w:eastAsia="宋体" w:cs="Times New Roman"/>
                <w:color w:val="auto"/>
                <w:sz w:val="24"/>
                <w:highlight w:val="none"/>
                <w:lang w:eastAsia="zh-CN"/>
              </w:rPr>
              <w:t>t</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扩建项目</w:t>
            </w:r>
            <w:r>
              <w:rPr>
                <w:rFonts w:hint="eastAsia" w:cs="Times New Roman"/>
                <w:color w:val="auto"/>
                <w:kern w:val="0"/>
                <w:sz w:val="24"/>
                <w:highlight w:val="none"/>
                <w:lang w:val="en-US" w:eastAsia="zh-CN"/>
              </w:rPr>
              <w:t>厂房四</w:t>
            </w:r>
            <w:r>
              <w:rPr>
                <w:rFonts w:hint="eastAsia" w:ascii="Times New Roman" w:hAnsi="Times New Roman" w:eastAsia="宋体" w:cs="Times New Roman"/>
                <w:color w:val="auto"/>
                <w:sz w:val="24"/>
                <w:highlight w:val="none"/>
                <w:lang w:val="en-US" w:eastAsia="zh-CN"/>
              </w:rPr>
              <w:t>新增一般工业固废产生量约为</w:t>
            </w:r>
            <w:r>
              <w:rPr>
                <w:rFonts w:hint="eastAsia" w:cs="Times New Roman"/>
                <w:color w:val="auto"/>
                <w:sz w:val="24"/>
                <w:highlight w:val="none"/>
                <w:lang w:val="en-US" w:eastAsia="zh-CN"/>
              </w:rPr>
              <w:t>4.005</w:t>
            </w:r>
            <w:r>
              <w:rPr>
                <w:rFonts w:hint="eastAsia"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color w:val="auto"/>
                <w:sz w:val="24"/>
                <w:highlight w:val="none"/>
                <w:lang w:eastAsia="zh-CN"/>
              </w:rPr>
              <w:t>，转运周期不超过半年，因此一般工业固废暂存间内一次最大暂存量约</w:t>
            </w:r>
            <w:r>
              <w:rPr>
                <w:rFonts w:hint="eastAsia" w:ascii="Times New Roman" w:hAnsi="Times New Roman" w:eastAsia="宋体" w:cs="Times New Roman"/>
                <w:color w:val="auto"/>
                <w:sz w:val="24"/>
                <w:highlight w:val="none"/>
                <w:lang w:val="en-US" w:eastAsia="zh-CN"/>
              </w:rPr>
              <w:t>2.0025t/a</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项目拟建一般固废暂存间</w:t>
            </w:r>
            <w:r>
              <w:rPr>
                <w:rFonts w:hint="eastAsia" w:ascii="Times New Roman" w:hAnsi="Times New Roman" w:eastAsia="宋体" w:cs="Times New Roman"/>
                <w:color w:val="auto"/>
                <w:sz w:val="24"/>
                <w:highlight w:val="none"/>
                <w:lang w:val="en-US" w:eastAsia="zh-CN"/>
              </w:rPr>
              <w:t>满足本项目建成后一般工业固废的暂存需求</w:t>
            </w:r>
            <w:r>
              <w:rPr>
                <w:rFonts w:hint="default" w:ascii="Times New Roman" w:hAnsi="Times New Roman" w:eastAsia="宋体" w:cs="Times New Roman"/>
                <w:color w:val="auto"/>
                <w:sz w:val="24"/>
                <w:highlight w:val="none"/>
                <w:lang w:eastAsia="zh-CN"/>
              </w:rPr>
              <w:t>。</w:t>
            </w:r>
          </w:p>
          <w:p w14:paraId="0FB1B7D7">
            <w:pPr>
              <w:spacing w:before="120" w:beforeLines="50" w:line="360" w:lineRule="auto"/>
              <w:rPr>
                <w:b/>
                <w:bCs/>
                <w:color w:val="auto"/>
                <w:sz w:val="24"/>
                <w:highlight w:val="none"/>
              </w:rPr>
            </w:pPr>
            <w:r>
              <w:rPr>
                <w:rFonts w:hint="eastAsia"/>
                <w:b/>
                <w:bCs/>
                <w:color w:val="auto"/>
                <w:sz w:val="24"/>
                <w:highlight w:val="none"/>
              </w:rPr>
              <w:t>4.5.2.2</w:t>
            </w:r>
            <w:r>
              <w:rPr>
                <w:b/>
                <w:bCs/>
                <w:color w:val="auto"/>
                <w:sz w:val="24"/>
                <w:highlight w:val="none"/>
              </w:rPr>
              <w:t>危险废物</w:t>
            </w:r>
          </w:p>
          <w:p w14:paraId="151172DE">
            <w:pPr>
              <w:spacing w:line="360" w:lineRule="auto"/>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rPr>
              <w:t>1</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危险废物贮存间</w:t>
            </w:r>
            <w:r>
              <w:rPr>
                <w:rFonts w:hint="default" w:ascii="Times New Roman" w:hAnsi="Times New Roman" w:eastAsia="宋体" w:cs="Times New Roman"/>
                <w:b/>
                <w:bCs/>
                <w:color w:val="auto"/>
                <w:sz w:val="24"/>
                <w:szCs w:val="24"/>
                <w:highlight w:val="none"/>
                <w:lang w:val="en-US" w:eastAsia="zh-CN"/>
              </w:rPr>
              <w:t>所环境影响分析</w:t>
            </w:r>
          </w:p>
          <w:p w14:paraId="7C8ABFE1">
            <w:pPr>
              <w:spacing w:line="360" w:lineRule="auto"/>
              <w:ind w:firstLine="480" w:firstLineChars="200"/>
              <w:jc w:val="both"/>
              <w:rPr>
                <w:rFonts w:hint="eastAsia" w:ascii="Times New Roman" w:hAnsi="Times New Roman" w:eastAsia="宋体" w:cs="Times New Roman"/>
                <w:color w:val="auto"/>
                <w:sz w:val="24"/>
                <w:highlight w:val="none"/>
                <w:lang w:val="en-US" w:eastAsia="zh-CN"/>
              </w:rPr>
            </w:pPr>
            <w:r>
              <w:rPr>
                <w:rFonts w:hint="eastAsia" w:cs="Times New Roman"/>
                <w:color w:val="auto"/>
                <w:kern w:val="0"/>
                <w:sz w:val="24"/>
                <w:highlight w:val="none"/>
                <w:lang w:val="en-US" w:eastAsia="zh-CN"/>
              </w:rPr>
              <w:t>项目现有危险废物贮存间</w:t>
            </w:r>
            <w:r>
              <w:rPr>
                <w:rFonts w:hint="eastAsia" w:ascii="Times New Roman" w:hAnsi="Times New Roman" w:eastAsia="宋体" w:cs="Times New Roman"/>
                <w:color w:val="auto"/>
                <w:kern w:val="0"/>
                <w:sz w:val="24"/>
                <w:highlight w:val="none"/>
                <w:lang w:val="en-US" w:eastAsia="zh-CN"/>
              </w:rPr>
              <w:t>（5m</w:t>
            </w:r>
            <w:r>
              <w:rPr>
                <w:rFonts w:hint="eastAsia"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位于</w:t>
            </w:r>
            <w:r>
              <w:rPr>
                <w:rFonts w:hint="eastAsia" w:ascii="Times New Roman" w:hAnsi="Times New Roman" w:eastAsia="宋体" w:cs="Times New Roman"/>
                <w:color w:val="auto"/>
                <w:kern w:val="0"/>
                <w:sz w:val="24"/>
                <w:highlight w:val="none"/>
                <w:lang w:val="en-US" w:eastAsia="zh-CN"/>
              </w:rPr>
              <w:t>厂房五三层北侧</w:t>
            </w:r>
            <w:r>
              <w:rPr>
                <w:rFonts w:hint="eastAsia" w:cs="Times New Roman"/>
                <w:color w:val="auto"/>
                <w:kern w:val="0"/>
                <w:sz w:val="24"/>
                <w:highlight w:val="none"/>
                <w:lang w:val="en-US" w:eastAsia="zh-CN"/>
              </w:rPr>
              <w:t>，现有</w:t>
            </w:r>
            <w:r>
              <w:rPr>
                <w:rFonts w:hint="eastAsia" w:ascii="Times New Roman" w:hAnsi="Times New Roman" w:eastAsia="宋体" w:cs="Times New Roman"/>
                <w:color w:val="auto"/>
                <w:kern w:val="0"/>
                <w:sz w:val="24"/>
                <w:highlight w:val="none"/>
                <w:lang w:val="en-US" w:eastAsia="zh-CN"/>
              </w:rPr>
              <w:t>危险废物贮存间</w:t>
            </w:r>
            <w:r>
              <w:rPr>
                <w:rFonts w:hint="eastAsia" w:cs="Times New Roman"/>
                <w:color w:val="auto"/>
                <w:kern w:val="0"/>
                <w:sz w:val="24"/>
                <w:highlight w:val="none"/>
                <w:lang w:val="en-US" w:eastAsia="zh-CN"/>
              </w:rPr>
              <w:t>面积较小，无法满足企业扩建后危险废物贮存的需要，本次改扩建后新建一间危险废物贮存间</w:t>
            </w:r>
            <w:r>
              <w:rPr>
                <w:rFonts w:hint="eastAsia" w:ascii="Times New Roman" w:hAnsi="Times New Roman" w:eastAsia="宋体" w:cs="Times New Roman"/>
                <w:color w:val="auto"/>
                <w:kern w:val="0"/>
                <w:sz w:val="24"/>
                <w:highlight w:val="none"/>
                <w:lang w:val="en-US" w:eastAsia="zh-CN"/>
              </w:rPr>
              <w:t>（25m</w:t>
            </w:r>
            <w:r>
              <w:rPr>
                <w:rFonts w:hint="eastAsia"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，位于</w:t>
            </w:r>
            <w:r>
              <w:rPr>
                <w:rFonts w:hint="eastAsia" w:ascii="Times New Roman" w:hAnsi="Times New Roman" w:eastAsia="宋体" w:cs="Times New Roman"/>
                <w:color w:val="auto"/>
                <w:kern w:val="0"/>
                <w:sz w:val="24"/>
                <w:highlight w:val="none"/>
                <w:lang w:val="en-US" w:eastAsia="zh-CN"/>
              </w:rPr>
              <w:t>厂房五三层北侧，</w:t>
            </w:r>
            <w:r>
              <w:rPr>
                <w:rFonts w:hint="eastAsia" w:cs="Times New Roman"/>
                <w:color w:val="auto"/>
                <w:kern w:val="0"/>
                <w:sz w:val="24"/>
                <w:highlight w:val="none"/>
                <w:lang w:val="en-US" w:eastAsia="zh-CN"/>
              </w:rPr>
              <w:t>危险废物贮存间</w:t>
            </w:r>
            <w:r>
              <w:rPr>
                <w:rFonts w:hint="eastAsia" w:ascii="Times New Roman" w:hAnsi="Times New Roman" w:eastAsia="宋体" w:cs="Times New Roman"/>
                <w:color w:val="auto"/>
                <w:kern w:val="0"/>
                <w:sz w:val="24"/>
                <w:highlight w:val="none"/>
                <w:lang w:val="en-US" w:eastAsia="zh-CN"/>
              </w:rPr>
              <w:t>四周</w:t>
            </w:r>
            <w:r>
              <w:rPr>
                <w:rFonts w:hint="eastAsia" w:cs="Times New Roman"/>
                <w:color w:val="auto"/>
                <w:kern w:val="0"/>
                <w:sz w:val="24"/>
                <w:highlight w:val="none"/>
                <w:lang w:val="en-US" w:eastAsia="zh-CN"/>
              </w:rPr>
              <w:t>应</w:t>
            </w:r>
            <w:r>
              <w:rPr>
                <w:rFonts w:hint="eastAsia" w:ascii="Times New Roman" w:hAnsi="Times New Roman" w:eastAsia="宋体" w:cs="Times New Roman"/>
                <w:color w:val="auto"/>
                <w:kern w:val="0"/>
                <w:sz w:val="24"/>
                <w:highlight w:val="none"/>
                <w:lang w:val="en-US" w:eastAsia="zh-CN"/>
              </w:rPr>
              <w:t>设置导流沟槽，导流沟槽容积不低于间内</w:t>
            </w:r>
            <w:r>
              <w:rPr>
                <w:rFonts w:hint="eastAsia" w:ascii="Times New Roman" w:hAnsi="Times New Roman" w:eastAsia="宋体" w:cs="Times New Roman"/>
                <w:snapToGrid w:val="0"/>
                <w:color w:val="auto"/>
                <w:kern w:val="0"/>
                <w:sz w:val="24"/>
                <w:highlight w:val="none"/>
                <w:lang w:val="en-US" w:eastAsia="zh-CN"/>
              </w:rPr>
              <w:t>液态废物总储量1/10（约0.5m</w:t>
            </w:r>
            <w:r>
              <w:rPr>
                <w:rFonts w:hint="eastAsia" w:ascii="Times New Roman" w:hAnsi="Times New Roman" w:eastAsia="宋体" w:cs="Times New Roman"/>
                <w:snapToGrid w:val="0"/>
                <w:color w:val="auto"/>
                <w:kern w:val="0"/>
                <w:sz w:val="24"/>
                <w:highlight w:val="none"/>
                <w:vertAlign w:val="superscript"/>
                <w:lang w:val="en-US" w:eastAsia="zh-CN"/>
              </w:rPr>
              <w:t>3</w:t>
            </w:r>
            <w:r>
              <w:rPr>
                <w:rFonts w:hint="eastAsia" w:ascii="Times New Roman" w:hAnsi="Times New Roman" w:eastAsia="宋体" w:cs="Times New Roman"/>
                <w:snapToGrid w:val="0"/>
                <w:color w:val="auto"/>
                <w:kern w:val="0"/>
                <w:sz w:val="24"/>
                <w:highlight w:val="none"/>
                <w:lang w:val="en-US" w:eastAsia="zh-CN"/>
              </w:rPr>
              <w:t>），</w:t>
            </w:r>
            <w:r>
              <w:rPr>
                <w:rFonts w:hint="default" w:ascii="Times New Roman" w:hAnsi="Times New Roman" w:eastAsia="宋体" w:cs="Times New Roman"/>
                <w:color w:val="auto"/>
                <w:sz w:val="24"/>
                <w:highlight w:val="none"/>
                <w:lang w:eastAsia="zh-CN"/>
              </w:rPr>
              <w:t>建设项目危险废物贮存间所（设施）基本情况表</w:t>
            </w:r>
            <w:r>
              <w:rPr>
                <w:rFonts w:hint="eastAsia" w:cs="Times New Roman"/>
                <w:color w:val="auto"/>
                <w:sz w:val="24"/>
                <w:highlight w:val="none"/>
                <w:lang w:val="en-US" w:eastAsia="zh-CN"/>
              </w:rPr>
              <w:t>见表4-19</w:t>
            </w:r>
            <w:r>
              <w:rPr>
                <w:rFonts w:hint="eastAsia" w:ascii="Times New Roman" w:hAnsi="Times New Roman" w:eastAsia="宋体" w:cs="Times New Roman"/>
                <w:color w:val="auto"/>
                <w:sz w:val="24"/>
                <w:highlight w:val="none"/>
                <w:lang w:val="en-US" w:eastAsia="zh-CN"/>
              </w:rPr>
              <w:t>，根据该表可知，</w:t>
            </w:r>
            <w:r>
              <w:rPr>
                <w:rFonts w:hint="eastAsia" w:cs="Times New Roman"/>
                <w:color w:val="auto"/>
                <w:sz w:val="24"/>
                <w:highlight w:val="none"/>
                <w:lang w:val="en-US" w:eastAsia="zh-CN"/>
              </w:rPr>
              <w:t>本</w:t>
            </w: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危险废物贮存间贮存能力约为18t，转运周期不超过半年，因此危险废物贮存间内一次最大暂存量约5.781t/a，</w:t>
            </w:r>
            <w:r>
              <w:rPr>
                <w:rFonts w:hint="eastAsia" w:ascii="Times New Roman" w:hAnsi="Times New Roman" w:eastAsia="宋体" w:cs="Times New Roman"/>
                <w:color w:val="auto"/>
                <w:sz w:val="24"/>
                <w:highlight w:val="none"/>
                <w:lang w:eastAsia="zh-CN"/>
              </w:rPr>
              <w:t>项目拟建</w:t>
            </w:r>
            <w:r>
              <w:rPr>
                <w:rFonts w:hint="eastAsia" w:ascii="Times New Roman" w:hAnsi="Times New Roman" w:eastAsia="宋体" w:cs="Times New Roman"/>
                <w:color w:val="auto"/>
                <w:sz w:val="24"/>
                <w:highlight w:val="none"/>
                <w:lang w:val="en-US" w:eastAsia="zh-CN"/>
              </w:rPr>
              <w:t>危险废物贮存间可满足危险废物暂存需求，同时本评价要求建设单位按危废种类分区存放，委托资质单位及时清运。</w:t>
            </w:r>
          </w:p>
          <w:p w14:paraId="75D222DF">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default" w:ascii="Times New Roman" w:hAnsi="Times New Roman" w:eastAsia="黑体" w:cs="Times New Roman"/>
                <w:b w:val="0"/>
                <w:bCs w:val="0"/>
                <w:color w:val="auto"/>
                <w:sz w:val="24"/>
                <w:lang w:val="en-US" w:eastAsia="zh-CN"/>
              </w:rPr>
            </w:pPr>
            <w:r>
              <w:rPr>
                <w:rFonts w:hint="default" w:ascii="Times New Roman" w:hAnsi="Times New Roman" w:eastAsia="黑体" w:cs="Times New Roman"/>
                <w:b w:val="0"/>
                <w:bCs w:val="0"/>
                <w:color w:val="auto"/>
                <w:sz w:val="24"/>
                <w:lang w:val="en-US" w:eastAsia="zh-CN"/>
              </w:rPr>
              <w:t>表4-</w:t>
            </w:r>
            <w:r>
              <w:rPr>
                <w:rFonts w:hint="eastAsia" w:eastAsia="黑体" w:cs="Times New Roman"/>
                <w:b w:val="0"/>
                <w:bCs w:val="0"/>
                <w:color w:val="auto"/>
                <w:sz w:val="24"/>
                <w:lang w:val="en-US" w:eastAsia="zh-CN"/>
              </w:rPr>
              <w:t>20</w:t>
            </w:r>
            <w:r>
              <w:rPr>
                <w:rFonts w:hint="default" w:ascii="Times New Roman" w:hAnsi="Times New Roman" w:eastAsia="黑体" w:cs="Times New Roman"/>
                <w:b w:val="0"/>
                <w:bCs w:val="0"/>
                <w:color w:val="auto"/>
                <w:sz w:val="24"/>
                <w:lang w:val="en-US" w:eastAsia="zh-CN"/>
              </w:rPr>
              <w:t xml:space="preserve"> </w:t>
            </w:r>
            <w:r>
              <w:rPr>
                <w:rFonts w:hint="eastAsia" w:eastAsia="黑体" w:cs="Times New Roman"/>
                <w:b w:val="0"/>
                <w:bCs w:val="0"/>
                <w:color w:val="auto"/>
                <w:sz w:val="24"/>
                <w:lang w:val="en-US" w:eastAsia="zh-CN"/>
              </w:rPr>
              <w:t>扩建后全厂</w:t>
            </w:r>
            <w:r>
              <w:rPr>
                <w:rFonts w:hint="default" w:ascii="Times New Roman" w:hAnsi="Times New Roman" w:eastAsia="黑体" w:cs="Times New Roman"/>
                <w:b w:val="0"/>
                <w:bCs w:val="0"/>
                <w:color w:val="auto"/>
                <w:sz w:val="24"/>
                <w:lang w:val="en-US" w:eastAsia="zh-CN"/>
              </w:rPr>
              <w:t>危险废物分类情况</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2748"/>
              <w:gridCol w:w="1742"/>
              <w:gridCol w:w="1156"/>
              <w:gridCol w:w="1576"/>
              <w:gridCol w:w="740"/>
            </w:tblGrid>
            <w:tr w14:paraId="68822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restart"/>
                  <w:tcBorders>
                    <w:tl2br w:val="nil"/>
                    <w:tr2bl w:val="nil"/>
                  </w:tcBorders>
                  <w:vAlign w:val="center"/>
                </w:tcPr>
                <w:p w14:paraId="0B0AD0DC">
                  <w:pPr>
                    <w:autoSpaceDE w:val="0"/>
                    <w:autoSpaceDN w:val="0"/>
                    <w:jc w:val="center"/>
                    <w:rPr>
                      <w:b/>
                      <w:bCs/>
                      <w:color w:val="auto"/>
                      <w:kern w:val="0"/>
                      <w:sz w:val="18"/>
                      <w:szCs w:val="18"/>
                      <w:highlight w:val="none"/>
                    </w:rPr>
                  </w:pPr>
                  <w:r>
                    <w:rPr>
                      <w:b/>
                      <w:bCs/>
                      <w:color w:val="auto"/>
                      <w:kern w:val="0"/>
                      <w:sz w:val="18"/>
                      <w:szCs w:val="18"/>
                      <w:highlight w:val="none"/>
                    </w:rPr>
                    <w:t>序号</w:t>
                  </w:r>
                </w:p>
              </w:tc>
              <w:tc>
                <w:tcPr>
                  <w:tcW w:w="1609" w:type="pct"/>
                  <w:vMerge w:val="restart"/>
                  <w:tcBorders>
                    <w:tl2br w:val="nil"/>
                    <w:tr2bl w:val="nil"/>
                  </w:tcBorders>
                  <w:vAlign w:val="center"/>
                </w:tcPr>
                <w:p w14:paraId="0D6758C1">
                  <w:pPr>
                    <w:autoSpaceDE w:val="0"/>
                    <w:autoSpaceDN w:val="0"/>
                    <w:jc w:val="center"/>
                    <w:rPr>
                      <w:b/>
                      <w:bCs/>
                      <w:color w:val="auto"/>
                      <w:kern w:val="0"/>
                      <w:sz w:val="18"/>
                      <w:szCs w:val="18"/>
                      <w:highlight w:val="none"/>
                    </w:rPr>
                  </w:pPr>
                  <w:r>
                    <w:rPr>
                      <w:b/>
                      <w:bCs/>
                      <w:color w:val="auto"/>
                      <w:kern w:val="0"/>
                      <w:sz w:val="18"/>
                      <w:szCs w:val="18"/>
                      <w:highlight w:val="none"/>
                    </w:rPr>
                    <w:t>危废类别</w:t>
                  </w:r>
                </w:p>
              </w:tc>
              <w:tc>
                <w:tcPr>
                  <w:tcW w:w="1020" w:type="pct"/>
                  <w:vMerge w:val="restart"/>
                  <w:tcBorders>
                    <w:tl2br w:val="nil"/>
                    <w:tr2bl w:val="nil"/>
                  </w:tcBorders>
                  <w:vAlign w:val="center"/>
                </w:tcPr>
                <w:p w14:paraId="3C46DFFF">
                  <w:pPr>
                    <w:autoSpaceDE w:val="0"/>
                    <w:autoSpaceDN w:val="0"/>
                    <w:jc w:val="center"/>
                    <w:rPr>
                      <w:b/>
                      <w:bCs/>
                      <w:color w:val="auto"/>
                      <w:kern w:val="0"/>
                      <w:sz w:val="18"/>
                      <w:szCs w:val="18"/>
                      <w:highlight w:val="none"/>
                    </w:rPr>
                  </w:pPr>
                  <w:r>
                    <w:rPr>
                      <w:b/>
                      <w:bCs/>
                      <w:color w:val="auto"/>
                      <w:kern w:val="0"/>
                      <w:sz w:val="18"/>
                      <w:szCs w:val="18"/>
                      <w:highlight w:val="none"/>
                    </w:rPr>
                    <w:t>固废名称</w:t>
                  </w:r>
                </w:p>
              </w:tc>
              <w:tc>
                <w:tcPr>
                  <w:tcW w:w="2033" w:type="pct"/>
                  <w:gridSpan w:val="3"/>
                  <w:tcBorders>
                    <w:tl2br w:val="nil"/>
                    <w:tr2bl w:val="nil"/>
                  </w:tcBorders>
                  <w:vAlign w:val="center"/>
                </w:tcPr>
                <w:p w14:paraId="152921A9">
                  <w:pPr>
                    <w:autoSpaceDE w:val="0"/>
                    <w:autoSpaceDN w:val="0"/>
                    <w:jc w:val="center"/>
                    <w:rPr>
                      <w:b/>
                      <w:bCs/>
                      <w:color w:val="auto"/>
                      <w:kern w:val="0"/>
                      <w:sz w:val="18"/>
                      <w:szCs w:val="18"/>
                      <w:highlight w:val="none"/>
                    </w:rPr>
                  </w:pPr>
                  <w:r>
                    <w:rPr>
                      <w:b/>
                      <w:bCs/>
                      <w:color w:val="auto"/>
                      <w:kern w:val="0"/>
                      <w:sz w:val="18"/>
                      <w:szCs w:val="18"/>
                      <w:highlight w:val="none"/>
                    </w:rPr>
                    <w:t>产生量（t/a）</w:t>
                  </w:r>
                </w:p>
              </w:tc>
            </w:tr>
            <w:tr w14:paraId="477D8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continue"/>
                  <w:tcBorders>
                    <w:tl2br w:val="nil"/>
                    <w:tr2bl w:val="nil"/>
                  </w:tcBorders>
                  <w:vAlign w:val="center"/>
                </w:tcPr>
                <w:p w14:paraId="1B7E9AE1">
                  <w:pPr>
                    <w:autoSpaceDE w:val="0"/>
                    <w:autoSpaceDN w:val="0"/>
                    <w:jc w:val="center"/>
                    <w:rPr>
                      <w:b/>
                      <w:bCs/>
                      <w:color w:val="auto"/>
                      <w:kern w:val="0"/>
                      <w:sz w:val="18"/>
                      <w:szCs w:val="18"/>
                      <w:highlight w:val="none"/>
                    </w:rPr>
                  </w:pPr>
                </w:p>
              </w:tc>
              <w:tc>
                <w:tcPr>
                  <w:tcW w:w="1609" w:type="pct"/>
                  <w:vMerge w:val="continue"/>
                  <w:tcBorders>
                    <w:tl2br w:val="nil"/>
                    <w:tr2bl w:val="nil"/>
                  </w:tcBorders>
                  <w:vAlign w:val="center"/>
                </w:tcPr>
                <w:p w14:paraId="6E7E76FF">
                  <w:pPr>
                    <w:autoSpaceDE w:val="0"/>
                    <w:autoSpaceDN w:val="0"/>
                    <w:jc w:val="center"/>
                    <w:rPr>
                      <w:b/>
                      <w:bCs/>
                      <w:color w:val="auto"/>
                      <w:kern w:val="0"/>
                      <w:sz w:val="18"/>
                      <w:szCs w:val="18"/>
                      <w:highlight w:val="none"/>
                    </w:rPr>
                  </w:pPr>
                </w:p>
              </w:tc>
              <w:tc>
                <w:tcPr>
                  <w:tcW w:w="1020" w:type="pct"/>
                  <w:vMerge w:val="continue"/>
                  <w:tcBorders>
                    <w:tl2br w:val="nil"/>
                    <w:tr2bl w:val="nil"/>
                  </w:tcBorders>
                  <w:vAlign w:val="center"/>
                </w:tcPr>
                <w:p w14:paraId="59FE7396">
                  <w:pPr>
                    <w:autoSpaceDE w:val="0"/>
                    <w:autoSpaceDN w:val="0"/>
                    <w:jc w:val="center"/>
                    <w:rPr>
                      <w:b/>
                      <w:bCs/>
                      <w:color w:val="auto"/>
                      <w:kern w:val="0"/>
                      <w:sz w:val="18"/>
                      <w:szCs w:val="18"/>
                      <w:highlight w:val="none"/>
                    </w:rPr>
                  </w:pPr>
                </w:p>
              </w:tc>
              <w:tc>
                <w:tcPr>
                  <w:tcW w:w="677" w:type="pct"/>
                  <w:tcBorders>
                    <w:tl2br w:val="nil"/>
                    <w:tr2bl w:val="nil"/>
                  </w:tcBorders>
                  <w:vAlign w:val="center"/>
                </w:tcPr>
                <w:p w14:paraId="2E54D2F6">
                  <w:pPr>
                    <w:autoSpaceDE w:val="0"/>
                    <w:autoSpaceDN w:val="0"/>
                    <w:jc w:val="center"/>
                    <w:rPr>
                      <w:b/>
                      <w:bCs/>
                      <w:color w:val="auto"/>
                      <w:kern w:val="0"/>
                      <w:sz w:val="18"/>
                      <w:szCs w:val="18"/>
                      <w:highlight w:val="none"/>
                    </w:rPr>
                  </w:pPr>
                  <w:r>
                    <w:rPr>
                      <w:rFonts w:hint="eastAsia"/>
                      <w:b/>
                      <w:bCs/>
                      <w:color w:val="auto"/>
                      <w:kern w:val="0"/>
                      <w:sz w:val="18"/>
                      <w:szCs w:val="18"/>
                      <w:highlight w:val="none"/>
                      <w:lang w:eastAsia="zh-CN"/>
                    </w:rPr>
                    <w:t>现有</w:t>
                  </w:r>
                  <w:r>
                    <w:rPr>
                      <w:b/>
                      <w:bCs/>
                      <w:color w:val="auto"/>
                      <w:kern w:val="0"/>
                      <w:sz w:val="18"/>
                      <w:szCs w:val="18"/>
                      <w:highlight w:val="none"/>
                    </w:rPr>
                    <w:t>工程</w:t>
                  </w:r>
                </w:p>
              </w:tc>
              <w:tc>
                <w:tcPr>
                  <w:tcW w:w="923" w:type="pct"/>
                  <w:tcBorders>
                    <w:tl2br w:val="nil"/>
                    <w:tr2bl w:val="nil"/>
                  </w:tcBorders>
                  <w:vAlign w:val="center"/>
                </w:tcPr>
                <w:p w14:paraId="2658BC4A">
                  <w:pPr>
                    <w:autoSpaceDE w:val="0"/>
                    <w:autoSpaceDN w:val="0"/>
                    <w:jc w:val="center"/>
                    <w:rPr>
                      <w:b/>
                      <w:bCs/>
                      <w:color w:val="auto"/>
                      <w:kern w:val="0"/>
                      <w:sz w:val="18"/>
                      <w:szCs w:val="18"/>
                      <w:highlight w:val="none"/>
                    </w:rPr>
                  </w:pPr>
                  <w:r>
                    <w:rPr>
                      <w:b/>
                      <w:bCs/>
                      <w:color w:val="auto"/>
                      <w:kern w:val="0"/>
                      <w:sz w:val="18"/>
                      <w:szCs w:val="18"/>
                      <w:highlight w:val="none"/>
                    </w:rPr>
                    <w:t>本次扩建工程</w:t>
                  </w:r>
                </w:p>
              </w:tc>
              <w:tc>
                <w:tcPr>
                  <w:tcW w:w="433" w:type="pct"/>
                  <w:tcBorders>
                    <w:tl2br w:val="nil"/>
                    <w:tr2bl w:val="nil"/>
                  </w:tcBorders>
                  <w:vAlign w:val="center"/>
                </w:tcPr>
                <w:p w14:paraId="17C17FAC">
                  <w:pPr>
                    <w:autoSpaceDE w:val="0"/>
                    <w:autoSpaceDN w:val="0"/>
                    <w:jc w:val="center"/>
                    <w:rPr>
                      <w:b/>
                      <w:bCs/>
                      <w:color w:val="auto"/>
                      <w:kern w:val="0"/>
                      <w:sz w:val="18"/>
                      <w:szCs w:val="18"/>
                      <w:highlight w:val="none"/>
                    </w:rPr>
                  </w:pPr>
                  <w:r>
                    <w:rPr>
                      <w:b/>
                      <w:bCs/>
                      <w:color w:val="auto"/>
                      <w:kern w:val="0"/>
                      <w:sz w:val="18"/>
                      <w:szCs w:val="18"/>
                      <w:highlight w:val="none"/>
                    </w:rPr>
                    <w:t>合计</w:t>
                  </w:r>
                </w:p>
              </w:tc>
            </w:tr>
            <w:tr w14:paraId="4F17B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restart"/>
                  <w:tcBorders>
                    <w:tl2br w:val="nil"/>
                    <w:tr2bl w:val="nil"/>
                  </w:tcBorders>
                  <w:vAlign w:val="center"/>
                </w:tcPr>
                <w:p w14:paraId="37F58638">
                  <w:pPr>
                    <w:autoSpaceDE w:val="0"/>
                    <w:autoSpaceDN w:val="0"/>
                    <w:jc w:val="center"/>
                    <w:rPr>
                      <w:color w:val="auto"/>
                      <w:kern w:val="0"/>
                      <w:sz w:val="18"/>
                      <w:szCs w:val="18"/>
                      <w:highlight w:val="none"/>
                    </w:rPr>
                  </w:pPr>
                  <w:r>
                    <w:rPr>
                      <w:color w:val="auto"/>
                      <w:kern w:val="0"/>
                      <w:sz w:val="18"/>
                      <w:szCs w:val="18"/>
                      <w:highlight w:val="none"/>
                    </w:rPr>
                    <w:t>1</w:t>
                  </w:r>
                </w:p>
              </w:tc>
              <w:tc>
                <w:tcPr>
                  <w:tcW w:w="1609" w:type="pct"/>
                  <w:vMerge w:val="restart"/>
                  <w:tcBorders>
                    <w:tl2br w:val="nil"/>
                    <w:tr2bl w:val="nil"/>
                  </w:tcBorders>
                  <w:vAlign w:val="center"/>
                </w:tcPr>
                <w:p w14:paraId="1C35742E">
                  <w:pPr>
                    <w:autoSpaceDE w:val="0"/>
                    <w:autoSpaceDN w:val="0"/>
                    <w:jc w:val="center"/>
                    <w:rPr>
                      <w:color w:val="auto"/>
                      <w:kern w:val="0"/>
                      <w:sz w:val="18"/>
                      <w:szCs w:val="18"/>
                      <w:highlight w:val="none"/>
                    </w:rPr>
                  </w:pPr>
                  <w:r>
                    <w:rPr>
                      <w:rFonts w:hint="eastAsia"/>
                      <w:color w:val="auto"/>
                      <w:kern w:val="0"/>
                      <w:sz w:val="18"/>
                      <w:szCs w:val="18"/>
                      <w:highlight w:val="none"/>
                      <w:lang w:val="en-US" w:eastAsia="zh-CN"/>
                    </w:rPr>
                    <w:t>HW49其他废物</w:t>
                  </w:r>
                </w:p>
              </w:tc>
              <w:tc>
                <w:tcPr>
                  <w:tcW w:w="1020" w:type="pct"/>
                  <w:tcBorders>
                    <w:tl2br w:val="nil"/>
                    <w:tr2bl w:val="nil"/>
                  </w:tcBorders>
                  <w:vAlign w:val="center"/>
                </w:tcPr>
                <w:p w14:paraId="393FBF9C">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废活性炭</w:t>
                  </w:r>
                </w:p>
              </w:tc>
              <w:tc>
                <w:tcPr>
                  <w:tcW w:w="677" w:type="pct"/>
                  <w:tcBorders>
                    <w:tl2br w:val="nil"/>
                    <w:tr2bl w:val="nil"/>
                  </w:tcBorders>
                  <w:vAlign w:val="center"/>
                </w:tcPr>
                <w:p w14:paraId="724BDA0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0.279</w:t>
                  </w:r>
                </w:p>
              </w:tc>
              <w:tc>
                <w:tcPr>
                  <w:tcW w:w="923" w:type="pct"/>
                  <w:tcBorders>
                    <w:tl2br w:val="nil"/>
                    <w:tr2bl w:val="nil"/>
                  </w:tcBorders>
                  <w:vAlign w:val="center"/>
                </w:tcPr>
                <w:p w14:paraId="6260004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10.822</w:t>
                  </w:r>
                </w:p>
              </w:tc>
              <w:tc>
                <w:tcPr>
                  <w:tcW w:w="433" w:type="pct"/>
                  <w:tcBorders>
                    <w:tl2br w:val="nil"/>
                    <w:tr2bl w:val="nil"/>
                  </w:tcBorders>
                  <w:vAlign w:val="center"/>
                </w:tcPr>
                <w:p w14:paraId="162A356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11.101</w:t>
                  </w:r>
                </w:p>
              </w:tc>
            </w:tr>
            <w:tr w14:paraId="35C35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continue"/>
                  <w:tcBorders>
                    <w:tl2br w:val="nil"/>
                    <w:tr2bl w:val="nil"/>
                  </w:tcBorders>
                  <w:vAlign w:val="center"/>
                </w:tcPr>
                <w:p w14:paraId="393B1241">
                  <w:pPr>
                    <w:autoSpaceDE w:val="0"/>
                    <w:autoSpaceDN w:val="0"/>
                    <w:jc w:val="center"/>
                    <w:rPr>
                      <w:color w:val="auto"/>
                      <w:kern w:val="0"/>
                      <w:sz w:val="18"/>
                      <w:szCs w:val="18"/>
                      <w:highlight w:val="none"/>
                    </w:rPr>
                  </w:pPr>
                </w:p>
              </w:tc>
              <w:tc>
                <w:tcPr>
                  <w:tcW w:w="1609" w:type="pct"/>
                  <w:vMerge w:val="continue"/>
                  <w:tcBorders>
                    <w:tl2br w:val="nil"/>
                    <w:tr2bl w:val="nil"/>
                  </w:tcBorders>
                  <w:vAlign w:val="center"/>
                </w:tcPr>
                <w:p w14:paraId="7007333C">
                  <w:pPr>
                    <w:autoSpaceDE w:val="0"/>
                    <w:autoSpaceDN w:val="0"/>
                    <w:jc w:val="center"/>
                    <w:rPr>
                      <w:rFonts w:hint="eastAsia"/>
                      <w:color w:val="auto"/>
                      <w:kern w:val="0"/>
                      <w:sz w:val="18"/>
                      <w:szCs w:val="18"/>
                      <w:highlight w:val="none"/>
                      <w:lang w:val="en-US" w:eastAsia="zh-CN"/>
                    </w:rPr>
                  </w:pPr>
                </w:p>
              </w:tc>
              <w:tc>
                <w:tcPr>
                  <w:tcW w:w="1020" w:type="pct"/>
                  <w:tcBorders>
                    <w:tl2br w:val="nil"/>
                    <w:tr2bl w:val="nil"/>
                  </w:tcBorders>
                  <w:vAlign w:val="center"/>
                </w:tcPr>
                <w:p w14:paraId="12EC38D0">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废胶桶</w:t>
                  </w:r>
                </w:p>
              </w:tc>
              <w:tc>
                <w:tcPr>
                  <w:tcW w:w="677" w:type="pct"/>
                  <w:tcBorders>
                    <w:tl2br w:val="nil"/>
                    <w:tr2bl w:val="nil"/>
                  </w:tcBorders>
                  <w:vAlign w:val="center"/>
                </w:tcPr>
                <w:p w14:paraId="6CBACAC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w:t>
                  </w:r>
                </w:p>
              </w:tc>
              <w:tc>
                <w:tcPr>
                  <w:tcW w:w="923" w:type="pct"/>
                  <w:tcBorders>
                    <w:tl2br w:val="nil"/>
                    <w:tr2bl w:val="nil"/>
                  </w:tcBorders>
                  <w:vAlign w:val="center"/>
                </w:tcPr>
                <w:p w14:paraId="6816661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0.012</w:t>
                  </w:r>
                </w:p>
              </w:tc>
              <w:tc>
                <w:tcPr>
                  <w:tcW w:w="433" w:type="pct"/>
                  <w:tcBorders>
                    <w:tl2br w:val="nil"/>
                    <w:tr2bl w:val="nil"/>
                  </w:tcBorders>
                  <w:vAlign w:val="center"/>
                </w:tcPr>
                <w:p w14:paraId="721BD54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0.012</w:t>
                  </w:r>
                </w:p>
              </w:tc>
            </w:tr>
            <w:tr w14:paraId="272FE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continue"/>
                  <w:tcBorders>
                    <w:tl2br w:val="nil"/>
                    <w:tr2bl w:val="nil"/>
                  </w:tcBorders>
                  <w:vAlign w:val="center"/>
                </w:tcPr>
                <w:p w14:paraId="4C8B8208">
                  <w:pPr>
                    <w:autoSpaceDE w:val="0"/>
                    <w:autoSpaceDN w:val="0"/>
                    <w:jc w:val="center"/>
                    <w:rPr>
                      <w:color w:val="auto"/>
                      <w:kern w:val="0"/>
                      <w:sz w:val="18"/>
                      <w:szCs w:val="18"/>
                      <w:highlight w:val="none"/>
                    </w:rPr>
                  </w:pPr>
                </w:p>
              </w:tc>
              <w:tc>
                <w:tcPr>
                  <w:tcW w:w="1609" w:type="pct"/>
                  <w:vMerge w:val="continue"/>
                  <w:tcBorders>
                    <w:tl2br w:val="nil"/>
                    <w:tr2bl w:val="nil"/>
                  </w:tcBorders>
                  <w:vAlign w:val="center"/>
                </w:tcPr>
                <w:p w14:paraId="3437C5D9">
                  <w:pPr>
                    <w:autoSpaceDE w:val="0"/>
                    <w:autoSpaceDN w:val="0"/>
                    <w:jc w:val="center"/>
                    <w:rPr>
                      <w:rFonts w:hint="eastAsia"/>
                      <w:color w:val="auto"/>
                      <w:kern w:val="0"/>
                      <w:sz w:val="18"/>
                      <w:szCs w:val="18"/>
                      <w:highlight w:val="none"/>
                      <w:lang w:val="en-US" w:eastAsia="zh-CN"/>
                    </w:rPr>
                  </w:pPr>
                </w:p>
              </w:tc>
              <w:tc>
                <w:tcPr>
                  <w:tcW w:w="1020" w:type="pct"/>
                  <w:tcBorders>
                    <w:tl2br w:val="nil"/>
                    <w:tr2bl w:val="nil"/>
                  </w:tcBorders>
                  <w:vAlign w:val="center"/>
                </w:tcPr>
                <w:p w14:paraId="6A99C279">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废过滤棉</w:t>
                  </w:r>
                </w:p>
              </w:tc>
              <w:tc>
                <w:tcPr>
                  <w:tcW w:w="677" w:type="pct"/>
                  <w:tcBorders>
                    <w:tl2br w:val="nil"/>
                    <w:tr2bl w:val="nil"/>
                  </w:tcBorders>
                  <w:vAlign w:val="center"/>
                </w:tcPr>
                <w:p w14:paraId="3E63CDD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0.1</w:t>
                  </w:r>
                </w:p>
              </w:tc>
              <w:tc>
                <w:tcPr>
                  <w:tcW w:w="923" w:type="pct"/>
                  <w:tcBorders>
                    <w:tl2br w:val="nil"/>
                    <w:tr2bl w:val="nil"/>
                  </w:tcBorders>
                  <w:vAlign w:val="center"/>
                </w:tcPr>
                <w:p w14:paraId="4191EB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w:t>
                  </w:r>
                </w:p>
              </w:tc>
              <w:tc>
                <w:tcPr>
                  <w:tcW w:w="433" w:type="pct"/>
                  <w:tcBorders>
                    <w:tl2br w:val="nil"/>
                    <w:tr2bl w:val="nil"/>
                  </w:tcBorders>
                  <w:vAlign w:val="center"/>
                </w:tcPr>
                <w:p w14:paraId="1EA1BAF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0.1</w:t>
                  </w:r>
                </w:p>
              </w:tc>
            </w:tr>
            <w:tr w14:paraId="1FFE3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restart"/>
                  <w:tcBorders>
                    <w:tl2br w:val="nil"/>
                    <w:tr2bl w:val="nil"/>
                  </w:tcBorders>
                  <w:vAlign w:val="center"/>
                </w:tcPr>
                <w:p w14:paraId="57440DF6">
                  <w:pPr>
                    <w:autoSpaceDE w:val="0"/>
                    <w:autoSpaceDN w:val="0"/>
                    <w:jc w:val="center"/>
                    <w:rPr>
                      <w:color w:val="auto"/>
                      <w:kern w:val="0"/>
                      <w:sz w:val="18"/>
                      <w:szCs w:val="18"/>
                      <w:highlight w:val="none"/>
                    </w:rPr>
                  </w:pPr>
                  <w:r>
                    <w:rPr>
                      <w:color w:val="auto"/>
                      <w:kern w:val="0"/>
                      <w:sz w:val="18"/>
                      <w:szCs w:val="18"/>
                      <w:highlight w:val="none"/>
                    </w:rPr>
                    <w:t>2</w:t>
                  </w:r>
                </w:p>
              </w:tc>
              <w:tc>
                <w:tcPr>
                  <w:tcW w:w="1609" w:type="pct"/>
                  <w:vMerge w:val="restart"/>
                  <w:tcBorders>
                    <w:tl2br w:val="nil"/>
                    <w:tr2bl w:val="nil"/>
                  </w:tcBorders>
                  <w:vAlign w:val="center"/>
                </w:tcPr>
                <w:p w14:paraId="5D9809CD">
                  <w:pPr>
                    <w:autoSpaceDE w:val="0"/>
                    <w:autoSpaceDN w:val="0"/>
                    <w:jc w:val="center"/>
                    <w:rPr>
                      <w:rFonts w:hint="default"/>
                      <w:color w:val="auto"/>
                      <w:kern w:val="0"/>
                      <w:sz w:val="18"/>
                      <w:szCs w:val="18"/>
                      <w:highlight w:val="none"/>
                      <w:lang w:val="en-US"/>
                    </w:rPr>
                  </w:pPr>
                  <w:r>
                    <w:rPr>
                      <w:rFonts w:hint="eastAsia"/>
                      <w:color w:val="auto"/>
                      <w:kern w:val="0"/>
                      <w:sz w:val="18"/>
                      <w:szCs w:val="18"/>
                      <w:highlight w:val="none"/>
                      <w:lang w:val="en-US" w:eastAsia="zh-CN"/>
                    </w:rPr>
                    <w:t>HW08废矿物油与含矿物油废物</w:t>
                  </w:r>
                </w:p>
              </w:tc>
              <w:tc>
                <w:tcPr>
                  <w:tcW w:w="1020" w:type="pct"/>
                  <w:tcBorders>
                    <w:tl2br w:val="nil"/>
                    <w:tr2bl w:val="nil"/>
                  </w:tcBorders>
                  <w:vAlign w:val="center"/>
                </w:tcPr>
                <w:p w14:paraId="09C01E07">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废润滑油</w:t>
                  </w:r>
                </w:p>
              </w:tc>
              <w:tc>
                <w:tcPr>
                  <w:tcW w:w="677" w:type="pct"/>
                  <w:tcBorders>
                    <w:tl2br w:val="nil"/>
                    <w:tr2bl w:val="nil"/>
                  </w:tcBorders>
                  <w:vAlign w:val="center"/>
                </w:tcPr>
                <w:p w14:paraId="51C0352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w:t>
                  </w:r>
                </w:p>
              </w:tc>
              <w:tc>
                <w:tcPr>
                  <w:tcW w:w="923" w:type="pct"/>
                  <w:tcBorders>
                    <w:tl2br w:val="nil"/>
                    <w:tr2bl w:val="nil"/>
                  </w:tcBorders>
                  <w:vAlign w:val="center"/>
                </w:tcPr>
                <w:p w14:paraId="37EF6E6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auto"/>
                      <w:kern w:val="0"/>
                      <w:sz w:val="18"/>
                      <w:szCs w:val="18"/>
                      <w:highlight w:val="none"/>
                      <w:lang w:val="en-US" w:eastAsia="zh-CN" w:bidi="ar"/>
                    </w:rPr>
                  </w:pPr>
                  <w:r>
                    <w:rPr>
                      <w:rFonts w:hint="eastAsia" w:eastAsia="宋体"/>
                      <w:color w:val="auto"/>
                      <w:kern w:val="0"/>
                      <w:sz w:val="18"/>
                      <w:szCs w:val="18"/>
                      <w:highlight w:val="none"/>
                      <w:lang w:val="en-US" w:eastAsia="zh-CN" w:bidi="ar"/>
                    </w:rPr>
                    <w:t>0.2</w:t>
                  </w:r>
                </w:p>
              </w:tc>
              <w:tc>
                <w:tcPr>
                  <w:tcW w:w="433" w:type="pct"/>
                  <w:tcBorders>
                    <w:tl2br w:val="nil"/>
                    <w:tr2bl w:val="nil"/>
                  </w:tcBorders>
                  <w:vAlign w:val="center"/>
                </w:tcPr>
                <w:p w14:paraId="25246D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0.2</w:t>
                  </w:r>
                </w:p>
              </w:tc>
            </w:tr>
            <w:tr w14:paraId="17348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6" w:type="pct"/>
                  <w:vMerge w:val="continue"/>
                  <w:tcBorders>
                    <w:tl2br w:val="nil"/>
                    <w:tr2bl w:val="nil"/>
                  </w:tcBorders>
                  <w:vAlign w:val="center"/>
                </w:tcPr>
                <w:p w14:paraId="7EAE99BE">
                  <w:pPr>
                    <w:autoSpaceDE w:val="0"/>
                    <w:autoSpaceDN w:val="0"/>
                    <w:jc w:val="center"/>
                    <w:rPr>
                      <w:rFonts w:hint="eastAsia" w:eastAsia="宋体"/>
                      <w:color w:val="auto"/>
                      <w:kern w:val="0"/>
                      <w:sz w:val="18"/>
                      <w:szCs w:val="18"/>
                      <w:highlight w:val="none"/>
                      <w:lang w:val="en-US" w:eastAsia="zh-CN"/>
                    </w:rPr>
                  </w:pPr>
                </w:p>
              </w:tc>
              <w:tc>
                <w:tcPr>
                  <w:tcW w:w="1609" w:type="pct"/>
                  <w:vMerge w:val="continue"/>
                  <w:tcBorders>
                    <w:tl2br w:val="nil"/>
                    <w:tr2bl w:val="nil"/>
                  </w:tcBorders>
                  <w:vAlign w:val="center"/>
                </w:tcPr>
                <w:p w14:paraId="74F131E3">
                  <w:pPr>
                    <w:autoSpaceDE w:val="0"/>
                    <w:autoSpaceDN w:val="0"/>
                    <w:jc w:val="center"/>
                    <w:rPr>
                      <w:rFonts w:hint="eastAsia"/>
                      <w:color w:val="auto"/>
                      <w:kern w:val="0"/>
                      <w:sz w:val="18"/>
                      <w:szCs w:val="18"/>
                      <w:highlight w:val="none"/>
                      <w:lang w:val="en-US" w:eastAsia="zh-CN"/>
                    </w:rPr>
                  </w:pPr>
                </w:p>
              </w:tc>
              <w:tc>
                <w:tcPr>
                  <w:tcW w:w="1020" w:type="pct"/>
                  <w:tcBorders>
                    <w:tl2br w:val="nil"/>
                    <w:tr2bl w:val="nil"/>
                  </w:tcBorders>
                  <w:vAlign w:val="center"/>
                </w:tcPr>
                <w:p w14:paraId="16E64DA0">
                  <w:pPr>
                    <w:autoSpaceDE w:val="0"/>
                    <w:autoSpaceDN w:val="0"/>
                    <w:jc w:val="center"/>
                    <w:rPr>
                      <w:rFonts w:hint="default"/>
                      <w:color w:val="auto"/>
                      <w:kern w:val="0"/>
                      <w:sz w:val="18"/>
                      <w:szCs w:val="18"/>
                      <w:highlight w:val="none"/>
                      <w:lang w:val="en-US" w:eastAsia="zh-CN"/>
                    </w:rPr>
                  </w:pPr>
                  <w:r>
                    <w:rPr>
                      <w:rFonts w:hint="eastAsia"/>
                      <w:color w:val="auto"/>
                      <w:kern w:val="0"/>
                      <w:sz w:val="18"/>
                      <w:szCs w:val="18"/>
                      <w:highlight w:val="none"/>
                      <w:lang w:val="en-US" w:eastAsia="zh-CN"/>
                    </w:rPr>
                    <w:t>废液压</w:t>
                  </w:r>
                </w:p>
              </w:tc>
              <w:tc>
                <w:tcPr>
                  <w:tcW w:w="677" w:type="pct"/>
                  <w:tcBorders>
                    <w:tl2br w:val="nil"/>
                    <w:tr2bl w:val="nil"/>
                  </w:tcBorders>
                  <w:vAlign w:val="center"/>
                </w:tcPr>
                <w:p w14:paraId="634E1AE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w:t>
                  </w:r>
                </w:p>
              </w:tc>
              <w:tc>
                <w:tcPr>
                  <w:tcW w:w="923" w:type="pct"/>
                  <w:tcBorders>
                    <w:tl2br w:val="nil"/>
                    <w:tr2bl w:val="nil"/>
                  </w:tcBorders>
                  <w:vAlign w:val="center"/>
                </w:tcPr>
                <w:p w14:paraId="7572809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0.2</w:t>
                  </w:r>
                </w:p>
              </w:tc>
              <w:tc>
                <w:tcPr>
                  <w:tcW w:w="433" w:type="pct"/>
                  <w:tcBorders>
                    <w:tl2br w:val="nil"/>
                    <w:tr2bl w:val="nil"/>
                  </w:tcBorders>
                  <w:vAlign w:val="center"/>
                </w:tcPr>
                <w:p w14:paraId="01E474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0.2</w:t>
                  </w:r>
                </w:p>
              </w:tc>
            </w:tr>
            <w:tr w14:paraId="3A01A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945" w:type="pct"/>
                  <w:gridSpan w:val="2"/>
                  <w:tcBorders>
                    <w:tl2br w:val="nil"/>
                    <w:tr2bl w:val="nil"/>
                  </w:tcBorders>
                  <w:vAlign w:val="center"/>
                </w:tcPr>
                <w:p w14:paraId="163B671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合计</w:t>
                  </w:r>
                </w:p>
              </w:tc>
              <w:tc>
                <w:tcPr>
                  <w:tcW w:w="1020" w:type="pct"/>
                  <w:tcBorders>
                    <w:tl2br w:val="nil"/>
                    <w:tr2bl w:val="nil"/>
                  </w:tcBorders>
                  <w:vAlign w:val="center"/>
                </w:tcPr>
                <w:p w14:paraId="5A6EAC91">
                  <w:pPr>
                    <w:autoSpaceDE w:val="0"/>
                    <w:autoSpaceDN w:val="0"/>
                    <w:jc w:val="center"/>
                    <w:rPr>
                      <w:rFonts w:hint="default" w:ascii="Times New Roman" w:hAnsi="Times New Roman" w:eastAsia="宋体" w:cs="Times New Roman"/>
                      <w:color w:val="auto"/>
                      <w:kern w:val="0"/>
                      <w:sz w:val="18"/>
                      <w:szCs w:val="18"/>
                      <w:highlight w:val="none"/>
                      <w:lang w:val="en-US" w:eastAsia="zh-CN" w:bidi="ar-SA"/>
                    </w:rPr>
                  </w:pPr>
                  <w:r>
                    <w:rPr>
                      <w:rFonts w:hint="eastAsia" w:eastAsia="宋体" w:cs="Times New Roman"/>
                      <w:color w:val="auto"/>
                      <w:kern w:val="0"/>
                      <w:sz w:val="18"/>
                      <w:szCs w:val="18"/>
                      <w:highlight w:val="none"/>
                      <w:lang w:val="en-US" w:eastAsia="zh-CN" w:bidi="ar-SA"/>
                    </w:rPr>
                    <w:t>/</w:t>
                  </w:r>
                </w:p>
              </w:tc>
              <w:tc>
                <w:tcPr>
                  <w:tcW w:w="677" w:type="pct"/>
                  <w:tcBorders>
                    <w:tl2br w:val="nil"/>
                    <w:tr2bl w:val="nil"/>
                  </w:tcBorders>
                  <w:vAlign w:val="center"/>
                </w:tcPr>
                <w:p w14:paraId="1FA1E5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0.379</w:t>
                  </w:r>
                </w:p>
              </w:tc>
              <w:tc>
                <w:tcPr>
                  <w:tcW w:w="923" w:type="pct"/>
                  <w:tcBorders>
                    <w:tl2br w:val="nil"/>
                    <w:tr2bl w:val="nil"/>
                  </w:tcBorders>
                  <w:vAlign w:val="center"/>
                </w:tcPr>
                <w:p w14:paraId="00F9066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11.234</w:t>
                  </w:r>
                </w:p>
              </w:tc>
              <w:tc>
                <w:tcPr>
                  <w:tcW w:w="433" w:type="pct"/>
                  <w:tcBorders>
                    <w:tl2br w:val="nil"/>
                    <w:tr2bl w:val="nil"/>
                  </w:tcBorders>
                  <w:vAlign w:val="center"/>
                </w:tcPr>
                <w:p w14:paraId="495DE5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11.613</w:t>
                  </w:r>
                </w:p>
              </w:tc>
            </w:tr>
          </w:tbl>
          <w:p w14:paraId="02895BE9">
            <w:pPr>
              <w:spacing w:before="157" w:beforeLines="50"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危险废物贮存间</w:t>
            </w:r>
            <w:r>
              <w:rPr>
                <w:rFonts w:hint="default" w:ascii="Times New Roman" w:hAnsi="Times New Roman" w:eastAsia="宋体" w:cs="Times New Roman"/>
                <w:color w:val="auto"/>
                <w:sz w:val="24"/>
                <w:szCs w:val="24"/>
                <w:highlight w:val="none"/>
                <w:lang w:val="en-US" w:eastAsia="zh-CN"/>
              </w:rPr>
              <w:t>应按照《危险废物贮存污染控制标准》</w:t>
            </w:r>
            <w:r>
              <w:rPr>
                <w:rFonts w:hint="eastAsia" w:ascii="Times New Roman" w:hAnsi="Times New Roman" w:eastAsia="宋体" w:cs="Times New Roman"/>
                <w:color w:val="auto"/>
                <w:sz w:val="24"/>
                <w:szCs w:val="24"/>
                <w:highlight w:val="none"/>
                <w:lang w:val="en-US" w:eastAsia="zh-CN"/>
              </w:rPr>
              <w:t>（GB 18597-2023）</w:t>
            </w:r>
            <w:r>
              <w:rPr>
                <w:rFonts w:hint="default" w:ascii="Times New Roman" w:hAnsi="Times New Roman" w:eastAsia="宋体" w:cs="Times New Roman"/>
                <w:color w:val="auto"/>
                <w:sz w:val="24"/>
                <w:szCs w:val="24"/>
                <w:highlight w:val="none"/>
                <w:lang w:val="en-US" w:eastAsia="zh-CN"/>
              </w:rPr>
              <w:t>要求进行建设</w:t>
            </w:r>
            <w:r>
              <w:rPr>
                <w:rFonts w:hint="eastAsia" w:ascii="Times New Roman" w:hAnsi="Times New Roman" w:eastAsia="宋体" w:cs="Times New Roman"/>
                <w:color w:val="auto"/>
                <w:sz w:val="24"/>
                <w:szCs w:val="24"/>
                <w:highlight w:val="none"/>
                <w:lang w:val="en-US" w:eastAsia="zh-CN"/>
              </w:rPr>
              <w:t>：</w:t>
            </w:r>
          </w:p>
          <w:p w14:paraId="59DEB7D5">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①具备防风、防晒、防雨、防渗</w:t>
            </w:r>
            <w:r>
              <w:rPr>
                <w:rFonts w:hint="eastAsia" w:ascii="Times New Roman" w:hAnsi="Times New Roman" w:eastAsia="宋体" w:cs="Times New Roman"/>
                <w:color w:val="auto"/>
                <w:sz w:val="24"/>
                <w:szCs w:val="24"/>
                <w:highlight w:val="none"/>
                <w:lang w:val="en-US" w:eastAsia="zh-CN"/>
              </w:rPr>
              <w:t>、防漏、防腐措施，四周配套建设导流沟槽防渗漏。</w:t>
            </w:r>
          </w:p>
          <w:p w14:paraId="2554D267">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根据危险废物的类别、数量、形态、物理化学性质和污染防治等要求设置必要的贮存分区，避免不相容的危险废物接触、混溶。</w:t>
            </w:r>
          </w:p>
          <w:p w14:paraId="459B0BE2">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③贮存设施或贮存分区内地面、墙面裙脚、堵截泄漏的围堰、接触危险废物的隔板和墙体等应采用坚固的材料建造，表面无裂缝。</w:t>
            </w:r>
          </w:p>
          <w:p w14:paraId="3B2A3686">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w:t>
            </w:r>
            <w:r>
              <w:rPr>
                <w:rFonts w:hint="eastAsia" w:cs="Times New Roman"/>
                <w:color w:val="auto"/>
                <w:sz w:val="24"/>
                <w:szCs w:val="24"/>
                <w:highlight w:val="none"/>
                <w:lang w:val="en-US" w:eastAsia="zh-CN"/>
              </w:rPr>
              <w:t>危险废物贮存间</w:t>
            </w:r>
            <w:r>
              <w:rPr>
                <w:rFonts w:hint="default" w:ascii="Times New Roman" w:hAnsi="Times New Roman" w:eastAsia="宋体" w:cs="Times New Roman"/>
                <w:color w:val="auto"/>
                <w:sz w:val="24"/>
                <w:szCs w:val="24"/>
                <w:highlight w:val="none"/>
                <w:lang w:val="en-US" w:eastAsia="zh-CN"/>
              </w:rPr>
              <w:t>所基础必须防渗，贮存设施地面与裙脚应采取表面防渗措施，表面防渗材料应与所接触的物料或污染物相容，可采用抗渗混凝土、高密度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、钠基膨润土防水毯或其他防渗性能等效的材料。贮存的危险废物直接接触地面的，还应进行基础防渗，防渗层为至少1m厚黏土层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cm/s)，或至少2mm厚高密度</w:t>
            </w:r>
            <w:r>
              <w:rPr>
                <w:rFonts w:hint="eastAsia" w:ascii="Times New Roman" w:hAnsi="Times New Roman" w:eastAsia="宋体" w:cs="Times New Roman"/>
                <w:color w:val="auto"/>
                <w:sz w:val="24"/>
                <w:szCs w:val="24"/>
                <w:highlight w:val="none"/>
                <w:lang w:val="en-US" w:eastAsia="zh-CN"/>
              </w:rPr>
              <w:t>塑料零部件</w:t>
            </w:r>
            <w:r>
              <w:rPr>
                <w:rFonts w:hint="default" w:ascii="Times New Roman" w:hAnsi="Times New Roman" w:eastAsia="宋体" w:cs="Times New Roman"/>
                <w:color w:val="auto"/>
                <w:sz w:val="24"/>
                <w:szCs w:val="24"/>
                <w:highlight w:val="none"/>
                <w:lang w:val="en-US" w:eastAsia="zh-CN"/>
              </w:rPr>
              <w:t>等人工防渗材料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cm/s)，或其他防渗性能等效的材料。</w:t>
            </w:r>
          </w:p>
          <w:p w14:paraId="0BFBCE19">
            <w:pPr>
              <w:spacing w:line="360" w:lineRule="auto"/>
              <w:ind w:firstLine="480" w:firstLineChars="200"/>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同一贮存设施宜采用相同的防渗、防腐工艺（包括防渗、防腐结构或材料），防渗、防腐材料应覆盖所有可能与废物及其渗滤液、渗漏液等接触的构筑物表面；采用不同防渗、防腐工艺应分别建设。</w:t>
            </w:r>
          </w:p>
          <w:p w14:paraId="098AF61D">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rPr>
              <w:t>⑤</w:t>
            </w:r>
            <w:r>
              <w:rPr>
                <w:rFonts w:hint="default" w:ascii="Times New Roman" w:hAnsi="Times New Roman" w:eastAsia="宋体" w:cs="Times New Roman"/>
                <w:color w:val="auto"/>
                <w:sz w:val="24"/>
                <w:szCs w:val="24"/>
                <w:highlight w:val="none"/>
                <w:lang w:val="en-US" w:eastAsia="zh-CN"/>
              </w:rPr>
              <w:t>贮存库内不同贮存分区之间应采取隔离措施。隔离措施可根据危险废物特性采用过道、隔板或隔墙等方式。</w:t>
            </w:r>
          </w:p>
          <w:p w14:paraId="66C5C470">
            <w:pPr>
              <w:spacing w:line="360" w:lineRule="auto"/>
              <w:ind w:firstLine="480" w:firstLineChars="200"/>
              <w:rPr>
                <w:rFonts w:hint="default"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⑥在贮存库内或通过贮存分区方式贮存液态危险废物的，应具有液体泄漏堵截设施，堵截设施最小容积不应低于对应贮存区域最大液态废物容器容积或液态废物总储量1/10（二者取较大者）；</w:t>
            </w:r>
          </w:p>
          <w:p w14:paraId="524A47C4">
            <w:pPr>
              <w:spacing w:line="360" w:lineRule="auto"/>
              <w:ind w:firstLine="480" w:firstLineChars="200"/>
              <w:rPr>
                <w:rFonts w:hint="eastAsia" w:ascii="Times New Roman" w:hAnsi="Times New Roman" w:eastAsia="宋体" w:cs="Times New Roman"/>
                <w:snapToGrid w:val="0"/>
                <w:color w:val="auto"/>
                <w:kern w:val="0"/>
                <w:sz w:val="24"/>
                <w:highlight w:val="none"/>
                <w:lang w:val="en-US" w:eastAsia="zh-CN"/>
              </w:rPr>
            </w:pPr>
            <w:r>
              <w:rPr>
                <w:rFonts w:hint="eastAsia" w:ascii="Times New Roman" w:hAnsi="Times New Roman" w:eastAsia="宋体" w:cs="Times New Roman"/>
                <w:snapToGrid w:val="0"/>
                <w:color w:val="auto"/>
                <w:kern w:val="0"/>
                <w:sz w:val="24"/>
                <w:highlight w:val="none"/>
                <w:lang w:val="en-US" w:eastAsia="zh-CN"/>
              </w:rPr>
              <w:t>⑦容器和包装物污染控制要求：容器和包装物材质、内衬应与盛装的危险废物相容；</w:t>
            </w:r>
            <w:r>
              <w:rPr>
                <w:rFonts w:hint="eastAsia" w:ascii="Times New Roman" w:hAnsi="Times New Roman" w:eastAsia="宋体" w:cs="Times New Roman"/>
                <w:color w:val="auto"/>
                <w:kern w:val="0"/>
                <w:sz w:val="24"/>
                <w:lang w:val="en-US" w:eastAsia="zh-CN"/>
              </w:rPr>
              <w:t>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w:t>
            </w:r>
            <w:r>
              <w:rPr>
                <w:rFonts w:hint="eastAsia" w:ascii="Times New Roman" w:hAnsi="Times New Roman" w:eastAsia="宋体" w:cs="Times New Roman"/>
                <w:color w:val="auto"/>
                <w:sz w:val="24"/>
                <w:highlight w:val="none"/>
              </w:rPr>
              <w:t>使用容器盛装液态、半固态危险废物时，容器内部应留有适当的空间，以适应因温度变化等可能引发的收缩和膨胀，防止其导致容器渗漏或永久变形</w:t>
            </w:r>
            <w:r>
              <w:rPr>
                <w:rFonts w:hint="eastAsia" w:ascii="Times New Roman" w:hAnsi="Times New Roman" w:eastAsia="宋体" w:cs="Times New Roman"/>
                <w:color w:val="auto"/>
                <w:sz w:val="24"/>
                <w:highlight w:val="none"/>
                <w:lang w:eastAsia="zh-CN"/>
              </w:rPr>
              <w:t>；容器和包装物外表应保持清洁。</w:t>
            </w:r>
          </w:p>
          <w:p w14:paraId="7FC8D4D6">
            <w:pPr>
              <w:spacing w:line="360" w:lineRule="auto"/>
              <w:ind w:firstLine="480" w:firstLineChars="200"/>
              <w:jc w:val="both"/>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⑧贮存过程污染控制要求：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具有热塑性的危险废物应装入容器或包装袋内进行贮存；易产生粉尘、VOCs、酸雾、有毒有害大气污染物和刺激性气味气体的危险废物应装入闭口容器或包装物内贮存。危险废物贮存过程中易产生粉尘等无组织排放的，应采取抑尘等有效措施。</w:t>
            </w:r>
          </w:p>
          <w:p w14:paraId="28385FE0">
            <w:pP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⑨项目危险废物暂存标志按照《危险废物识别标志设置技术规范》（HJ 1276-2022）要求进行。</w:t>
            </w:r>
          </w:p>
          <w:p w14:paraId="64D0C9A6">
            <w:pPr>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4.5.2.3</w:t>
            </w:r>
            <w:r>
              <w:rPr>
                <w:rFonts w:hint="default" w:ascii="Times New Roman" w:hAnsi="Times New Roman" w:eastAsia="宋体" w:cs="Times New Roman"/>
                <w:b/>
                <w:bCs/>
                <w:color w:val="auto"/>
                <w:sz w:val="24"/>
                <w:szCs w:val="24"/>
                <w:highlight w:val="none"/>
              </w:rPr>
              <w:t>生活垃圾</w:t>
            </w:r>
          </w:p>
          <w:p w14:paraId="669CEF5E">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项目职工产生的生活垃圾应采取分类收集，并委托环卫部门统一外运处置。综述，本项目固体废物</w:t>
            </w:r>
            <w:r>
              <w:rPr>
                <w:rFonts w:hint="eastAsia" w:ascii="Times New Roman" w:hAnsi="Times New Roman" w:eastAsia="宋体" w:cs="Times New Roman"/>
                <w:color w:val="auto"/>
                <w:sz w:val="24"/>
                <w:szCs w:val="24"/>
                <w:highlight w:val="none"/>
                <w:lang w:eastAsia="zh-CN"/>
              </w:rPr>
              <w:t>采取以上处置处理措施后，正常情况下，不会对周边环境造成二次污染</w:t>
            </w:r>
            <w:r>
              <w:rPr>
                <w:rFonts w:hint="default" w:ascii="Times New Roman" w:hAnsi="Times New Roman" w:eastAsia="宋体" w:cs="Times New Roman"/>
                <w:color w:val="auto"/>
                <w:sz w:val="24"/>
                <w:szCs w:val="24"/>
                <w:highlight w:val="none"/>
              </w:rPr>
              <w:t>。</w:t>
            </w:r>
          </w:p>
          <w:p w14:paraId="6FEAA1CB">
            <w:pPr>
              <w:pStyle w:val="3"/>
              <w:numPr>
                <w:ilvl w:val="0"/>
                <w:numId w:val="0"/>
              </w:numPr>
              <w:bidi w:val="0"/>
              <w:ind w:leftChars="0"/>
              <w:rPr>
                <w:color w:val="auto"/>
              </w:rPr>
            </w:pPr>
            <w:r>
              <w:rPr>
                <w:color w:val="auto"/>
              </w:rPr>
              <w:t>4.</w:t>
            </w:r>
            <w:r>
              <w:rPr>
                <w:rFonts w:hint="eastAsia"/>
                <w:color w:val="auto"/>
              </w:rPr>
              <w:t>6</w:t>
            </w:r>
            <w:r>
              <w:rPr>
                <w:color w:val="auto"/>
              </w:rPr>
              <w:t>地下水、土壤环境影响和保护措施</w:t>
            </w:r>
          </w:p>
          <w:p w14:paraId="521DB67B">
            <w:pPr>
              <w:pStyle w:val="4"/>
              <w:bidi w:val="0"/>
              <w:rPr>
                <w:rFonts w:hint="eastAsia"/>
                <w:color w:val="auto"/>
              </w:rPr>
            </w:pPr>
            <w:r>
              <w:rPr>
                <w:rFonts w:hint="eastAsia"/>
                <w:color w:val="auto"/>
              </w:rPr>
              <w:t xml:space="preserve">4.6.1 </w:t>
            </w:r>
            <w:r>
              <w:rPr>
                <w:color w:val="auto"/>
              </w:rPr>
              <w:t>地下水、土壤环境影响</w:t>
            </w:r>
            <w:r>
              <w:rPr>
                <w:rFonts w:hint="eastAsia"/>
                <w:color w:val="auto"/>
              </w:rPr>
              <w:t>分析</w:t>
            </w:r>
          </w:p>
          <w:p w14:paraId="0300992C">
            <w:pPr>
              <w:pStyle w:val="92"/>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w:t>
            </w:r>
            <w:r>
              <w:rPr>
                <w:rFonts w:hint="default" w:ascii="Times New Roman" w:hAnsi="Times New Roman" w:cs="Times New Roman"/>
                <w:b w:val="0"/>
                <w:bCs w:val="0"/>
                <w:color w:val="auto"/>
                <w:highlight w:val="none"/>
                <w:lang w:val="en-US" w:eastAsia="zh-CN"/>
              </w:rPr>
              <w:t>地下水</w:t>
            </w:r>
            <w:r>
              <w:rPr>
                <w:rFonts w:hint="default" w:ascii="Times New Roman" w:hAnsi="Times New Roman" w:eastAsia="宋体" w:cs="Times New Roman"/>
                <w:b w:val="0"/>
                <w:bCs w:val="0"/>
                <w:color w:val="auto"/>
                <w:sz w:val="24"/>
                <w:szCs w:val="24"/>
                <w:highlight w:val="none"/>
                <w:lang w:val="en-US" w:eastAsia="zh-CN"/>
              </w:rPr>
              <w:t>环境</w:t>
            </w:r>
          </w:p>
          <w:p w14:paraId="11381554">
            <w:pPr>
              <w:spacing w:line="360" w:lineRule="auto"/>
              <w:ind w:firstLine="480" w:firstLineChars="200"/>
              <w:rPr>
                <w:color w:val="auto"/>
                <w:sz w:val="24"/>
              </w:rPr>
            </w:pPr>
            <w:r>
              <w:rPr>
                <w:rFonts w:hint="eastAsia" w:ascii="Times New Roman" w:hAnsi="Times New Roman" w:eastAsia="宋体" w:cs="Times New Roman"/>
                <w:strike w:val="0"/>
                <w:dstrike w:val="0"/>
                <w:color w:val="auto"/>
                <w:sz w:val="24"/>
                <w:szCs w:val="24"/>
                <w:highlight w:val="none"/>
                <w:u w:val="none"/>
                <w:lang w:val="en-US" w:eastAsia="zh-CN"/>
              </w:rPr>
              <w:t>本次扩建工程生活污水经化粪池处理达标后排至市政</w:t>
            </w:r>
            <w:r>
              <w:rPr>
                <w:rFonts w:hint="eastAsia" w:cs="Times New Roman"/>
                <w:strike w:val="0"/>
                <w:dstrike w:val="0"/>
                <w:color w:val="auto"/>
                <w:sz w:val="24"/>
                <w:szCs w:val="24"/>
                <w:highlight w:val="none"/>
                <w:u w:val="none"/>
                <w:lang w:val="en-US" w:eastAsia="zh-CN"/>
              </w:rPr>
              <w:t>污水</w:t>
            </w:r>
            <w:r>
              <w:rPr>
                <w:rFonts w:hint="eastAsia" w:ascii="Times New Roman" w:hAnsi="Times New Roman" w:eastAsia="宋体" w:cs="Times New Roman"/>
                <w:strike w:val="0"/>
                <w:dstrike w:val="0"/>
                <w:color w:val="auto"/>
                <w:sz w:val="24"/>
                <w:szCs w:val="24"/>
                <w:highlight w:val="none"/>
                <w:u w:val="none"/>
                <w:lang w:val="en-US" w:eastAsia="zh-CN"/>
              </w:rPr>
              <w:t>管网</w:t>
            </w:r>
            <w:r>
              <w:rPr>
                <w:rFonts w:hint="eastAsia" w:cs="Times New Roman"/>
                <w:strike w:val="0"/>
                <w:dstrike w:val="0"/>
                <w:color w:val="auto"/>
                <w:sz w:val="24"/>
                <w:szCs w:val="24"/>
                <w:highlight w:val="none"/>
                <w:u w:val="none"/>
                <w:lang w:val="en-US" w:eastAsia="zh-CN"/>
              </w:rPr>
              <w:t>接入福清市融元污水处理厂处理</w:t>
            </w:r>
            <w:r>
              <w:rPr>
                <w:rFonts w:hint="eastAsia" w:ascii="Times New Roman" w:hAnsi="Times New Roman" w:eastAsia="宋体" w:cs="Times New Roman"/>
                <w:strike w:val="0"/>
                <w:dstrike w:val="0"/>
                <w:color w:val="auto"/>
                <w:sz w:val="24"/>
                <w:szCs w:val="24"/>
                <w:highlight w:val="none"/>
                <w:u w:val="none"/>
                <w:lang w:val="en-US" w:eastAsia="zh-CN"/>
              </w:rPr>
              <w:t>，</w:t>
            </w:r>
            <w:r>
              <w:rPr>
                <w:color w:val="auto"/>
                <w:sz w:val="24"/>
              </w:rPr>
              <w:t>项目废水不含有毒有害污染物，不含重金属等污染物，正常工况下</w:t>
            </w:r>
            <w:r>
              <w:rPr>
                <w:rFonts w:hint="eastAsia"/>
                <w:color w:val="auto"/>
                <w:sz w:val="24"/>
              </w:rPr>
              <w:t>污水</w:t>
            </w:r>
            <w:r>
              <w:rPr>
                <w:color w:val="auto"/>
                <w:sz w:val="24"/>
              </w:rPr>
              <w:t>不易渗漏和进入地下水。根据现场调查，项目</w:t>
            </w:r>
            <w:r>
              <w:rPr>
                <w:rFonts w:hint="eastAsia"/>
                <w:color w:val="auto"/>
                <w:sz w:val="24"/>
              </w:rPr>
              <w:t>周边区域</w:t>
            </w:r>
            <w:r>
              <w:rPr>
                <w:color w:val="auto"/>
                <w:sz w:val="24"/>
              </w:rPr>
              <w:t>已全部开通自来水管网、生活用水采用自来水。项目未对</w:t>
            </w:r>
            <w:r>
              <w:rPr>
                <w:rFonts w:hint="eastAsia"/>
                <w:color w:val="auto"/>
                <w:sz w:val="24"/>
              </w:rPr>
              <w:t>地下水进行开采，运营期间用水由市政管网供水，不会对地下水水位产生影响。</w:t>
            </w:r>
          </w:p>
          <w:p w14:paraId="7C9842CA">
            <w:pPr>
              <w:spacing w:line="360" w:lineRule="auto"/>
              <w:ind w:firstLine="480" w:firstLineChars="200"/>
              <w:rPr>
                <w:color w:val="auto"/>
                <w:sz w:val="24"/>
              </w:rPr>
            </w:pPr>
            <w:r>
              <w:rPr>
                <w:color w:val="auto"/>
                <w:kern w:val="18"/>
                <w:sz w:val="24"/>
                <w:szCs w:val="52"/>
              </w:rPr>
              <w:t>建设单位采取分区防渗防控措施</w:t>
            </w:r>
            <w:r>
              <w:rPr>
                <w:rFonts w:hint="eastAsia"/>
                <w:color w:val="auto"/>
                <w:kern w:val="18"/>
                <w:sz w:val="24"/>
                <w:szCs w:val="52"/>
              </w:rPr>
              <w:t>后</w:t>
            </w:r>
            <w:r>
              <w:rPr>
                <w:rFonts w:hint="eastAsia"/>
                <w:color w:val="auto"/>
                <w:kern w:val="18"/>
                <w:sz w:val="24"/>
                <w:szCs w:val="20"/>
              </w:rPr>
              <w:t>，在正常工况下，建设项目防渗设施充足，不会发生污水泄漏；</w:t>
            </w:r>
            <w:r>
              <w:rPr>
                <w:rFonts w:hint="eastAsia"/>
                <w:color w:val="auto"/>
                <w:sz w:val="24"/>
              </w:rPr>
              <w:t>非正常工况下，会对地下水下游造成一定的污染。为了避免污染事故，评价要求建设单位应严格落实评价提出的各项防治措施及相关设计规范的要求，同时做好地下水监控及污染事故应急方案。</w:t>
            </w:r>
          </w:p>
          <w:p w14:paraId="3A4AB666">
            <w:pPr>
              <w:spacing w:line="360" w:lineRule="auto"/>
              <w:ind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rPr>
              <w:t>2</w:t>
            </w:r>
            <w:r>
              <w:rPr>
                <w:rFonts w:hint="eastAsia"/>
                <w:color w:val="auto"/>
                <w:sz w:val="24"/>
                <w:highlight w:val="none"/>
                <w:lang w:eastAsia="zh-CN"/>
              </w:rPr>
              <w:t>）</w:t>
            </w:r>
            <w:r>
              <w:rPr>
                <w:rFonts w:hint="eastAsia"/>
                <w:color w:val="auto"/>
                <w:sz w:val="24"/>
                <w:highlight w:val="none"/>
              </w:rPr>
              <w:t>土壤</w:t>
            </w:r>
            <w:r>
              <w:rPr>
                <w:color w:val="auto"/>
                <w:sz w:val="24"/>
                <w:highlight w:val="none"/>
              </w:rPr>
              <w:t>环境</w:t>
            </w:r>
            <w:r>
              <w:rPr>
                <w:rFonts w:hint="eastAsia" w:ascii="Times New Roman" w:hAnsi="Times New Roman" w:eastAsia="宋体" w:cs="Times New Roman"/>
                <w:color w:val="auto"/>
                <w:sz w:val="24"/>
                <w:highlight w:val="none"/>
              </w:rPr>
              <w:t>影响分析</w:t>
            </w:r>
          </w:p>
          <w:p w14:paraId="357FEE04">
            <w:pPr>
              <w:widowControl/>
              <w:spacing w:line="360" w:lineRule="auto"/>
              <w:ind w:firstLine="480" w:firstLineChars="200"/>
              <w:jc w:val="left"/>
              <w:rPr>
                <w:color w:val="auto"/>
                <w:kern w:val="0"/>
                <w:sz w:val="24"/>
                <w:highlight w:val="none"/>
              </w:rPr>
            </w:pPr>
            <w:r>
              <w:rPr>
                <w:rFonts w:hint="eastAsia"/>
                <w:color w:val="auto"/>
                <w:kern w:val="0"/>
                <w:sz w:val="24"/>
                <w:highlight w:val="none"/>
              </w:rPr>
              <w:t>项目运营期对土壤的环境影响主要来自“三废”排放。</w:t>
            </w:r>
          </w:p>
          <w:p w14:paraId="443DD3F0">
            <w:pPr>
              <w:widowControl/>
              <w:spacing w:line="360" w:lineRule="auto"/>
              <w:ind w:firstLine="480" w:firstLineChars="200"/>
              <w:jc w:val="left"/>
              <w:rPr>
                <w:color w:val="auto"/>
                <w:kern w:val="0"/>
                <w:sz w:val="24"/>
                <w:highlight w:val="none"/>
              </w:rPr>
            </w:pPr>
            <w:r>
              <w:rPr>
                <w:rFonts w:hint="eastAsia"/>
                <w:color w:val="auto"/>
                <w:kern w:val="0"/>
                <w:sz w:val="24"/>
                <w:highlight w:val="none"/>
                <w:lang w:val="en-US" w:eastAsia="zh-CN"/>
              </w:rPr>
              <w:t>①</w:t>
            </w:r>
            <w:r>
              <w:rPr>
                <w:rFonts w:hint="eastAsia"/>
                <w:color w:val="auto"/>
                <w:kern w:val="0"/>
                <w:sz w:val="24"/>
                <w:highlight w:val="none"/>
              </w:rPr>
              <w:t>废气对土壤环境的影响</w:t>
            </w:r>
          </w:p>
          <w:p w14:paraId="61E76859">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废气中的污染物，通过降水、扩散和重力作用降落至地面，渗透进入土壤，进而污染土壤环境。</w:t>
            </w:r>
          </w:p>
          <w:p w14:paraId="6C1541E6">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②废水对土壤环境的影响</w:t>
            </w:r>
          </w:p>
          <w:p w14:paraId="154B3928">
            <w:pPr>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本次扩建工程生活污水经化粪池处理达标后排至市政</w:t>
            </w:r>
            <w:r>
              <w:rPr>
                <w:rFonts w:hint="eastAsia" w:cs="Times New Roman"/>
                <w:color w:val="auto"/>
                <w:sz w:val="24"/>
                <w:szCs w:val="24"/>
                <w:highlight w:val="none"/>
                <w:u w:val="none"/>
                <w:lang w:val="en-US" w:eastAsia="zh-CN"/>
              </w:rPr>
              <w:t>污水</w:t>
            </w:r>
            <w:r>
              <w:rPr>
                <w:rFonts w:hint="eastAsia" w:ascii="Times New Roman" w:hAnsi="Times New Roman" w:eastAsia="宋体" w:cs="Times New Roman"/>
                <w:color w:val="auto"/>
                <w:sz w:val="24"/>
                <w:szCs w:val="24"/>
                <w:highlight w:val="none"/>
                <w:u w:val="none"/>
                <w:lang w:val="en-US" w:eastAsia="zh-CN"/>
              </w:rPr>
              <w:t>管网</w:t>
            </w:r>
            <w:r>
              <w:rPr>
                <w:rFonts w:hint="eastAsia" w:cs="Times New Roman"/>
                <w:color w:val="auto"/>
                <w:sz w:val="24"/>
                <w:szCs w:val="24"/>
                <w:highlight w:val="none"/>
                <w:u w:val="none"/>
                <w:lang w:val="en-US" w:eastAsia="zh-CN"/>
              </w:rPr>
              <w:t>接入福清市融元污水处理厂处理</w:t>
            </w:r>
            <w:r>
              <w:rPr>
                <w:rFonts w:hint="eastAsia" w:ascii="Times New Roman" w:hAnsi="Times New Roman" w:eastAsia="宋体" w:cs="Times New Roman"/>
                <w:color w:val="auto"/>
                <w:sz w:val="24"/>
                <w:szCs w:val="24"/>
                <w:highlight w:val="none"/>
                <w:u w:val="none"/>
                <w:lang w:val="en-US" w:eastAsia="zh-CN"/>
              </w:rPr>
              <w:t>，正常情况下，生活污水</w:t>
            </w:r>
            <w:r>
              <w:rPr>
                <w:rFonts w:hint="default" w:ascii="Times New Roman" w:hAnsi="Times New Roman" w:eastAsia="宋体" w:cs="Times New Roman"/>
                <w:color w:val="auto"/>
                <w:sz w:val="24"/>
                <w:szCs w:val="24"/>
                <w:highlight w:val="none"/>
                <w:u w:val="none"/>
                <w:lang w:val="en-US" w:eastAsia="zh-CN"/>
              </w:rPr>
              <w:t>对土壤环境的影响不大。</w:t>
            </w:r>
          </w:p>
          <w:p w14:paraId="13F0AAE1">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③固体废物对土壤环境的影响</w:t>
            </w:r>
          </w:p>
          <w:p w14:paraId="4255D931">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固体废物泄漏或危险废物未及时处理而产生的渗出液、滤沥液进入土壤，进而污染土壤环境。</w:t>
            </w:r>
          </w:p>
          <w:p w14:paraId="44DFE00A">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④污染物进入土壤产生的影响</w:t>
            </w:r>
          </w:p>
          <w:p w14:paraId="125086E0">
            <w:pPr>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分析可知，物料渗漏影响土壤的主要是有机物，有机物进入土壤的数量和速度超过了土壤的净化作用的速度，破坏了自然动态平衡，使污染物的积累过程逐渐占据优势，从而导致土壤自然正常功能失调，土壤质量下降，并影响到作物的生长发育，以及产量和质量下降。有机物污染进入土壤后，可危及农作物生长和土壤生物的生存，而土壤污染往往是以食物链方式通过粮食、蔬菜、水果、茶叶及草食性动物（如家禽家畜）乃至肉食性动物等最后进入人体而影响人群健康。因此，这是一个逐步累积的过程，具有隐蔽性和潜伏性。人体接触污染土壤后，手脚出现红色皮疹，并有恶心，头晕现象</w:t>
            </w:r>
            <w:r>
              <w:rPr>
                <w:rFonts w:hint="eastAsia"/>
                <w:color w:val="auto"/>
                <w:sz w:val="24"/>
                <w:highlight w:val="none"/>
              </w:rPr>
              <w:t>。</w:t>
            </w:r>
            <w:r>
              <w:rPr>
                <w:rFonts w:hint="eastAsia" w:ascii="Times New Roman" w:hAnsi="Times New Roman" w:eastAsia="宋体"/>
                <w:color w:val="auto"/>
                <w:sz w:val="24"/>
                <w:highlight w:val="none"/>
                <w:lang w:val="en-US" w:eastAsia="zh-CN"/>
              </w:rPr>
              <w:t>本项目对有机废气配套废气处理设施处理后达标高空排放，对土壤影响较小。</w:t>
            </w:r>
          </w:p>
          <w:p w14:paraId="49B68C56">
            <w:pPr>
              <w:pStyle w:val="4"/>
              <w:bidi w:val="0"/>
              <w:rPr>
                <w:rFonts w:hint="eastAsia"/>
                <w:color w:val="auto"/>
              </w:rPr>
            </w:pPr>
            <w:r>
              <w:rPr>
                <w:rFonts w:hint="eastAsia"/>
                <w:color w:val="auto"/>
              </w:rPr>
              <w:t xml:space="preserve">4.6.2 </w:t>
            </w:r>
            <w:r>
              <w:rPr>
                <w:color w:val="auto"/>
              </w:rPr>
              <w:t>地下水、土壤环境</w:t>
            </w:r>
            <w:r>
              <w:rPr>
                <w:rFonts w:hint="eastAsia"/>
                <w:color w:val="auto"/>
              </w:rPr>
              <w:t>防控</w:t>
            </w:r>
            <w:r>
              <w:rPr>
                <w:color w:val="auto"/>
              </w:rPr>
              <w:t>措施</w:t>
            </w:r>
          </w:p>
          <w:p w14:paraId="0C2A97BB">
            <w:pPr>
              <w:pStyle w:val="151"/>
              <w:adjustRightInd w:val="0"/>
              <w:snapToGrid w:val="0"/>
              <w:spacing w:line="360" w:lineRule="auto"/>
              <w:rPr>
                <w:rFonts w:cs="Times New Roman"/>
                <w:color w:val="auto"/>
                <w:sz w:val="24"/>
                <w:szCs w:val="24"/>
              </w:rPr>
            </w:pPr>
            <w:r>
              <w:rPr>
                <w:rFonts w:hint="eastAsia"/>
                <w:color w:val="auto"/>
                <w:sz w:val="24"/>
                <w:szCs w:val="24"/>
              </w:rPr>
              <w:t>本项目对地下水和土壤可能造成污染主要集中在项目运行期。针对可能发生的地下水和土壤污染，本项目污染防治措施“源头控制、分区防渗、污染监控、应急响应”相结合的原则，从污染物的产生、入渗、扩散、应急响应全方位进行防控。</w:t>
            </w:r>
            <w:r>
              <w:rPr>
                <w:color w:val="auto"/>
                <w:sz w:val="24"/>
                <w:szCs w:val="24"/>
              </w:rPr>
              <w:t>鉴于本项目污染物产生和排放特点，针对土壤、地下水环境污染的可能途径，</w:t>
            </w:r>
            <w:r>
              <w:rPr>
                <w:rFonts w:cs="Times New Roman"/>
                <w:color w:val="auto"/>
                <w:sz w:val="24"/>
                <w:szCs w:val="24"/>
              </w:rPr>
              <w:t>为防止建设项目物料及废水下渗对地下水造成污染，</w:t>
            </w:r>
            <w:r>
              <w:rPr>
                <w:rFonts w:hint="eastAsia" w:cs="Times New Roman"/>
                <w:color w:val="auto"/>
                <w:sz w:val="24"/>
                <w:szCs w:val="24"/>
              </w:rPr>
              <w:t>本评价建议：</w:t>
            </w:r>
          </w:p>
          <w:p w14:paraId="773E0651">
            <w:pPr>
              <w:pStyle w:val="151"/>
              <w:adjustRightInd w:val="0"/>
              <w:snapToGrid w:val="0"/>
              <w:spacing w:line="360" w:lineRule="auto"/>
              <w:rPr>
                <w:color w:val="auto"/>
                <w:sz w:val="24"/>
                <w:szCs w:val="24"/>
              </w:rPr>
            </w:pPr>
            <w:bookmarkStart w:id="32" w:name="_Toc28270"/>
            <w:bookmarkStart w:id="33" w:name="_Toc477939821"/>
            <w:r>
              <w:rPr>
                <w:rFonts w:hint="eastAsia"/>
                <w:color w:val="auto"/>
                <w:sz w:val="24"/>
                <w:szCs w:val="24"/>
              </w:rPr>
              <w:t>1）源头控制</w:t>
            </w:r>
            <w:bookmarkEnd w:id="32"/>
            <w:bookmarkEnd w:id="33"/>
          </w:p>
          <w:p w14:paraId="5AE7C5E2">
            <w:pPr>
              <w:pStyle w:val="151"/>
              <w:adjustRightInd w:val="0"/>
              <w:snapToGrid w:val="0"/>
              <w:spacing w:line="360" w:lineRule="auto"/>
              <w:rPr>
                <w:color w:val="auto"/>
                <w:sz w:val="24"/>
                <w:szCs w:val="24"/>
              </w:rPr>
            </w:pPr>
            <w:r>
              <w:rPr>
                <w:rFonts w:hint="eastAsia"/>
                <w:color w:val="auto"/>
                <w:sz w:val="24"/>
                <w:szCs w:val="24"/>
              </w:rPr>
              <w:t>采用先进的技术、工艺、设备，实施清洁生产，防止跑冒滴漏，防止污染物泄漏；厂区</w:t>
            </w:r>
            <w:r>
              <w:rPr>
                <w:rFonts w:hint="eastAsia"/>
                <w:color w:val="auto"/>
                <w:sz w:val="24"/>
                <w:szCs w:val="24"/>
                <w:lang w:val="en-US" w:eastAsia="zh-CN"/>
              </w:rPr>
              <w:t>地面</w:t>
            </w:r>
            <w:r>
              <w:rPr>
                <w:rFonts w:hint="eastAsia"/>
                <w:color w:val="auto"/>
                <w:sz w:val="24"/>
                <w:szCs w:val="24"/>
              </w:rPr>
              <w:t>硬化，注意工作场所地面的防腐防渗要求，腐蚀性等级为中等腐蚀，防止污染物下渗，污染土壤和地下水环境。</w:t>
            </w:r>
          </w:p>
          <w:p w14:paraId="20B679BC">
            <w:pPr>
              <w:spacing w:line="360" w:lineRule="auto"/>
              <w:ind w:firstLine="480" w:firstLineChars="200"/>
              <w:rPr>
                <w:rFonts w:cs="宋体"/>
                <w:color w:val="auto"/>
                <w:sz w:val="24"/>
                <w:szCs w:val="24"/>
              </w:rPr>
            </w:pPr>
            <w:bookmarkStart w:id="34" w:name="_Toc477939822"/>
            <w:bookmarkStart w:id="35" w:name="_Toc20461"/>
            <w:r>
              <w:rPr>
                <w:rFonts w:hint="eastAsia"/>
                <w:color w:val="auto"/>
                <w:sz w:val="24"/>
                <w:szCs w:val="24"/>
              </w:rPr>
              <w:t>2）</w:t>
            </w:r>
            <w:r>
              <w:rPr>
                <w:color w:val="auto"/>
                <w:sz w:val="24"/>
                <w:szCs w:val="24"/>
              </w:rPr>
              <w:t>项目原料、一般固废和危险废物分类存放于相应的暂存库内，不设置露天堆场</w:t>
            </w:r>
            <w:r>
              <w:rPr>
                <w:rFonts w:hint="eastAsia"/>
                <w:color w:val="auto"/>
                <w:sz w:val="24"/>
                <w:szCs w:val="24"/>
              </w:rPr>
              <w:t>。</w:t>
            </w:r>
          </w:p>
          <w:p w14:paraId="5D9FBE8F">
            <w:pPr>
              <w:pStyle w:val="151"/>
              <w:adjustRightInd w:val="0"/>
              <w:snapToGrid w:val="0"/>
              <w:spacing w:line="360" w:lineRule="auto"/>
              <w:rPr>
                <w:color w:val="auto"/>
                <w:sz w:val="24"/>
                <w:szCs w:val="24"/>
              </w:rPr>
            </w:pPr>
            <w:r>
              <w:rPr>
                <w:rFonts w:hint="eastAsia"/>
                <w:color w:val="auto"/>
                <w:sz w:val="24"/>
                <w:szCs w:val="24"/>
              </w:rPr>
              <w:t>3）分区防控措施</w:t>
            </w:r>
            <w:bookmarkEnd w:id="34"/>
            <w:bookmarkEnd w:id="35"/>
          </w:p>
          <w:p w14:paraId="6A80AA74">
            <w:pPr>
              <w:pStyle w:val="150"/>
              <w:ind w:firstLine="480"/>
              <w:rPr>
                <w:rFonts w:cs="Times New Roman"/>
                <w:color w:val="auto"/>
                <w:sz w:val="24"/>
                <w:szCs w:val="24"/>
              </w:rPr>
            </w:pPr>
            <w:r>
              <w:rPr>
                <w:rFonts w:hint="eastAsia"/>
                <w:color w:val="auto"/>
                <w:sz w:val="24"/>
                <w:szCs w:val="24"/>
              </w:rPr>
              <w:t>根据项目各功能单元是否可能对地下水造成污染及其风险程度，将项目所在区域划分为重点防渗区、一般防渗区和简单防渗区。</w:t>
            </w:r>
          </w:p>
          <w:p w14:paraId="6106F030">
            <w:pPr>
              <w:pStyle w:val="150"/>
              <w:ind w:firstLine="480"/>
              <w:rPr>
                <w:rFonts w:hint="eastAsia"/>
                <w:color w:val="auto"/>
                <w:sz w:val="24"/>
                <w:szCs w:val="24"/>
              </w:rPr>
            </w:pPr>
            <w:r>
              <w:rPr>
                <w:rFonts w:hint="eastAsia"/>
                <w:color w:val="auto"/>
                <w:sz w:val="24"/>
                <w:szCs w:val="24"/>
              </w:rPr>
              <w:t>①重点防渗区</w:t>
            </w:r>
          </w:p>
          <w:p w14:paraId="2357F763">
            <w:pPr>
              <w:pStyle w:val="150"/>
              <w:ind w:firstLine="480"/>
              <w:rPr>
                <w:rFonts w:hint="eastAsia"/>
                <w:color w:val="auto"/>
              </w:rPr>
            </w:pPr>
            <w:r>
              <w:rPr>
                <w:rFonts w:hint="eastAsia"/>
                <w:color w:val="auto"/>
              </w:rPr>
              <w:t>危险废物贮存间、</w:t>
            </w:r>
            <w:r>
              <w:rPr>
                <w:rFonts w:hint="eastAsia"/>
                <w:color w:val="auto"/>
                <w:lang w:eastAsia="zh-CN"/>
              </w:rPr>
              <w:t>辅料</w:t>
            </w:r>
            <w:r>
              <w:rPr>
                <w:rFonts w:hint="eastAsia"/>
                <w:color w:val="auto"/>
                <w:lang w:val="en-US" w:eastAsia="zh-CN"/>
              </w:rPr>
              <w:t>区</w:t>
            </w:r>
            <w:r>
              <w:rPr>
                <w:rFonts w:hint="eastAsia"/>
                <w:color w:val="auto"/>
              </w:rPr>
              <w:t>为本项目地下水重点污染区域。</w:t>
            </w:r>
            <w:r>
              <w:rPr>
                <w:color w:val="auto"/>
              </w:rPr>
              <w:t>重点防渗区</w:t>
            </w:r>
            <w:r>
              <w:rPr>
                <w:rFonts w:hint="eastAsia"/>
                <w:color w:val="auto"/>
                <w:kern w:val="2"/>
              </w:rPr>
              <w:t>地面用坚固、防渗的材料建造，同时地面硬化</w:t>
            </w:r>
            <w:r>
              <w:rPr>
                <w:rFonts w:hint="eastAsia"/>
                <w:color w:val="auto"/>
                <w:kern w:val="2"/>
                <w:lang w:eastAsia="zh-CN"/>
              </w:rPr>
              <w:t>且</w:t>
            </w:r>
            <w:r>
              <w:rPr>
                <w:rFonts w:hint="eastAsia"/>
                <w:color w:val="auto"/>
                <w:kern w:val="2"/>
              </w:rPr>
              <w:t>表面无裂隙。重点防渗区</w:t>
            </w:r>
            <w:r>
              <w:rPr>
                <w:rFonts w:hint="eastAsia"/>
                <w:color w:val="auto"/>
              </w:rPr>
              <w:t>的防渗性能应与6.0m厚</w:t>
            </w:r>
            <w:r>
              <w:rPr>
                <w:rFonts w:hint="eastAsia"/>
                <w:color w:val="auto"/>
                <w:lang w:eastAsia="zh-CN"/>
              </w:rPr>
              <w:t>黏土</w:t>
            </w:r>
            <w:r>
              <w:rPr>
                <w:rFonts w:hint="eastAsia"/>
                <w:color w:val="auto"/>
              </w:rPr>
              <w:t>层（渗透系数1.0×10</w:t>
            </w:r>
            <w:r>
              <w:rPr>
                <w:rFonts w:hint="eastAsia"/>
                <w:color w:val="auto"/>
                <w:vertAlign w:val="superscript"/>
              </w:rPr>
              <w:t>-7</w:t>
            </w:r>
            <w:r>
              <w:rPr>
                <w:rFonts w:hint="eastAsia"/>
                <w:color w:val="auto"/>
              </w:rPr>
              <w:t>cm/s）等效。危险废物贮存间还应执行《危险废物贮存污染控制标准》（GB18597-2023）中的有关规定</w:t>
            </w:r>
          </w:p>
          <w:p w14:paraId="163BD331">
            <w:pPr>
              <w:spacing w:line="360" w:lineRule="auto"/>
              <w:ind w:firstLine="480" w:firstLineChars="200"/>
              <w:rPr>
                <w:color w:val="auto"/>
                <w:sz w:val="24"/>
              </w:rPr>
            </w:pPr>
            <w:r>
              <w:rPr>
                <w:rFonts w:hint="eastAsia"/>
                <w:color w:val="auto"/>
                <w:sz w:val="24"/>
              </w:rPr>
              <w:t>②</w:t>
            </w:r>
            <w:r>
              <w:rPr>
                <w:color w:val="auto"/>
                <w:sz w:val="24"/>
              </w:rPr>
              <w:t>一般防渗区</w:t>
            </w:r>
          </w:p>
          <w:p w14:paraId="49D2D093">
            <w:pPr>
              <w:spacing w:line="360" w:lineRule="auto"/>
              <w:ind w:firstLine="420"/>
              <w:rPr>
                <w:rFonts w:hint="eastAsia" w:eastAsia="宋体"/>
                <w:color w:val="auto"/>
                <w:sz w:val="24"/>
                <w:lang w:eastAsia="zh-CN"/>
              </w:rPr>
            </w:pPr>
            <w:r>
              <w:rPr>
                <w:rFonts w:hint="eastAsia"/>
                <w:color w:val="auto"/>
                <w:sz w:val="24"/>
                <w:lang w:eastAsia="zh-CN"/>
              </w:rPr>
              <w:t>项目注塑、破碎、拌料、冲压区</w:t>
            </w:r>
            <w:r>
              <w:rPr>
                <w:rFonts w:hint="eastAsia"/>
                <w:color w:val="auto"/>
                <w:sz w:val="24"/>
              </w:rPr>
              <w:t>、一般固废暂存库为一般防渗区，</w:t>
            </w:r>
            <w:r>
              <w:rPr>
                <w:rFonts w:hint="eastAsia"/>
                <w:color w:val="auto"/>
                <w:sz w:val="24"/>
                <w:lang w:eastAsia="zh-CN"/>
              </w:rPr>
              <w:t>项目注塑、破碎、拌料、冲压区、</w:t>
            </w:r>
            <w:r>
              <w:rPr>
                <w:rFonts w:hint="eastAsia"/>
                <w:color w:val="auto"/>
                <w:sz w:val="24"/>
              </w:rPr>
              <w:t>一般固废暂存库地面采取水泥硬化，并视情况采取防渗措施，可采用双层复合防渗结构，基础防渗层为至少1.5米厚</w:t>
            </w:r>
            <w:r>
              <w:rPr>
                <w:rFonts w:hint="eastAsia"/>
                <w:color w:val="auto"/>
                <w:sz w:val="24"/>
                <w:lang w:eastAsia="zh-CN"/>
              </w:rPr>
              <w:t>黏土</w:t>
            </w:r>
            <w:r>
              <w:rPr>
                <w:rFonts w:hint="eastAsia"/>
                <w:color w:val="auto"/>
                <w:sz w:val="24"/>
              </w:rPr>
              <w:t>层。</w:t>
            </w:r>
            <w:r>
              <w:rPr>
                <w:rFonts w:hint="eastAsia"/>
                <w:color w:val="auto"/>
                <w:sz w:val="24"/>
                <w:lang w:eastAsia="zh-CN"/>
              </w:rPr>
              <w:t>化粪池依托现有防渗，</w:t>
            </w:r>
            <w:r>
              <w:rPr>
                <w:rFonts w:hint="eastAsia"/>
                <w:color w:val="auto"/>
                <w:sz w:val="24"/>
                <w:szCs w:val="24"/>
              </w:rPr>
              <w:t>已采取水泥硬化，防渗层等效黏土防渗层Mb≥1.5m，渗透系数小于1×10</w:t>
            </w:r>
            <w:r>
              <w:rPr>
                <w:rFonts w:hint="eastAsia"/>
                <w:color w:val="auto"/>
                <w:sz w:val="24"/>
                <w:szCs w:val="24"/>
                <w:vertAlign w:val="superscript"/>
              </w:rPr>
              <w:t>-7</w:t>
            </w:r>
            <w:r>
              <w:rPr>
                <w:rFonts w:hint="eastAsia"/>
                <w:color w:val="auto"/>
                <w:sz w:val="24"/>
                <w:szCs w:val="24"/>
              </w:rPr>
              <w:t>cm/s，满足相关规范要求</w:t>
            </w:r>
            <w:r>
              <w:rPr>
                <w:rFonts w:hint="eastAsia"/>
                <w:color w:val="auto"/>
                <w:sz w:val="24"/>
                <w:szCs w:val="24"/>
                <w:lang w:eastAsia="zh-CN"/>
              </w:rPr>
              <w:t>。</w:t>
            </w:r>
          </w:p>
          <w:p w14:paraId="43C123CE">
            <w:pPr>
              <w:pStyle w:val="150"/>
              <w:ind w:firstLine="480"/>
              <w:rPr>
                <w:rFonts w:hint="eastAsia"/>
                <w:color w:val="auto"/>
                <w:sz w:val="24"/>
                <w:szCs w:val="24"/>
              </w:rPr>
            </w:pPr>
            <w:r>
              <w:rPr>
                <w:rFonts w:hint="eastAsia"/>
                <w:color w:val="auto"/>
                <w:sz w:val="24"/>
                <w:szCs w:val="24"/>
              </w:rPr>
              <w:t>③简单防渗区</w:t>
            </w:r>
          </w:p>
          <w:p w14:paraId="0E5AF6E9">
            <w:pPr>
              <w:spacing w:line="360" w:lineRule="auto"/>
              <w:ind w:firstLine="480" w:firstLineChars="200"/>
              <w:rPr>
                <w:rFonts w:hint="eastAsia"/>
                <w:color w:val="auto"/>
                <w:sz w:val="24"/>
                <w:szCs w:val="24"/>
              </w:rPr>
            </w:pPr>
            <w:r>
              <w:rPr>
                <w:rFonts w:hint="eastAsia"/>
                <w:color w:val="auto"/>
                <w:sz w:val="24"/>
                <w:szCs w:val="24"/>
              </w:rPr>
              <w:t>现有工程办公室及除以上区域的其他区域地面已进行简单硬化。</w:t>
            </w:r>
          </w:p>
          <w:p w14:paraId="405A9B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32"/>
                <w:highlight w:val="none"/>
              </w:rPr>
            </w:pPr>
            <w:r>
              <w:rPr>
                <w:color w:val="auto"/>
                <w:sz w:val="24"/>
                <w:szCs w:val="32"/>
                <w:highlight w:val="none"/>
              </w:rPr>
              <w:t>项目分区</w:t>
            </w:r>
            <w:r>
              <w:rPr>
                <w:rFonts w:hint="eastAsia"/>
                <w:color w:val="auto"/>
                <w:sz w:val="24"/>
                <w:szCs w:val="32"/>
                <w:highlight w:val="none"/>
              </w:rPr>
              <w:t>防渗</w:t>
            </w:r>
            <w:r>
              <w:rPr>
                <w:rFonts w:hint="eastAsia"/>
                <w:color w:val="auto"/>
                <w:sz w:val="24"/>
                <w:szCs w:val="32"/>
                <w:highlight w:val="none"/>
                <w:lang w:val="en-US" w:eastAsia="zh-CN"/>
              </w:rPr>
              <w:t>要求</w:t>
            </w:r>
            <w:r>
              <w:rPr>
                <w:color w:val="auto"/>
                <w:sz w:val="24"/>
                <w:szCs w:val="32"/>
                <w:highlight w:val="none"/>
              </w:rPr>
              <w:t>见表</w:t>
            </w:r>
            <w:r>
              <w:rPr>
                <w:rFonts w:hint="eastAsia"/>
                <w:color w:val="auto"/>
                <w:sz w:val="24"/>
                <w:szCs w:val="32"/>
                <w:highlight w:val="none"/>
              </w:rPr>
              <w:t>4-</w:t>
            </w:r>
            <w:r>
              <w:rPr>
                <w:rFonts w:hint="eastAsia"/>
                <w:color w:val="auto"/>
                <w:sz w:val="24"/>
                <w:szCs w:val="32"/>
                <w:highlight w:val="none"/>
                <w:lang w:val="en-US" w:eastAsia="zh-CN"/>
              </w:rPr>
              <w:t>21</w:t>
            </w:r>
            <w:r>
              <w:rPr>
                <w:rFonts w:hint="eastAsia"/>
                <w:color w:val="auto"/>
                <w:sz w:val="24"/>
                <w:szCs w:val="32"/>
                <w:highlight w:val="none"/>
              </w:rPr>
              <w:t>。</w:t>
            </w:r>
          </w:p>
          <w:p w14:paraId="24BB3116">
            <w:pPr>
              <w:pStyle w:val="90"/>
              <w:spacing w:before="120"/>
              <w:rPr>
                <w:rFonts w:cs="Times New Roman"/>
                <w:color w:val="auto"/>
              </w:rPr>
            </w:pPr>
            <w:r>
              <w:rPr>
                <w:rFonts w:cs="Times New Roman"/>
                <w:color w:val="auto"/>
              </w:rPr>
              <w:t>表</w:t>
            </w:r>
            <w:r>
              <w:rPr>
                <w:rFonts w:hint="eastAsia" w:cs="Times New Roman"/>
                <w:color w:val="auto"/>
              </w:rPr>
              <w:t>4-</w:t>
            </w:r>
            <w:r>
              <w:rPr>
                <w:rFonts w:hint="eastAsia" w:cs="Times New Roman"/>
                <w:color w:val="auto"/>
                <w:lang w:val="en-US" w:eastAsia="zh-CN"/>
              </w:rPr>
              <w:t>21</w:t>
            </w:r>
            <w:r>
              <w:rPr>
                <w:rFonts w:hint="eastAsia" w:cs="Times New Roman"/>
                <w:color w:val="auto"/>
              </w:rPr>
              <w:t xml:space="preserve"> </w:t>
            </w:r>
            <w:r>
              <w:rPr>
                <w:rFonts w:cs="Times New Roman"/>
                <w:color w:val="auto"/>
              </w:rPr>
              <w:t xml:space="preserve"> </w:t>
            </w:r>
            <w:r>
              <w:rPr>
                <w:rFonts w:hint="eastAsia" w:cs="Times New Roman"/>
                <w:color w:val="auto"/>
              </w:rPr>
              <w:t>项目</w:t>
            </w:r>
            <w:r>
              <w:rPr>
                <w:rFonts w:cs="Times New Roman"/>
                <w:color w:val="auto"/>
              </w:rPr>
              <w:t>分区</w:t>
            </w:r>
            <w:r>
              <w:rPr>
                <w:rFonts w:hint="eastAsia" w:cs="Times New Roman"/>
                <w:color w:val="auto"/>
              </w:rPr>
              <w:t>防渗</w:t>
            </w:r>
            <w:r>
              <w:rPr>
                <w:rFonts w:cs="Times New Roman"/>
                <w:color w:val="auto"/>
              </w:rPr>
              <w:t>防治</w:t>
            </w:r>
            <w:r>
              <w:rPr>
                <w:rFonts w:hint="eastAsia" w:cs="Times New Roman"/>
                <w:color w:val="auto"/>
              </w:rPr>
              <w:t>要求</w:t>
            </w:r>
            <w:r>
              <w:rPr>
                <w:rFonts w:cs="Times New Roman"/>
                <w:color w:val="auto"/>
              </w:rPr>
              <w:t>一览表</w:t>
            </w:r>
          </w:p>
          <w:tbl>
            <w:tblPr>
              <w:tblStyle w:val="35"/>
              <w:tblW w:w="82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860"/>
              <w:gridCol w:w="1799"/>
              <w:gridCol w:w="2273"/>
              <w:gridCol w:w="873"/>
              <w:gridCol w:w="1009"/>
              <w:gridCol w:w="815"/>
            </w:tblGrid>
            <w:tr w14:paraId="69342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44BC1CE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eastAsia="zh-CN"/>
                    </w:rPr>
                  </w:pPr>
                  <w:r>
                    <w:rPr>
                      <w:rFonts w:hint="eastAsia"/>
                      <w:b/>
                      <w:bCs/>
                      <w:color w:val="auto"/>
                      <w:szCs w:val="21"/>
                      <w:lang w:eastAsia="zh-CN"/>
                    </w:rPr>
                    <w:t>序号</w:t>
                  </w:r>
                </w:p>
              </w:tc>
              <w:tc>
                <w:tcPr>
                  <w:tcW w:w="860" w:type="dxa"/>
                  <w:tcBorders>
                    <w:tl2br w:val="nil"/>
                    <w:tr2bl w:val="nil"/>
                  </w:tcBorders>
                  <w:noWrap w:val="0"/>
                  <w:vAlign w:val="center"/>
                </w:tcPr>
                <w:p w14:paraId="1B8407F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rPr>
                  </w:pPr>
                  <w:r>
                    <w:rPr>
                      <w:rFonts w:hint="eastAsia"/>
                      <w:b/>
                      <w:bCs/>
                      <w:color w:val="auto"/>
                      <w:szCs w:val="21"/>
                    </w:rPr>
                    <w:t>防治分区</w:t>
                  </w:r>
                </w:p>
              </w:tc>
              <w:tc>
                <w:tcPr>
                  <w:tcW w:w="1799" w:type="dxa"/>
                  <w:tcBorders>
                    <w:tl2br w:val="nil"/>
                    <w:tr2bl w:val="nil"/>
                  </w:tcBorders>
                  <w:noWrap w:val="0"/>
                  <w:vAlign w:val="center"/>
                </w:tcPr>
                <w:p w14:paraId="79AEBB4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rPr>
                  </w:pPr>
                  <w:r>
                    <w:rPr>
                      <w:rFonts w:hint="eastAsia"/>
                      <w:b/>
                      <w:bCs/>
                      <w:color w:val="auto"/>
                      <w:szCs w:val="21"/>
                    </w:rPr>
                    <w:t>装置名称</w:t>
                  </w:r>
                </w:p>
              </w:tc>
              <w:tc>
                <w:tcPr>
                  <w:tcW w:w="2273" w:type="dxa"/>
                  <w:tcBorders>
                    <w:tl2br w:val="nil"/>
                    <w:tr2bl w:val="nil"/>
                  </w:tcBorders>
                  <w:noWrap w:val="0"/>
                  <w:vAlign w:val="center"/>
                </w:tcPr>
                <w:p w14:paraId="4BCACE9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b/>
                      <w:bCs/>
                      <w:color w:val="auto"/>
                      <w:szCs w:val="21"/>
                    </w:rPr>
                  </w:pPr>
                  <w:r>
                    <w:rPr>
                      <w:rFonts w:hint="eastAsia"/>
                      <w:b/>
                      <w:bCs/>
                      <w:color w:val="auto"/>
                      <w:szCs w:val="21"/>
                    </w:rPr>
                    <w:t>防渗要求</w:t>
                  </w:r>
                </w:p>
              </w:tc>
              <w:tc>
                <w:tcPr>
                  <w:tcW w:w="873" w:type="dxa"/>
                  <w:tcBorders>
                    <w:tl2br w:val="nil"/>
                    <w:tr2bl w:val="nil"/>
                  </w:tcBorders>
                  <w:noWrap w:val="0"/>
                  <w:vAlign w:val="center"/>
                </w:tcPr>
                <w:p w14:paraId="69273AF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eastAsia="zh-CN"/>
                    </w:rPr>
                  </w:pPr>
                  <w:r>
                    <w:rPr>
                      <w:rFonts w:hint="eastAsia"/>
                      <w:b/>
                      <w:bCs/>
                      <w:color w:val="auto"/>
                      <w:szCs w:val="21"/>
                      <w:lang w:eastAsia="zh-CN"/>
                    </w:rPr>
                    <w:t>现状</w:t>
                  </w:r>
                </w:p>
              </w:tc>
              <w:tc>
                <w:tcPr>
                  <w:tcW w:w="1009" w:type="dxa"/>
                  <w:tcBorders>
                    <w:tl2br w:val="nil"/>
                    <w:tr2bl w:val="nil"/>
                  </w:tcBorders>
                  <w:noWrap w:val="0"/>
                  <w:vAlign w:val="center"/>
                </w:tcPr>
                <w:p w14:paraId="752789F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b/>
                      <w:bCs/>
                      <w:color w:val="auto"/>
                      <w:szCs w:val="21"/>
                      <w:lang w:eastAsia="zh-CN"/>
                    </w:rPr>
                  </w:pPr>
                  <w:r>
                    <w:rPr>
                      <w:rFonts w:hint="eastAsia"/>
                      <w:b/>
                      <w:bCs/>
                      <w:color w:val="auto"/>
                      <w:szCs w:val="21"/>
                      <w:lang w:eastAsia="zh-CN"/>
                    </w:rPr>
                    <w:t>是否符合要求</w:t>
                  </w:r>
                </w:p>
              </w:tc>
              <w:tc>
                <w:tcPr>
                  <w:tcW w:w="815" w:type="dxa"/>
                  <w:tcBorders>
                    <w:tl2br w:val="nil"/>
                    <w:tr2bl w:val="nil"/>
                  </w:tcBorders>
                  <w:noWrap w:val="0"/>
                  <w:vAlign w:val="center"/>
                </w:tcPr>
                <w:p w14:paraId="36C8CB7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b/>
                      <w:bCs/>
                      <w:color w:val="auto"/>
                      <w:szCs w:val="21"/>
                      <w:lang w:eastAsia="zh-CN"/>
                    </w:rPr>
                  </w:pPr>
                  <w:r>
                    <w:rPr>
                      <w:rFonts w:hint="eastAsia"/>
                      <w:b/>
                      <w:bCs/>
                      <w:color w:val="auto"/>
                      <w:szCs w:val="21"/>
                      <w:lang w:eastAsia="zh-CN"/>
                    </w:rPr>
                    <w:t>备注</w:t>
                  </w:r>
                </w:p>
              </w:tc>
            </w:tr>
            <w:tr w14:paraId="28C5B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76DAF48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1</w:t>
                  </w:r>
                </w:p>
              </w:tc>
              <w:tc>
                <w:tcPr>
                  <w:tcW w:w="860" w:type="dxa"/>
                  <w:vMerge w:val="restart"/>
                  <w:tcBorders>
                    <w:tl2br w:val="nil"/>
                    <w:tr2bl w:val="nil"/>
                  </w:tcBorders>
                  <w:noWrap w:val="0"/>
                  <w:vAlign w:val="center"/>
                </w:tcPr>
                <w:p w14:paraId="19AC374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rPr>
                    <w:t>重点防</w:t>
                  </w:r>
                </w:p>
                <w:p w14:paraId="46F8D25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渗区</w:t>
                  </w:r>
                </w:p>
              </w:tc>
              <w:tc>
                <w:tcPr>
                  <w:tcW w:w="1799" w:type="dxa"/>
                  <w:tcBorders>
                    <w:tl2br w:val="nil"/>
                    <w:tr2bl w:val="nil"/>
                  </w:tcBorders>
                  <w:noWrap w:val="0"/>
                  <w:vAlign w:val="center"/>
                </w:tcPr>
                <w:p w14:paraId="1BAEF3C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color w:val="auto"/>
                      <w:szCs w:val="21"/>
                      <w:lang w:val="en-US" w:eastAsia="zh-CN"/>
                    </w:rPr>
                    <w:t>危险废物贮存间</w:t>
                  </w:r>
                </w:p>
              </w:tc>
              <w:tc>
                <w:tcPr>
                  <w:tcW w:w="2273" w:type="dxa"/>
                  <w:vMerge w:val="restart"/>
                  <w:tcBorders>
                    <w:tl2br w:val="nil"/>
                    <w:tr2bl w:val="nil"/>
                  </w:tcBorders>
                  <w:noWrap w:val="0"/>
                  <w:vAlign w:val="center"/>
                </w:tcPr>
                <w:p w14:paraId="0A72AC8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等效黏土防渗层Mb≥</w:t>
                  </w:r>
                  <w:r>
                    <w:rPr>
                      <w:color w:val="auto"/>
                      <w:szCs w:val="21"/>
                    </w:rPr>
                    <w:t>6.0m</w:t>
                  </w:r>
                  <w:r>
                    <w:rPr>
                      <w:rFonts w:hint="eastAsia"/>
                      <w:color w:val="auto"/>
                      <w:szCs w:val="21"/>
                    </w:rPr>
                    <w:t>、渗透系数K≤</w:t>
                  </w:r>
                  <w:r>
                    <w:rPr>
                      <w:color w:val="auto"/>
                      <w:szCs w:val="21"/>
                    </w:rPr>
                    <w:t>1.0</w:t>
                  </w:r>
                  <w:r>
                    <w:rPr>
                      <w:rFonts w:hint="eastAsia"/>
                      <w:color w:val="auto"/>
                      <w:szCs w:val="21"/>
                    </w:rPr>
                    <w:t>×</w:t>
                  </w:r>
                  <w:r>
                    <w:rPr>
                      <w:color w:val="auto"/>
                      <w:szCs w:val="21"/>
                    </w:rPr>
                    <w:t>10</w:t>
                  </w:r>
                  <w:r>
                    <w:rPr>
                      <w:color w:val="auto"/>
                      <w:szCs w:val="21"/>
                      <w:vertAlign w:val="superscript"/>
                    </w:rPr>
                    <w:t>-7</w:t>
                  </w:r>
                  <w:r>
                    <w:rPr>
                      <w:color w:val="auto"/>
                      <w:szCs w:val="21"/>
                    </w:rPr>
                    <w:t xml:space="preserve">cm/s </w:t>
                  </w:r>
                </w:p>
              </w:tc>
              <w:tc>
                <w:tcPr>
                  <w:tcW w:w="873" w:type="dxa"/>
                  <w:tcBorders>
                    <w:tl2br w:val="nil"/>
                    <w:tr2bl w:val="nil"/>
                  </w:tcBorders>
                  <w:noWrap w:val="0"/>
                  <w:vAlign w:val="center"/>
                </w:tcPr>
                <w:p w14:paraId="2E02FC9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val="en-US" w:eastAsia="zh-CN"/>
                    </w:rPr>
                  </w:pPr>
                  <w:r>
                    <w:rPr>
                      <w:color w:val="auto"/>
                      <w:sz w:val="21"/>
                      <w:szCs w:val="21"/>
                    </w:rPr>
                    <w:t>地面硬化处理</w:t>
                  </w:r>
                </w:p>
              </w:tc>
              <w:tc>
                <w:tcPr>
                  <w:tcW w:w="1009" w:type="dxa"/>
                  <w:tcBorders>
                    <w:tl2br w:val="nil"/>
                    <w:tr2bl w:val="nil"/>
                  </w:tcBorders>
                  <w:noWrap w:val="0"/>
                  <w:vAlign w:val="center"/>
                </w:tcPr>
                <w:p w14:paraId="264E833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b/>
                      <w:bCs/>
                      <w:color w:val="auto"/>
                      <w:szCs w:val="21"/>
                      <w:lang w:val="en-US" w:eastAsia="zh-CN"/>
                    </w:rPr>
                  </w:pPr>
                  <w:r>
                    <w:rPr>
                      <w:rFonts w:hint="eastAsia"/>
                      <w:color w:val="auto"/>
                      <w:szCs w:val="21"/>
                      <w:lang w:val="en-US" w:eastAsia="zh-CN"/>
                    </w:rPr>
                    <w:t>否</w:t>
                  </w:r>
                </w:p>
              </w:tc>
              <w:tc>
                <w:tcPr>
                  <w:tcW w:w="815" w:type="dxa"/>
                  <w:tcBorders>
                    <w:tl2br w:val="nil"/>
                    <w:tr2bl w:val="nil"/>
                  </w:tcBorders>
                  <w:noWrap w:val="0"/>
                  <w:vAlign w:val="center"/>
                </w:tcPr>
                <w:p w14:paraId="01DF85C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eastAsia="zh-CN"/>
                    </w:rPr>
                  </w:pPr>
                  <w:r>
                    <w:rPr>
                      <w:rFonts w:hint="eastAsia"/>
                      <w:color w:val="auto"/>
                      <w:szCs w:val="21"/>
                      <w:lang w:eastAsia="zh-CN"/>
                    </w:rPr>
                    <w:t>新增</w:t>
                  </w:r>
                </w:p>
              </w:tc>
            </w:tr>
            <w:tr w14:paraId="5B328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091DCAA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2</w:t>
                  </w:r>
                </w:p>
              </w:tc>
              <w:tc>
                <w:tcPr>
                  <w:tcW w:w="860" w:type="dxa"/>
                  <w:vMerge w:val="continue"/>
                  <w:tcBorders>
                    <w:tl2br w:val="nil"/>
                    <w:tr2bl w:val="nil"/>
                  </w:tcBorders>
                  <w:noWrap w:val="0"/>
                  <w:vAlign w:val="center"/>
                </w:tcPr>
                <w:p w14:paraId="70024D7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1799" w:type="dxa"/>
                  <w:tcBorders>
                    <w:tl2br w:val="nil"/>
                    <w:tr2bl w:val="nil"/>
                  </w:tcBorders>
                  <w:noWrap w:val="0"/>
                  <w:vAlign w:val="center"/>
                </w:tcPr>
                <w:p w14:paraId="11945C3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eastAsia="宋体"/>
                      <w:color w:val="auto"/>
                      <w:szCs w:val="21"/>
                      <w:lang w:val="en-US" w:eastAsia="zh-CN"/>
                    </w:rPr>
                    <w:t>辅料区</w:t>
                  </w:r>
                </w:p>
              </w:tc>
              <w:tc>
                <w:tcPr>
                  <w:tcW w:w="2273" w:type="dxa"/>
                  <w:vMerge w:val="continue"/>
                  <w:tcBorders>
                    <w:tl2br w:val="nil"/>
                    <w:tr2bl w:val="nil"/>
                  </w:tcBorders>
                  <w:noWrap w:val="0"/>
                  <w:vAlign w:val="center"/>
                </w:tcPr>
                <w:p w14:paraId="2C6B5FE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873" w:type="dxa"/>
                  <w:tcBorders>
                    <w:tl2br w:val="nil"/>
                    <w:tr2bl w:val="nil"/>
                  </w:tcBorders>
                  <w:noWrap w:val="0"/>
                  <w:vAlign w:val="center"/>
                </w:tcPr>
                <w:p w14:paraId="6AE8DBB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val="en-US" w:eastAsia="zh-CN"/>
                    </w:rPr>
                    <w:t>/</w:t>
                  </w:r>
                </w:p>
              </w:tc>
              <w:tc>
                <w:tcPr>
                  <w:tcW w:w="1009" w:type="dxa"/>
                  <w:tcBorders>
                    <w:tl2br w:val="nil"/>
                    <w:tr2bl w:val="nil"/>
                  </w:tcBorders>
                  <w:noWrap w:val="0"/>
                  <w:vAlign w:val="center"/>
                </w:tcPr>
                <w:p w14:paraId="7180A7D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val="en-US" w:eastAsia="zh-CN"/>
                    </w:rPr>
                    <w:t>/</w:t>
                  </w:r>
                </w:p>
              </w:tc>
              <w:tc>
                <w:tcPr>
                  <w:tcW w:w="815" w:type="dxa"/>
                  <w:tcBorders>
                    <w:tl2br w:val="nil"/>
                    <w:tr2bl w:val="nil"/>
                  </w:tcBorders>
                  <w:noWrap w:val="0"/>
                  <w:vAlign w:val="center"/>
                </w:tcPr>
                <w:p w14:paraId="1412262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新增</w:t>
                  </w:r>
                </w:p>
              </w:tc>
            </w:tr>
            <w:tr w14:paraId="55BDF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0BDDFB8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4</w:t>
                  </w:r>
                </w:p>
              </w:tc>
              <w:tc>
                <w:tcPr>
                  <w:tcW w:w="860" w:type="dxa"/>
                  <w:vMerge w:val="restart"/>
                  <w:tcBorders>
                    <w:tl2br w:val="nil"/>
                    <w:tr2bl w:val="nil"/>
                  </w:tcBorders>
                  <w:noWrap w:val="0"/>
                  <w:vAlign w:val="center"/>
                </w:tcPr>
                <w:p w14:paraId="304C503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rPr>
                    <w:t>一般防</w:t>
                  </w:r>
                </w:p>
                <w:p w14:paraId="7316011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渗区</w:t>
                  </w:r>
                </w:p>
              </w:tc>
              <w:tc>
                <w:tcPr>
                  <w:tcW w:w="1799" w:type="dxa"/>
                  <w:tcBorders>
                    <w:tl2br w:val="nil"/>
                    <w:tr2bl w:val="nil"/>
                  </w:tcBorders>
                  <w:noWrap w:val="0"/>
                  <w:vAlign w:val="center"/>
                </w:tcPr>
                <w:p w14:paraId="51E640A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color w:val="auto"/>
                      <w:szCs w:val="21"/>
                    </w:rPr>
                    <w:t>一般</w:t>
                  </w:r>
                  <w:r>
                    <w:rPr>
                      <w:rFonts w:hint="eastAsia"/>
                      <w:color w:val="auto"/>
                      <w:szCs w:val="21"/>
                      <w:lang w:val="en-US" w:eastAsia="zh-CN"/>
                    </w:rPr>
                    <w:t>工业</w:t>
                  </w:r>
                  <w:r>
                    <w:rPr>
                      <w:color w:val="auto"/>
                      <w:szCs w:val="21"/>
                    </w:rPr>
                    <w:t>固废暂存</w:t>
                  </w:r>
                  <w:r>
                    <w:rPr>
                      <w:rFonts w:hint="eastAsia"/>
                      <w:color w:val="auto"/>
                      <w:szCs w:val="21"/>
                      <w:lang w:val="en-US" w:eastAsia="zh-CN"/>
                    </w:rPr>
                    <w:t>间</w:t>
                  </w:r>
                </w:p>
              </w:tc>
              <w:tc>
                <w:tcPr>
                  <w:tcW w:w="2273" w:type="dxa"/>
                  <w:vMerge w:val="restart"/>
                  <w:tcBorders>
                    <w:tl2br w:val="nil"/>
                    <w:tr2bl w:val="nil"/>
                  </w:tcBorders>
                  <w:noWrap w:val="0"/>
                  <w:vAlign w:val="center"/>
                </w:tcPr>
                <w:p w14:paraId="3E5DA7F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等效黏土防渗层Mb≥1.5</w:t>
                  </w:r>
                  <w:r>
                    <w:rPr>
                      <w:color w:val="auto"/>
                      <w:szCs w:val="21"/>
                    </w:rPr>
                    <w:t>m</w:t>
                  </w:r>
                  <w:r>
                    <w:rPr>
                      <w:rFonts w:hint="eastAsia"/>
                      <w:color w:val="auto"/>
                      <w:szCs w:val="21"/>
                    </w:rPr>
                    <w:t>、渗透系数K≤</w:t>
                  </w:r>
                  <w:r>
                    <w:rPr>
                      <w:color w:val="auto"/>
                      <w:szCs w:val="21"/>
                    </w:rPr>
                    <w:t>1.0</w:t>
                  </w:r>
                  <w:r>
                    <w:rPr>
                      <w:rFonts w:hint="eastAsia"/>
                      <w:color w:val="auto"/>
                      <w:szCs w:val="21"/>
                    </w:rPr>
                    <w:t>×</w:t>
                  </w:r>
                  <w:r>
                    <w:rPr>
                      <w:color w:val="auto"/>
                      <w:szCs w:val="21"/>
                    </w:rPr>
                    <w:t>10</w:t>
                  </w:r>
                  <w:r>
                    <w:rPr>
                      <w:color w:val="auto"/>
                      <w:szCs w:val="21"/>
                      <w:vertAlign w:val="superscript"/>
                    </w:rPr>
                    <w:t>-7</w:t>
                  </w:r>
                  <w:r>
                    <w:rPr>
                      <w:color w:val="auto"/>
                      <w:szCs w:val="21"/>
                    </w:rPr>
                    <w:t>cm/s</w:t>
                  </w:r>
                </w:p>
              </w:tc>
              <w:tc>
                <w:tcPr>
                  <w:tcW w:w="873" w:type="dxa"/>
                  <w:tcBorders>
                    <w:tl2br w:val="nil"/>
                    <w:tr2bl w:val="nil"/>
                  </w:tcBorders>
                  <w:noWrap w:val="0"/>
                  <w:vAlign w:val="center"/>
                </w:tcPr>
                <w:p w14:paraId="09CB579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color w:val="auto"/>
                      <w:sz w:val="21"/>
                      <w:szCs w:val="21"/>
                    </w:rPr>
                    <w:t>地面硬化处理</w:t>
                  </w:r>
                </w:p>
              </w:tc>
              <w:tc>
                <w:tcPr>
                  <w:tcW w:w="1009" w:type="dxa"/>
                  <w:tcBorders>
                    <w:tl2br w:val="nil"/>
                    <w:tr2bl w:val="nil"/>
                  </w:tcBorders>
                  <w:noWrap w:val="0"/>
                  <w:vAlign w:val="center"/>
                </w:tcPr>
                <w:p w14:paraId="5C3E628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val="en-US" w:eastAsia="zh-CN"/>
                    </w:rPr>
                  </w:pPr>
                  <w:r>
                    <w:rPr>
                      <w:rFonts w:hint="eastAsia"/>
                      <w:color w:val="auto"/>
                      <w:szCs w:val="21"/>
                      <w:lang w:val="en-US" w:eastAsia="zh-CN"/>
                    </w:rPr>
                    <w:t>否</w:t>
                  </w:r>
                </w:p>
              </w:tc>
              <w:tc>
                <w:tcPr>
                  <w:tcW w:w="815" w:type="dxa"/>
                  <w:tcBorders>
                    <w:tl2br w:val="nil"/>
                    <w:tr2bl w:val="nil"/>
                  </w:tcBorders>
                  <w:noWrap w:val="0"/>
                  <w:vAlign w:val="center"/>
                </w:tcPr>
                <w:p w14:paraId="71AF568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新增</w:t>
                  </w:r>
                </w:p>
              </w:tc>
            </w:tr>
            <w:tr w14:paraId="0690D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5124936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lang w:val="en-US" w:eastAsia="zh-CN"/>
                    </w:rPr>
                  </w:pPr>
                  <w:r>
                    <w:rPr>
                      <w:rFonts w:hint="eastAsia"/>
                      <w:color w:val="auto"/>
                      <w:szCs w:val="21"/>
                      <w:lang w:val="en-US" w:eastAsia="zh-CN"/>
                    </w:rPr>
                    <w:t>5</w:t>
                  </w:r>
                </w:p>
              </w:tc>
              <w:tc>
                <w:tcPr>
                  <w:tcW w:w="860" w:type="dxa"/>
                  <w:vMerge w:val="continue"/>
                  <w:tcBorders>
                    <w:tl2br w:val="nil"/>
                    <w:tr2bl w:val="nil"/>
                  </w:tcBorders>
                  <w:noWrap w:val="0"/>
                  <w:vAlign w:val="center"/>
                </w:tcPr>
                <w:p w14:paraId="216C848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1799" w:type="dxa"/>
                  <w:tcBorders>
                    <w:tl2br w:val="nil"/>
                    <w:tr2bl w:val="nil"/>
                  </w:tcBorders>
                  <w:noWrap w:val="0"/>
                  <w:vAlign w:val="center"/>
                </w:tcPr>
                <w:p w14:paraId="65C2E6A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注塑、破碎、拌料、冲压区</w:t>
                  </w:r>
                </w:p>
              </w:tc>
              <w:tc>
                <w:tcPr>
                  <w:tcW w:w="2273" w:type="dxa"/>
                  <w:vMerge w:val="continue"/>
                  <w:tcBorders>
                    <w:tl2br w:val="nil"/>
                    <w:tr2bl w:val="nil"/>
                  </w:tcBorders>
                  <w:noWrap w:val="0"/>
                  <w:vAlign w:val="center"/>
                </w:tcPr>
                <w:p w14:paraId="59111B1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p>
              </w:tc>
              <w:tc>
                <w:tcPr>
                  <w:tcW w:w="873" w:type="dxa"/>
                  <w:tcBorders>
                    <w:tl2br w:val="nil"/>
                    <w:tr2bl w:val="nil"/>
                  </w:tcBorders>
                  <w:noWrap w:val="0"/>
                  <w:vAlign w:val="center"/>
                </w:tcPr>
                <w:p w14:paraId="06DC646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val="en-US" w:eastAsia="zh-CN"/>
                    </w:rPr>
                    <w:t>/</w:t>
                  </w:r>
                </w:p>
              </w:tc>
              <w:tc>
                <w:tcPr>
                  <w:tcW w:w="1009" w:type="dxa"/>
                  <w:tcBorders>
                    <w:tl2br w:val="nil"/>
                    <w:tr2bl w:val="nil"/>
                  </w:tcBorders>
                  <w:noWrap w:val="0"/>
                  <w:vAlign w:val="center"/>
                </w:tcPr>
                <w:p w14:paraId="0AC832B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eastAsia="zh-CN"/>
                    </w:rPr>
                  </w:pPr>
                  <w:r>
                    <w:rPr>
                      <w:rFonts w:hint="eastAsia"/>
                      <w:color w:val="auto"/>
                      <w:szCs w:val="21"/>
                      <w:lang w:val="en-US" w:eastAsia="zh-CN"/>
                    </w:rPr>
                    <w:t>/</w:t>
                  </w:r>
                </w:p>
              </w:tc>
              <w:tc>
                <w:tcPr>
                  <w:tcW w:w="815" w:type="dxa"/>
                  <w:tcBorders>
                    <w:tl2br w:val="nil"/>
                    <w:tr2bl w:val="nil"/>
                  </w:tcBorders>
                  <w:noWrap w:val="0"/>
                  <w:vAlign w:val="center"/>
                </w:tcPr>
                <w:p w14:paraId="6900B52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新增</w:t>
                  </w:r>
                </w:p>
              </w:tc>
            </w:tr>
            <w:tr w14:paraId="0F793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71786DD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color w:val="auto"/>
                      <w:szCs w:val="21"/>
                      <w:lang w:val="en-US" w:eastAsia="zh-CN"/>
                    </w:rPr>
                  </w:pPr>
                  <w:r>
                    <w:rPr>
                      <w:rFonts w:hint="eastAsia"/>
                      <w:color w:val="auto"/>
                      <w:szCs w:val="21"/>
                      <w:lang w:val="en-US" w:eastAsia="zh-CN"/>
                    </w:rPr>
                    <w:t>6</w:t>
                  </w:r>
                </w:p>
              </w:tc>
              <w:tc>
                <w:tcPr>
                  <w:tcW w:w="860" w:type="dxa"/>
                  <w:tcBorders>
                    <w:tl2br w:val="nil"/>
                    <w:tr2bl w:val="nil"/>
                  </w:tcBorders>
                  <w:noWrap w:val="0"/>
                  <w:vAlign w:val="center"/>
                </w:tcPr>
                <w:p w14:paraId="700BAE6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lang w:val="en-US" w:eastAsia="zh-CN"/>
                    </w:rPr>
                  </w:pPr>
                  <w:r>
                    <w:rPr>
                      <w:rFonts w:hint="eastAsia"/>
                      <w:color w:val="auto"/>
                      <w:szCs w:val="21"/>
                      <w:lang w:val="en-US" w:eastAsia="zh-CN"/>
                    </w:rPr>
                    <w:t>简单防</w:t>
                  </w:r>
                </w:p>
                <w:p w14:paraId="2DCE7C9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color w:val="auto"/>
                      <w:szCs w:val="21"/>
                      <w:lang w:val="en-US" w:eastAsia="zh-CN"/>
                    </w:rPr>
                    <w:t>渗</w:t>
                  </w:r>
                  <w:r>
                    <w:rPr>
                      <w:rFonts w:hint="eastAsia"/>
                      <w:color w:val="auto"/>
                      <w:szCs w:val="21"/>
                    </w:rPr>
                    <w:t>区</w:t>
                  </w:r>
                </w:p>
              </w:tc>
              <w:tc>
                <w:tcPr>
                  <w:tcW w:w="1799" w:type="dxa"/>
                  <w:tcBorders>
                    <w:tl2br w:val="nil"/>
                    <w:tr2bl w:val="nil"/>
                  </w:tcBorders>
                  <w:noWrap w:val="0"/>
                  <w:vAlign w:val="center"/>
                </w:tcPr>
                <w:p w14:paraId="5136B77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eastAsia="宋体"/>
                      <w:color w:val="auto"/>
                      <w:szCs w:val="21"/>
                      <w:lang w:val="en-US" w:eastAsia="zh-CN"/>
                    </w:rPr>
                  </w:pPr>
                  <w:r>
                    <w:rPr>
                      <w:rFonts w:hint="eastAsia"/>
                      <w:color w:val="auto"/>
                      <w:szCs w:val="21"/>
                      <w:lang w:val="en-US" w:eastAsia="zh-CN"/>
                    </w:rPr>
                    <w:t>其他区域</w:t>
                  </w:r>
                </w:p>
              </w:tc>
              <w:tc>
                <w:tcPr>
                  <w:tcW w:w="2273" w:type="dxa"/>
                  <w:tcBorders>
                    <w:tl2br w:val="nil"/>
                    <w:tr2bl w:val="nil"/>
                  </w:tcBorders>
                  <w:noWrap w:val="0"/>
                  <w:vAlign w:val="center"/>
                </w:tcPr>
                <w:p w14:paraId="4911447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color w:val="auto"/>
                      <w:szCs w:val="21"/>
                    </w:rPr>
                  </w:pPr>
                  <w:r>
                    <w:rPr>
                      <w:rFonts w:hint="eastAsia"/>
                      <w:color w:val="auto"/>
                      <w:szCs w:val="21"/>
                    </w:rPr>
                    <w:t>一般地面硬化</w:t>
                  </w:r>
                </w:p>
              </w:tc>
              <w:tc>
                <w:tcPr>
                  <w:tcW w:w="873" w:type="dxa"/>
                  <w:tcBorders>
                    <w:tl2br w:val="nil"/>
                    <w:tr2bl w:val="nil"/>
                  </w:tcBorders>
                  <w:noWrap w:val="0"/>
                  <w:vAlign w:val="center"/>
                </w:tcPr>
                <w:p w14:paraId="40FB268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color w:val="auto"/>
                      <w:sz w:val="21"/>
                      <w:szCs w:val="21"/>
                    </w:rPr>
                    <w:t>地面硬化处理</w:t>
                  </w:r>
                </w:p>
              </w:tc>
              <w:tc>
                <w:tcPr>
                  <w:tcW w:w="1009" w:type="dxa"/>
                  <w:tcBorders>
                    <w:tl2br w:val="nil"/>
                    <w:tr2bl w:val="nil"/>
                  </w:tcBorders>
                  <w:noWrap w:val="0"/>
                  <w:vAlign w:val="center"/>
                </w:tcPr>
                <w:p w14:paraId="7CDC3EE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eastAsia="宋体"/>
                      <w:color w:val="auto"/>
                      <w:szCs w:val="21"/>
                      <w:lang w:eastAsia="zh-CN"/>
                    </w:rPr>
                  </w:pPr>
                  <w:r>
                    <w:rPr>
                      <w:rFonts w:hint="eastAsia"/>
                      <w:color w:val="auto"/>
                      <w:szCs w:val="21"/>
                      <w:lang w:eastAsia="zh-CN"/>
                    </w:rPr>
                    <w:t>是</w:t>
                  </w:r>
                </w:p>
              </w:tc>
              <w:tc>
                <w:tcPr>
                  <w:tcW w:w="815" w:type="dxa"/>
                  <w:tcBorders>
                    <w:tl2br w:val="nil"/>
                    <w:tr2bl w:val="nil"/>
                  </w:tcBorders>
                  <w:noWrap w:val="0"/>
                  <w:vAlign w:val="center"/>
                </w:tcPr>
                <w:p w14:paraId="411FC3D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color w:val="auto"/>
                      <w:szCs w:val="21"/>
                    </w:rPr>
                  </w:pPr>
                  <w:r>
                    <w:rPr>
                      <w:rFonts w:hint="eastAsia"/>
                      <w:color w:val="auto"/>
                      <w:szCs w:val="21"/>
                      <w:lang w:eastAsia="zh-CN"/>
                    </w:rPr>
                    <w:t>依托现有</w:t>
                  </w:r>
                </w:p>
              </w:tc>
            </w:tr>
          </w:tbl>
          <w:p w14:paraId="5F254C64">
            <w:pPr>
              <w:spacing w:before="120" w:beforeLines="50" w:line="360" w:lineRule="auto"/>
              <w:ind w:firstLine="480" w:firstLineChars="200"/>
              <w:rPr>
                <w:rFonts w:hint="eastAsia"/>
                <w:color w:val="auto"/>
                <w:sz w:val="24"/>
              </w:rPr>
            </w:pPr>
            <w:r>
              <w:rPr>
                <w:rFonts w:hint="eastAsia"/>
                <w:color w:val="auto"/>
                <w:sz w:val="24"/>
              </w:rPr>
              <w:t>(2)监控措施</w:t>
            </w:r>
          </w:p>
          <w:p w14:paraId="7BBFE1F5">
            <w:pPr>
              <w:spacing w:line="360" w:lineRule="auto"/>
              <w:ind w:firstLine="480" w:firstLineChars="200"/>
              <w:rPr>
                <w:rFonts w:hint="eastAsia"/>
                <w:color w:val="auto"/>
                <w:sz w:val="24"/>
              </w:rPr>
            </w:pPr>
            <w:r>
              <w:rPr>
                <w:rFonts w:hint="eastAsia"/>
                <w:color w:val="auto"/>
                <w:sz w:val="24"/>
              </w:rPr>
              <w:t>①项目</w:t>
            </w:r>
            <w:r>
              <w:rPr>
                <w:rFonts w:hint="eastAsia" w:cs="Times New Roman"/>
                <w:color w:val="auto"/>
                <w:sz w:val="24"/>
                <w:lang w:eastAsia="zh-CN"/>
              </w:rPr>
              <w:t>危险废物贮存间</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辅料</w:t>
            </w:r>
            <w:r>
              <w:rPr>
                <w:rFonts w:hint="eastAsia" w:ascii="Times New Roman" w:hAnsi="Times New Roman" w:eastAsia="宋体" w:cs="Times New Roman"/>
                <w:color w:val="auto"/>
                <w:sz w:val="24"/>
                <w:lang w:val="en-US" w:eastAsia="zh-CN"/>
              </w:rPr>
              <w:t>区</w:t>
            </w:r>
            <w:r>
              <w:rPr>
                <w:rFonts w:hint="eastAsia"/>
                <w:color w:val="auto"/>
                <w:sz w:val="24"/>
              </w:rPr>
              <w:t>四周建设导流沟装置，防止危险废物等泄漏时四处扩散，并可及时移除或者清理污染源；</w:t>
            </w:r>
          </w:p>
          <w:p w14:paraId="07425D64">
            <w:pPr>
              <w:spacing w:line="360" w:lineRule="auto"/>
              <w:ind w:firstLine="480" w:firstLineChars="200"/>
              <w:rPr>
                <w:rFonts w:hint="eastAsia"/>
                <w:color w:val="auto"/>
                <w:sz w:val="24"/>
              </w:rPr>
            </w:pPr>
            <w:r>
              <w:rPr>
                <w:rFonts w:hint="eastAsia"/>
                <w:color w:val="auto"/>
                <w:sz w:val="24"/>
              </w:rPr>
              <w:t>②建立健全环境管理和监测制度，保证各环保设施正常运转，同时强化风险防范意识，如遇环保设施不能正常运转，应立即停产检修；</w:t>
            </w:r>
          </w:p>
          <w:p w14:paraId="60F05685">
            <w:pPr>
              <w:spacing w:line="360" w:lineRule="auto"/>
              <w:ind w:firstLine="480" w:firstLineChars="200"/>
              <w:rPr>
                <w:rFonts w:hint="eastAsia"/>
                <w:color w:val="auto"/>
                <w:sz w:val="24"/>
              </w:rPr>
            </w:pPr>
            <w:r>
              <w:rPr>
                <w:rFonts w:hint="eastAsia"/>
                <w:color w:val="auto"/>
                <w:sz w:val="24"/>
              </w:rPr>
              <w:t>③设置专门管理制度，加强对原辅材料及危险废物的规范化管理，定期巡查维护环保设施的运行情况，及时处理非正常运行情况；</w:t>
            </w:r>
          </w:p>
          <w:p w14:paraId="0C09F80D">
            <w:pPr>
              <w:spacing w:line="360" w:lineRule="auto"/>
              <w:ind w:firstLine="480" w:firstLineChars="200"/>
              <w:rPr>
                <w:rFonts w:hint="eastAsia"/>
                <w:color w:val="auto"/>
                <w:sz w:val="24"/>
              </w:rPr>
            </w:pPr>
            <w:r>
              <w:rPr>
                <w:rFonts w:hint="eastAsia"/>
                <w:color w:val="auto"/>
                <w:sz w:val="24"/>
              </w:rPr>
              <w:t>④建立相应制度，对运行期项目可能造成的土壤污染问题承担相应的责任并进行修复，将其列入企业内部的环保管理规定中。</w:t>
            </w:r>
          </w:p>
          <w:p w14:paraId="5B5515EA">
            <w:pPr>
              <w:spacing w:line="360" w:lineRule="auto"/>
              <w:ind w:firstLine="480" w:firstLineChars="200"/>
              <w:rPr>
                <w:color w:val="auto"/>
                <w:sz w:val="24"/>
              </w:rPr>
            </w:pPr>
            <w:r>
              <w:rPr>
                <w:rFonts w:hint="eastAsia"/>
                <w:color w:val="auto"/>
                <w:sz w:val="24"/>
              </w:rPr>
              <w:t>⑤加强内部管理，将土壤污染防治纳入项目环境风险防控体系，严格依法依规建设和运行污染治理设施，确保重点污染物稳定达标排放；另外，提供企业员工污染隐患和环境风险防范意识，并定期开展培训。</w:t>
            </w:r>
          </w:p>
          <w:p w14:paraId="3D3DEBAD">
            <w:pPr>
              <w:spacing w:line="360" w:lineRule="auto"/>
              <w:ind w:firstLine="480" w:firstLineChars="200"/>
              <w:rPr>
                <w:rFonts w:hint="eastAsia"/>
                <w:color w:val="auto"/>
                <w:sz w:val="24"/>
              </w:rPr>
            </w:pPr>
            <w:r>
              <w:rPr>
                <w:rFonts w:hint="eastAsia"/>
                <w:color w:val="auto"/>
                <w:sz w:val="24"/>
              </w:rPr>
              <w:t>综上所述，加强项目运行过程中环境管理，则项目实施对厂区及周边地下水、土壤环境的影响可控。</w:t>
            </w:r>
          </w:p>
          <w:p w14:paraId="57B610CA">
            <w:pPr>
              <w:pStyle w:val="4"/>
              <w:bidi w:val="0"/>
              <w:rPr>
                <w:color w:val="auto"/>
              </w:rPr>
            </w:pPr>
            <w:r>
              <w:rPr>
                <w:rFonts w:hint="eastAsia"/>
                <w:color w:val="auto"/>
              </w:rPr>
              <w:t>4.6.3 跟踪监测要求</w:t>
            </w:r>
          </w:p>
          <w:p w14:paraId="06B135C1">
            <w:pPr>
              <w:spacing w:line="360" w:lineRule="auto"/>
              <w:ind w:firstLine="480" w:firstLineChars="200"/>
              <w:rPr>
                <w:color w:val="auto"/>
                <w:sz w:val="24"/>
              </w:rPr>
            </w:pPr>
            <w:r>
              <w:rPr>
                <w:rFonts w:hint="eastAsia"/>
                <w:color w:val="auto"/>
                <w:sz w:val="24"/>
                <w:szCs w:val="22"/>
              </w:rPr>
              <w:t>项目建设后，厂区车间地面全部硬化，生产过程不排放持久性及重金属等污染物，严格按照要求对项目进行分区防渗防治后，基本不存在</w:t>
            </w:r>
            <w:r>
              <w:rPr>
                <w:rFonts w:hint="eastAsia"/>
                <w:color w:val="auto"/>
                <w:sz w:val="24"/>
                <w:szCs w:val="22"/>
                <w:lang w:val="zh-CN"/>
              </w:rPr>
              <w:t>土壤、地下水环境污染源</w:t>
            </w:r>
            <w:r>
              <w:rPr>
                <w:rFonts w:hint="eastAsia"/>
                <w:color w:val="auto"/>
                <w:sz w:val="24"/>
              </w:rPr>
              <w:t>，项目对地下水、土壤环境影响很小，因此，本评价不对项目地下水、土壤环境提出跟踪监测要求。</w:t>
            </w:r>
          </w:p>
          <w:p w14:paraId="45FC7F12">
            <w:pPr>
              <w:pStyle w:val="3"/>
              <w:numPr>
                <w:ilvl w:val="0"/>
                <w:numId w:val="0"/>
              </w:numPr>
              <w:bidi w:val="0"/>
              <w:ind w:leftChars="0"/>
              <w:rPr>
                <w:color w:val="auto"/>
              </w:rPr>
            </w:pPr>
            <w:r>
              <w:rPr>
                <w:color w:val="auto"/>
              </w:rPr>
              <w:t>4.</w:t>
            </w:r>
            <w:r>
              <w:rPr>
                <w:rFonts w:hint="eastAsia"/>
                <w:color w:val="auto"/>
              </w:rPr>
              <w:t>7</w:t>
            </w:r>
            <w:r>
              <w:rPr>
                <w:color w:val="auto"/>
              </w:rPr>
              <w:t>环境风险影响和</w:t>
            </w:r>
            <w:r>
              <w:rPr>
                <w:rFonts w:hint="eastAsia"/>
                <w:color w:val="auto"/>
              </w:rPr>
              <w:t>防范</w:t>
            </w:r>
            <w:r>
              <w:rPr>
                <w:color w:val="auto"/>
              </w:rPr>
              <w:t>措施</w:t>
            </w:r>
          </w:p>
          <w:p w14:paraId="702E818C">
            <w:pPr>
              <w:spacing w:line="360" w:lineRule="auto"/>
              <w:ind w:firstLine="480" w:firstLineChars="200"/>
              <w:rPr>
                <w:rFonts w:hint="eastAsia"/>
                <w:color w:val="auto"/>
                <w:sz w:val="24"/>
              </w:rPr>
            </w:pPr>
            <w:r>
              <w:rPr>
                <w:rFonts w:hint="eastAsia"/>
                <w:color w:val="auto"/>
                <w:sz w:val="24"/>
              </w:rPr>
              <w:t>根据</w:t>
            </w:r>
            <w:r>
              <w:rPr>
                <w:color w:val="auto"/>
                <w:sz w:val="24"/>
              </w:rPr>
              <w:t>《建设项目环境影响报告表编制技术指南</w:t>
            </w:r>
            <w:r>
              <w:rPr>
                <w:rFonts w:hint="eastAsia"/>
                <w:color w:val="auto"/>
                <w:sz w:val="24"/>
              </w:rPr>
              <w:t>(</w:t>
            </w:r>
            <w:r>
              <w:rPr>
                <w:color w:val="auto"/>
                <w:sz w:val="24"/>
              </w:rPr>
              <w:t>污染影响类</w:t>
            </w:r>
            <w:r>
              <w:rPr>
                <w:rFonts w:hint="eastAsia"/>
                <w:color w:val="auto"/>
                <w:sz w:val="24"/>
              </w:rPr>
              <w:t>)(</w:t>
            </w:r>
            <w:r>
              <w:rPr>
                <w:color w:val="auto"/>
                <w:sz w:val="24"/>
              </w:rPr>
              <w:t>试行</w:t>
            </w:r>
            <w:r>
              <w:rPr>
                <w:rFonts w:hint="eastAsia"/>
                <w:color w:val="auto"/>
                <w:sz w:val="24"/>
              </w:rPr>
              <w:t>)</w:t>
            </w:r>
            <w:r>
              <w:rPr>
                <w:color w:val="auto"/>
                <w:sz w:val="24"/>
              </w:rPr>
              <w:t>》</w:t>
            </w:r>
            <w:r>
              <w:rPr>
                <w:rFonts w:hint="eastAsia"/>
                <w:color w:val="auto"/>
                <w:sz w:val="24"/>
              </w:rPr>
              <w:t>(</w:t>
            </w:r>
            <w:r>
              <w:rPr>
                <w:color w:val="auto"/>
                <w:sz w:val="24"/>
              </w:rPr>
              <w:t>环办环评〔2020〕33号</w:t>
            </w:r>
            <w:r>
              <w:rPr>
                <w:rFonts w:hint="eastAsia"/>
                <w:color w:val="auto"/>
                <w:sz w:val="24"/>
              </w:rPr>
              <w:t>)关于环境风险评价要求：“明确有毒有害和易燃易爆等危险物质和风险源分布情况及可能影响途径，并提出相应环境风险防范措施”。</w:t>
            </w:r>
          </w:p>
          <w:p w14:paraId="4007D18C">
            <w:pPr>
              <w:pStyle w:val="4"/>
              <w:bidi w:val="0"/>
              <w:rPr>
                <w:color w:val="auto"/>
              </w:rPr>
            </w:pPr>
            <w:r>
              <w:rPr>
                <w:rFonts w:hint="eastAsia"/>
                <w:color w:val="auto"/>
              </w:rPr>
              <w:t>4.7.1</w:t>
            </w:r>
            <w:r>
              <w:rPr>
                <w:color w:val="auto"/>
              </w:rPr>
              <w:t>项目</w:t>
            </w:r>
            <w:r>
              <w:rPr>
                <w:rFonts w:hint="eastAsia"/>
                <w:color w:val="auto"/>
              </w:rPr>
              <w:t>环境风险</w:t>
            </w:r>
            <w:r>
              <w:rPr>
                <w:color w:val="auto"/>
              </w:rPr>
              <w:t>调查</w:t>
            </w:r>
          </w:p>
          <w:p w14:paraId="48A58B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对照《建设项目环境风险评价技术导则》（HJ 169-2018）附录B及《企业突发环境事件风险分级方法》 HJ941-2018附录A可知，项目涉及环境风险物质如下：</w:t>
            </w:r>
          </w:p>
          <w:p w14:paraId="615D3FB8">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0D5DB916">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5440A84C">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04D7D788">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2C629371">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7BC768EA">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p>
          <w:p w14:paraId="051D4B5A">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黑体" w:hAnsi="黑体" w:eastAsia="黑体" w:cs="黑体"/>
                <w:b w:val="0"/>
                <w:bCs w:val="0"/>
                <w:color w:val="auto"/>
                <w:sz w:val="24"/>
                <w:lang w:val="en-US" w:eastAsia="zh-CN"/>
              </w:rPr>
            </w:pPr>
            <w:r>
              <w:rPr>
                <w:rFonts w:hint="eastAsia" w:ascii="黑体" w:hAnsi="黑体" w:eastAsia="黑体" w:cs="黑体"/>
                <w:b w:val="0"/>
                <w:bCs w:val="0"/>
                <w:color w:val="auto"/>
                <w:sz w:val="24"/>
                <w:lang w:val="en-US" w:eastAsia="zh-CN"/>
              </w:rPr>
              <w:t>表4-22 主要风险物质数量、有害因素分布表</w:t>
            </w:r>
          </w:p>
          <w:tbl>
            <w:tblPr>
              <w:tblStyle w:val="36"/>
              <w:tblW w:w="85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12"/>
              <w:gridCol w:w="641"/>
              <w:gridCol w:w="1004"/>
              <w:gridCol w:w="992"/>
              <w:gridCol w:w="866"/>
              <w:gridCol w:w="913"/>
              <w:gridCol w:w="795"/>
              <w:gridCol w:w="1004"/>
              <w:gridCol w:w="976"/>
            </w:tblGrid>
            <w:tr w14:paraId="6D8B7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gridSpan w:val="2"/>
                  <w:tcBorders>
                    <w:tl2br w:val="nil"/>
                    <w:tr2bl w:val="nil"/>
                  </w:tcBorders>
                  <w:noWrap w:val="0"/>
                  <w:vAlign w:val="center"/>
                </w:tcPr>
                <w:p w14:paraId="3CA71FA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物质</w:t>
                  </w:r>
                </w:p>
                <w:p w14:paraId="65A7958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名称</w:t>
                  </w:r>
                </w:p>
              </w:tc>
              <w:tc>
                <w:tcPr>
                  <w:tcW w:w="641" w:type="dxa"/>
                  <w:tcBorders>
                    <w:tl2br w:val="nil"/>
                    <w:tr2bl w:val="nil"/>
                  </w:tcBorders>
                  <w:noWrap w:val="0"/>
                  <w:vAlign w:val="center"/>
                </w:tcPr>
                <w:p w14:paraId="06A02EB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形态</w:t>
                  </w:r>
                </w:p>
              </w:tc>
              <w:tc>
                <w:tcPr>
                  <w:tcW w:w="1004" w:type="dxa"/>
                  <w:tcBorders>
                    <w:tl2br w:val="nil"/>
                    <w:tr2bl w:val="nil"/>
                  </w:tcBorders>
                  <w:noWrap w:val="0"/>
                  <w:vAlign w:val="center"/>
                </w:tcPr>
                <w:p w14:paraId="3B6845F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eastAsia" w:ascii="Times New Roman" w:hAnsi="Times New Roman" w:eastAsia="宋体" w:cs="Times New Roman"/>
                      <w:b/>
                      <w:bCs w:val="0"/>
                      <w:color w:val="auto"/>
                      <w:sz w:val="21"/>
                      <w:szCs w:val="21"/>
                      <w:highlight w:val="none"/>
                      <w:vertAlign w:val="baseline"/>
                      <w:lang w:val="en-US" w:eastAsia="zh-CN"/>
                    </w:rPr>
                    <w:t>一次最大</w:t>
                  </w:r>
                  <w:r>
                    <w:rPr>
                      <w:rFonts w:hint="default" w:ascii="Times New Roman" w:hAnsi="Times New Roman" w:eastAsia="宋体" w:cs="Times New Roman"/>
                      <w:b/>
                      <w:bCs w:val="0"/>
                      <w:color w:val="auto"/>
                      <w:sz w:val="21"/>
                      <w:szCs w:val="21"/>
                      <w:highlight w:val="none"/>
                      <w:vertAlign w:val="baseline"/>
                      <w:lang w:eastAsia="zh-CN"/>
                    </w:rPr>
                    <w:t>储量</w:t>
                  </w:r>
                </w:p>
                <w:p w14:paraId="1ABD99D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(t)</w:t>
                  </w:r>
                </w:p>
              </w:tc>
              <w:tc>
                <w:tcPr>
                  <w:tcW w:w="992" w:type="dxa"/>
                  <w:tcBorders>
                    <w:tl2br w:val="nil"/>
                    <w:tr2bl w:val="nil"/>
                  </w:tcBorders>
                  <w:noWrap w:val="0"/>
                  <w:vAlign w:val="center"/>
                </w:tcPr>
                <w:p w14:paraId="0F7BA53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w:t>
                  </w:r>
                </w:p>
                <w:p w14:paraId="6217682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质成分</w:t>
                  </w:r>
                </w:p>
              </w:tc>
              <w:tc>
                <w:tcPr>
                  <w:tcW w:w="866" w:type="dxa"/>
                  <w:tcBorders>
                    <w:tl2br w:val="nil"/>
                    <w:tr2bl w:val="nil"/>
                  </w:tcBorders>
                  <w:noWrap w:val="0"/>
                  <w:vAlign w:val="center"/>
                </w:tcPr>
                <w:p w14:paraId="68506AD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危险物质含量</w:t>
                  </w:r>
                </w:p>
              </w:tc>
              <w:tc>
                <w:tcPr>
                  <w:tcW w:w="913" w:type="dxa"/>
                  <w:tcBorders>
                    <w:tl2br w:val="nil"/>
                    <w:tr2bl w:val="nil"/>
                  </w:tcBorders>
                  <w:noWrap w:val="0"/>
                  <w:vAlign w:val="center"/>
                </w:tcPr>
                <w:p w14:paraId="52B09A8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危险物</w:t>
                  </w:r>
                </w:p>
                <w:p w14:paraId="0E89DB1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sz w:val="21"/>
                      <w:szCs w:val="21"/>
                      <w:highlight w:val="none"/>
                      <w:vertAlign w:val="baseline"/>
                      <w:lang w:eastAsia="zh-CN"/>
                    </w:rPr>
                    <w:t>质储量</w:t>
                  </w:r>
                  <w:r>
                    <w:rPr>
                      <w:rFonts w:hint="eastAsia" w:ascii="Times New Roman" w:hAnsi="Times New Roman" w:eastAsia="宋体" w:cs="Times New Roman"/>
                      <w:b/>
                      <w:bCs w:val="0"/>
                      <w:color w:val="auto"/>
                      <w:sz w:val="21"/>
                      <w:szCs w:val="21"/>
                      <w:highlight w:val="none"/>
                      <w:vertAlign w:val="baseline"/>
                      <w:lang w:eastAsia="zh-CN"/>
                    </w:rPr>
                    <w:t>（</w:t>
                  </w:r>
                  <w:r>
                    <w:rPr>
                      <w:rFonts w:hint="default" w:ascii="Times New Roman" w:hAnsi="Times New Roman" w:eastAsia="宋体" w:cs="Times New Roman"/>
                      <w:b/>
                      <w:bCs w:val="0"/>
                      <w:color w:val="auto"/>
                      <w:sz w:val="21"/>
                      <w:szCs w:val="21"/>
                      <w:highlight w:val="none"/>
                      <w:vertAlign w:val="baseline"/>
                      <w:lang w:val="en-US" w:eastAsia="zh-CN"/>
                    </w:rPr>
                    <w:t>t)</w:t>
                  </w:r>
                </w:p>
              </w:tc>
              <w:tc>
                <w:tcPr>
                  <w:tcW w:w="795" w:type="dxa"/>
                  <w:tcBorders>
                    <w:tl2br w:val="nil"/>
                    <w:tr2bl w:val="nil"/>
                  </w:tcBorders>
                  <w:noWrap w:val="0"/>
                  <w:vAlign w:val="center"/>
                </w:tcPr>
                <w:p w14:paraId="21FF8E0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临界量（</w:t>
                  </w:r>
                  <w:r>
                    <w:rPr>
                      <w:rFonts w:hint="default" w:ascii="Times New Roman" w:hAnsi="Times New Roman" w:eastAsia="宋体" w:cs="Times New Roman"/>
                      <w:b/>
                      <w:bCs w:val="0"/>
                      <w:color w:val="auto"/>
                      <w:sz w:val="21"/>
                      <w:szCs w:val="21"/>
                      <w:highlight w:val="none"/>
                      <w:vertAlign w:val="baseline"/>
                      <w:lang w:val="en-US" w:eastAsia="zh-CN"/>
                    </w:rPr>
                    <w:t>t)</w:t>
                  </w:r>
                </w:p>
              </w:tc>
              <w:tc>
                <w:tcPr>
                  <w:tcW w:w="1004" w:type="dxa"/>
                  <w:tcBorders>
                    <w:tl2br w:val="nil"/>
                    <w:tr2bl w:val="nil"/>
                  </w:tcBorders>
                  <w:noWrap w:val="0"/>
                  <w:vAlign w:val="center"/>
                </w:tcPr>
                <w:p w14:paraId="2B3EEF0E">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bCs w:val="0"/>
                      <w:color w:val="auto"/>
                      <w:spacing w:val="0"/>
                      <w:sz w:val="21"/>
                      <w:szCs w:val="21"/>
                      <w:highlight w:val="none"/>
                      <w:lang w:val="en-US" w:eastAsia="zh-CN"/>
                    </w:rPr>
                  </w:pPr>
                  <w:r>
                    <w:rPr>
                      <w:rFonts w:hint="eastAsia" w:ascii="Times New Roman" w:hAnsi="Times New Roman" w:eastAsia="宋体" w:cs="Times New Roman"/>
                      <w:b/>
                      <w:bCs w:val="0"/>
                      <w:color w:val="auto"/>
                      <w:spacing w:val="0"/>
                      <w:sz w:val="21"/>
                      <w:szCs w:val="21"/>
                      <w:highlight w:val="none"/>
                      <w:lang w:val="en-US" w:eastAsia="zh-CN"/>
                    </w:rPr>
                    <w:t>Q值</w:t>
                  </w:r>
                </w:p>
              </w:tc>
              <w:tc>
                <w:tcPr>
                  <w:tcW w:w="976" w:type="dxa"/>
                  <w:tcBorders>
                    <w:tl2br w:val="nil"/>
                    <w:tr2bl w:val="nil"/>
                  </w:tcBorders>
                  <w:noWrap w:val="0"/>
                  <w:vAlign w:val="center"/>
                </w:tcPr>
                <w:p w14:paraId="5D8A59F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位置</w:t>
                  </w:r>
                </w:p>
              </w:tc>
            </w:tr>
            <w:tr w14:paraId="27A08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14:paraId="4090233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原辅材料</w:t>
                  </w:r>
                </w:p>
              </w:tc>
              <w:tc>
                <w:tcPr>
                  <w:tcW w:w="912" w:type="dxa"/>
                  <w:tcBorders>
                    <w:tl2br w:val="nil"/>
                    <w:tr2bl w:val="nil"/>
                  </w:tcBorders>
                  <w:noWrap w:val="0"/>
                  <w:vAlign w:val="center"/>
                </w:tcPr>
                <w:p w14:paraId="1296C93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both"/>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铝带底涂剂</w:t>
                  </w:r>
                </w:p>
              </w:tc>
              <w:tc>
                <w:tcPr>
                  <w:tcW w:w="641" w:type="dxa"/>
                  <w:tcBorders>
                    <w:tl2br w:val="nil"/>
                    <w:tr2bl w:val="nil"/>
                  </w:tcBorders>
                  <w:noWrap w:val="0"/>
                  <w:vAlign w:val="center"/>
                </w:tcPr>
                <w:p w14:paraId="1D9FDE0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1C9E214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023A8A8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甲苯</w:t>
                  </w:r>
                </w:p>
              </w:tc>
              <w:tc>
                <w:tcPr>
                  <w:tcW w:w="866" w:type="dxa"/>
                  <w:tcBorders>
                    <w:tl2br w:val="nil"/>
                    <w:tr2bl w:val="nil"/>
                  </w:tcBorders>
                  <w:noWrap w:val="0"/>
                  <w:vAlign w:val="center"/>
                </w:tcPr>
                <w:p w14:paraId="193A734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95</w:t>
                  </w:r>
                  <w:r>
                    <w:rPr>
                      <w:rFonts w:hint="eastAsia" w:ascii="Times New Roman" w:hAnsi="Times New Roman" w:eastAsia="宋体" w:cs="Times New Roman"/>
                      <w:b w:val="0"/>
                      <w:bCs/>
                      <w:color w:val="auto"/>
                      <w:sz w:val="21"/>
                      <w:szCs w:val="21"/>
                      <w:highlight w:val="none"/>
                      <w:vertAlign w:val="baseline"/>
                      <w:lang w:val="en-US" w:eastAsia="zh-CN"/>
                    </w:rPr>
                    <w:t>%</w:t>
                  </w:r>
                </w:p>
              </w:tc>
              <w:tc>
                <w:tcPr>
                  <w:tcW w:w="913" w:type="dxa"/>
                  <w:tcBorders>
                    <w:tl2br w:val="nil"/>
                    <w:tr2bl w:val="nil"/>
                  </w:tcBorders>
                  <w:noWrap w:val="0"/>
                  <w:vAlign w:val="center"/>
                </w:tcPr>
                <w:p w14:paraId="5118A2A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0.095</w:t>
                  </w:r>
                </w:p>
              </w:tc>
              <w:tc>
                <w:tcPr>
                  <w:tcW w:w="795" w:type="dxa"/>
                  <w:tcBorders>
                    <w:tl2br w:val="nil"/>
                    <w:tr2bl w:val="nil"/>
                  </w:tcBorders>
                  <w:noWrap w:val="0"/>
                  <w:vAlign w:val="center"/>
                </w:tcPr>
                <w:p w14:paraId="69F41D7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10</w:t>
                  </w:r>
                </w:p>
              </w:tc>
              <w:tc>
                <w:tcPr>
                  <w:tcW w:w="1004" w:type="dxa"/>
                  <w:tcBorders>
                    <w:tl2br w:val="nil"/>
                    <w:tr2bl w:val="nil"/>
                  </w:tcBorders>
                  <w:noWrap w:val="0"/>
                  <w:vAlign w:val="center"/>
                </w:tcPr>
                <w:p w14:paraId="64C6DDE9">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i w:val="0"/>
                      <w:iCs w:val="0"/>
                      <w:color w:val="auto"/>
                      <w:kern w:val="0"/>
                      <w:sz w:val="21"/>
                      <w:szCs w:val="21"/>
                      <w:u w:val="none"/>
                      <w:lang w:val="en-US" w:eastAsia="zh-CN" w:bidi="ar"/>
                    </w:rPr>
                    <w:t>0.0095</w:t>
                  </w:r>
                </w:p>
              </w:tc>
              <w:tc>
                <w:tcPr>
                  <w:tcW w:w="976" w:type="dxa"/>
                  <w:vMerge w:val="restart"/>
                  <w:tcBorders>
                    <w:tl2br w:val="nil"/>
                    <w:tr2bl w:val="nil"/>
                  </w:tcBorders>
                  <w:noWrap w:val="0"/>
                  <w:vAlign w:val="center"/>
                </w:tcPr>
                <w:p w14:paraId="413B7A8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辅料区</w:t>
                  </w:r>
                </w:p>
              </w:tc>
            </w:tr>
            <w:tr w14:paraId="63474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7992FA59">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423B934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PP底涂剂</w:t>
                  </w:r>
                </w:p>
              </w:tc>
              <w:tc>
                <w:tcPr>
                  <w:tcW w:w="641" w:type="dxa"/>
                  <w:tcBorders>
                    <w:tl2br w:val="nil"/>
                    <w:tr2bl w:val="nil"/>
                  </w:tcBorders>
                  <w:noWrap w:val="0"/>
                  <w:vAlign w:val="center"/>
                </w:tcPr>
                <w:p w14:paraId="74D4F9C4">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078FACF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5CCC03A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有机溶剂</w:t>
                  </w:r>
                </w:p>
              </w:tc>
              <w:tc>
                <w:tcPr>
                  <w:tcW w:w="866" w:type="dxa"/>
                  <w:tcBorders>
                    <w:tl2br w:val="nil"/>
                    <w:tr2bl w:val="nil"/>
                  </w:tcBorders>
                  <w:noWrap w:val="0"/>
                  <w:vAlign w:val="center"/>
                </w:tcPr>
                <w:p w14:paraId="0F03BA8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5140A05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795" w:type="dxa"/>
                  <w:tcBorders>
                    <w:tl2br w:val="nil"/>
                    <w:tr2bl w:val="nil"/>
                  </w:tcBorders>
                  <w:noWrap w:val="0"/>
                  <w:vAlign w:val="center"/>
                </w:tcPr>
                <w:p w14:paraId="68CB5A35">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50</w:t>
                  </w:r>
                </w:p>
              </w:tc>
              <w:tc>
                <w:tcPr>
                  <w:tcW w:w="1004" w:type="dxa"/>
                  <w:tcBorders>
                    <w:tl2br w:val="nil"/>
                    <w:tr2bl w:val="nil"/>
                  </w:tcBorders>
                  <w:noWrap w:val="0"/>
                  <w:vAlign w:val="center"/>
                </w:tcPr>
                <w:p w14:paraId="69659723">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i w:val="0"/>
                      <w:iCs w:val="0"/>
                      <w:color w:val="auto"/>
                      <w:kern w:val="0"/>
                      <w:sz w:val="21"/>
                      <w:szCs w:val="21"/>
                      <w:u w:val="none"/>
                      <w:lang w:val="en-US" w:eastAsia="zh-CN" w:bidi="ar"/>
                    </w:rPr>
                    <w:t>0.002</w:t>
                  </w:r>
                </w:p>
              </w:tc>
              <w:tc>
                <w:tcPr>
                  <w:tcW w:w="976" w:type="dxa"/>
                  <w:vMerge w:val="continue"/>
                  <w:tcBorders>
                    <w:tl2br w:val="nil"/>
                    <w:tr2bl w:val="nil"/>
                  </w:tcBorders>
                  <w:noWrap w:val="0"/>
                  <w:vAlign w:val="center"/>
                </w:tcPr>
                <w:p w14:paraId="4743C0C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79363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66D82E1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36E29A3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润滑油</w:t>
                  </w:r>
                </w:p>
              </w:tc>
              <w:tc>
                <w:tcPr>
                  <w:tcW w:w="641" w:type="dxa"/>
                  <w:tcBorders>
                    <w:tl2br w:val="nil"/>
                    <w:tr2bl w:val="nil"/>
                  </w:tcBorders>
                  <w:noWrap w:val="0"/>
                  <w:vAlign w:val="center"/>
                </w:tcPr>
                <w:p w14:paraId="4751138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5EEC94D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992" w:type="dxa"/>
                  <w:tcBorders>
                    <w:tl2br w:val="nil"/>
                    <w:tr2bl w:val="nil"/>
                  </w:tcBorders>
                  <w:noWrap w:val="0"/>
                  <w:vAlign w:val="center"/>
                </w:tcPr>
                <w:p w14:paraId="46CD8EF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866" w:type="dxa"/>
                  <w:tcBorders>
                    <w:tl2br w:val="nil"/>
                    <w:tr2bl w:val="nil"/>
                  </w:tcBorders>
                  <w:noWrap w:val="0"/>
                  <w:vAlign w:val="center"/>
                </w:tcPr>
                <w:p w14:paraId="15CCE69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268D884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795" w:type="dxa"/>
                  <w:tcBorders>
                    <w:tl2br w:val="nil"/>
                    <w:tr2bl w:val="nil"/>
                  </w:tcBorders>
                  <w:noWrap w:val="0"/>
                  <w:vAlign w:val="center"/>
                </w:tcPr>
                <w:p w14:paraId="680BE89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098C0F91">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0.00008</w:t>
                  </w:r>
                </w:p>
              </w:tc>
              <w:tc>
                <w:tcPr>
                  <w:tcW w:w="976" w:type="dxa"/>
                  <w:vMerge w:val="continue"/>
                  <w:tcBorders>
                    <w:tl2br w:val="nil"/>
                    <w:tr2bl w:val="nil"/>
                  </w:tcBorders>
                  <w:noWrap w:val="0"/>
                  <w:vAlign w:val="center"/>
                </w:tcPr>
                <w:p w14:paraId="6E61F37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387AA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39CBF28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0F7C47A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液压油</w:t>
                  </w:r>
                </w:p>
              </w:tc>
              <w:tc>
                <w:tcPr>
                  <w:tcW w:w="641" w:type="dxa"/>
                  <w:tcBorders>
                    <w:tl2br w:val="nil"/>
                    <w:tr2bl w:val="nil"/>
                  </w:tcBorders>
                  <w:noWrap w:val="0"/>
                  <w:vAlign w:val="center"/>
                </w:tcPr>
                <w:p w14:paraId="1767BEC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31E32FA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992" w:type="dxa"/>
                  <w:tcBorders>
                    <w:tl2br w:val="nil"/>
                    <w:tr2bl w:val="nil"/>
                  </w:tcBorders>
                  <w:noWrap w:val="0"/>
                  <w:vAlign w:val="center"/>
                </w:tcPr>
                <w:p w14:paraId="619DAD8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866" w:type="dxa"/>
                  <w:tcBorders>
                    <w:tl2br w:val="nil"/>
                    <w:tr2bl w:val="nil"/>
                  </w:tcBorders>
                  <w:noWrap w:val="0"/>
                  <w:vAlign w:val="center"/>
                </w:tcPr>
                <w:p w14:paraId="32537D5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6EEB280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795" w:type="dxa"/>
                  <w:tcBorders>
                    <w:tl2br w:val="nil"/>
                    <w:tr2bl w:val="nil"/>
                  </w:tcBorders>
                  <w:noWrap w:val="0"/>
                  <w:vAlign w:val="center"/>
                </w:tcPr>
                <w:p w14:paraId="663A5E3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4C010DDE">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0.00008</w:t>
                  </w:r>
                </w:p>
              </w:tc>
              <w:tc>
                <w:tcPr>
                  <w:tcW w:w="976" w:type="dxa"/>
                  <w:vMerge w:val="continue"/>
                  <w:tcBorders>
                    <w:tl2br w:val="nil"/>
                    <w:tr2bl w:val="nil"/>
                  </w:tcBorders>
                  <w:noWrap w:val="0"/>
                  <w:vAlign w:val="center"/>
                </w:tcPr>
                <w:p w14:paraId="61833BA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1F162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noWrap w:val="0"/>
                  <w:vAlign w:val="center"/>
                </w:tcPr>
                <w:p w14:paraId="35ECEB3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危险废物</w:t>
                  </w:r>
                </w:p>
              </w:tc>
              <w:tc>
                <w:tcPr>
                  <w:tcW w:w="912" w:type="dxa"/>
                  <w:tcBorders>
                    <w:tl2br w:val="nil"/>
                    <w:tr2bl w:val="nil"/>
                  </w:tcBorders>
                  <w:noWrap w:val="0"/>
                  <w:vAlign w:val="center"/>
                </w:tcPr>
                <w:p w14:paraId="656E487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废润滑油</w:t>
                  </w:r>
                </w:p>
              </w:tc>
              <w:tc>
                <w:tcPr>
                  <w:tcW w:w="641" w:type="dxa"/>
                  <w:tcBorders>
                    <w:tl2br w:val="nil"/>
                    <w:tr2bl w:val="nil"/>
                  </w:tcBorders>
                  <w:noWrap w:val="0"/>
                  <w:vAlign w:val="center"/>
                </w:tcPr>
                <w:p w14:paraId="6A6BBC9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63FF50C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992" w:type="dxa"/>
                  <w:tcBorders>
                    <w:tl2br w:val="nil"/>
                    <w:tr2bl w:val="nil"/>
                  </w:tcBorders>
                  <w:noWrap w:val="0"/>
                  <w:vAlign w:val="center"/>
                </w:tcPr>
                <w:p w14:paraId="19A8FE1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866" w:type="dxa"/>
                  <w:tcBorders>
                    <w:tl2br w:val="nil"/>
                    <w:tr2bl w:val="nil"/>
                  </w:tcBorders>
                  <w:noWrap w:val="0"/>
                  <w:vAlign w:val="center"/>
                </w:tcPr>
                <w:p w14:paraId="0D61624C">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25097F0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795" w:type="dxa"/>
                  <w:tcBorders>
                    <w:tl2br w:val="nil"/>
                    <w:tr2bl w:val="nil"/>
                  </w:tcBorders>
                  <w:noWrap w:val="0"/>
                  <w:vAlign w:val="center"/>
                </w:tcPr>
                <w:p w14:paraId="23082FE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09E9EB2E">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0.00004</w:t>
                  </w:r>
                </w:p>
              </w:tc>
              <w:tc>
                <w:tcPr>
                  <w:tcW w:w="976" w:type="dxa"/>
                  <w:vMerge w:val="restart"/>
                  <w:tcBorders>
                    <w:tl2br w:val="nil"/>
                    <w:tr2bl w:val="nil"/>
                  </w:tcBorders>
                  <w:noWrap w:val="0"/>
                  <w:vAlign w:val="center"/>
                </w:tcPr>
                <w:p w14:paraId="4F978C4E">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危险废物贮存</w:t>
                  </w:r>
                  <w:r>
                    <w:rPr>
                      <w:rFonts w:hint="eastAsia" w:ascii="Times New Roman" w:hAnsi="Times New Roman" w:eastAsia="宋体" w:cs="Times New Roman"/>
                      <w:b w:val="0"/>
                      <w:bCs/>
                      <w:color w:val="auto"/>
                      <w:sz w:val="21"/>
                      <w:szCs w:val="21"/>
                      <w:highlight w:val="none"/>
                      <w:vertAlign w:val="baseline"/>
                      <w:lang w:val="en-US" w:eastAsia="zh-CN"/>
                    </w:rPr>
                    <w:t>间</w:t>
                  </w:r>
                </w:p>
              </w:tc>
            </w:tr>
            <w:tr w14:paraId="4A196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49AC183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3C6D3A9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color w:val="auto"/>
                      <w:spacing w:val="0"/>
                      <w:sz w:val="21"/>
                      <w:szCs w:val="21"/>
                      <w:highlight w:val="none"/>
                      <w:lang w:val="en-US" w:eastAsia="zh-CN"/>
                    </w:rPr>
                  </w:pPr>
                  <w:r>
                    <w:rPr>
                      <w:rFonts w:hint="eastAsia" w:eastAsia="宋体" w:cs="Times New Roman"/>
                      <w:color w:val="auto"/>
                      <w:spacing w:val="0"/>
                      <w:sz w:val="21"/>
                      <w:szCs w:val="21"/>
                      <w:highlight w:val="none"/>
                      <w:lang w:val="en-US" w:eastAsia="zh-CN"/>
                    </w:rPr>
                    <w:t>废液压油</w:t>
                  </w:r>
                </w:p>
              </w:tc>
              <w:tc>
                <w:tcPr>
                  <w:tcW w:w="641" w:type="dxa"/>
                  <w:tcBorders>
                    <w:tl2br w:val="nil"/>
                    <w:tr2bl w:val="nil"/>
                  </w:tcBorders>
                  <w:noWrap w:val="0"/>
                  <w:vAlign w:val="center"/>
                </w:tcPr>
                <w:p w14:paraId="7FF0A18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液态</w:t>
                  </w:r>
                </w:p>
              </w:tc>
              <w:tc>
                <w:tcPr>
                  <w:tcW w:w="1004" w:type="dxa"/>
                  <w:tcBorders>
                    <w:tl2br w:val="nil"/>
                    <w:tr2bl w:val="nil"/>
                  </w:tcBorders>
                  <w:noWrap w:val="0"/>
                  <w:vAlign w:val="center"/>
                </w:tcPr>
                <w:p w14:paraId="4B4C3441">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0.15</w:t>
                  </w:r>
                </w:p>
              </w:tc>
              <w:tc>
                <w:tcPr>
                  <w:tcW w:w="992" w:type="dxa"/>
                  <w:tcBorders>
                    <w:tl2br w:val="nil"/>
                    <w:tr2bl w:val="nil"/>
                  </w:tcBorders>
                  <w:noWrap w:val="0"/>
                  <w:vAlign w:val="center"/>
                </w:tcPr>
                <w:p w14:paraId="1339495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废矿物油</w:t>
                  </w:r>
                </w:p>
              </w:tc>
              <w:tc>
                <w:tcPr>
                  <w:tcW w:w="866" w:type="dxa"/>
                  <w:tcBorders>
                    <w:tl2br w:val="nil"/>
                    <w:tr2bl w:val="nil"/>
                  </w:tcBorders>
                  <w:noWrap w:val="0"/>
                  <w:vAlign w:val="center"/>
                </w:tcPr>
                <w:p w14:paraId="2495F170">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4B19CA0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0.15</w:t>
                  </w:r>
                </w:p>
              </w:tc>
              <w:tc>
                <w:tcPr>
                  <w:tcW w:w="795" w:type="dxa"/>
                  <w:tcBorders>
                    <w:tl2br w:val="nil"/>
                    <w:tr2bl w:val="nil"/>
                  </w:tcBorders>
                  <w:noWrap w:val="0"/>
                  <w:vAlign w:val="center"/>
                </w:tcPr>
                <w:p w14:paraId="2B8F1833">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2500</w:t>
                  </w:r>
                </w:p>
              </w:tc>
              <w:tc>
                <w:tcPr>
                  <w:tcW w:w="1004" w:type="dxa"/>
                  <w:tcBorders>
                    <w:tl2br w:val="nil"/>
                    <w:tr2bl w:val="nil"/>
                  </w:tcBorders>
                  <w:noWrap w:val="0"/>
                  <w:vAlign w:val="center"/>
                </w:tcPr>
                <w:p w14:paraId="1F361526">
                  <w:pPr>
                    <w:keepNext w:val="0"/>
                    <w:keepLines w:val="0"/>
                    <w:pageBreakBefore w:val="0"/>
                    <w:widowControl/>
                    <w:suppressLineNumbers w:val="0"/>
                    <w:kinsoku/>
                    <w:wordWrap/>
                    <w:overflowPunct/>
                    <w:topLinePunct w:val="0"/>
                    <w:bidi w:val="0"/>
                    <w:spacing w:line="240" w:lineRule="auto"/>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0.00006</w:t>
                  </w:r>
                </w:p>
              </w:tc>
              <w:tc>
                <w:tcPr>
                  <w:tcW w:w="976" w:type="dxa"/>
                  <w:vMerge w:val="continue"/>
                  <w:tcBorders>
                    <w:tl2br w:val="nil"/>
                    <w:tr2bl w:val="nil"/>
                  </w:tcBorders>
                  <w:noWrap w:val="0"/>
                  <w:vAlign w:val="center"/>
                </w:tcPr>
                <w:p w14:paraId="148D144A">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eastAsia="宋体" w:cs="Times New Roman"/>
                      <w:b w:val="0"/>
                      <w:bCs/>
                      <w:color w:val="auto"/>
                      <w:sz w:val="21"/>
                      <w:szCs w:val="21"/>
                      <w:highlight w:val="none"/>
                      <w:vertAlign w:val="baseline"/>
                      <w:lang w:val="en-US" w:eastAsia="zh-CN"/>
                    </w:rPr>
                  </w:pPr>
                </w:p>
              </w:tc>
            </w:tr>
            <w:tr w14:paraId="4AD8D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noWrap w:val="0"/>
                  <w:vAlign w:val="center"/>
                </w:tcPr>
                <w:p w14:paraId="7BE1288F">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color w:val="auto"/>
                      <w:spacing w:val="0"/>
                      <w:sz w:val="21"/>
                      <w:szCs w:val="21"/>
                      <w:highlight w:val="none"/>
                      <w:lang w:val="en-US" w:eastAsia="zh-CN"/>
                    </w:rPr>
                  </w:pPr>
                </w:p>
              </w:tc>
              <w:tc>
                <w:tcPr>
                  <w:tcW w:w="912" w:type="dxa"/>
                  <w:tcBorders>
                    <w:tl2br w:val="nil"/>
                    <w:tr2bl w:val="nil"/>
                  </w:tcBorders>
                  <w:noWrap w:val="0"/>
                  <w:vAlign w:val="center"/>
                </w:tcPr>
                <w:p w14:paraId="7142AEB2">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其他危险废物（废活性炭、</w:t>
                  </w:r>
                  <w:r>
                    <w:rPr>
                      <w:rFonts w:hint="eastAsia" w:eastAsia="宋体" w:cs="Times New Roman"/>
                      <w:color w:val="auto"/>
                      <w:spacing w:val="0"/>
                      <w:sz w:val="21"/>
                      <w:szCs w:val="21"/>
                      <w:highlight w:val="none"/>
                      <w:lang w:val="en-US" w:eastAsia="zh-CN"/>
                    </w:rPr>
                    <w:t>废胶桶</w:t>
                  </w:r>
                  <w:r>
                    <w:rPr>
                      <w:rFonts w:hint="eastAsia" w:ascii="Times New Roman" w:hAnsi="Times New Roman" w:eastAsia="宋体" w:cs="Times New Roman"/>
                      <w:color w:val="auto"/>
                      <w:spacing w:val="0"/>
                      <w:sz w:val="21"/>
                      <w:szCs w:val="21"/>
                      <w:highlight w:val="none"/>
                      <w:lang w:val="en-US" w:eastAsia="zh-CN"/>
                    </w:rPr>
                    <w:t>）</w:t>
                  </w:r>
                </w:p>
              </w:tc>
              <w:tc>
                <w:tcPr>
                  <w:tcW w:w="641" w:type="dxa"/>
                  <w:tcBorders>
                    <w:tl2br w:val="nil"/>
                    <w:tr2bl w:val="nil"/>
                  </w:tcBorders>
                  <w:noWrap w:val="0"/>
                  <w:vAlign w:val="center"/>
                </w:tcPr>
                <w:p w14:paraId="58D4E5E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固体</w:t>
                  </w:r>
                </w:p>
              </w:tc>
              <w:tc>
                <w:tcPr>
                  <w:tcW w:w="1004" w:type="dxa"/>
                  <w:tcBorders>
                    <w:tl2br w:val="nil"/>
                    <w:tr2bl w:val="nil"/>
                  </w:tcBorders>
                  <w:noWrap w:val="0"/>
                  <w:vAlign w:val="center"/>
                </w:tcPr>
                <w:p w14:paraId="5BAD57F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5.606</w:t>
                  </w:r>
                </w:p>
              </w:tc>
              <w:tc>
                <w:tcPr>
                  <w:tcW w:w="992" w:type="dxa"/>
                  <w:tcBorders>
                    <w:tl2br w:val="nil"/>
                    <w:tr2bl w:val="nil"/>
                  </w:tcBorders>
                  <w:noWrap w:val="0"/>
                  <w:vAlign w:val="center"/>
                </w:tcPr>
                <w:p w14:paraId="2A5EB698">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pacing w:val="0"/>
                      <w:sz w:val="21"/>
                      <w:szCs w:val="21"/>
                      <w:highlight w:val="none"/>
                      <w:lang w:val="en-US" w:eastAsia="zh-CN"/>
                    </w:rPr>
                    <w:t>危险废物</w:t>
                  </w:r>
                </w:p>
              </w:tc>
              <w:tc>
                <w:tcPr>
                  <w:tcW w:w="866" w:type="dxa"/>
                  <w:tcBorders>
                    <w:tl2br w:val="nil"/>
                    <w:tr2bl w:val="nil"/>
                  </w:tcBorders>
                  <w:noWrap w:val="0"/>
                  <w:vAlign w:val="center"/>
                </w:tcPr>
                <w:p w14:paraId="5ECD117D">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w:t>
                  </w:r>
                </w:p>
              </w:tc>
              <w:tc>
                <w:tcPr>
                  <w:tcW w:w="913" w:type="dxa"/>
                  <w:tcBorders>
                    <w:tl2br w:val="nil"/>
                    <w:tr2bl w:val="nil"/>
                  </w:tcBorders>
                  <w:noWrap w:val="0"/>
                  <w:vAlign w:val="center"/>
                </w:tcPr>
                <w:p w14:paraId="288DB9EB">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5.606</w:t>
                  </w:r>
                </w:p>
              </w:tc>
              <w:tc>
                <w:tcPr>
                  <w:tcW w:w="795" w:type="dxa"/>
                  <w:tcBorders>
                    <w:tl2br w:val="nil"/>
                    <w:tr2bl w:val="nil"/>
                  </w:tcBorders>
                  <w:noWrap w:val="0"/>
                  <w:vAlign w:val="center"/>
                </w:tcPr>
                <w:p w14:paraId="387D017C">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eastAsia"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1004" w:type="dxa"/>
                  <w:tcBorders>
                    <w:tl2br w:val="nil"/>
                    <w:tr2bl w:val="nil"/>
                  </w:tcBorders>
                  <w:noWrap w:val="0"/>
                  <w:vAlign w:val="center"/>
                </w:tcPr>
                <w:p w14:paraId="71831DAB">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0.11212</w:t>
                  </w:r>
                </w:p>
              </w:tc>
              <w:tc>
                <w:tcPr>
                  <w:tcW w:w="976" w:type="dxa"/>
                  <w:vMerge w:val="continue"/>
                  <w:tcBorders>
                    <w:tl2br w:val="nil"/>
                    <w:tr2bl w:val="nil"/>
                  </w:tcBorders>
                  <w:noWrap w:val="0"/>
                  <w:vAlign w:val="center"/>
                </w:tcPr>
                <w:p w14:paraId="7D020637">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5E477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9" w:type="dxa"/>
                  <w:gridSpan w:val="8"/>
                  <w:tcBorders>
                    <w:tl2br w:val="nil"/>
                    <w:tr2bl w:val="nil"/>
                  </w:tcBorders>
                  <w:noWrap w:val="0"/>
                  <w:vAlign w:val="center"/>
                </w:tcPr>
                <w:p w14:paraId="0DC4EDC8">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合计</w:t>
                  </w:r>
                </w:p>
              </w:tc>
              <w:tc>
                <w:tcPr>
                  <w:tcW w:w="1004" w:type="dxa"/>
                  <w:tcBorders>
                    <w:tl2br w:val="nil"/>
                    <w:tr2bl w:val="nil"/>
                  </w:tcBorders>
                  <w:noWrap w:val="0"/>
                  <w:vAlign w:val="center"/>
                </w:tcPr>
                <w:p w14:paraId="2D9CA565">
                  <w:pPr>
                    <w:keepNext w:val="0"/>
                    <w:keepLines w:val="0"/>
                    <w:pageBreakBefore w:val="0"/>
                    <w:widowControl/>
                    <w:suppressLineNumbers w:val="0"/>
                    <w:kinsoku/>
                    <w:wordWrap/>
                    <w:overflowPunct/>
                    <w:topLinePunct w:val="0"/>
                    <w:bidi w:val="0"/>
                    <w:spacing w:line="240" w:lineRule="auto"/>
                    <w:jc w:val="center"/>
                    <w:textAlignment w:val="center"/>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0.12388</w:t>
                  </w:r>
                </w:p>
              </w:tc>
              <w:tc>
                <w:tcPr>
                  <w:tcW w:w="976" w:type="dxa"/>
                  <w:tcBorders>
                    <w:tl2br w:val="nil"/>
                    <w:tr2bl w:val="nil"/>
                  </w:tcBorders>
                  <w:noWrap w:val="0"/>
                  <w:vAlign w:val="center"/>
                </w:tcPr>
                <w:p w14:paraId="5C7DF166">
                  <w:pPr>
                    <w:pStyle w:val="76"/>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firstLine="0"/>
                    <w:jc w:val="center"/>
                    <w:textAlignment w:val="baseline"/>
                    <w:outlineLvl w:val="9"/>
                    <w:rPr>
                      <w:rFonts w:hint="default"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w:t>
                  </w:r>
                </w:p>
              </w:tc>
            </w:tr>
          </w:tbl>
          <w:p w14:paraId="3AF550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注：1.废油中矿物油成分按最不利的100%计</w:t>
            </w:r>
          </w:p>
          <w:p w14:paraId="7396C7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2.</w:t>
            </w:r>
            <w:r>
              <w:rPr>
                <w:rFonts w:hint="eastAsia" w:ascii="Times New Roman" w:hAnsi="Times New Roman" w:eastAsia="宋体" w:cs="Times New Roman"/>
                <w:color w:val="auto"/>
                <w:sz w:val="21"/>
                <w:szCs w:val="21"/>
                <w:lang w:val="en-US" w:eastAsia="zh-CN"/>
              </w:rPr>
              <w:t>废活性炭</w:t>
            </w:r>
            <w:r>
              <w:rPr>
                <w:rFonts w:hint="eastAsia" w:cs="Times New Roman"/>
                <w:color w:val="auto"/>
                <w:sz w:val="21"/>
                <w:szCs w:val="21"/>
                <w:lang w:val="en-US" w:eastAsia="zh-CN"/>
              </w:rPr>
              <w:t>、废胶桶等</w:t>
            </w:r>
            <w:r>
              <w:rPr>
                <w:rFonts w:hint="default" w:ascii="Times New Roman" w:hAnsi="Times New Roman" w:eastAsia="宋体" w:cs="Times New Roman"/>
                <w:color w:val="auto"/>
                <w:sz w:val="21"/>
                <w:szCs w:val="21"/>
                <w:lang w:val="en-US" w:eastAsia="zh-CN"/>
              </w:rPr>
              <w:t>参照</w:t>
            </w:r>
            <w:r>
              <w:rPr>
                <w:rFonts w:hint="eastAsia" w:ascii="Times New Roman" w:hAnsi="Times New Roman" w:eastAsia="宋体" w:cs="Times New Roman"/>
                <w:color w:val="auto"/>
                <w:sz w:val="21"/>
                <w:szCs w:val="21"/>
                <w:lang w:val="en-US" w:eastAsia="zh-CN"/>
              </w:rPr>
              <w:t>健康危险</w:t>
            </w:r>
            <w:r>
              <w:rPr>
                <w:rFonts w:hint="default" w:ascii="Times New Roman" w:hAnsi="Times New Roman" w:eastAsia="宋体" w:cs="Times New Roman"/>
                <w:color w:val="auto"/>
                <w:sz w:val="21"/>
                <w:szCs w:val="21"/>
                <w:lang w:val="en-US" w:eastAsia="zh-CN"/>
              </w:rPr>
              <w:t>急性毒性3类别临界量50 计</w:t>
            </w:r>
          </w:p>
          <w:p w14:paraId="4D7586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根据企业提供的PP底涂剂MSDS环境危险水生环境有害性慢性、急性为第2类，</w:t>
            </w:r>
            <w:r>
              <w:rPr>
                <w:rFonts w:hint="default" w:ascii="Times New Roman" w:hAnsi="Times New Roman" w:eastAsia="宋体" w:cs="Times New Roman"/>
                <w:color w:val="auto"/>
                <w:sz w:val="21"/>
                <w:szCs w:val="21"/>
                <w:lang w:val="en-US" w:eastAsia="zh-CN"/>
              </w:rPr>
              <w:t>参照</w:t>
            </w:r>
            <w:r>
              <w:rPr>
                <w:rFonts w:hint="eastAsia" w:ascii="Times New Roman" w:hAnsi="Times New Roman" w:eastAsia="宋体" w:cs="Times New Roman"/>
                <w:color w:val="auto"/>
                <w:sz w:val="21"/>
                <w:szCs w:val="21"/>
                <w:lang w:val="en-US" w:eastAsia="zh-CN"/>
              </w:rPr>
              <w:t>健康危险</w:t>
            </w:r>
            <w:r>
              <w:rPr>
                <w:rFonts w:hint="default" w:ascii="Times New Roman" w:hAnsi="Times New Roman" w:eastAsia="宋体" w:cs="Times New Roman"/>
                <w:color w:val="auto"/>
                <w:sz w:val="21"/>
                <w:szCs w:val="21"/>
                <w:lang w:val="en-US" w:eastAsia="zh-CN"/>
              </w:rPr>
              <w:t>急性毒性3类别临界量50 计。</w:t>
            </w:r>
          </w:p>
          <w:p w14:paraId="570C1AD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bCs/>
                <w:color w:val="auto"/>
                <w:sz w:val="24"/>
                <w:highlight w:val="none"/>
                <w:lang w:val="en-US" w:eastAsia="zh-CN"/>
              </w:rPr>
            </w:pPr>
            <w:r>
              <w:rPr>
                <w:rFonts w:ascii="Times New Roman" w:hAnsi="Times New Roman" w:eastAsia="宋体"/>
                <w:color w:val="auto"/>
                <w:sz w:val="24"/>
                <w:highlight w:val="none"/>
                <w:lang w:val="zh-CN"/>
              </w:rPr>
              <w:t>由表可知，</w:t>
            </w:r>
            <w:r>
              <w:rPr>
                <w:rFonts w:hint="eastAsia" w:ascii="Times New Roman" w:hAnsi="Times New Roman" w:eastAsia="宋体" w:cs="Times New Roman"/>
                <w:b w:val="0"/>
                <w:bCs w:val="0"/>
                <w:color w:val="auto"/>
                <w:sz w:val="24"/>
                <w:lang w:val="en-US" w:eastAsia="zh-CN"/>
              </w:rPr>
              <w:t>项目</w:t>
            </w:r>
            <w:r>
              <w:rPr>
                <w:rFonts w:hint="default" w:ascii="Times New Roman" w:hAnsi="Times New Roman" w:eastAsia="宋体" w:cs="Times New Roman"/>
                <w:b w:val="0"/>
                <w:bCs w:val="0"/>
                <w:color w:val="auto"/>
                <w:sz w:val="24"/>
                <w:lang w:val="en-US" w:eastAsia="zh-CN"/>
              </w:rPr>
              <w:t>环境风险物质数量与临界量比值</w:t>
            </w:r>
            <w:r>
              <w:rPr>
                <w:rFonts w:ascii="Times New Roman" w:hAnsi="Times New Roman" w:eastAsia="宋体"/>
                <w:color w:val="auto"/>
                <w:sz w:val="24"/>
                <w:highlight w:val="none"/>
                <w:lang w:val="zh-CN"/>
              </w:rPr>
              <w:t>Q=</w:t>
            </w:r>
            <w:r>
              <w:rPr>
                <w:rFonts w:hint="eastAsia"/>
                <w:color w:val="auto"/>
                <w:sz w:val="24"/>
                <w:highlight w:val="none"/>
                <w:lang w:val="en-US" w:eastAsia="zh-CN"/>
              </w:rPr>
              <w:t>0.12388</w:t>
            </w:r>
            <w:r>
              <w:rPr>
                <w:rFonts w:ascii="Times New Roman" w:hAnsi="Times New Roman" w:eastAsia="宋体"/>
                <w:color w:val="auto"/>
                <w:sz w:val="24"/>
                <w:highlight w:val="none"/>
                <w:lang w:val="zh-CN"/>
              </w:rPr>
              <w:t>&lt;1，则</w:t>
            </w:r>
            <w:r>
              <w:rPr>
                <w:rFonts w:hint="eastAsia" w:ascii="Times New Roman" w:hAnsi="Times New Roman" w:eastAsia="宋体"/>
                <w:color w:val="auto"/>
                <w:sz w:val="24"/>
                <w:highlight w:val="none"/>
                <w:lang w:val="en-US" w:eastAsia="zh-CN"/>
              </w:rPr>
              <w:t>项目</w:t>
            </w:r>
            <w:r>
              <w:rPr>
                <w:rFonts w:ascii="Times New Roman" w:hAnsi="Times New Roman" w:eastAsia="宋体"/>
                <w:color w:val="auto"/>
                <w:sz w:val="24"/>
                <w:highlight w:val="none"/>
                <w:lang w:val="zh-CN"/>
              </w:rPr>
              <w:t>环境风险潜势为I。</w:t>
            </w:r>
            <w:r>
              <w:rPr>
                <w:rFonts w:hint="eastAsia" w:ascii="Times New Roman" w:hAnsi="Times New Roman" w:eastAsia="宋体"/>
                <w:color w:val="auto"/>
                <w:sz w:val="24"/>
                <w:highlight w:val="none"/>
                <w:lang w:val="zh-CN"/>
              </w:rPr>
              <w:t>根据《建设项目环境风险评价技术导则》(HJ 169-2018)附录C可知，当Q＜1时，该项目环境风险潜势为Ⅰ，环境风险潜势为Ⅰ时，评价工作级别简单分析，因此，本评价主要在描述环境影响途径、环境危害后果、风险防范措施等方面给出定性说明。</w:t>
            </w:r>
          </w:p>
          <w:p w14:paraId="7F7418F6">
            <w:pPr>
              <w:pStyle w:val="4"/>
              <w:bidi w:val="0"/>
              <w:rPr>
                <w:rFonts w:hint="default"/>
                <w:color w:val="auto"/>
                <w:lang w:val="en-US" w:eastAsia="zh-CN"/>
              </w:rPr>
            </w:pPr>
            <w:r>
              <w:rPr>
                <w:rFonts w:hint="eastAsia"/>
                <w:color w:val="auto"/>
                <w:lang w:val="en-US" w:eastAsia="zh-CN"/>
              </w:rPr>
              <w:t>4.7.2</w:t>
            </w:r>
            <w:r>
              <w:rPr>
                <w:rFonts w:hint="default"/>
                <w:color w:val="auto"/>
                <w:lang w:val="en-US" w:eastAsia="zh-CN"/>
              </w:rPr>
              <w:t xml:space="preserve"> 环境风险识别</w:t>
            </w:r>
          </w:p>
          <w:p w14:paraId="28C9204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23</w:t>
            </w:r>
            <w:r>
              <w:rPr>
                <w:rFonts w:hint="default" w:ascii="Times New Roman" w:hAnsi="Times New Roman" w:cs="Times New Roman"/>
                <w:color w:val="auto"/>
                <w:kern w:val="0"/>
                <w:sz w:val="24"/>
                <w:highlight w:val="none"/>
                <w:lang w:eastAsia="zh-CN"/>
              </w:rPr>
              <w:t>。</w:t>
            </w:r>
          </w:p>
          <w:p w14:paraId="5698A87A">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416C569C">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3DEB59BB">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62B308C0">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2BE7F78E">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23ED11CA">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55E1CA43">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p>
          <w:p w14:paraId="4D417090">
            <w:pPr>
              <w:pStyle w:val="30"/>
              <w:widowControl w:val="0"/>
              <w:spacing w:before="120" w:beforeLines="50" w:beforeAutospacing="0" w:after="0" w:afterAutospacing="0"/>
              <w:jc w:val="center"/>
              <w:rPr>
                <w:rFonts w:hint="default" w:ascii="Times New Roman" w:hAnsi="Times New Roman" w:eastAsia="黑体" w:cs="Times New Roman"/>
                <w:color w:val="auto"/>
                <w:kern w:val="2"/>
                <w:lang w:val="en-US" w:eastAsia="zh-CN"/>
              </w:rPr>
            </w:pPr>
            <w:r>
              <w:rPr>
                <w:rFonts w:hint="default" w:ascii="Times New Roman" w:hAnsi="Times New Roman" w:eastAsia="黑体" w:cs="Times New Roman"/>
                <w:color w:val="auto"/>
                <w:kern w:val="2"/>
                <w:lang w:val="en-US" w:eastAsia="zh-CN"/>
              </w:rPr>
              <w:t>表</w:t>
            </w:r>
            <w:r>
              <w:rPr>
                <w:rFonts w:hint="eastAsia" w:ascii="Times New Roman" w:hAnsi="Times New Roman" w:eastAsia="黑体" w:cs="Times New Roman"/>
                <w:color w:val="auto"/>
                <w:kern w:val="2"/>
                <w:lang w:val="en-US" w:eastAsia="zh-CN"/>
              </w:rPr>
              <w:t>4</w:t>
            </w:r>
            <w:r>
              <w:rPr>
                <w:rFonts w:hint="default" w:ascii="Times New Roman" w:hAnsi="Times New Roman" w:eastAsia="黑体" w:cs="Times New Roman"/>
                <w:color w:val="auto"/>
                <w:kern w:val="2"/>
                <w:lang w:val="en-US" w:eastAsia="zh-CN"/>
              </w:rPr>
              <w:t>-</w:t>
            </w:r>
            <w:r>
              <w:rPr>
                <w:rFonts w:hint="eastAsia" w:ascii="Times New Roman" w:hAnsi="Times New Roman" w:eastAsia="黑体" w:cs="Times New Roman"/>
                <w:color w:val="auto"/>
                <w:kern w:val="2"/>
                <w:lang w:val="en-US" w:eastAsia="zh-CN"/>
              </w:rPr>
              <w:t>23</w:t>
            </w:r>
            <w:r>
              <w:rPr>
                <w:rFonts w:hint="default" w:ascii="Times New Roman" w:hAnsi="Times New Roman" w:eastAsia="黑体" w:cs="Times New Roman"/>
                <w:color w:val="auto"/>
                <w:kern w:val="2"/>
                <w:lang w:val="en-US" w:eastAsia="zh-CN"/>
              </w:rPr>
              <w:t xml:space="preserve"> 项目潜在环境风险事故一览表</w:t>
            </w:r>
          </w:p>
          <w:tbl>
            <w:tblPr>
              <w:tblStyle w:val="35"/>
              <w:tblW w:w="853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5"/>
              <w:gridCol w:w="1314"/>
              <w:gridCol w:w="1299"/>
              <w:gridCol w:w="1337"/>
              <w:gridCol w:w="1916"/>
              <w:gridCol w:w="1745"/>
            </w:tblGrid>
            <w:tr w14:paraId="03F06C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619" w:hRule="atLeast"/>
                <w:jc w:val="center"/>
              </w:trPr>
              <w:tc>
                <w:tcPr>
                  <w:tcW w:w="925" w:type="dxa"/>
                  <w:noWrap w:val="0"/>
                  <w:vAlign w:val="center"/>
                </w:tcPr>
                <w:p w14:paraId="72FDC94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潜在事故类型</w:t>
                  </w:r>
                </w:p>
              </w:tc>
              <w:tc>
                <w:tcPr>
                  <w:tcW w:w="1314" w:type="dxa"/>
                  <w:noWrap w:val="0"/>
                  <w:vAlign w:val="center"/>
                </w:tcPr>
                <w:p w14:paraId="33DE9280">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事故原因</w:t>
                  </w:r>
                </w:p>
              </w:tc>
              <w:tc>
                <w:tcPr>
                  <w:tcW w:w="1299" w:type="dxa"/>
                  <w:noWrap w:val="0"/>
                  <w:vAlign w:val="center"/>
                </w:tcPr>
                <w:p w14:paraId="23937F4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危险单位</w:t>
                  </w:r>
                </w:p>
              </w:tc>
              <w:tc>
                <w:tcPr>
                  <w:tcW w:w="1337" w:type="dxa"/>
                  <w:noWrap w:val="0"/>
                  <w:vAlign w:val="center"/>
                </w:tcPr>
                <w:p w14:paraId="7C1F0958">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危险物质</w:t>
                  </w:r>
                </w:p>
              </w:tc>
              <w:tc>
                <w:tcPr>
                  <w:tcW w:w="1916" w:type="dxa"/>
                  <w:noWrap w:val="0"/>
                  <w:vAlign w:val="center"/>
                </w:tcPr>
                <w:p w14:paraId="6A59751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lang w:val="en-US" w:eastAsia="zh-CN"/>
                    </w:rPr>
                    <w:t>环境影响途径</w:t>
                  </w:r>
                </w:p>
              </w:tc>
              <w:tc>
                <w:tcPr>
                  <w:tcW w:w="1745" w:type="dxa"/>
                  <w:noWrap w:val="0"/>
                  <w:vAlign w:val="center"/>
                </w:tcPr>
                <w:p w14:paraId="5B0AC5E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lang w:val="en-US" w:eastAsia="zh-CN"/>
                    </w:rPr>
                    <w:t>环境危害后果</w:t>
                  </w:r>
                </w:p>
              </w:tc>
            </w:tr>
            <w:tr w14:paraId="3B749E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noWrap w:val="0"/>
                  <w:vAlign w:val="center"/>
                </w:tcPr>
                <w:p w14:paraId="357E8A5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eastAsia" w:ascii="Times New Roman" w:hAnsi="Times New Roman" w:eastAsia="宋体" w:cs="Times New Roman"/>
                      <w:color w:val="auto"/>
                      <w:sz w:val="21"/>
                      <w:szCs w:val="21"/>
                      <w:highlight w:val="none"/>
                      <w:u w:val="none"/>
                      <w:lang w:val="en-US" w:eastAsia="zh-CN"/>
                    </w:rPr>
                    <w:t>废气事故排放</w:t>
                  </w:r>
                </w:p>
              </w:tc>
              <w:tc>
                <w:tcPr>
                  <w:tcW w:w="1314" w:type="dxa"/>
                  <w:noWrap w:val="0"/>
                  <w:vAlign w:val="center"/>
                </w:tcPr>
                <w:p w14:paraId="7530B0EA">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废气处理</w:t>
                  </w:r>
                </w:p>
                <w:p w14:paraId="5422BBB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eastAsia" w:ascii="Times New Roman" w:hAnsi="Times New Roman" w:eastAsia="宋体" w:cs="Times New Roman"/>
                      <w:color w:val="auto"/>
                      <w:sz w:val="21"/>
                      <w:szCs w:val="21"/>
                      <w:highlight w:val="none"/>
                      <w:u w:val="none"/>
                      <w:lang w:val="en-US" w:eastAsia="zh-CN"/>
                    </w:rPr>
                    <w:t>设施故障</w:t>
                  </w:r>
                </w:p>
              </w:tc>
              <w:tc>
                <w:tcPr>
                  <w:tcW w:w="1299" w:type="dxa"/>
                  <w:noWrap w:val="0"/>
                  <w:vAlign w:val="center"/>
                </w:tcPr>
                <w:p w14:paraId="1D015687">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厂房</w:t>
                  </w:r>
                  <w:r>
                    <w:rPr>
                      <w:rFonts w:hint="eastAsia" w:cs="Times New Roman"/>
                      <w:color w:val="auto"/>
                      <w:sz w:val="21"/>
                      <w:szCs w:val="21"/>
                      <w:highlight w:val="none"/>
                      <w:u w:val="none"/>
                      <w:lang w:val="en-US" w:eastAsia="zh-CN"/>
                    </w:rPr>
                    <w:t>五</w:t>
                  </w:r>
                  <w:r>
                    <w:rPr>
                      <w:rFonts w:hint="eastAsia" w:ascii="Times New Roman" w:hAnsi="Times New Roman" w:eastAsia="宋体" w:cs="Times New Roman"/>
                      <w:color w:val="auto"/>
                      <w:sz w:val="21"/>
                      <w:szCs w:val="21"/>
                      <w:highlight w:val="none"/>
                      <w:u w:val="none"/>
                      <w:lang w:val="en-US" w:eastAsia="zh-CN"/>
                    </w:rPr>
                    <w:t>生产车间</w:t>
                  </w:r>
                </w:p>
              </w:tc>
              <w:tc>
                <w:tcPr>
                  <w:tcW w:w="1337" w:type="dxa"/>
                  <w:noWrap w:val="0"/>
                  <w:vAlign w:val="center"/>
                </w:tcPr>
                <w:p w14:paraId="6CA4294B">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未经处理废气</w:t>
                  </w:r>
                </w:p>
              </w:tc>
              <w:tc>
                <w:tcPr>
                  <w:tcW w:w="1916" w:type="dxa"/>
                  <w:noWrap w:val="0"/>
                  <w:vAlign w:val="center"/>
                </w:tcPr>
                <w:p w14:paraId="04920E7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有机废气</w:t>
                  </w:r>
                  <w:r>
                    <w:rPr>
                      <w:rFonts w:hint="eastAsia" w:ascii="Times New Roman" w:hAnsi="Times New Roman" w:eastAsia="宋体" w:cs="Times New Roman"/>
                      <w:color w:val="auto"/>
                      <w:sz w:val="21"/>
                      <w:szCs w:val="21"/>
                      <w:highlight w:val="none"/>
                      <w:u w:val="none"/>
                      <w:lang w:val="en-US" w:eastAsia="zh-CN"/>
                    </w:rPr>
                    <w:t>未经处理</w:t>
                  </w:r>
                  <w:r>
                    <w:rPr>
                      <w:rFonts w:hint="default" w:ascii="Times New Roman" w:hAnsi="Times New Roman" w:eastAsia="宋体" w:cs="Times New Roman"/>
                      <w:color w:val="auto"/>
                      <w:sz w:val="21"/>
                      <w:szCs w:val="21"/>
                      <w:highlight w:val="none"/>
                      <w:u w:val="none"/>
                    </w:rPr>
                    <w:t>全部</w:t>
                  </w:r>
                  <w:r>
                    <w:rPr>
                      <w:rFonts w:hint="eastAsia" w:ascii="Times New Roman" w:hAnsi="Times New Roman" w:eastAsia="宋体" w:cs="Times New Roman"/>
                      <w:color w:val="auto"/>
                      <w:sz w:val="21"/>
                      <w:szCs w:val="21"/>
                      <w:highlight w:val="none"/>
                      <w:u w:val="none"/>
                      <w:lang w:val="en-US" w:eastAsia="zh-CN"/>
                    </w:rPr>
                    <w:t>直接</w:t>
                  </w:r>
                  <w:r>
                    <w:rPr>
                      <w:rFonts w:hint="default" w:ascii="Times New Roman" w:hAnsi="Times New Roman" w:eastAsia="宋体" w:cs="Times New Roman"/>
                      <w:color w:val="auto"/>
                      <w:sz w:val="21"/>
                      <w:szCs w:val="21"/>
                      <w:highlight w:val="none"/>
                      <w:u w:val="none"/>
                    </w:rPr>
                    <w:t>排放扩散</w:t>
                  </w:r>
                </w:p>
              </w:tc>
              <w:tc>
                <w:tcPr>
                  <w:tcW w:w="1745" w:type="dxa"/>
                  <w:noWrap w:val="0"/>
                  <w:vAlign w:val="center"/>
                </w:tcPr>
                <w:p w14:paraId="0106650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对大气环境有</w:t>
                  </w:r>
                  <w:r>
                    <w:rPr>
                      <w:rFonts w:hint="eastAsia" w:ascii="Times New Roman" w:hAnsi="Times New Roman" w:eastAsia="宋体" w:cs="Times New Roman"/>
                      <w:color w:val="auto"/>
                      <w:sz w:val="21"/>
                      <w:szCs w:val="21"/>
                      <w:highlight w:val="none"/>
                      <w:u w:val="none"/>
                      <w:lang w:val="en-US" w:eastAsia="zh-CN"/>
                    </w:rPr>
                    <w:t>轻微的</w:t>
                  </w:r>
                  <w:r>
                    <w:rPr>
                      <w:rFonts w:hint="default" w:ascii="Times New Roman" w:hAnsi="Times New Roman" w:eastAsia="宋体" w:cs="Times New Roman"/>
                      <w:color w:val="auto"/>
                      <w:sz w:val="21"/>
                      <w:szCs w:val="21"/>
                      <w:highlight w:val="none"/>
                      <w:u w:val="none"/>
                    </w:rPr>
                    <w:t>影响</w:t>
                  </w:r>
                </w:p>
              </w:tc>
            </w:tr>
            <w:tr w14:paraId="2C6A10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restart"/>
                  <w:noWrap w:val="0"/>
                  <w:vAlign w:val="center"/>
                </w:tcPr>
                <w:p w14:paraId="573347AB">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危险物质、危险废物等</w:t>
                  </w:r>
                  <w:r>
                    <w:rPr>
                      <w:rFonts w:hint="default" w:ascii="Times New Roman" w:hAnsi="Times New Roman" w:eastAsia="宋体" w:cs="Times New Roman"/>
                      <w:color w:val="auto"/>
                      <w:sz w:val="21"/>
                      <w:szCs w:val="21"/>
                      <w:highlight w:val="none"/>
                      <w:u w:val="none"/>
                    </w:rPr>
                    <w:t>泄漏</w:t>
                  </w:r>
                </w:p>
              </w:tc>
              <w:tc>
                <w:tcPr>
                  <w:tcW w:w="1314" w:type="dxa"/>
                  <w:vMerge w:val="restart"/>
                  <w:noWrap w:val="0"/>
                  <w:vAlign w:val="center"/>
                </w:tcPr>
                <w:p w14:paraId="528C810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容器</w:t>
                  </w:r>
                  <w:r>
                    <w:rPr>
                      <w:rFonts w:hint="default" w:ascii="Times New Roman" w:hAnsi="Times New Roman" w:eastAsia="宋体" w:cs="Times New Roman"/>
                      <w:color w:val="auto"/>
                      <w:sz w:val="21"/>
                      <w:szCs w:val="21"/>
                      <w:highlight w:val="none"/>
                      <w:u w:val="none"/>
                    </w:rPr>
                    <w:t>桶泄漏</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人为操作不当、</w:t>
                  </w:r>
                  <w:r>
                    <w:rPr>
                      <w:rFonts w:hint="default" w:ascii="Times New Roman" w:hAnsi="Times New Roman" w:eastAsia="宋体" w:cs="Times New Roman"/>
                      <w:color w:val="auto"/>
                      <w:sz w:val="21"/>
                      <w:szCs w:val="21"/>
                      <w:highlight w:val="none"/>
                      <w:u w:val="none"/>
                    </w:rPr>
                    <w:t>运输车辆发生事故发生泄漏</w:t>
                  </w:r>
                </w:p>
              </w:tc>
              <w:tc>
                <w:tcPr>
                  <w:tcW w:w="1299" w:type="dxa"/>
                  <w:noWrap w:val="0"/>
                  <w:vAlign w:val="center"/>
                </w:tcPr>
                <w:p w14:paraId="276A4F4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辅料</w:t>
                  </w:r>
                  <w:r>
                    <w:rPr>
                      <w:rFonts w:hint="eastAsia" w:cs="Times New Roman"/>
                      <w:color w:val="auto"/>
                      <w:sz w:val="21"/>
                      <w:szCs w:val="21"/>
                      <w:highlight w:val="none"/>
                      <w:u w:val="none"/>
                      <w:lang w:val="en-US" w:eastAsia="zh-CN"/>
                    </w:rPr>
                    <w:t>区</w:t>
                  </w:r>
                </w:p>
              </w:tc>
              <w:tc>
                <w:tcPr>
                  <w:tcW w:w="1337" w:type="dxa"/>
                  <w:noWrap w:val="0"/>
                  <w:vAlign w:val="center"/>
                </w:tcPr>
                <w:p w14:paraId="7CEE918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润滑油、</w:t>
                  </w:r>
                  <w:r>
                    <w:rPr>
                      <w:rFonts w:hint="eastAsia" w:cs="Times New Roman"/>
                      <w:color w:val="auto"/>
                      <w:sz w:val="21"/>
                      <w:szCs w:val="21"/>
                      <w:highlight w:val="none"/>
                      <w:u w:val="none"/>
                      <w:lang w:val="en-US" w:eastAsia="zh-CN"/>
                    </w:rPr>
                    <w:t>PP底涂剂、铝带底涂剂</w:t>
                  </w:r>
                  <w:r>
                    <w:rPr>
                      <w:rFonts w:hint="eastAsia" w:ascii="Times New Roman" w:hAnsi="Times New Roman" w:eastAsia="宋体" w:cs="Times New Roman"/>
                      <w:color w:val="auto"/>
                      <w:sz w:val="21"/>
                      <w:szCs w:val="21"/>
                      <w:highlight w:val="none"/>
                      <w:u w:val="none"/>
                      <w:lang w:val="en-US" w:eastAsia="zh-CN"/>
                    </w:rPr>
                    <w:t>等</w:t>
                  </w:r>
                </w:p>
              </w:tc>
              <w:tc>
                <w:tcPr>
                  <w:tcW w:w="1916" w:type="dxa"/>
                  <w:vMerge w:val="restart"/>
                  <w:noWrap w:val="0"/>
                  <w:vAlign w:val="center"/>
                </w:tcPr>
                <w:p w14:paraId="33DCF37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渗入土壤</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地下水</w:t>
                  </w:r>
                  <w:r>
                    <w:rPr>
                      <w:rFonts w:hint="default" w:ascii="Times New Roman" w:hAnsi="Times New Roman" w:eastAsia="宋体" w:cs="Times New Roman"/>
                      <w:color w:val="auto"/>
                      <w:sz w:val="21"/>
                      <w:szCs w:val="21"/>
                      <w:highlight w:val="none"/>
                      <w:u w:val="none"/>
                    </w:rPr>
                    <w:t>及排入周边水体、有机废气全部以无组织方式排放扩散</w:t>
                  </w:r>
                </w:p>
              </w:tc>
              <w:tc>
                <w:tcPr>
                  <w:tcW w:w="1745" w:type="dxa"/>
                  <w:vMerge w:val="restart"/>
                  <w:noWrap w:val="0"/>
                  <w:vAlign w:val="center"/>
                </w:tcPr>
                <w:p w14:paraId="19C23D53">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对周边</w:t>
                  </w:r>
                  <w:r>
                    <w:rPr>
                      <w:rFonts w:hint="eastAsia" w:ascii="Times New Roman" w:hAnsi="Times New Roman" w:eastAsia="宋体" w:cs="Times New Roman"/>
                      <w:color w:val="auto"/>
                      <w:sz w:val="21"/>
                      <w:szCs w:val="21"/>
                      <w:highlight w:val="none"/>
                      <w:u w:val="none"/>
                      <w:lang w:val="en-US" w:eastAsia="zh-CN"/>
                    </w:rPr>
                    <w:t>土壤、</w:t>
                  </w:r>
                  <w:r>
                    <w:rPr>
                      <w:rFonts w:hint="default" w:ascii="Times New Roman" w:hAnsi="Times New Roman" w:eastAsia="宋体" w:cs="Times New Roman"/>
                      <w:color w:val="auto"/>
                      <w:sz w:val="21"/>
                      <w:szCs w:val="21"/>
                      <w:highlight w:val="none"/>
                      <w:u w:val="none"/>
                    </w:rPr>
                    <w:t>地下水及周边</w:t>
                  </w:r>
                  <w:r>
                    <w:rPr>
                      <w:rFonts w:hint="eastAsia" w:ascii="Times New Roman" w:hAnsi="Times New Roman" w:eastAsia="宋体" w:cs="Times New Roman"/>
                      <w:color w:val="auto"/>
                      <w:sz w:val="21"/>
                      <w:szCs w:val="21"/>
                      <w:highlight w:val="none"/>
                      <w:u w:val="none"/>
                      <w:lang w:val="en-US" w:eastAsia="zh-CN"/>
                    </w:rPr>
                    <w:t>地表水</w:t>
                  </w:r>
                  <w:r>
                    <w:rPr>
                      <w:rFonts w:hint="default" w:ascii="Times New Roman" w:hAnsi="Times New Roman" w:eastAsia="宋体" w:cs="Times New Roman"/>
                      <w:color w:val="auto"/>
                      <w:sz w:val="21"/>
                      <w:szCs w:val="21"/>
                      <w:highlight w:val="none"/>
                      <w:u w:val="none"/>
                    </w:rPr>
                    <w:t>可能造成</w:t>
                  </w:r>
                  <w:r>
                    <w:rPr>
                      <w:rFonts w:hint="eastAsia" w:ascii="Times New Roman" w:hAnsi="Times New Roman" w:eastAsia="宋体" w:cs="Times New Roman"/>
                      <w:color w:val="auto"/>
                      <w:sz w:val="21"/>
                      <w:szCs w:val="21"/>
                      <w:highlight w:val="none"/>
                      <w:u w:val="none"/>
                      <w:lang w:val="en-US" w:eastAsia="zh-CN"/>
                    </w:rPr>
                    <w:t>较大</w:t>
                  </w:r>
                  <w:r>
                    <w:rPr>
                      <w:rFonts w:hint="default" w:ascii="Times New Roman" w:hAnsi="Times New Roman" w:eastAsia="宋体" w:cs="Times New Roman"/>
                      <w:color w:val="auto"/>
                      <w:sz w:val="21"/>
                      <w:szCs w:val="21"/>
                      <w:highlight w:val="none"/>
                      <w:u w:val="none"/>
                    </w:rPr>
                    <w:t>影响、对大气环境有</w:t>
                  </w:r>
                  <w:r>
                    <w:rPr>
                      <w:rFonts w:hint="eastAsia" w:ascii="Times New Roman" w:hAnsi="Times New Roman" w:eastAsia="宋体" w:cs="Times New Roman"/>
                      <w:color w:val="auto"/>
                      <w:sz w:val="21"/>
                      <w:szCs w:val="21"/>
                      <w:highlight w:val="none"/>
                      <w:u w:val="none"/>
                      <w:lang w:val="en-US" w:eastAsia="zh-CN"/>
                    </w:rPr>
                    <w:t>轻微</w:t>
                  </w:r>
                  <w:r>
                    <w:rPr>
                      <w:rFonts w:hint="default" w:ascii="Times New Roman" w:hAnsi="Times New Roman" w:eastAsia="宋体" w:cs="Times New Roman"/>
                      <w:color w:val="auto"/>
                      <w:sz w:val="21"/>
                      <w:szCs w:val="21"/>
                      <w:highlight w:val="none"/>
                      <w:u w:val="none"/>
                    </w:rPr>
                    <w:t>影响</w:t>
                  </w:r>
                </w:p>
              </w:tc>
            </w:tr>
            <w:tr w14:paraId="47B165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925" w:type="dxa"/>
                  <w:vMerge w:val="continue"/>
                  <w:noWrap w:val="0"/>
                  <w:vAlign w:val="center"/>
                </w:tcPr>
                <w:p w14:paraId="7E1A8C12">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314" w:type="dxa"/>
                  <w:vMerge w:val="continue"/>
                  <w:noWrap w:val="0"/>
                  <w:vAlign w:val="center"/>
                </w:tcPr>
                <w:p w14:paraId="04C71839">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299" w:type="dxa"/>
                  <w:noWrap w:val="0"/>
                  <w:vAlign w:val="center"/>
                </w:tcPr>
                <w:p w14:paraId="355B9420">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危险废物贮存间</w:t>
                  </w:r>
                </w:p>
              </w:tc>
              <w:tc>
                <w:tcPr>
                  <w:tcW w:w="1337" w:type="dxa"/>
                  <w:noWrap w:val="0"/>
                  <w:vAlign w:val="center"/>
                </w:tcPr>
                <w:p w14:paraId="49082AED">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液态危险废物（</w:t>
                  </w:r>
                  <w:r>
                    <w:rPr>
                      <w:rFonts w:hint="eastAsia" w:cs="Times New Roman"/>
                      <w:color w:val="auto"/>
                      <w:sz w:val="21"/>
                      <w:szCs w:val="21"/>
                      <w:highlight w:val="none"/>
                      <w:u w:val="none"/>
                      <w:lang w:val="en-US" w:eastAsia="zh-CN"/>
                    </w:rPr>
                    <w:t>废润滑油</w:t>
                  </w:r>
                  <w:r>
                    <w:rPr>
                      <w:rFonts w:hint="eastAsia" w:ascii="Times New Roman" w:hAnsi="Times New Roman" w:eastAsia="宋体" w:cs="Times New Roman"/>
                      <w:color w:val="auto"/>
                      <w:sz w:val="21"/>
                      <w:szCs w:val="21"/>
                      <w:highlight w:val="none"/>
                      <w:u w:val="none"/>
                      <w:lang w:val="en-US" w:eastAsia="zh-CN"/>
                    </w:rPr>
                    <w:t>）</w:t>
                  </w:r>
                </w:p>
              </w:tc>
              <w:tc>
                <w:tcPr>
                  <w:tcW w:w="1916" w:type="dxa"/>
                  <w:vMerge w:val="continue"/>
                  <w:noWrap w:val="0"/>
                  <w:vAlign w:val="center"/>
                </w:tcPr>
                <w:p w14:paraId="2D2E2331">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noWrap w:val="0"/>
                  <w:vAlign w:val="center"/>
                </w:tcPr>
                <w:p w14:paraId="0439047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jc w:val="center"/>
                    <w:textAlignment w:val="auto"/>
                    <w:rPr>
                      <w:rFonts w:hint="default" w:ascii="Times New Roman" w:hAnsi="Times New Roman" w:eastAsia="宋体" w:cs="Times New Roman"/>
                      <w:color w:val="auto"/>
                      <w:sz w:val="21"/>
                      <w:szCs w:val="21"/>
                      <w:highlight w:val="none"/>
                      <w:u w:val="none"/>
                    </w:rPr>
                  </w:pPr>
                </w:p>
              </w:tc>
            </w:tr>
            <w:tr w14:paraId="0F1EBD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6" w:hRule="atLeast"/>
                <w:jc w:val="center"/>
              </w:trPr>
              <w:tc>
                <w:tcPr>
                  <w:tcW w:w="925" w:type="dxa"/>
                  <w:vMerge w:val="restart"/>
                  <w:noWrap w:val="0"/>
                  <w:vAlign w:val="center"/>
                </w:tcPr>
                <w:p w14:paraId="5AEC37F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火灾事故</w:t>
                  </w:r>
                </w:p>
              </w:tc>
              <w:tc>
                <w:tcPr>
                  <w:tcW w:w="1314" w:type="dxa"/>
                  <w:vMerge w:val="restart"/>
                  <w:noWrap w:val="0"/>
                  <w:vAlign w:val="center"/>
                </w:tcPr>
                <w:p w14:paraId="1602707F">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highlight w:val="none"/>
                      <w:u w:val="none"/>
                    </w:rPr>
                    <w:t>电线短路</w:t>
                  </w:r>
                  <w:r>
                    <w:rPr>
                      <w:rFonts w:hint="eastAsia"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rPr>
                    <w:t>静电火花等</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润滑油等易燃可燃物质泄漏</w:t>
                  </w:r>
                  <w:r>
                    <w:rPr>
                      <w:rFonts w:hint="default" w:ascii="Times New Roman" w:hAnsi="Times New Roman" w:eastAsia="宋体" w:cs="Times New Roman"/>
                      <w:color w:val="auto"/>
                      <w:highlight w:val="none"/>
                      <w:u w:val="none"/>
                    </w:rPr>
                    <w:t>遇明火或高热</w:t>
                  </w:r>
                  <w:r>
                    <w:rPr>
                      <w:rFonts w:hint="default" w:ascii="Times New Roman" w:hAnsi="Times New Roman" w:eastAsia="宋体" w:cs="Times New Roman"/>
                      <w:color w:val="auto"/>
                      <w:sz w:val="21"/>
                      <w:szCs w:val="21"/>
                      <w:highlight w:val="none"/>
                      <w:u w:val="none"/>
                    </w:rPr>
                    <w:t>发生火灾</w:t>
                  </w:r>
                </w:p>
              </w:tc>
              <w:tc>
                <w:tcPr>
                  <w:tcW w:w="1299" w:type="dxa"/>
                  <w:noWrap w:val="0"/>
                  <w:vAlign w:val="center"/>
                </w:tcPr>
                <w:p w14:paraId="2EA1BA0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辅料</w:t>
                  </w:r>
                  <w:r>
                    <w:rPr>
                      <w:rFonts w:hint="eastAsia" w:cs="Times New Roman"/>
                      <w:color w:val="auto"/>
                      <w:sz w:val="21"/>
                      <w:szCs w:val="21"/>
                      <w:highlight w:val="none"/>
                      <w:u w:val="none"/>
                      <w:lang w:val="en-US" w:eastAsia="zh-CN"/>
                    </w:rPr>
                    <w:t>区</w:t>
                  </w:r>
                </w:p>
              </w:tc>
              <w:tc>
                <w:tcPr>
                  <w:tcW w:w="1337" w:type="dxa"/>
                  <w:noWrap w:val="0"/>
                  <w:vAlign w:val="center"/>
                </w:tcPr>
                <w:p w14:paraId="512B2E8C">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ascii="Times New Roman" w:hAnsi="Times New Roman" w:eastAsia="宋体" w:cs="Times New Roman"/>
                      <w:color w:val="auto"/>
                      <w:highlight w:val="none"/>
                      <w:u w:val="none"/>
                      <w:lang w:val="en-US" w:eastAsia="zh-CN"/>
                    </w:rPr>
                  </w:pPr>
                  <w:r>
                    <w:rPr>
                      <w:rFonts w:hint="eastAsia" w:cs="Times New Roman"/>
                      <w:color w:val="auto"/>
                      <w:sz w:val="21"/>
                      <w:szCs w:val="21"/>
                      <w:highlight w:val="none"/>
                      <w:u w:val="none"/>
                      <w:lang w:val="en-US" w:eastAsia="zh-CN"/>
                    </w:rPr>
                    <w:t>铝带底涂剂、PP底涂剂、</w:t>
                  </w:r>
                  <w:r>
                    <w:rPr>
                      <w:rFonts w:hint="eastAsia" w:ascii="Times New Roman" w:hAnsi="Times New Roman" w:eastAsia="宋体" w:cs="Times New Roman"/>
                      <w:color w:val="auto"/>
                      <w:sz w:val="21"/>
                      <w:szCs w:val="21"/>
                      <w:highlight w:val="none"/>
                      <w:u w:val="none"/>
                      <w:lang w:val="en-US" w:eastAsia="zh-CN"/>
                    </w:rPr>
                    <w:t>润滑油等</w:t>
                  </w:r>
                </w:p>
              </w:tc>
              <w:tc>
                <w:tcPr>
                  <w:tcW w:w="1916" w:type="dxa"/>
                  <w:vMerge w:val="restart"/>
                  <w:noWrap w:val="0"/>
                  <w:vAlign w:val="center"/>
                </w:tcPr>
                <w:p w14:paraId="707E39A4">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火灾产生的热辐射、浓烟、有害气体等直接进入环境，火灾扑救过程产生的消防废水全部</w:t>
                  </w:r>
                  <w:r>
                    <w:rPr>
                      <w:rFonts w:hint="eastAsia" w:ascii="Times New Roman" w:hAnsi="Times New Roman" w:eastAsia="宋体" w:cs="Times New Roman"/>
                      <w:color w:val="auto"/>
                      <w:sz w:val="21"/>
                      <w:szCs w:val="21"/>
                      <w:highlight w:val="none"/>
                      <w:u w:val="none"/>
                      <w:lang w:val="en-US" w:eastAsia="zh-CN"/>
                    </w:rPr>
                    <w:t>直接</w:t>
                  </w:r>
                  <w:r>
                    <w:rPr>
                      <w:rFonts w:hint="eastAsia" w:ascii="Times New Roman" w:hAnsi="Times New Roman" w:eastAsia="宋体" w:cs="Times New Roman"/>
                      <w:color w:val="auto"/>
                      <w:sz w:val="21"/>
                      <w:szCs w:val="21"/>
                      <w:highlight w:val="none"/>
                      <w:u w:val="none"/>
                      <w:lang w:eastAsia="zh-CN"/>
                    </w:rPr>
                    <w:t>排入市政污水管网</w:t>
                  </w:r>
                  <w:r>
                    <w:rPr>
                      <w:rFonts w:hint="eastAsia" w:ascii="Times New Roman" w:hAnsi="Times New Roman" w:eastAsia="宋体" w:cs="Times New Roman"/>
                      <w:color w:val="auto"/>
                      <w:sz w:val="21"/>
                      <w:szCs w:val="21"/>
                      <w:highlight w:val="none"/>
                      <w:u w:val="none"/>
                      <w:lang w:val="en-US" w:eastAsia="zh-CN"/>
                    </w:rPr>
                    <w:t>或者排入周边地表水体</w:t>
                  </w:r>
                </w:p>
              </w:tc>
              <w:tc>
                <w:tcPr>
                  <w:tcW w:w="1745" w:type="dxa"/>
                  <w:vMerge w:val="restart"/>
                  <w:noWrap w:val="0"/>
                  <w:vAlign w:val="center"/>
                </w:tcPr>
                <w:p w14:paraId="38C7B130">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bidi="he-IL"/>
                    </w:rPr>
                  </w:pPr>
                  <w:r>
                    <w:rPr>
                      <w:rFonts w:hint="default" w:ascii="Times New Roman" w:hAnsi="Times New Roman" w:eastAsia="宋体" w:cs="Times New Roman"/>
                      <w:color w:val="auto"/>
                      <w:sz w:val="21"/>
                      <w:szCs w:val="21"/>
                      <w:highlight w:val="none"/>
                      <w:u w:val="none"/>
                    </w:rPr>
                    <w:t>对</w:t>
                  </w:r>
                  <w:r>
                    <w:rPr>
                      <w:rFonts w:hint="eastAsia" w:ascii="Times New Roman" w:hAnsi="Times New Roman" w:eastAsia="宋体" w:cs="Times New Roman"/>
                      <w:color w:val="auto"/>
                      <w:sz w:val="21"/>
                      <w:szCs w:val="21"/>
                      <w:highlight w:val="none"/>
                      <w:u w:val="none"/>
                      <w:lang w:val="en-US" w:eastAsia="zh-CN"/>
                    </w:rPr>
                    <w:t>周边环境空气、对周边地表水体等均</w:t>
                  </w:r>
                  <w:r>
                    <w:rPr>
                      <w:rFonts w:hint="default" w:ascii="Times New Roman" w:hAnsi="Times New Roman" w:eastAsia="宋体" w:cs="Times New Roman"/>
                      <w:color w:val="auto"/>
                      <w:sz w:val="21"/>
                      <w:szCs w:val="21"/>
                      <w:highlight w:val="none"/>
                      <w:u w:val="none"/>
                    </w:rPr>
                    <w:t>有</w:t>
                  </w:r>
                  <w:r>
                    <w:rPr>
                      <w:rFonts w:hint="eastAsia" w:ascii="Times New Roman" w:hAnsi="Times New Roman" w:eastAsia="宋体" w:cs="Times New Roman"/>
                      <w:color w:val="auto"/>
                      <w:sz w:val="21"/>
                      <w:szCs w:val="21"/>
                      <w:highlight w:val="none"/>
                      <w:u w:val="none"/>
                      <w:lang w:val="en-US" w:eastAsia="zh-CN"/>
                    </w:rPr>
                    <w:t>较大影响</w:t>
                  </w:r>
                </w:p>
              </w:tc>
            </w:tr>
            <w:tr w14:paraId="1B6251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925" w:type="dxa"/>
                  <w:vMerge w:val="continue"/>
                  <w:noWrap w:val="0"/>
                  <w:vAlign w:val="center"/>
                </w:tcPr>
                <w:p w14:paraId="0957FFF6">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314" w:type="dxa"/>
                  <w:vMerge w:val="continue"/>
                  <w:noWrap w:val="0"/>
                  <w:vAlign w:val="center"/>
                </w:tcPr>
                <w:p w14:paraId="6E00318A">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highlight w:val="none"/>
                      <w:u w:val="none"/>
                    </w:rPr>
                  </w:pPr>
                </w:p>
              </w:tc>
              <w:tc>
                <w:tcPr>
                  <w:tcW w:w="1299" w:type="dxa"/>
                  <w:noWrap w:val="0"/>
                  <w:vAlign w:val="center"/>
                </w:tcPr>
                <w:p w14:paraId="4AF7EC08">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危险废物贮存间</w:t>
                  </w:r>
                </w:p>
              </w:tc>
              <w:tc>
                <w:tcPr>
                  <w:tcW w:w="1337" w:type="dxa"/>
                  <w:noWrap w:val="0"/>
                  <w:vAlign w:val="center"/>
                </w:tcPr>
                <w:p w14:paraId="09ECEC47">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jc w:val="center"/>
                    <w:textAlignment w:val="auto"/>
                    <w:rPr>
                      <w:rFonts w:hint="default" w:ascii="Times New Roman" w:hAnsi="Times New Roman"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废润滑油</w:t>
                  </w:r>
                </w:p>
              </w:tc>
              <w:tc>
                <w:tcPr>
                  <w:tcW w:w="1916" w:type="dxa"/>
                  <w:vMerge w:val="continue"/>
                  <w:noWrap w:val="0"/>
                  <w:vAlign w:val="center"/>
                </w:tcPr>
                <w:p w14:paraId="253E584F">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745" w:type="dxa"/>
                  <w:vMerge w:val="continue"/>
                  <w:noWrap w:val="0"/>
                  <w:vAlign w:val="center"/>
                </w:tcPr>
                <w:p w14:paraId="6D5C91B5">
                  <w:pPr>
                    <w:pStyle w:val="94"/>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firstLine="0" w:firstLineChars="0"/>
                    <w:jc w:val="center"/>
                    <w:textAlignment w:val="auto"/>
                    <w:rPr>
                      <w:rFonts w:hint="default" w:ascii="Times New Roman" w:hAnsi="Times New Roman" w:eastAsia="宋体" w:cs="Times New Roman"/>
                      <w:color w:val="auto"/>
                      <w:sz w:val="21"/>
                      <w:szCs w:val="21"/>
                      <w:highlight w:val="none"/>
                      <w:u w:val="none"/>
                    </w:rPr>
                  </w:pPr>
                </w:p>
              </w:tc>
            </w:tr>
          </w:tbl>
          <w:p w14:paraId="4996C835">
            <w:pPr>
              <w:pStyle w:val="4"/>
              <w:bidi w:val="0"/>
              <w:rPr>
                <w:color w:val="auto"/>
              </w:rPr>
            </w:pPr>
            <w:bookmarkStart w:id="36" w:name="_Toc215736207"/>
            <w:r>
              <w:rPr>
                <w:rFonts w:hint="eastAsia"/>
                <w:color w:val="auto"/>
              </w:rPr>
              <w:t xml:space="preserve">4.7.3 </w:t>
            </w:r>
            <w:r>
              <w:rPr>
                <w:color w:val="auto"/>
              </w:rPr>
              <w:t>环境风险防范措施</w:t>
            </w:r>
          </w:p>
          <w:p w14:paraId="3096F0B0">
            <w:pPr>
              <w:spacing w:line="360" w:lineRule="auto"/>
              <w:ind w:firstLine="480" w:firstLineChars="200"/>
              <w:jc w:val="left"/>
              <w:rPr>
                <w:rFonts w:ascii="Times New Roman" w:hAnsi="Times New Roman" w:eastAsia="宋体"/>
                <w:color w:val="auto"/>
                <w:sz w:val="24"/>
                <w:highlight w:val="none"/>
                <w:lang w:val="zh-CN"/>
              </w:rPr>
            </w:pPr>
            <w:r>
              <w:rPr>
                <w:rFonts w:ascii="Times New Roman" w:hAnsi="Times New Roman" w:eastAsia="宋体"/>
                <w:color w:val="auto"/>
                <w:sz w:val="24"/>
                <w:highlight w:val="none"/>
                <w:lang w:val="zh-CN"/>
              </w:rPr>
              <w:t>由于环境风险具有突发性和短暂性及危害较大等特点，必须采取相应有效预防措施加以防范，加强控制和管理，杜绝、减轻和避免环境风险。为了防止</w:t>
            </w:r>
            <w:r>
              <w:rPr>
                <w:rFonts w:hint="eastAsia" w:ascii="Times New Roman" w:hAnsi="Times New Roman" w:eastAsia="宋体"/>
                <w:color w:val="auto"/>
                <w:sz w:val="24"/>
                <w:highlight w:val="none"/>
              </w:rPr>
              <w:t>风险事故</w:t>
            </w:r>
            <w:r>
              <w:rPr>
                <w:rFonts w:ascii="Times New Roman" w:hAnsi="Times New Roman" w:eastAsia="宋体"/>
                <w:color w:val="auto"/>
                <w:sz w:val="24"/>
                <w:highlight w:val="none"/>
                <w:lang w:val="zh-CN"/>
              </w:rPr>
              <w:t>对周边环境造成影响，应严格按照相关要求进行设计与施工，同时项目还应加强安全管理。</w:t>
            </w:r>
          </w:p>
          <w:p w14:paraId="43BB6D85">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（1）废气事故排放</w:t>
            </w:r>
            <w:r>
              <w:rPr>
                <w:rFonts w:hint="default" w:ascii="Times New Roman" w:hAnsi="Times New Roman" w:eastAsia="宋体" w:cs="Times New Roman"/>
                <w:b/>
                <w:bCs/>
                <w:color w:val="auto"/>
                <w:kern w:val="0"/>
                <w:sz w:val="24"/>
                <w:highlight w:val="none"/>
                <w:u w:val="none"/>
                <w:lang w:val="en-US" w:eastAsia="zh-CN"/>
              </w:rPr>
              <w:t>风险防范措施</w:t>
            </w:r>
          </w:p>
          <w:p w14:paraId="3B973BA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①</w:t>
            </w:r>
            <w:r>
              <w:rPr>
                <w:rFonts w:hint="eastAsia" w:ascii="Times New Roman" w:hAnsi="Times New Roman" w:eastAsia="宋体" w:cs="Times New Roman"/>
                <w:color w:val="auto"/>
                <w:kern w:val="0"/>
                <w:sz w:val="24"/>
                <w:highlight w:val="none"/>
                <w:u w:val="none"/>
                <w:lang w:val="en-US" w:eastAsia="zh-CN"/>
              </w:rPr>
              <w:t>定期对废气处理设施从设备到运输管道进行检修，发现问题及时解决。</w:t>
            </w:r>
          </w:p>
          <w:p w14:paraId="0725CD46">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②</w:t>
            </w:r>
            <w:r>
              <w:rPr>
                <w:rFonts w:hint="eastAsia" w:ascii="Times New Roman" w:hAnsi="Times New Roman" w:eastAsia="宋体" w:cs="Times New Roman"/>
                <w:color w:val="auto"/>
                <w:kern w:val="0"/>
                <w:sz w:val="24"/>
                <w:highlight w:val="none"/>
                <w:u w:val="none"/>
                <w:lang w:val="en-US" w:eastAsia="zh-CN"/>
              </w:rPr>
              <w:t>各生产岗位制定严格的操作规程和注意事项，车间工人需熟悉工作流程，严格按操作规程进行运行控制，防止操作失误导致废气事故排放。</w:t>
            </w:r>
          </w:p>
          <w:p w14:paraId="276253C4">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highlight w:val="none"/>
                <w:u w:val="none"/>
                <w:vertAlign w:val="baseline"/>
                <w:lang w:val="en-US" w:eastAsia="zh-CN"/>
              </w:rPr>
            </w:pPr>
            <w:r>
              <w:rPr>
                <w:rFonts w:hint="default" w:ascii="Times New Roman" w:hAnsi="Times New Roman" w:eastAsia="宋体" w:cs="Times New Roman"/>
                <w:color w:val="auto"/>
                <w:kern w:val="0"/>
                <w:sz w:val="24"/>
                <w:highlight w:val="none"/>
                <w:u w:val="none"/>
                <w:lang w:val="en-US" w:eastAsia="zh-CN"/>
              </w:rPr>
              <w:t>③</w:t>
            </w:r>
            <w:r>
              <w:rPr>
                <w:rFonts w:hint="eastAsia" w:ascii="Times New Roman" w:hAnsi="Times New Roman" w:eastAsia="宋体" w:cs="Times New Roman"/>
                <w:color w:val="auto"/>
                <w:kern w:val="0"/>
                <w:sz w:val="24"/>
                <w:highlight w:val="none"/>
                <w:u w:val="none"/>
                <w:lang w:val="en-US" w:eastAsia="zh-CN"/>
              </w:rPr>
              <w:t>定期更换活性炭，</w:t>
            </w:r>
            <w:r>
              <w:rPr>
                <w:rFonts w:hint="default" w:ascii="Times New Roman" w:hAnsi="Times New Roman" w:eastAsia="宋体" w:cs="Times New Roman"/>
                <w:color w:val="auto"/>
                <w:sz w:val="24"/>
                <w:highlight w:val="none"/>
                <w:u w:val="none"/>
                <w:lang w:eastAsia="zh-CN"/>
              </w:rPr>
              <w:t>同时确保项目</w:t>
            </w:r>
            <w:r>
              <w:rPr>
                <w:rFonts w:hint="default" w:ascii="Times New Roman" w:hAnsi="Times New Roman" w:eastAsia="宋体" w:cs="Times New Roman"/>
                <w:color w:val="auto"/>
                <w:sz w:val="24"/>
                <w:highlight w:val="none"/>
                <w:u w:val="none"/>
                <w:vertAlign w:val="baseline"/>
                <w:lang w:val="en-US" w:eastAsia="zh-CN"/>
              </w:rPr>
              <w:t>活性炭吸附装置一次性装置量</w:t>
            </w:r>
            <w:r>
              <w:rPr>
                <w:rFonts w:hint="eastAsia" w:ascii="Times New Roman" w:hAnsi="Times New Roman" w:eastAsia="宋体" w:cs="Times New Roman"/>
                <w:color w:val="auto"/>
                <w:sz w:val="24"/>
                <w:highlight w:val="none"/>
                <w:u w:val="none"/>
                <w:vertAlign w:val="baseline"/>
                <w:lang w:val="en-US" w:eastAsia="zh-CN"/>
              </w:rPr>
              <w:t>，按废气自行监测要求，定期委托有资质单位进行检测。</w:t>
            </w:r>
          </w:p>
          <w:p w14:paraId="2755E0D1">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eastAsia"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（2）危险废物</w:t>
            </w:r>
            <w:r>
              <w:rPr>
                <w:rFonts w:hint="default" w:ascii="Times New Roman" w:hAnsi="Times New Roman" w:eastAsia="宋体" w:cs="Times New Roman"/>
                <w:b/>
                <w:bCs/>
                <w:color w:val="auto"/>
                <w:kern w:val="0"/>
                <w:sz w:val="24"/>
                <w:highlight w:val="none"/>
                <w:u w:val="none"/>
                <w:lang w:val="en-US" w:eastAsia="zh-CN"/>
              </w:rPr>
              <w:t>事故</w:t>
            </w:r>
            <w:r>
              <w:rPr>
                <w:rFonts w:hint="eastAsia" w:ascii="Times New Roman" w:hAnsi="Times New Roman" w:eastAsia="宋体" w:cs="Times New Roman"/>
                <w:b/>
                <w:bCs/>
                <w:color w:val="auto"/>
                <w:kern w:val="0"/>
                <w:sz w:val="24"/>
                <w:highlight w:val="none"/>
                <w:u w:val="none"/>
                <w:lang w:val="en-US" w:eastAsia="zh-CN"/>
              </w:rPr>
              <w:t>泄漏</w:t>
            </w:r>
            <w:r>
              <w:rPr>
                <w:rFonts w:hint="default" w:ascii="Times New Roman" w:hAnsi="Times New Roman" w:eastAsia="宋体" w:cs="Times New Roman"/>
                <w:b/>
                <w:bCs/>
                <w:color w:val="auto"/>
                <w:kern w:val="0"/>
                <w:sz w:val="24"/>
                <w:highlight w:val="none"/>
                <w:u w:val="none"/>
                <w:lang w:val="en-US" w:eastAsia="zh-CN"/>
              </w:rPr>
              <w:t>风险防范措施</w:t>
            </w:r>
          </w:p>
          <w:p w14:paraId="4D5862D0">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①危险废物贮存间应按照《危险废物贮存污染控制标准》（GB 18597-2023）要求进行防渗，液态容器底部设置防渗托盘防渗；辅料</w:t>
            </w:r>
            <w:r>
              <w:rPr>
                <w:rFonts w:hint="eastAsia" w:ascii="Times New Roman" w:hAnsi="Times New Roman" w:eastAsia="宋体" w:cs="Times New Roman"/>
                <w:color w:val="auto"/>
                <w:kern w:val="0"/>
                <w:sz w:val="24"/>
                <w:highlight w:val="none"/>
                <w:u w:val="none"/>
                <w:lang w:val="en-US" w:eastAsia="zh-CN"/>
              </w:rPr>
              <w:t>区</w:t>
            </w:r>
            <w:r>
              <w:rPr>
                <w:rFonts w:hint="default" w:ascii="Times New Roman" w:hAnsi="Times New Roman" w:eastAsia="宋体" w:cs="Times New Roman"/>
                <w:color w:val="auto"/>
                <w:kern w:val="0"/>
                <w:sz w:val="24"/>
                <w:highlight w:val="none"/>
                <w:u w:val="none"/>
                <w:lang w:val="en-US" w:eastAsia="zh-CN"/>
              </w:rPr>
              <w:t>按照重点防渗要求进行建设，具备防风、防雨、防晒、防渗漏措施；危险废物贮存间、辅料库四周设置导流沟槽，门口设置围堰。</w:t>
            </w:r>
          </w:p>
          <w:p w14:paraId="7E78A8BF">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②设置警示标识等。设置专人管理；</w:t>
            </w:r>
          </w:p>
          <w:p w14:paraId="10E96ED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③危险废物贮存间及作业车间严禁明火，严格遵守操作规程，避免因操作失误发生事故；</w:t>
            </w:r>
          </w:p>
          <w:p w14:paraId="2B7D1A6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w:t>
            </w:r>
            <w:r>
              <w:rPr>
                <w:rFonts w:hint="eastAsia" w:cs="Times New Roman"/>
                <w:color w:val="auto"/>
                <w:kern w:val="0"/>
                <w:sz w:val="24"/>
                <w:highlight w:val="none"/>
                <w:u w:val="none"/>
                <w:lang w:val="en-US" w:eastAsia="zh-CN"/>
              </w:rPr>
              <w:t>厂房</w:t>
            </w:r>
            <w:r>
              <w:rPr>
                <w:rFonts w:hint="default" w:ascii="Times New Roman" w:hAnsi="Times New Roman" w:eastAsia="宋体" w:cs="Times New Roman"/>
                <w:color w:val="auto"/>
                <w:kern w:val="0"/>
                <w:sz w:val="24"/>
                <w:highlight w:val="none"/>
                <w:u w:val="none"/>
                <w:lang w:val="en-US" w:eastAsia="zh-CN"/>
              </w:rPr>
              <w:t>内配备通讯设备、照明设备、安全防护服装及工具，并有应急防护措施；危废贮存间配备相应的堵漏材料（沙袋、吸油毡等）；</w:t>
            </w:r>
          </w:p>
          <w:p w14:paraId="4A9F4552">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④根据危险废物的特性进行分区、分类、分库贮存。各类危险废物等不得与禁忌化学品混合贮存；</w:t>
            </w:r>
          </w:p>
          <w:p w14:paraId="3E278B4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⑥制定危险废物管理计划及建立危废台账，加强危险废物管理。制定化学品进出台账，加强危险化学品管理；</w:t>
            </w:r>
          </w:p>
          <w:p w14:paraId="35398972">
            <w:pPr>
              <w:spacing w:line="360" w:lineRule="auto"/>
              <w:ind w:firstLine="480" w:firstLineChars="200"/>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⑦及时</w:t>
            </w:r>
            <w:r>
              <w:rPr>
                <w:rFonts w:hint="eastAsia" w:cs="Times New Roman"/>
                <w:color w:val="auto"/>
                <w:kern w:val="0"/>
                <w:sz w:val="24"/>
                <w:highlight w:val="none"/>
                <w:u w:val="none"/>
                <w:lang w:val="en-US" w:eastAsia="zh-CN"/>
              </w:rPr>
              <w:t>将</w:t>
            </w:r>
            <w:r>
              <w:rPr>
                <w:rFonts w:hint="default" w:ascii="Times New Roman" w:hAnsi="Times New Roman" w:eastAsia="宋体" w:cs="Times New Roman"/>
                <w:color w:val="auto"/>
                <w:kern w:val="0"/>
                <w:sz w:val="24"/>
                <w:highlight w:val="none"/>
                <w:u w:val="none"/>
                <w:lang w:val="en-US" w:eastAsia="zh-CN"/>
              </w:rPr>
              <w:t>危险废物委托资质单位清运处置，对储存容器定期检查，对破损容器及时更换，同时对危废间防渗区防渗层定期检查，对破损防渗层进行修补。</w:t>
            </w:r>
          </w:p>
          <w:p w14:paraId="08D1A74F">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3</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危险化学品事故泄漏风险防范措施</w:t>
            </w:r>
          </w:p>
          <w:p w14:paraId="39EF100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①</w:t>
            </w:r>
            <w:r>
              <w:rPr>
                <w:rFonts w:hint="eastAsia" w:ascii="Times New Roman" w:hAnsi="Times New Roman" w:eastAsia="宋体" w:cs="Times New Roman"/>
                <w:color w:val="auto"/>
                <w:kern w:val="0"/>
                <w:sz w:val="24"/>
                <w:highlight w:val="none"/>
                <w:u w:val="none"/>
                <w:lang w:val="en-US" w:eastAsia="zh-CN"/>
              </w:rPr>
              <w:t>化学品入库时应严格检验物品数量、包装情况、有无泄漏。油类、PP底涂剂、铝带底涂剂进存储场所后应采取适当的养护措施，在贮存期内、定期检查，若发现品质变化、包装破损、渗漏，出现跑冒、滴、漏等情况时应及时处理。辅料区应该加强火源管理和其他方面的管理，严禁烟火，应该防止机械（撞击、摩擦）着火源，加强通风。辅料区必须保持干燥，室温应在35℃以下，并有相应的防火安全措施。一旦发生物料泄漏，迅速撤离泄漏污染区人员至安全区，并进行隔离，严格限制出入，切断火源。建议应急处理人员戴自给正压式呼吸器，穿消防防护服。尽可能切断泄漏源，防止进入下水道、排洪沟等限制性空间</w:t>
            </w:r>
            <w:r>
              <w:rPr>
                <w:rFonts w:hint="eastAsia" w:cs="Times New Roman"/>
                <w:color w:val="auto"/>
                <w:kern w:val="0"/>
                <w:sz w:val="24"/>
                <w:highlight w:val="none"/>
                <w:u w:val="none"/>
                <w:lang w:val="en-US" w:eastAsia="zh-CN"/>
              </w:rPr>
              <w:t>；</w:t>
            </w:r>
          </w:p>
          <w:p w14:paraId="4EA75862">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②</w:t>
            </w:r>
            <w:r>
              <w:rPr>
                <w:rFonts w:hint="default" w:ascii="Times New Roman" w:hAnsi="Times New Roman" w:eastAsia="宋体" w:cs="Times New Roman"/>
                <w:color w:val="auto"/>
                <w:kern w:val="0"/>
                <w:sz w:val="24"/>
                <w:highlight w:val="none"/>
                <w:u w:val="none"/>
                <w:lang w:val="en-US" w:eastAsia="zh-CN"/>
              </w:rPr>
              <w:t>设置警示标识等。设置专人管理；</w:t>
            </w:r>
          </w:p>
          <w:p w14:paraId="611C4E22">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u w:val="none"/>
                <w:lang w:val="en-US" w:eastAsia="zh-CN"/>
              </w:rPr>
            </w:pPr>
            <w:r>
              <w:rPr>
                <w:rFonts w:hint="eastAsia" w:cs="Times New Roman"/>
                <w:color w:val="auto"/>
                <w:kern w:val="0"/>
                <w:sz w:val="24"/>
                <w:highlight w:val="none"/>
                <w:u w:val="none"/>
                <w:lang w:val="en-US" w:eastAsia="zh-CN"/>
              </w:rPr>
              <w:t>③厂房</w:t>
            </w:r>
            <w:r>
              <w:rPr>
                <w:rFonts w:hint="default" w:ascii="Times New Roman" w:hAnsi="Times New Roman" w:eastAsia="宋体" w:cs="Times New Roman"/>
                <w:color w:val="auto"/>
                <w:kern w:val="0"/>
                <w:sz w:val="24"/>
                <w:highlight w:val="none"/>
                <w:u w:val="none"/>
                <w:lang w:val="en-US" w:eastAsia="zh-CN"/>
              </w:rPr>
              <w:t>内配备通讯设备、照明设备、安全防护服装及工具，并有应急防护措施；辅料</w:t>
            </w:r>
            <w:r>
              <w:rPr>
                <w:rFonts w:hint="eastAsia" w:cs="Times New Roman"/>
                <w:color w:val="auto"/>
                <w:kern w:val="0"/>
                <w:sz w:val="24"/>
                <w:highlight w:val="none"/>
                <w:u w:val="none"/>
                <w:lang w:val="en-US" w:eastAsia="zh-CN"/>
              </w:rPr>
              <w:t>区</w:t>
            </w:r>
            <w:r>
              <w:rPr>
                <w:rFonts w:hint="default" w:ascii="Times New Roman" w:hAnsi="Times New Roman" w:eastAsia="宋体" w:cs="Times New Roman"/>
                <w:color w:val="auto"/>
                <w:kern w:val="0"/>
                <w:sz w:val="24"/>
                <w:highlight w:val="none"/>
                <w:u w:val="none"/>
                <w:lang w:val="en-US" w:eastAsia="zh-CN"/>
              </w:rPr>
              <w:t>配备相应的堵漏材料（沙袋、吸油毡等）；</w:t>
            </w:r>
          </w:p>
          <w:p w14:paraId="1335A9AA">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4</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火灾事故风险防范措施</w:t>
            </w:r>
          </w:p>
          <w:p w14:paraId="6606F70C">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①</w:t>
            </w:r>
            <w:r>
              <w:rPr>
                <w:rFonts w:hint="eastAsia" w:cs="Times New Roman"/>
                <w:bCs/>
                <w:color w:val="auto"/>
                <w:sz w:val="24"/>
                <w:highlight w:val="none"/>
                <w:u w:val="none"/>
                <w:lang w:val="en-US" w:eastAsia="zh-CN"/>
              </w:rPr>
              <w:t>危险废物贮存间</w:t>
            </w:r>
            <w:r>
              <w:rPr>
                <w:rFonts w:hint="eastAsia" w:ascii="Times New Roman" w:hAnsi="Times New Roman" w:eastAsia="宋体" w:cs="Times New Roman"/>
                <w:bCs/>
                <w:color w:val="auto"/>
                <w:sz w:val="24"/>
                <w:highlight w:val="none"/>
                <w:u w:val="none"/>
                <w:lang w:val="en-US" w:eastAsia="zh-CN"/>
              </w:rPr>
              <w:t>设置间内设置防火装置、安全防护装置等</w:t>
            </w:r>
            <w:r>
              <w:rPr>
                <w:rFonts w:hint="eastAsia" w:cs="Times New Roman"/>
                <w:bCs/>
                <w:color w:val="auto"/>
                <w:sz w:val="24"/>
                <w:highlight w:val="none"/>
                <w:u w:val="none"/>
                <w:lang w:val="en-US" w:eastAsia="zh-CN"/>
              </w:rPr>
              <w:t>，</w:t>
            </w:r>
            <w:r>
              <w:rPr>
                <w:rFonts w:hint="default" w:ascii="Times New Roman" w:hAnsi="Times New Roman" w:eastAsia="宋体" w:cs="Times New Roman"/>
                <w:bCs/>
                <w:color w:val="auto"/>
                <w:sz w:val="24"/>
                <w:highlight w:val="none"/>
                <w:u w:val="none"/>
              </w:rPr>
              <w:t>加强消防设施和灭火器材的配备，严格落实有关消防技术规范的规定，加强人员疏散设施管理，保证疏散通道畅通。</w:t>
            </w:r>
          </w:p>
          <w:p w14:paraId="66BBD413">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②定期进行防火安全检查，确保消防设施完整好用。</w:t>
            </w:r>
          </w:p>
          <w:p w14:paraId="77E99725">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color w:val="auto"/>
                <w:sz w:val="24"/>
                <w:highlight w:val="none"/>
                <w:u w:val="none"/>
                <w:lang w:eastAsia="zh-CN"/>
              </w:rPr>
              <w:t>③</w:t>
            </w:r>
            <w:r>
              <w:rPr>
                <w:rFonts w:hint="default" w:ascii="Times New Roman" w:hAnsi="Times New Roman" w:eastAsia="宋体" w:cs="Times New Roman"/>
                <w:bCs/>
                <w:color w:val="auto"/>
                <w:sz w:val="24"/>
                <w:highlight w:val="none"/>
                <w:u w:val="none"/>
              </w:rPr>
              <w:t>公司要求职工应遵守各项规章制度，杜绝“三违”</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违章作业、违章指挥、违反劳动纪律</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，作业时要遵守各项规定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如动火、高处作业、进入设备作业等规定</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、要求，确保安全生产。</w:t>
            </w:r>
          </w:p>
          <w:p w14:paraId="68FE3895">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default" w:ascii="Times New Roman" w:hAnsi="Times New Roman" w:eastAsia="宋体" w:cs="Times New Roman"/>
                <w:bCs/>
                <w:color w:val="auto"/>
                <w:sz w:val="24"/>
                <w:highlight w:val="none"/>
                <w:u w:val="none"/>
              </w:rPr>
              <w:t>④公司强化安全、消防和环保管理，完善环保安全管理机构，完善各项管理制度，加强日常监督检查；</w:t>
            </w:r>
            <w:r>
              <w:rPr>
                <w:rFonts w:hint="eastAsia" w:ascii="Times New Roman" w:hAnsi="Times New Roman" w:eastAsia="宋体" w:cs="Times New Roman"/>
                <w:bCs/>
                <w:color w:val="auto"/>
                <w:sz w:val="24"/>
                <w:highlight w:val="none"/>
                <w:u w:val="none"/>
                <w:lang w:eastAsia="zh-CN"/>
              </w:rPr>
              <w:t>车间</w:t>
            </w:r>
            <w:r>
              <w:rPr>
                <w:rFonts w:hint="default" w:ascii="Times New Roman" w:hAnsi="Times New Roman" w:eastAsia="宋体" w:cs="Times New Roman"/>
                <w:bCs/>
                <w:color w:val="auto"/>
                <w:sz w:val="24"/>
                <w:highlight w:val="none"/>
                <w:u w:val="none"/>
              </w:rPr>
              <w:t>内</w:t>
            </w:r>
            <w:r>
              <w:rPr>
                <w:rFonts w:hint="eastAsia" w:ascii="Times New Roman" w:hAnsi="Times New Roman" w:eastAsia="宋体" w:cs="Times New Roman"/>
                <w:bCs/>
                <w:color w:val="auto"/>
                <w:sz w:val="24"/>
                <w:highlight w:val="none"/>
                <w:u w:val="none"/>
                <w:lang w:eastAsia="zh-CN"/>
              </w:rPr>
              <w:t>、</w:t>
            </w:r>
            <w:r>
              <w:rPr>
                <w:rFonts w:hint="eastAsia" w:ascii="Times New Roman" w:hAnsi="Times New Roman" w:eastAsia="宋体" w:cs="Times New Roman"/>
                <w:bCs/>
                <w:color w:val="auto"/>
                <w:sz w:val="24"/>
                <w:highlight w:val="none"/>
                <w:u w:val="none"/>
                <w:lang w:val="en-US" w:eastAsia="zh-CN"/>
              </w:rPr>
              <w:t>仓库内、固废暂存间内</w:t>
            </w:r>
            <w:r>
              <w:rPr>
                <w:rFonts w:hint="default" w:ascii="Times New Roman" w:hAnsi="Times New Roman" w:eastAsia="宋体" w:cs="Times New Roman"/>
                <w:bCs/>
                <w:color w:val="auto"/>
                <w:sz w:val="24"/>
                <w:highlight w:val="none"/>
                <w:u w:val="none"/>
              </w:rPr>
              <w:t>严禁烟火，按要求设置防火标志</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严格动火审批制度，进料车辆必须戴阻火器</w:t>
            </w:r>
            <w:r>
              <w:rPr>
                <w:rFonts w:hint="eastAsia" w:ascii="Times New Roman" w:hAnsi="Times New Roman" w:eastAsia="宋体" w:cs="Times New Roman"/>
                <w:bCs/>
                <w:color w:val="auto"/>
                <w:sz w:val="24"/>
                <w:highlight w:val="none"/>
                <w:u w:val="none"/>
                <w:lang w:eastAsia="zh-CN"/>
              </w:rPr>
              <w:t>。</w:t>
            </w:r>
          </w:p>
          <w:p w14:paraId="2AB65F20">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highlight w:val="none"/>
                <w:u w:val="none"/>
                <w:lang w:val="en-US" w:eastAsia="zh-CN"/>
              </w:rPr>
            </w:pPr>
            <w:r>
              <w:rPr>
                <w:rFonts w:hint="eastAsia" w:cs="Times New Roman"/>
                <w:bCs/>
                <w:color w:val="auto"/>
                <w:sz w:val="24"/>
                <w:highlight w:val="none"/>
                <w:u w:val="none"/>
                <w:lang w:val="en-US" w:eastAsia="zh-CN"/>
              </w:rPr>
              <w:t>⑤出租方</w:t>
            </w:r>
            <w:r>
              <w:rPr>
                <w:rFonts w:hint="eastAsia" w:ascii="Times New Roman" w:hAnsi="Times New Roman" w:eastAsia="宋体" w:cs="Times New Roman"/>
                <w:bCs/>
                <w:color w:val="auto"/>
                <w:sz w:val="24"/>
                <w:highlight w:val="none"/>
                <w:u w:val="none"/>
                <w:lang w:val="en-US" w:eastAsia="zh-CN"/>
              </w:rPr>
              <w:t>雨污总排放口设置阀门控制，防止事故状态下消防废水进入外环境。</w:t>
            </w:r>
          </w:p>
          <w:p w14:paraId="6055D5A2">
            <w:pPr>
              <w:keepNext w:val="0"/>
              <w:keepLines w:val="0"/>
              <w:pageBreakBefore w:val="0"/>
              <w:kinsoku/>
              <w:wordWrap/>
              <w:overflowPunct/>
              <w:topLinePunct w:val="0"/>
              <w:autoSpaceDE w:val="0"/>
              <w:autoSpaceDN w:val="0"/>
              <w:bidi w:val="0"/>
              <w:adjustRightInd w:val="0"/>
              <w:snapToGrid w:val="0"/>
              <w:spacing w:line="360" w:lineRule="auto"/>
              <w:jc w:val="both"/>
              <w:rPr>
                <w:rFonts w:hint="default" w:ascii="Times New Roman" w:hAnsi="Times New Roman" w:eastAsia="宋体" w:cs="Times New Roman"/>
                <w:b/>
                <w:bCs/>
                <w:color w:val="auto"/>
                <w:kern w:val="0"/>
                <w:sz w:val="24"/>
                <w:highlight w:val="none"/>
                <w:u w:val="none"/>
                <w:lang w:val="en-US" w:eastAsia="zh-CN"/>
              </w:rPr>
            </w:pPr>
            <w:r>
              <w:rPr>
                <w:rFonts w:hint="eastAsia" w:ascii="Times New Roman" w:hAnsi="Times New Roman" w:eastAsia="宋体" w:cs="Times New Roman"/>
                <w:b/>
                <w:bCs/>
                <w:color w:val="auto"/>
                <w:kern w:val="0"/>
                <w:sz w:val="24"/>
                <w:highlight w:val="none"/>
                <w:u w:val="none"/>
                <w:lang w:val="en-US" w:eastAsia="zh-CN"/>
              </w:rPr>
              <w:t>（</w:t>
            </w:r>
            <w:r>
              <w:rPr>
                <w:rFonts w:hint="eastAsia" w:cs="Times New Roman"/>
                <w:b/>
                <w:bCs/>
                <w:color w:val="auto"/>
                <w:kern w:val="0"/>
                <w:sz w:val="24"/>
                <w:highlight w:val="none"/>
                <w:u w:val="none"/>
                <w:lang w:val="en-US" w:eastAsia="zh-CN"/>
              </w:rPr>
              <w:t>5</w:t>
            </w:r>
            <w:r>
              <w:rPr>
                <w:rFonts w:hint="eastAsia" w:ascii="Times New Roman" w:hAnsi="Times New Roman" w:eastAsia="宋体" w:cs="Times New Roman"/>
                <w:b/>
                <w:bCs/>
                <w:color w:val="auto"/>
                <w:kern w:val="0"/>
                <w:sz w:val="24"/>
                <w:highlight w:val="none"/>
                <w:u w:val="none"/>
                <w:lang w:val="en-US" w:eastAsia="zh-CN"/>
              </w:rPr>
              <w:t>）</w:t>
            </w:r>
            <w:r>
              <w:rPr>
                <w:rFonts w:hint="default" w:ascii="Times New Roman" w:hAnsi="Times New Roman" w:eastAsia="宋体" w:cs="Times New Roman"/>
                <w:b/>
                <w:bCs/>
                <w:color w:val="auto"/>
                <w:kern w:val="0"/>
                <w:sz w:val="24"/>
                <w:highlight w:val="none"/>
                <w:u w:val="none"/>
                <w:lang w:val="en-US" w:eastAsia="zh-CN"/>
              </w:rPr>
              <w:t>事故应急池设置</w:t>
            </w:r>
          </w:p>
          <w:p w14:paraId="4A134918">
            <w:pPr>
              <w:pStyle w:val="15"/>
              <w:spacing w:line="360" w:lineRule="auto"/>
              <w:ind w:firstLine="480" w:firstLineChars="200"/>
              <w:rPr>
                <w:rFonts w:hint="eastAsia"/>
                <w:color w:val="auto"/>
                <w:highlight w:val="none"/>
                <w:lang w:val="en-US" w:eastAsia="zh-CN"/>
              </w:rPr>
            </w:pPr>
            <w:r>
              <w:rPr>
                <w:rFonts w:hint="eastAsia" w:cs="Times New Roman"/>
                <w:bCs/>
                <w:color w:val="auto"/>
                <w:sz w:val="24"/>
                <w:highlight w:val="none"/>
                <w:u w:val="none"/>
                <w:lang w:val="en-US" w:eastAsia="zh-CN"/>
              </w:rPr>
              <w:t>项目风险物质贮存量较小，铝带底涂剂、PP底涂剂、润滑油、液压油</w:t>
            </w:r>
            <w:r>
              <w:rPr>
                <w:rFonts w:hint="default" w:ascii="Times New Roman" w:hAnsi="Times New Roman" w:eastAsia="宋体" w:cs="Times New Roman"/>
                <w:bCs/>
                <w:color w:val="auto"/>
                <w:sz w:val="24"/>
                <w:highlight w:val="none"/>
                <w:u w:val="none"/>
              </w:rPr>
              <w:t>火灾时采用消防沙、灭火毯和灭火器灭火</w:t>
            </w:r>
            <w:r>
              <w:rPr>
                <w:rFonts w:hint="eastAsia" w:cs="Times New Roman"/>
                <w:bCs/>
                <w:color w:val="auto"/>
                <w:sz w:val="24"/>
                <w:highlight w:val="none"/>
                <w:u w:val="none"/>
                <w:lang w:eastAsia="zh-CN"/>
              </w:rPr>
              <w:t>且</w:t>
            </w:r>
            <w:r>
              <w:rPr>
                <w:rFonts w:hint="eastAsia" w:cs="Times New Roman"/>
                <w:bCs/>
                <w:color w:val="auto"/>
                <w:sz w:val="24"/>
                <w:highlight w:val="none"/>
                <w:u w:val="none"/>
                <w:lang w:val="en-US" w:eastAsia="zh-CN"/>
              </w:rPr>
              <w:t>火灾范围有限，不会蔓延至其他区域，无需</w:t>
            </w:r>
            <w:r>
              <w:rPr>
                <w:rFonts w:hint="default" w:ascii="Times New Roman" w:hAnsi="Times New Roman" w:eastAsia="宋体" w:cs="Times New Roman"/>
                <w:bCs/>
                <w:color w:val="auto"/>
                <w:sz w:val="24"/>
                <w:highlight w:val="none"/>
                <w:u w:val="none"/>
              </w:rPr>
              <w:t>用水灭火，无消防废水产</w:t>
            </w:r>
            <w:r>
              <w:rPr>
                <w:rFonts w:hint="eastAsia" w:cs="Times New Roman"/>
                <w:bCs/>
                <w:color w:val="auto"/>
                <w:sz w:val="24"/>
                <w:highlight w:val="none"/>
                <w:u w:val="none"/>
                <w:lang w:val="en-US" w:eastAsia="zh-CN"/>
              </w:rPr>
              <w:t>生。</w:t>
            </w:r>
            <w:r>
              <w:rPr>
                <w:rFonts w:hint="default" w:ascii="Times New Roman" w:hAnsi="Times New Roman" w:eastAsia="宋体" w:cs="Times New Roman"/>
                <w:bCs/>
                <w:color w:val="auto"/>
                <w:sz w:val="24"/>
                <w:highlight w:val="none"/>
                <w:u w:val="none"/>
              </w:rPr>
              <w:t>项目不需设置事故应急池。</w:t>
            </w:r>
          </w:p>
          <w:p w14:paraId="2EB22169">
            <w:pPr>
              <w:pStyle w:val="4"/>
              <w:bidi w:val="0"/>
              <w:rPr>
                <w:color w:val="auto"/>
              </w:rPr>
            </w:pPr>
            <w:r>
              <w:rPr>
                <w:rFonts w:hint="eastAsia"/>
                <w:color w:val="auto"/>
              </w:rPr>
              <w:t>4.7.</w:t>
            </w:r>
            <w:r>
              <w:rPr>
                <w:rFonts w:hint="eastAsia"/>
                <w:color w:val="auto"/>
                <w:lang w:val="en-US" w:eastAsia="zh-CN"/>
              </w:rPr>
              <w:t>4</w:t>
            </w:r>
            <w:r>
              <w:rPr>
                <w:rFonts w:hint="eastAsia"/>
                <w:color w:val="auto"/>
              </w:rPr>
              <w:t xml:space="preserve"> </w:t>
            </w:r>
            <w:r>
              <w:rPr>
                <w:color w:val="auto"/>
              </w:rPr>
              <w:t>风险分析结论</w:t>
            </w:r>
          </w:p>
          <w:p w14:paraId="228F1894">
            <w:pPr>
              <w:pStyle w:val="103"/>
              <w:rPr>
                <w:rFonts w:cs="Times New Roman"/>
                <w:color w:val="auto"/>
                <w:lang w:val="en-GB"/>
              </w:rPr>
            </w:pPr>
            <w:r>
              <w:rPr>
                <w:rFonts w:cs="Times New Roman"/>
                <w:color w:val="auto"/>
                <w:lang w:val="en-GB"/>
              </w:rPr>
              <w:t>本项目</w:t>
            </w:r>
            <w:r>
              <w:rPr>
                <w:rFonts w:hint="eastAsia" w:cs="Times New Roman"/>
                <w:color w:val="auto"/>
                <w:lang w:val="en-US" w:eastAsia="zh-CN"/>
              </w:rPr>
              <w:t>在</w:t>
            </w:r>
            <w:r>
              <w:rPr>
                <w:rFonts w:hint="eastAsia" w:cs="Times New Roman"/>
                <w:color w:val="auto"/>
              </w:rPr>
              <w:t>配备</w:t>
            </w:r>
            <w:r>
              <w:rPr>
                <w:rFonts w:cs="Times New Roman"/>
                <w:color w:val="auto"/>
                <w:lang w:val="en-GB"/>
              </w:rPr>
              <w:t>相应的</w:t>
            </w:r>
            <w:r>
              <w:rPr>
                <w:rFonts w:hint="eastAsia" w:cs="Times New Roman"/>
                <w:color w:val="auto"/>
                <w:lang w:val="en-GB"/>
              </w:rPr>
              <w:t>应急物资，</w:t>
            </w:r>
            <w:r>
              <w:rPr>
                <w:rFonts w:cs="Times New Roman"/>
                <w:color w:val="auto"/>
                <w:lang w:val="en-GB"/>
              </w:rPr>
              <w:t>加强厂区防火管理</w:t>
            </w:r>
            <w:r>
              <w:rPr>
                <w:rFonts w:hint="eastAsia" w:cs="Times New Roman"/>
                <w:color w:val="auto"/>
                <w:lang w:val="en-GB"/>
              </w:rPr>
              <w:t>，</w:t>
            </w:r>
            <w:r>
              <w:rPr>
                <w:rFonts w:hint="eastAsia" w:cs="Times New Roman"/>
                <w:color w:val="auto"/>
              </w:rPr>
              <w:t>加强环保设施运行维护，</w:t>
            </w:r>
            <w:r>
              <w:rPr>
                <w:rFonts w:cs="Times New Roman"/>
                <w:color w:val="auto"/>
                <w:lang w:val="en-GB"/>
              </w:rPr>
              <w:t>完善事故风险防范措施</w:t>
            </w:r>
            <w:r>
              <w:rPr>
                <w:rFonts w:hint="eastAsia" w:cs="Times New Roman"/>
                <w:color w:val="auto"/>
              </w:rPr>
              <w:t>的前提下</w:t>
            </w:r>
            <w:r>
              <w:rPr>
                <w:rFonts w:cs="Times New Roman"/>
                <w:color w:val="auto"/>
                <w:lang w:val="en-GB"/>
              </w:rPr>
              <w:t>，事故发生概率很低，本项目环境风险在可接受的范围内。</w:t>
            </w:r>
          </w:p>
          <w:p w14:paraId="44365936">
            <w:pPr>
              <w:pStyle w:val="3"/>
              <w:numPr>
                <w:ilvl w:val="0"/>
                <w:numId w:val="0"/>
              </w:numPr>
              <w:bidi w:val="0"/>
              <w:ind w:leftChars="0"/>
              <w:rPr>
                <w:rFonts w:hint="eastAsia"/>
                <w:color w:val="auto"/>
              </w:rPr>
            </w:pPr>
            <w:r>
              <w:rPr>
                <w:rFonts w:hint="eastAsia"/>
                <w:color w:val="auto"/>
                <w:lang w:val="en-US" w:eastAsia="zh-CN"/>
              </w:rPr>
              <w:t>4.8</w:t>
            </w:r>
            <w:r>
              <w:rPr>
                <w:rFonts w:hint="eastAsia"/>
                <w:color w:val="auto"/>
              </w:rPr>
              <w:t>“三本账”分析</w:t>
            </w:r>
          </w:p>
          <w:p w14:paraId="611A61C4">
            <w:pPr>
              <w:spacing w:line="360" w:lineRule="auto"/>
              <w:ind w:firstLine="420" w:firstLineChars="200"/>
              <w:rPr>
                <w:color w:val="auto"/>
                <w:szCs w:val="21"/>
              </w:rPr>
            </w:pPr>
            <w:r>
              <w:rPr>
                <w:rFonts w:hint="eastAsia"/>
                <w:color w:val="auto"/>
                <w:szCs w:val="21"/>
              </w:rPr>
              <w:t>本项目实施后污染物排放“三本账”分析见表</w:t>
            </w:r>
            <w:r>
              <w:rPr>
                <w:color w:val="auto"/>
                <w:szCs w:val="21"/>
              </w:rPr>
              <w:t>4</w:t>
            </w:r>
            <w:r>
              <w:rPr>
                <w:rFonts w:hint="eastAsia"/>
                <w:color w:val="auto"/>
                <w:szCs w:val="21"/>
                <w:lang w:val="en-US" w:eastAsia="zh-CN"/>
              </w:rPr>
              <w:t>-24</w:t>
            </w:r>
            <w:r>
              <w:rPr>
                <w:rFonts w:hint="eastAsia"/>
                <w:color w:val="auto"/>
                <w:szCs w:val="21"/>
              </w:rPr>
              <w:t>。</w:t>
            </w:r>
          </w:p>
          <w:p w14:paraId="6FD72726">
            <w:pPr>
              <w:pStyle w:val="30"/>
              <w:widowControl w:val="0"/>
              <w:spacing w:before="120" w:beforeLines="50" w:beforeAutospacing="0" w:after="0" w:afterAutospacing="0"/>
              <w:jc w:val="center"/>
              <w:rPr>
                <w:rFonts w:hint="eastAsia" w:ascii="Times New Roman" w:hAnsi="Times New Roman" w:eastAsia="黑体" w:cs="Times New Roman"/>
                <w:color w:val="auto"/>
                <w:kern w:val="2"/>
                <w:lang w:val="en-US" w:eastAsia="zh-CN"/>
              </w:rPr>
            </w:pPr>
            <w:r>
              <w:rPr>
                <w:rFonts w:hint="eastAsia" w:ascii="Times New Roman" w:hAnsi="Times New Roman" w:eastAsia="黑体" w:cs="Times New Roman"/>
                <w:color w:val="auto"/>
                <w:kern w:val="2"/>
                <w:lang w:val="en-US" w:eastAsia="zh-CN"/>
              </w:rPr>
              <w:t>表</w:t>
            </w:r>
            <w:r>
              <w:rPr>
                <w:rFonts w:ascii="Times New Roman" w:hAnsi="Times New Roman" w:eastAsia="黑体" w:cs="Times New Roman"/>
                <w:color w:val="auto"/>
                <w:kern w:val="2"/>
                <w:lang w:val="en-US" w:eastAsia="zh-CN"/>
              </w:rPr>
              <w:t>4-</w:t>
            </w:r>
            <w:r>
              <w:rPr>
                <w:rFonts w:hint="eastAsia" w:ascii="Times New Roman" w:hAnsi="Times New Roman" w:eastAsia="黑体" w:cs="Times New Roman"/>
                <w:color w:val="auto"/>
                <w:kern w:val="2"/>
                <w:lang w:val="en-US" w:eastAsia="zh-CN"/>
              </w:rPr>
              <w:t>24</w:t>
            </w:r>
            <w:r>
              <w:rPr>
                <w:rFonts w:ascii="Times New Roman" w:hAnsi="Times New Roman" w:eastAsia="黑体" w:cs="Times New Roman"/>
                <w:color w:val="auto"/>
                <w:kern w:val="2"/>
                <w:lang w:val="en-US" w:eastAsia="zh-CN"/>
              </w:rPr>
              <w:t xml:space="preserve">  </w:t>
            </w:r>
            <w:r>
              <w:rPr>
                <w:rFonts w:hint="eastAsia" w:ascii="Times New Roman" w:hAnsi="Times New Roman" w:eastAsia="黑体" w:cs="Times New Roman"/>
                <w:color w:val="auto"/>
                <w:kern w:val="2"/>
                <w:lang w:val="en-US" w:eastAsia="zh-CN"/>
              </w:rPr>
              <w:t>本项目实施后污染物</w:t>
            </w:r>
            <w:r>
              <w:rPr>
                <w:rFonts w:ascii="Times New Roman" w:hAnsi="Times New Roman" w:eastAsia="黑体" w:cs="Times New Roman"/>
                <w:color w:val="auto"/>
                <w:kern w:val="2"/>
                <w:lang w:val="en-US" w:eastAsia="zh-CN"/>
              </w:rPr>
              <w:t>“</w:t>
            </w:r>
            <w:r>
              <w:rPr>
                <w:rFonts w:hint="eastAsia" w:ascii="Times New Roman" w:hAnsi="Times New Roman" w:eastAsia="黑体" w:cs="Times New Roman"/>
                <w:color w:val="auto"/>
                <w:kern w:val="2"/>
                <w:lang w:val="en-US" w:eastAsia="zh-CN"/>
              </w:rPr>
              <w:t>三本账</w:t>
            </w:r>
            <w:r>
              <w:rPr>
                <w:rFonts w:ascii="Times New Roman" w:hAnsi="Times New Roman" w:eastAsia="黑体" w:cs="Times New Roman"/>
                <w:color w:val="auto"/>
                <w:kern w:val="2"/>
                <w:lang w:val="en-US" w:eastAsia="zh-CN"/>
              </w:rPr>
              <w:t>”</w:t>
            </w:r>
            <w:r>
              <w:rPr>
                <w:rFonts w:hint="eastAsia" w:ascii="Times New Roman" w:hAnsi="Times New Roman" w:eastAsia="黑体" w:cs="Times New Roman"/>
                <w:color w:val="auto"/>
                <w:kern w:val="2"/>
                <w:lang w:val="en-US" w:eastAsia="zh-CN"/>
              </w:rPr>
              <w:t>分析</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828"/>
              <w:gridCol w:w="287"/>
              <w:gridCol w:w="1058"/>
              <w:gridCol w:w="1139"/>
              <w:gridCol w:w="1381"/>
              <w:gridCol w:w="794"/>
              <w:gridCol w:w="1456"/>
              <w:gridCol w:w="1159"/>
            </w:tblGrid>
            <w:tr w14:paraId="7BABF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restart"/>
                  <w:noWrap w:val="0"/>
                  <w:vAlign w:val="center"/>
                </w:tcPr>
                <w:p w14:paraId="4AF8AE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类别</w:t>
                  </w:r>
                </w:p>
              </w:tc>
              <w:tc>
                <w:tcPr>
                  <w:tcW w:w="1273" w:type="pct"/>
                  <w:gridSpan w:val="3"/>
                  <w:vMerge w:val="restart"/>
                  <w:noWrap w:val="0"/>
                  <w:vAlign w:val="center"/>
                </w:tcPr>
                <w:p w14:paraId="4245E0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污染物</w:t>
                  </w:r>
                </w:p>
                <w:p w14:paraId="340A51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名称</w:t>
                  </w:r>
                </w:p>
              </w:tc>
              <w:tc>
                <w:tcPr>
                  <w:tcW w:w="667" w:type="pct"/>
                  <w:vMerge w:val="restart"/>
                  <w:noWrap w:val="0"/>
                  <w:vAlign w:val="center"/>
                </w:tcPr>
                <w:p w14:paraId="7C4815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现有工程</w:t>
                  </w:r>
                  <w:r>
                    <w:rPr>
                      <w:rFonts w:hint="eastAsia" w:ascii="Times New Roman" w:hAnsi="Times New Roman" w:eastAsia="宋体" w:cs="Times New Roman"/>
                      <w:color w:val="auto"/>
                      <w:spacing w:val="0"/>
                      <w:kern w:val="0"/>
                      <w:sz w:val="18"/>
                      <w:szCs w:val="18"/>
                      <w:highlight w:val="none"/>
                      <w:lang w:val="en-US" w:eastAsia="zh-CN"/>
                    </w:rPr>
                    <w:t>排</w:t>
                  </w:r>
                  <w:r>
                    <w:rPr>
                      <w:rFonts w:hint="eastAsia" w:cs="Times New Roman"/>
                      <w:color w:val="auto"/>
                      <w:spacing w:val="0"/>
                      <w:kern w:val="0"/>
                      <w:sz w:val="18"/>
                      <w:szCs w:val="18"/>
                      <w:highlight w:val="none"/>
                      <w:lang w:val="en-US" w:eastAsia="zh-CN"/>
                    </w:rPr>
                    <w:t>放</w:t>
                  </w:r>
                  <w:r>
                    <w:rPr>
                      <w:rFonts w:hint="default" w:ascii="Times New Roman" w:hAnsi="Times New Roman" w:eastAsia="宋体" w:cs="Times New Roman"/>
                      <w:color w:val="auto"/>
                      <w:spacing w:val="0"/>
                      <w:kern w:val="0"/>
                      <w:sz w:val="18"/>
                      <w:szCs w:val="18"/>
                      <w:highlight w:val="none"/>
                      <w:lang w:val="en-US" w:eastAsia="zh-CN"/>
                    </w:rPr>
                    <w:t>量</w:t>
                  </w:r>
                  <w:r>
                    <w:rPr>
                      <w:rFonts w:hint="eastAsia" w:ascii="Times New Roman" w:hAnsi="Times New Roman" w:eastAsia="宋体" w:cs="Times New Roman"/>
                      <w:color w:val="auto"/>
                      <w:spacing w:val="0"/>
                      <w:kern w:val="0"/>
                      <w:sz w:val="18"/>
                      <w:szCs w:val="18"/>
                      <w:highlight w:val="none"/>
                      <w:lang w:val="en-US" w:eastAsia="zh-CN"/>
                    </w:rPr>
                    <w:t>（固废按产生量）</w:t>
                  </w:r>
                </w:p>
              </w:tc>
              <w:tc>
                <w:tcPr>
                  <w:tcW w:w="809" w:type="pct"/>
                  <w:noWrap w:val="0"/>
                  <w:vAlign w:val="center"/>
                </w:tcPr>
                <w:p w14:paraId="6E2A58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扩建工程</w:t>
                  </w:r>
                  <w:r>
                    <w:rPr>
                      <w:rFonts w:hint="default" w:ascii="Times New Roman" w:hAnsi="Times New Roman" w:eastAsia="宋体" w:cs="Times New Roman"/>
                      <w:color w:val="auto"/>
                      <w:spacing w:val="0"/>
                      <w:kern w:val="0"/>
                      <w:sz w:val="18"/>
                      <w:szCs w:val="18"/>
                      <w:highlight w:val="none"/>
                      <w:lang w:val="en-US" w:eastAsia="zh-CN"/>
                    </w:rPr>
                    <w:t>排放量</w:t>
                  </w:r>
                </w:p>
              </w:tc>
              <w:tc>
                <w:tcPr>
                  <w:tcW w:w="465" w:type="pct"/>
                  <w:vMerge w:val="restart"/>
                  <w:noWrap w:val="0"/>
                  <w:vAlign w:val="center"/>
                </w:tcPr>
                <w:p w14:paraId="787CAA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“以新带老”削减量</w:t>
                  </w:r>
                </w:p>
              </w:tc>
              <w:tc>
                <w:tcPr>
                  <w:tcW w:w="853" w:type="pct"/>
                  <w:vMerge w:val="restart"/>
                  <w:noWrap w:val="0"/>
                  <w:vAlign w:val="center"/>
                </w:tcPr>
                <w:p w14:paraId="1AD06A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总排放量</w:t>
                  </w:r>
                  <w:r>
                    <w:rPr>
                      <w:rFonts w:hint="eastAsia" w:ascii="Times New Roman" w:hAnsi="Times New Roman" w:eastAsia="宋体" w:cs="Times New Roman"/>
                      <w:color w:val="auto"/>
                      <w:spacing w:val="0"/>
                      <w:kern w:val="0"/>
                      <w:sz w:val="18"/>
                      <w:szCs w:val="18"/>
                      <w:highlight w:val="none"/>
                      <w:lang w:val="en-US" w:eastAsia="zh-CN"/>
                    </w:rPr>
                    <w:t>（</w:t>
                  </w:r>
                  <w:r>
                    <w:rPr>
                      <w:rFonts w:hint="default" w:ascii="Times New Roman" w:hAnsi="Times New Roman" w:eastAsia="宋体" w:cs="Times New Roman"/>
                      <w:color w:val="auto"/>
                      <w:spacing w:val="0"/>
                      <w:kern w:val="0"/>
                      <w:sz w:val="18"/>
                      <w:szCs w:val="18"/>
                      <w:highlight w:val="none"/>
                      <w:lang w:val="en-US" w:eastAsia="zh-CN"/>
                    </w:rPr>
                    <w:t>固体废物产生量</w:t>
                  </w:r>
                  <w:r>
                    <w:rPr>
                      <w:rFonts w:hint="eastAsia" w:ascii="Times New Roman" w:hAnsi="Times New Roman" w:eastAsia="宋体" w:cs="Times New Roman"/>
                      <w:color w:val="auto"/>
                      <w:spacing w:val="0"/>
                      <w:kern w:val="0"/>
                      <w:sz w:val="18"/>
                      <w:szCs w:val="18"/>
                      <w:highlight w:val="none"/>
                      <w:lang w:val="en-US" w:eastAsia="zh-CN"/>
                    </w:rPr>
                    <w:t>）</w:t>
                  </w:r>
                </w:p>
              </w:tc>
              <w:tc>
                <w:tcPr>
                  <w:tcW w:w="679" w:type="pct"/>
                  <w:vMerge w:val="restart"/>
                  <w:noWrap w:val="0"/>
                  <w:vAlign w:val="center"/>
                </w:tcPr>
                <w:p w14:paraId="7E5740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排放增减量</w:t>
                  </w:r>
                </w:p>
              </w:tc>
            </w:tr>
            <w:tr w14:paraId="52859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3" w:type="pct"/>
                  <w:vMerge w:val="restart"/>
                  <w:noWrap w:val="0"/>
                  <w:vAlign w:val="center"/>
                </w:tcPr>
                <w:p w14:paraId="261192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废水</w:t>
                  </w:r>
                </w:p>
              </w:tc>
              <w:tc>
                <w:tcPr>
                  <w:tcW w:w="653" w:type="pct"/>
                  <w:gridSpan w:val="2"/>
                  <w:vMerge w:val="restart"/>
                  <w:noWrap w:val="0"/>
                  <w:vAlign w:val="center"/>
                </w:tcPr>
                <w:p w14:paraId="2F7FDC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生活废水</w:t>
                  </w:r>
                </w:p>
              </w:tc>
              <w:tc>
                <w:tcPr>
                  <w:tcW w:w="619" w:type="pct"/>
                  <w:noWrap w:val="0"/>
                  <w:vAlign w:val="center"/>
                </w:tcPr>
                <w:p w14:paraId="7B6E6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废水量</w:t>
                  </w:r>
                </w:p>
              </w:tc>
              <w:tc>
                <w:tcPr>
                  <w:tcW w:w="667" w:type="pct"/>
                  <w:noWrap w:val="0"/>
                  <w:vAlign w:val="center"/>
                </w:tcPr>
                <w:p w14:paraId="624948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646.8</w:t>
                  </w:r>
                </w:p>
              </w:tc>
              <w:tc>
                <w:tcPr>
                  <w:tcW w:w="809" w:type="pct"/>
                  <w:noWrap w:val="0"/>
                  <w:vAlign w:val="center"/>
                </w:tcPr>
                <w:p w14:paraId="4ADE61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2160</w:t>
                  </w:r>
                </w:p>
              </w:tc>
              <w:tc>
                <w:tcPr>
                  <w:tcW w:w="465" w:type="pct"/>
                  <w:noWrap w:val="0"/>
                  <w:vAlign w:val="center"/>
                </w:tcPr>
                <w:p w14:paraId="5CC12F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625732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2806.8</w:t>
                  </w:r>
                </w:p>
              </w:tc>
              <w:tc>
                <w:tcPr>
                  <w:tcW w:w="679" w:type="pct"/>
                  <w:noWrap w:val="0"/>
                  <w:vAlign w:val="center"/>
                </w:tcPr>
                <w:p w14:paraId="27E5A0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+2160</w:t>
                  </w:r>
                </w:p>
              </w:tc>
            </w:tr>
            <w:tr w14:paraId="3CB7C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450B87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53" w:type="pct"/>
                  <w:gridSpan w:val="2"/>
                  <w:vMerge w:val="continue"/>
                  <w:noWrap w:val="0"/>
                  <w:vAlign w:val="center"/>
                </w:tcPr>
                <w:p w14:paraId="20479E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19" w:type="pct"/>
                  <w:noWrap w:val="0"/>
                  <w:vAlign w:val="center"/>
                </w:tcPr>
                <w:p w14:paraId="1B4486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COD</w:t>
                  </w:r>
                </w:p>
              </w:tc>
              <w:tc>
                <w:tcPr>
                  <w:tcW w:w="667" w:type="pct"/>
                  <w:noWrap w:val="0"/>
                  <w:vAlign w:val="center"/>
                </w:tcPr>
                <w:p w14:paraId="44B713BB">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0.032</w:t>
                  </w:r>
                </w:p>
              </w:tc>
              <w:tc>
                <w:tcPr>
                  <w:tcW w:w="809" w:type="pct"/>
                  <w:noWrap w:val="0"/>
                  <w:vAlign w:val="center"/>
                </w:tcPr>
                <w:p w14:paraId="1461E4CB">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0.108</w:t>
                  </w:r>
                </w:p>
              </w:tc>
              <w:tc>
                <w:tcPr>
                  <w:tcW w:w="465" w:type="pct"/>
                  <w:noWrap w:val="0"/>
                  <w:vAlign w:val="center"/>
                </w:tcPr>
                <w:p w14:paraId="69F5F6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40051653">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0.14</w:t>
                  </w:r>
                </w:p>
              </w:tc>
              <w:tc>
                <w:tcPr>
                  <w:tcW w:w="679" w:type="pct"/>
                  <w:noWrap w:val="0"/>
                  <w:vAlign w:val="center"/>
                </w:tcPr>
                <w:p w14:paraId="00D79931">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+0.108</w:t>
                  </w:r>
                </w:p>
              </w:tc>
            </w:tr>
            <w:tr w14:paraId="22F29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79D12D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53" w:type="pct"/>
                  <w:gridSpan w:val="2"/>
                  <w:vMerge w:val="continue"/>
                  <w:noWrap w:val="0"/>
                  <w:vAlign w:val="center"/>
                </w:tcPr>
                <w:p w14:paraId="1445B8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19" w:type="pct"/>
                  <w:noWrap w:val="0"/>
                  <w:vAlign w:val="center"/>
                </w:tcPr>
                <w:p w14:paraId="1B43ED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氨氮</w:t>
                  </w:r>
                </w:p>
              </w:tc>
              <w:tc>
                <w:tcPr>
                  <w:tcW w:w="667" w:type="pct"/>
                  <w:noWrap w:val="0"/>
                  <w:vAlign w:val="center"/>
                </w:tcPr>
                <w:p w14:paraId="2A5F3BEE">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r>
                    <w:rPr>
                      <w:rFonts w:hint="eastAsia" w:cs="Times New Roman"/>
                      <w:i w:val="0"/>
                      <w:iCs w:val="0"/>
                      <w:color w:val="auto"/>
                      <w:kern w:val="0"/>
                      <w:sz w:val="18"/>
                      <w:szCs w:val="18"/>
                      <w:highlight w:val="none"/>
                      <w:u w:val="none"/>
                      <w:lang w:val="en-US" w:eastAsia="zh-CN" w:bidi="ar"/>
                    </w:rPr>
                    <w:t>0.003</w:t>
                  </w:r>
                </w:p>
              </w:tc>
              <w:tc>
                <w:tcPr>
                  <w:tcW w:w="809" w:type="pct"/>
                  <w:noWrap w:val="0"/>
                  <w:vAlign w:val="center"/>
                </w:tcPr>
                <w:p w14:paraId="175EEA4C">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0.011</w:t>
                  </w:r>
                </w:p>
              </w:tc>
              <w:tc>
                <w:tcPr>
                  <w:tcW w:w="465" w:type="pct"/>
                  <w:noWrap w:val="0"/>
                  <w:vAlign w:val="center"/>
                </w:tcPr>
                <w:p w14:paraId="2185EC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7068277B">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0.014</w:t>
                  </w:r>
                </w:p>
              </w:tc>
              <w:tc>
                <w:tcPr>
                  <w:tcW w:w="679" w:type="pct"/>
                  <w:noWrap w:val="0"/>
                  <w:vAlign w:val="center"/>
                </w:tcPr>
                <w:p w14:paraId="55486845">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+0.011</w:t>
                  </w:r>
                </w:p>
              </w:tc>
            </w:tr>
            <w:tr w14:paraId="0703F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790D3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53" w:type="pct"/>
                  <w:gridSpan w:val="2"/>
                  <w:vMerge w:val="restart"/>
                  <w:noWrap w:val="0"/>
                  <w:vAlign w:val="center"/>
                </w:tcPr>
                <w:p w14:paraId="3BD99D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生产废水</w:t>
                  </w:r>
                </w:p>
              </w:tc>
              <w:tc>
                <w:tcPr>
                  <w:tcW w:w="619" w:type="pct"/>
                  <w:noWrap w:val="0"/>
                  <w:vAlign w:val="center"/>
                </w:tcPr>
                <w:p w14:paraId="75DC75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废水量</w:t>
                  </w:r>
                </w:p>
              </w:tc>
              <w:tc>
                <w:tcPr>
                  <w:tcW w:w="667" w:type="pct"/>
                  <w:noWrap w:val="0"/>
                  <w:vAlign w:val="center"/>
                </w:tcPr>
                <w:p w14:paraId="443C68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150</w:t>
                  </w:r>
                </w:p>
              </w:tc>
              <w:tc>
                <w:tcPr>
                  <w:tcW w:w="809" w:type="pct"/>
                  <w:noWrap w:val="0"/>
                  <w:vAlign w:val="center"/>
                </w:tcPr>
                <w:p w14:paraId="228442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c>
                <w:tcPr>
                  <w:tcW w:w="465" w:type="pct"/>
                  <w:noWrap w:val="0"/>
                  <w:vAlign w:val="center"/>
                </w:tcPr>
                <w:p w14:paraId="77823A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45CDB6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150</w:t>
                  </w:r>
                </w:p>
              </w:tc>
              <w:tc>
                <w:tcPr>
                  <w:tcW w:w="679" w:type="pct"/>
                  <w:noWrap w:val="0"/>
                  <w:vAlign w:val="center"/>
                </w:tcPr>
                <w:p w14:paraId="074533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r>
            <w:tr w14:paraId="447D3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5ABB59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53" w:type="pct"/>
                  <w:gridSpan w:val="2"/>
                  <w:vMerge w:val="continue"/>
                  <w:noWrap w:val="0"/>
                  <w:vAlign w:val="center"/>
                </w:tcPr>
                <w:p w14:paraId="62E966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19" w:type="pct"/>
                  <w:noWrap w:val="0"/>
                  <w:vAlign w:val="center"/>
                </w:tcPr>
                <w:p w14:paraId="021E40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COD</w:t>
                  </w:r>
                </w:p>
              </w:tc>
              <w:tc>
                <w:tcPr>
                  <w:tcW w:w="667" w:type="pct"/>
                  <w:noWrap w:val="0"/>
                  <w:vAlign w:val="center"/>
                </w:tcPr>
                <w:p w14:paraId="23BDB2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0.004</w:t>
                  </w:r>
                </w:p>
              </w:tc>
              <w:tc>
                <w:tcPr>
                  <w:tcW w:w="809" w:type="pct"/>
                  <w:noWrap w:val="0"/>
                  <w:vAlign w:val="center"/>
                </w:tcPr>
                <w:p w14:paraId="126851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c>
                <w:tcPr>
                  <w:tcW w:w="465" w:type="pct"/>
                  <w:noWrap w:val="0"/>
                  <w:vAlign w:val="center"/>
                </w:tcPr>
                <w:p w14:paraId="50BC7F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7B787F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0.004</w:t>
                  </w:r>
                </w:p>
              </w:tc>
              <w:tc>
                <w:tcPr>
                  <w:tcW w:w="679" w:type="pct"/>
                  <w:noWrap w:val="0"/>
                  <w:vAlign w:val="center"/>
                </w:tcPr>
                <w:p w14:paraId="021BB9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r>
            <w:tr w14:paraId="31FB5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33BBAD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53" w:type="pct"/>
                  <w:gridSpan w:val="2"/>
                  <w:vMerge w:val="continue"/>
                  <w:noWrap w:val="0"/>
                  <w:vAlign w:val="center"/>
                </w:tcPr>
                <w:p w14:paraId="409BA4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619" w:type="pct"/>
                  <w:noWrap w:val="0"/>
                  <w:vAlign w:val="center"/>
                </w:tcPr>
                <w:p w14:paraId="21BE01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氨氮</w:t>
                  </w:r>
                </w:p>
              </w:tc>
              <w:tc>
                <w:tcPr>
                  <w:tcW w:w="667" w:type="pct"/>
                  <w:noWrap w:val="0"/>
                  <w:vAlign w:val="center"/>
                </w:tcPr>
                <w:p w14:paraId="66161D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0.0001</w:t>
                  </w:r>
                </w:p>
              </w:tc>
              <w:tc>
                <w:tcPr>
                  <w:tcW w:w="809" w:type="pct"/>
                  <w:noWrap w:val="0"/>
                  <w:vAlign w:val="center"/>
                </w:tcPr>
                <w:p w14:paraId="684A80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c>
                <w:tcPr>
                  <w:tcW w:w="465" w:type="pct"/>
                  <w:noWrap w:val="0"/>
                  <w:vAlign w:val="center"/>
                </w:tcPr>
                <w:p w14:paraId="416B9D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27756F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0.0001</w:t>
                  </w:r>
                </w:p>
              </w:tc>
              <w:tc>
                <w:tcPr>
                  <w:tcW w:w="679" w:type="pct"/>
                  <w:noWrap w:val="0"/>
                  <w:vAlign w:val="center"/>
                </w:tcPr>
                <w:p w14:paraId="6F9441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p>
              </w:tc>
            </w:tr>
            <w:tr w14:paraId="5C211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restart"/>
                  <w:noWrap w:val="0"/>
                  <w:vAlign w:val="center"/>
                </w:tcPr>
                <w:p w14:paraId="78F8E6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废气</w:t>
                  </w:r>
                </w:p>
              </w:tc>
              <w:tc>
                <w:tcPr>
                  <w:tcW w:w="1273" w:type="pct"/>
                  <w:gridSpan w:val="3"/>
                  <w:shd w:val="clear" w:color="auto" w:fill="auto"/>
                  <w:noWrap w:val="0"/>
                  <w:vAlign w:val="center"/>
                </w:tcPr>
                <w:p w14:paraId="0430A7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非甲烷总烃</w:t>
                  </w:r>
                </w:p>
              </w:tc>
              <w:tc>
                <w:tcPr>
                  <w:tcW w:w="667" w:type="pct"/>
                  <w:shd w:val="clear" w:color="auto" w:fill="auto"/>
                  <w:noWrap w:val="0"/>
                  <w:vAlign w:val="center"/>
                </w:tcPr>
                <w:p w14:paraId="4C3EEB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0.0588</w:t>
                  </w:r>
                </w:p>
              </w:tc>
              <w:tc>
                <w:tcPr>
                  <w:tcW w:w="809" w:type="pct"/>
                  <w:noWrap w:val="0"/>
                  <w:vAlign w:val="center"/>
                </w:tcPr>
                <w:p w14:paraId="76B897D8">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0.786</w:t>
                  </w:r>
                </w:p>
              </w:tc>
              <w:tc>
                <w:tcPr>
                  <w:tcW w:w="465" w:type="pct"/>
                  <w:noWrap w:val="0"/>
                  <w:vAlign w:val="center"/>
                </w:tcPr>
                <w:p w14:paraId="4CAC81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71125235">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i w:val="0"/>
                      <w:iCs w:val="0"/>
                      <w:color w:val="auto"/>
                      <w:kern w:val="0"/>
                      <w:sz w:val="18"/>
                      <w:szCs w:val="18"/>
                      <w:highlight w:val="none"/>
                      <w:u w:val="none"/>
                      <w:lang w:val="en-US" w:eastAsia="zh-CN" w:bidi="ar"/>
                    </w:rPr>
                    <w:t>0.8448</w:t>
                  </w:r>
                </w:p>
              </w:tc>
              <w:tc>
                <w:tcPr>
                  <w:tcW w:w="679" w:type="pct"/>
                  <w:noWrap w:val="0"/>
                  <w:vAlign w:val="center"/>
                </w:tcPr>
                <w:p w14:paraId="3B3562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+0.786</w:t>
                  </w:r>
                </w:p>
              </w:tc>
            </w:tr>
            <w:tr w14:paraId="47A17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4D0F00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273" w:type="pct"/>
                  <w:gridSpan w:val="3"/>
                  <w:shd w:val="clear" w:color="auto" w:fill="auto"/>
                  <w:noWrap w:val="0"/>
                  <w:vAlign w:val="center"/>
                </w:tcPr>
                <w:p w14:paraId="04E690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颗粒物</w:t>
                  </w:r>
                </w:p>
              </w:tc>
              <w:tc>
                <w:tcPr>
                  <w:tcW w:w="667" w:type="pct"/>
                  <w:shd w:val="clear" w:color="auto" w:fill="auto"/>
                  <w:noWrap w:val="0"/>
                  <w:vAlign w:val="center"/>
                </w:tcPr>
                <w:p w14:paraId="524E05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5548190E">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0.002</w:t>
                  </w:r>
                </w:p>
              </w:tc>
              <w:tc>
                <w:tcPr>
                  <w:tcW w:w="465" w:type="pct"/>
                  <w:noWrap w:val="0"/>
                  <w:vAlign w:val="center"/>
                </w:tcPr>
                <w:p w14:paraId="64DB3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4AAA6D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pacing w:val="0"/>
                      <w:kern w:val="0"/>
                      <w:sz w:val="18"/>
                      <w:szCs w:val="18"/>
                      <w:highlight w:val="none"/>
                      <w:lang w:val="en-US" w:eastAsia="zh-CN"/>
                    </w:rPr>
                    <w:t>0.002</w:t>
                  </w:r>
                </w:p>
              </w:tc>
              <w:tc>
                <w:tcPr>
                  <w:tcW w:w="679" w:type="pct"/>
                  <w:noWrap w:val="0"/>
                  <w:vAlign w:val="center"/>
                </w:tcPr>
                <w:p w14:paraId="1F4C1C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+0.002</w:t>
                  </w:r>
                </w:p>
              </w:tc>
            </w:tr>
            <w:tr w14:paraId="51240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5EAF19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273" w:type="pct"/>
                  <w:gridSpan w:val="3"/>
                  <w:shd w:val="clear" w:color="auto" w:fill="auto"/>
                  <w:noWrap w:val="0"/>
                  <w:vAlign w:val="center"/>
                </w:tcPr>
                <w:p w14:paraId="2F4002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甲苯</w:t>
                  </w:r>
                </w:p>
              </w:tc>
              <w:tc>
                <w:tcPr>
                  <w:tcW w:w="667" w:type="pct"/>
                  <w:shd w:val="clear" w:color="auto" w:fill="auto"/>
                  <w:noWrap w:val="0"/>
                  <w:vAlign w:val="center"/>
                </w:tcPr>
                <w:p w14:paraId="334DD7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1175174B">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0.026</w:t>
                  </w:r>
                </w:p>
              </w:tc>
              <w:tc>
                <w:tcPr>
                  <w:tcW w:w="465" w:type="pct"/>
                  <w:noWrap w:val="0"/>
                  <w:vAlign w:val="center"/>
                </w:tcPr>
                <w:p w14:paraId="2918B9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1266B6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pacing w:val="0"/>
                      <w:kern w:val="0"/>
                      <w:sz w:val="18"/>
                      <w:szCs w:val="18"/>
                      <w:highlight w:val="none"/>
                      <w:lang w:val="en-US" w:eastAsia="zh-CN"/>
                    </w:rPr>
                    <w:t>0.026</w:t>
                  </w:r>
                </w:p>
              </w:tc>
              <w:tc>
                <w:tcPr>
                  <w:tcW w:w="679" w:type="pct"/>
                  <w:noWrap w:val="0"/>
                  <w:vAlign w:val="center"/>
                </w:tcPr>
                <w:p w14:paraId="3F273510">
                  <w:pPr>
                    <w:keepNext w:val="0"/>
                    <w:keepLines w:val="0"/>
                    <w:widowControl/>
                    <w:suppressLineNumbers w:val="0"/>
                    <w:jc w:val="center"/>
                    <w:textAlignment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+0.026</w:t>
                  </w:r>
                </w:p>
              </w:tc>
            </w:tr>
            <w:tr w14:paraId="4B10A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383DD6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273" w:type="pct"/>
                  <w:gridSpan w:val="3"/>
                  <w:shd w:val="clear" w:color="auto" w:fill="auto"/>
                  <w:noWrap w:val="0"/>
                  <w:vAlign w:val="center"/>
                </w:tcPr>
                <w:p w14:paraId="6BEE60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苯系物</w:t>
                  </w:r>
                </w:p>
              </w:tc>
              <w:tc>
                <w:tcPr>
                  <w:tcW w:w="667" w:type="pct"/>
                  <w:shd w:val="clear" w:color="auto" w:fill="auto"/>
                  <w:noWrap w:val="0"/>
                  <w:vAlign w:val="center"/>
                </w:tcPr>
                <w:p w14:paraId="1859CD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4C7E7461">
                  <w:pPr>
                    <w:keepNext w:val="0"/>
                    <w:keepLines w:val="0"/>
                    <w:widowControl/>
                    <w:suppressLineNumbers w:val="0"/>
                    <w:jc w:val="center"/>
                    <w:textAlignment w:val="center"/>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0.028</w:t>
                  </w:r>
                </w:p>
              </w:tc>
              <w:tc>
                <w:tcPr>
                  <w:tcW w:w="465" w:type="pct"/>
                  <w:noWrap w:val="0"/>
                  <w:vAlign w:val="center"/>
                </w:tcPr>
                <w:p w14:paraId="1ABFB2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43A933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pacing w:val="0"/>
                      <w:kern w:val="0"/>
                      <w:sz w:val="18"/>
                      <w:szCs w:val="18"/>
                      <w:highlight w:val="none"/>
                      <w:lang w:val="en-US" w:eastAsia="zh-CN"/>
                    </w:rPr>
                    <w:t>0.028</w:t>
                  </w:r>
                </w:p>
              </w:tc>
              <w:tc>
                <w:tcPr>
                  <w:tcW w:w="679" w:type="pct"/>
                  <w:noWrap w:val="0"/>
                  <w:vAlign w:val="center"/>
                </w:tcPr>
                <w:p w14:paraId="0C3C8D9A">
                  <w:pPr>
                    <w:keepNext w:val="0"/>
                    <w:keepLines w:val="0"/>
                    <w:widowControl/>
                    <w:suppressLineNumbers w:val="0"/>
                    <w:jc w:val="center"/>
                    <w:textAlignment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+0.028</w:t>
                  </w:r>
                </w:p>
              </w:tc>
            </w:tr>
            <w:tr w14:paraId="1A447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004E48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273" w:type="pct"/>
                  <w:gridSpan w:val="3"/>
                  <w:shd w:val="clear" w:color="auto" w:fill="auto"/>
                  <w:noWrap w:val="0"/>
                  <w:vAlign w:val="center"/>
                </w:tcPr>
                <w:p w14:paraId="7D30D2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氯化氢</w:t>
                  </w:r>
                </w:p>
              </w:tc>
              <w:tc>
                <w:tcPr>
                  <w:tcW w:w="667" w:type="pct"/>
                  <w:shd w:val="clear" w:color="auto" w:fill="auto"/>
                  <w:noWrap w:val="0"/>
                  <w:vAlign w:val="center"/>
                </w:tcPr>
                <w:p w14:paraId="6F21D1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1955A8B9">
                  <w:pPr>
                    <w:keepNext w:val="0"/>
                    <w:keepLines w:val="0"/>
                    <w:widowControl/>
                    <w:suppressLineNumbers w:val="0"/>
                    <w:jc w:val="center"/>
                    <w:textAlignment w:val="center"/>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w:t>
                  </w:r>
                </w:p>
              </w:tc>
              <w:tc>
                <w:tcPr>
                  <w:tcW w:w="465" w:type="pct"/>
                  <w:noWrap w:val="0"/>
                  <w:vAlign w:val="center"/>
                </w:tcPr>
                <w:p w14:paraId="296F50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3E19E2D0">
                  <w:pPr>
                    <w:keepNext w:val="0"/>
                    <w:keepLines w:val="0"/>
                    <w:widowControl/>
                    <w:suppressLineNumbers w:val="0"/>
                    <w:jc w:val="center"/>
                    <w:textAlignment w:val="center"/>
                    <w:rPr>
                      <w:rFonts w:hint="eastAsia"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w:t>
                  </w:r>
                </w:p>
              </w:tc>
              <w:tc>
                <w:tcPr>
                  <w:tcW w:w="679" w:type="pct"/>
                  <w:noWrap w:val="0"/>
                  <w:vAlign w:val="center"/>
                </w:tcPr>
                <w:p w14:paraId="1F337114">
                  <w:pPr>
                    <w:keepNext w:val="0"/>
                    <w:keepLines w:val="0"/>
                    <w:widowControl/>
                    <w:suppressLineNumbers w:val="0"/>
                    <w:jc w:val="center"/>
                    <w:textAlignment w:val="center"/>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+0.03</w:t>
                  </w:r>
                </w:p>
              </w:tc>
            </w:tr>
            <w:tr w14:paraId="7E1CB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restart"/>
                  <w:noWrap w:val="0"/>
                  <w:vAlign w:val="center"/>
                </w:tcPr>
                <w:p w14:paraId="4EDE99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default" w:ascii="Times New Roman" w:hAnsi="Times New Roman" w:eastAsia="宋体" w:cs="Times New Roman"/>
                      <w:color w:val="auto"/>
                      <w:spacing w:val="0"/>
                      <w:kern w:val="0"/>
                      <w:sz w:val="18"/>
                      <w:szCs w:val="18"/>
                      <w:highlight w:val="none"/>
                      <w:lang w:val="en-US" w:eastAsia="zh-CN"/>
                    </w:rPr>
                    <w:t>固废</w:t>
                  </w:r>
                </w:p>
              </w:tc>
              <w:tc>
                <w:tcPr>
                  <w:tcW w:w="485" w:type="pct"/>
                  <w:vMerge w:val="restart"/>
                  <w:noWrap w:val="0"/>
                  <w:vAlign w:val="center"/>
                </w:tcPr>
                <w:p w14:paraId="72190B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一般工业固体废物</w:t>
                  </w:r>
                </w:p>
              </w:tc>
              <w:tc>
                <w:tcPr>
                  <w:tcW w:w="788" w:type="pct"/>
                  <w:gridSpan w:val="2"/>
                  <w:shd w:val="clear" w:color="auto" w:fill="auto"/>
                  <w:noWrap w:val="0"/>
                  <w:vAlign w:val="center"/>
                </w:tcPr>
                <w:p w14:paraId="0FB22D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rPr>
                    <w:t>不合格品及</w:t>
                  </w:r>
                  <w:r>
                    <w:rPr>
                      <w:rFonts w:hint="default" w:ascii="Times New Roman" w:hAnsi="Times New Roman" w:eastAsia="宋体" w:cs="Times New Roman"/>
                      <w:color w:val="auto"/>
                      <w:spacing w:val="0"/>
                      <w:kern w:val="0"/>
                      <w:sz w:val="18"/>
                      <w:szCs w:val="18"/>
                      <w:highlight w:val="none"/>
                      <w:lang w:val="en-US" w:eastAsia="zh-CN"/>
                    </w:rPr>
                    <w:t>边角料</w:t>
                  </w:r>
                </w:p>
              </w:tc>
              <w:tc>
                <w:tcPr>
                  <w:tcW w:w="667" w:type="pct"/>
                  <w:noWrap w:val="0"/>
                  <w:vAlign w:val="center"/>
                </w:tcPr>
                <w:p w14:paraId="5E86768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bCs/>
                      <w:color w:val="auto"/>
                      <w:sz w:val="18"/>
                      <w:szCs w:val="18"/>
                      <w:highlight w:val="none"/>
                      <w:lang w:val="en-US" w:eastAsia="zh-CN"/>
                    </w:rPr>
                    <w:t>15</w:t>
                  </w:r>
                </w:p>
              </w:tc>
              <w:tc>
                <w:tcPr>
                  <w:tcW w:w="809" w:type="pct"/>
                  <w:noWrap w:val="0"/>
                  <w:vAlign w:val="center"/>
                </w:tcPr>
                <w:p w14:paraId="7B14995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465" w:type="pct"/>
                  <w:noWrap w:val="0"/>
                  <w:vAlign w:val="center"/>
                </w:tcPr>
                <w:p w14:paraId="7A70EA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3AACD7A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15</w:t>
                  </w:r>
                </w:p>
              </w:tc>
              <w:tc>
                <w:tcPr>
                  <w:tcW w:w="679" w:type="pct"/>
                  <w:noWrap w:val="0"/>
                  <w:vAlign w:val="center"/>
                </w:tcPr>
                <w:p w14:paraId="5F7FF31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rPr>
                    <w:t>0</w:t>
                  </w:r>
                </w:p>
              </w:tc>
            </w:tr>
            <w:tr w14:paraId="337EF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30BA06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104EF3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5B1EEE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下卡条边角料</w:t>
                  </w:r>
                </w:p>
              </w:tc>
              <w:tc>
                <w:tcPr>
                  <w:tcW w:w="667" w:type="pct"/>
                  <w:noWrap w:val="0"/>
                  <w:vAlign w:val="center"/>
                </w:tcPr>
                <w:p w14:paraId="319E196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Cs/>
                      <w:color w:val="auto"/>
                      <w:sz w:val="18"/>
                      <w:szCs w:val="18"/>
                      <w:highlight w:val="none"/>
                      <w:lang w:val="en-US" w:eastAsia="zh-CN"/>
                    </w:rPr>
                  </w:pPr>
                  <w:r>
                    <w:rPr>
                      <w:rFonts w:hint="eastAsia"/>
                      <w:bCs/>
                      <w:color w:val="auto"/>
                      <w:sz w:val="18"/>
                      <w:szCs w:val="18"/>
                      <w:highlight w:val="none"/>
                      <w:lang w:val="en-US" w:eastAsia="zh-CN"/>
                    </w:rPr>
                    <w:t>0</w:t>
                  </w:r>
                </w:p>
              </w:tc>
              <w:tc>
                <w:tcPr>
                  <w:tcW w:w="809" w:type="pct"/>
                  <w:noWrap w:val="0"/>
                  <w:vAlign w:val="center"/>
                </w:tcPr>
                <w:p w14:paraId="137DEF9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4</w:t>
                  </w:r>
                  <w:r>
                    <w:rPr>
                      <w:rFonts w:hint="eastAsia" w:cs="Times New Roman"/>
                      <w:color w:val="auto"/>
                      <w:spacing w:val="0"/>
                      <w:kern w:val="0"/>
                      <w:sz w:val="18"/>
                      <w:szCs w:val="18"/>
                      <w:highlight w:val="none"/>
                      <w:lang w:val="en-US" w:eastAsia="zh-CN"/>
                    </w:rPr>
                    <w:t>4</w:t>
                  </w:r>
                </w:p>
              </w:tc>
              <w:tc>
                <w:tcPr>
                  <w:tcW w:w="465" w:type="pct"/>
                  <w:noWrap w:val="0"/>
                  <w:vAlign w:val="center"/>
                </w:tcPr>
                <w:p w14:paraId="25E610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3661248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44</w:t>
                  </w:r>
                </w:p>
              </w:tc>
              <w:tc>
                <w:tcPr>
                  <w:tcW w:w="679" w:type="pct"/>
                  <w:noWrap w:val="0"/>
                  <w:vAlign w:val="center"/>
                </w:tcPr>
                <w:p w14:paraId="1F1E2A7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snapToGrid w:val="0"/>
                      <w:color w:val="auto"/>
                      <w:kern w:val="18"/>
                      <w:sz w:val="18"/>
                      <w:szCs w:val="18"/>
                      <w:highlight w:val="none"/>
                      <w:lang w:val="en-US" w:eastAsia="zh-CN"/>
                    </w:rPr>
                    <w:t>+44</w:t>
                  </w:r>
                </w:p>
              </w:tc>
            </w:tr>
            <w:tr w14:paraId="0C132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4AB0C7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3BCE4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70500A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钣金件边角料</w:t>
                  </w:r>
                </w:p>
              </w:tc>
              <w:tc>
                <w:tcPr>
                  <w:tcW w:w="667" w:type="pct"/>
                  <w:noWrap w:val="0"/>
                  <w:vAlign w:val="center"/>
                </w:tcPr>
                <w:p w14:paraId="290644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bCs/>
                      <w:color w:val="auto"/>
                      <w:sz w:val="18"/>
                      <w:szCs w:val="18"/>
                      <w:highlight w:val="none"/>
                      <w:lang w:val="en-US" w:eastAsia="zh-CN"/>
                    </w:rPr>
                  </w:pPr>
                  <w:r>
                    <w:rPr>
                      <w:rFonts w:hint="eastAsia"/>
                      <w:bCs/>
                      <w:color w:val="auto"/>
                      <w:sz w:val="18"/>
                      <w:szCs w:val="18"/>
                      <w:highlight w:val="none"/>
                      <w:lang w:val="en-US" w:eastAsia="zh-CN"/>
                    </w:rPr>
                    <w:t>0</w:t>
                  </w:r>
                </w:p>
              </w:tc>
              <w:tc>
                <w:tcPr>
                  <w:tcW w:w="809" w:type="pct"/>
                  <w:noWrap w:val="0"/>
                  <w:vAlign w:val="center"/>
                </w:tcPr>
                <w:p w14:paraId="6F2AE1B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cs="Times New Roman"/>
                      <w:color w:val="auto"/>
                      <w:spacing w:val="0"/>
                      <w:kern w:val="0"/>
                      <w:sz w:val="18"/>
                      <w:szCs w:val="18"/>
                      <w:highlight w:val="none"/>
                      <w:lang w:val="en-US" w:eastAsia="zh-CN"/>
                    </w:rPr>
                    <w:t>4</w:t>
                  </w:r>
                </w:p>
              </w:tc>
              <w:tc>
                <w:tcPr>
                  <w:tcW w:w="465" w:type="pct"/>
                  <w:noWrap w:val="0"/>
                  <w:vAlign w:val="center"/>
                </w:tcPr>
                <w:p w14:paraId="405EE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21AB604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4</w:t>
                  </w:r>
                </w:p>
              </w:tc>
              <w:tc>
                <w:tcPr>
                  <w:tcW w:w="679" w:type="pct"/>
                  <w:noWrap w:val="0"/>
                  <w:vAlign w:val="center"/>
                </w:tcPr>
                <w:p w14:paraId="268855B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rPr>
                  </w:pPr>
                  <w:r>
                    <w:rPr>
                      <w:rFonts w:hint="eastAsia"/>
                      <w:snapToGrid w:val="0"/>
                      <w:color w:val="auto"/>
                      <w:kern w:val="18"/>
                      <w:sz w:val="18"/>
                      <w:szCs w:val="18"/>
                      <w:highlight w:val="none"/>
                      <w:lang w:val="en-US" w:eastAsia="zh-CN"/>
                    </w:rPr>
                    <w:t>+4</w:t>
                  </w:r>
                </w:p>
              </w:tc>
            </w:tr>
            <w:tr w14:paraId="70558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4864FF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4A3EDC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64A91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bidi="ar-SA"/>
                    </w:rPr>
                    <w:t>废焊丝</w:t>
                  </w:r>
                </w:p>
              </w:tc>
              <w:tc>
                <w:tcPr>
                  <w:tcW w:w="667" w:type="pct"/>
                  <w:noWrap w:val="0"/>
                  <w:vAlign w:val="center"/>
                </w:tcPr>
                <w:p w14:paraId="3B32BB7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07DC663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0.005</w:t>
                  </w:r>
                </w:p>
              </w:tc>
              <w:tc>
                <w:tcPr>
                  <w:tcW w:w="465" w:type="pct"/>
                  <w:noWrap w:val="0"/>
                  <w:vAlign w:val="center"/>
                </w:tcPr>
                <w:p w14:paraId="6B5A7C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5ED163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0.005</w:t>
                  </w:r>
                </w:p>
              </w:tc>
              <w:tc>
                <w:tcPr>
                  <w:tcW w:w="679" w:type="pct"/>
                  <w:noWrap w:val="0"/>
                  <w:vAlign w:val="center"/>
                </w:tcPr>
                <w:p w14:paraId="5AEFD1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+0.005</w:t>
                  </w:r>
                </w:p>
              </w:tc>
            </w:tr>
            <w:tr w14:paraId="2BA0E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1C5C20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15649C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58326A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bidi="ar-SA"/>
                    </w:rPr>
                    <w:t>布袋收集尘</w:t>
                  </w:r>
                </w:p>
              </w:tc>
              <w:tc>
                <w:tcPr>
                  <w:tcW w:w="667" w:type="pct"/>
                  <w:noWrap w:val="0"/>
                  <w:vAlign w:val="center"/>
                </w:tcPr>
                <w:p w14:paraId="18D2F6A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56112C3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0.005</w:t>
                  </w:r>
                </w:p>
              </w:tc>
              <w:tc>
                <w:tcPr>
                  <w:tcW w:w="465" w:type="pct"/>
                  <w:noWrap w:val="0"/>
                  <w:vAlign w:val="center"/>
                </w:tcPr>
                <w:p w14:paraId="2BC7C6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6A8215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0.005</w:t>
                  </w:r>
                </w:p>
              </w:tc>
              <w:tc>
                <w:tcPr>
                  <w:tcW w:w="679" w:type="pct"/>
                  <w:noWrap w:val="0"/>
                  <w:vAlign w:val="center"/>
                </w:tcPr>
                <w:p w14:paraId="625EABA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+0.005</w:t>
                  </w:r>
                </w:p>
              </w:tc>
            </w:tr>
            <w:tr w14:paraId="09465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407EC6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4E7A69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1E3EA5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bidi="ar-SA"/>
                    </w:rPr>
                    <w:t>废包装材料</w:t>
                  </w:r>
                </w:p>
              </w:tc>
              <w:tc>
                <w:tcPr>
                  <w:tcW w:w="667" w:type="pct"/>
                  <w:noWrap w:val="0"/>
                  <w:vAlign w:val="center"/>
                </w:tcPr>
                <w:p w14:paraId="36C1CA9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noWrap w:val="0"/>
                  <w:vAlign w:val="center"/>
                </w:tcPr>
                <w:p w14:paraId="078C794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ascii="Times New Roman" w:hAnsi="Times New Roman" w:eastAsia="宋体" w:cs="Times New Roman"/>
                      <w:color w:val="auto"/>
                      <w:spacing w:val="0"/>
                      <w:kern w:val="0"/>
                      <w:sz w:val="18"/>
                      <w:szCs w:val="18"/>
                      <w:highlight w:val="none"/>
                      <w:lang w:val="en-US" w:eastAsia="zh-CN"/>
                    </w:rPr>
                    <w:t>7.763</w:t>
                  </w:r>
                </w:p>
              </w:tc>
              <w:tc>
                <w:tcPr>
                  <w:tcW w:w="465" w:type="pct"/>
                  <w:noWrap w:val="0"/>
                  <w:vAlign w:val="center"/>
                </w:tcPr>
                <w:p w14:paraId="231F0B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0234B16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7.763</w:t>
                  </w:r>
                </w:p>
              </w:tc>
              <w:tc>
                <w:tcPr>
                  <w:tcW w:w="679" w:type="pct"/>
                  <w:noWrap w:val="0"/>
                  <w:vAlign w:val="center"/>
                </w:tcPr>
                <w:p w14:paraId="6B8E02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+7.763</w:t>
                  </w:r>
                </w:p>
              </w:tc>
            </w:tr>
            <w:tr w14:paraId="4D9AC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6E0FA0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restart"/>
                  <w:noWrap w:val="0"/>
                  <w:vAlign w:val="center"/>
                </w:tcPr>
                <w:p w14:paraId="27FDEA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危险废物</w:t>
                  </w:r>
                </w:p>
              </w:tc>
              <w:tc>
                <w:tcPr>
                  <w:tcW w:w="788" w:type="pct"/>
                  <w:gridSpan w:val="2"/>
                  <w:shd w:val="clear" w:color="auto" w:fill="auto"/>
                  <w:noWrap w:val="0"/>
                  <w:vAlign w:val="center"/>
                </w:tcPr>
                <w:p w14:paraId="3A253D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bidi="ar-SA"/>
                    </w:rPr>
                  </w:pPr>
                  <w:r>
                    <w:rPr>
                      <w:rFonts w:hint="eastAsia" w:ascii="Times New Roman" w:hAnsi="Times New Roman" w:eastAsia="宋体" w:cs="Times New Roman"/>
                      <w:color w:val="auto"/>
                      <w:spacing w:val="0"/>
                      <w:kern w:val="0"/>
                      <w:sz w:val="18"/>
                      <w:szCs w:val="18"/>
                      <w:highlight w:val="none"/>
                      <w:lang w:val="en-US" w:eastAsia="zh-CN"/>
                    </w:rPr>
                    <w:t>废活性炭</w:t>
                  </w:r>
                </w:p>
              </w:tc>
              <w:tc>
                <w:tcPr>
                  <w:tcW w:w="667" w:type="pct"/>
                  <w:shd w:val="clear" w:color="auto" w:fill="auto"/>
                  <w:noWrap w:val="0"/>
                  <w:vAlign w:val="center"/>
                </w:tcPr>
                <w:p w14:paraId="0C806DB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olor w:val="auto"/>
                      <w:kern w:val="0"/>
                      <w:sz w:val="18"/>
                      <w:szCs w:val="18"/>
                      <w:highlight w:val="none"/>
                      <w:lang w:val="en-US" w:eastAsia="zh-CN" w:bidi="ar"/>
                    </w:rPr>
                    <w:t>0.279</w:t>
                  </w:r>
                </w:p>
              </w:tc>
              <w:tc>
                <w:tcPr>
                  <w:tcW w:w="809" w:type="pct"/>
                  <w:shd w:val="clear" w:color="auto" w:fill="auto"/>
                  <w:noWrap w:val="0"/>
                  <w:vAlign w:val="center"/>
                </w:tcPr>
                <w:p w14:paraId="42D5EDC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10.822</w:t>
                  </w:r>
                </w:p>
              </w:tc>
              <w:tc>
                <w:tcPr>
                  <w:tcW w:w="465" w:type="pct"/>
                  <w:noWrap w:val="0"/>
                  <w:vAlign w:val="center"/>
                </w:tcPr>
                <w:p w14:paraId="44AF9E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55FD91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11.101</w:t>
                  </w:r>
                </w:p>
              </w:tc>
              <w:tc>
                <w:tcPr>
                  <w:tcW w:w="679" w:type="pct"/>
                  <w:noWrap w:val="0"/>
                  <w:vAlign w:val="center"/>
                </w:tcPr>
                <w:p w14:paraId="1374FA8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olor w:val="auto"/>
                      <w:kern w:val="0"/>
                      <w:sz w:val="18"/>
                      <w:szCs w:val="18"/>
                      <w:highlight w:val="none"/>
                      <w:lang w:val="en-US" w:eastAsia="zh-CN" w:bidi="ar"/>
                    </w:rPr>
                    <w:t>+10.822</w:t>
                  </w:r>
                </w:p>
              </w:tc>
            </w:tr>
            <w:tr w14:paraId="7A0E8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3F4915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77B9C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433F94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废过滤棉</w:t>
                  </w:r>
                </w:p>
              </w:tc>
              <w:tc>
                <w:tcPr>
                  <w:tcW w:w="667" w:type="pct"/>
                  <w:shd w:val="clear" w:color="auto" w:fill="auto"/>
                  <w:noWrap w:val="0"/>
                  <w:vAlign w:val="center"/>
                </w:tcPr>
                <w:p w14:paraId="274C34A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0"/>
                      <w:sz w:val="18"/>
                      <w:szCs w:val="18"/>
                      <w:highlight w:val="none"/>
                      <w:lang w:val="en-US" w:eastAsia="zh-CN" w:bidi="ar"/>
                    </w:rPr>
                  </w:pPr>
                  <w:r>
                    <w:rPr>
                      <w:rFonts w:hint="eastAsia"/>
                      <w:bCs/>
                      <w:color w:val="auto"/>
                      <w:sz w:val="18"/>
                      <w:szCs w:val="18"/>
                      <w:highlight w:val="none"/>
                      <w:lang w:val="en-US" w:eastAsia="zh-CN"/>
                    </w:rPr>
                    <w:t>0.1</w:t>
                  </w:r>
                </w:p>
              </w:tc>
              <w:tc>
                <w:tcPr>
                  <w:tcW w:w="809" w:type="pct"/>
                  <w:shd w:val="clear" w:color="auto" w:fill="auto"/>
                  <w:noWrap w:val="0"/>
                  <w:vAlign w:val="center"/>
                </w:tcPr>
                <w:p w14:paraId="32D665A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465" w:type="pct"/>
                  <w:noWrap w:val="0"/>
                  <w:vAlign w:val="center"/>
                </w:tcPr>
                <w:p w14:paraId="69A845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5A40FB1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0.1</w:t>
                  </w:r>
                </w:p>
              </w:tc>
              <w:tc>
                <w:tcPr>
                  <w:tcW w:w="679" w:type="pct"/>
                  <w:noWrap w:val="0"/>
                  <w:vAlign w:val="center"/>
                </w:tcPr>
                <w:p w14:paraId="66C89A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0"/>
                      <w:sz w:val="18"/>
                      <w:szCs w:val="18"/>
                      <w:highlight w:val="none"/>
                      <w:lang w:val="en-US" w:eastAsia="zh-CN" w:bidi="ar"/>
                    </w:rPr>
                  </w:pPr>
                  <w:r>
                    <w:rPr>
                      <w:rFonts w:hint="eastAsia"/>
                      <w:snapToGrid w:val="0"/>
                      <w:color w:val="auto"/>
                      <w:kern w:val="18"/>
                      <w:sz w:val="18"/>
                      <w:szCs w:val="18"/>
                      <w:highlight w:val="none"/>
                      <w:lang w:val="en-US" w:eastAsia="zh-CN"/>
                    </w:rPr>
                    <w:t>0</w:t>
                  </w:r>
                </w:p>
              </w:tc>
            </w:tr>
            <w:tr w14:paraId="30847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7F145D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269857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0CB5AD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废液压油</w:t>
                  </w:r>
                </w:p>
              </w:tc>
              <w:tc>
                <w:tcPr>
                  <w:tcW w:w="667" w:type="pct"/>
                  <w:shd w:val="clear" w:color="auto" w:fill="auto"/>
                  <w:noWrap w:val="0"/>
                  <w:vAlign w:val="center"/>
                </w:tcPr>
                <w:p w14:paraId="24CF592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olor w:val="auto"/>
                      <w:kern w:val="0"/>
                      <w:sz w:val="18"/>
                      <w:szCs w:val="18"/>
                      <w:highlight w:val="none"/>
                      <w:lang w:val="en-US" w:eastAsia="zh-CN" w:bidi="ar"/>
                    </w:rPr>
                    <w:t>0</w:t>
                  </w:r>
                </w:p>
              </w:tc>
              <w:tc>
                <w:tcPr>
                  <w:tcW w:w="809" w:type="pct"/>
                  <w:shd w:val="clear" w:color="auto" w:fill="auto"/>
                  <w:noWrap w:val="0"/>
                  <w:vAlign w:val="center"/>
                </w:tcPr>
                <w:p w14:paraId="261517F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ascii="Times New Roman" w:hAnsi="Times New Roman" w:eastAsia="宋体" w:cs="Times New Roman"/>
                      <w:color w:val="auto"/>
                      <w:spacing w:val="0"/>
                      <w:kern w:val="0"/>
                      <w:sz w:val="18"/>
                      <w:szCs w:val="18"/>
                      <w:highlight w:val="none"/>
                      <w:lang w:val="en-US" w:eastAsia="zh-CN"/>
                    </w:rPr>
                    <w:t>0.</w:t>
                  </w:r>
                  <w:r>
                    <w:rPr>
                      <w:rFonts w:hint="eastAsia" w:cs="Times New Roman"/>
                      <w:color w:val="auto"/>
                      <w:spacing w:val="0"/>
                      <w:kern w:val="0"/>
                      <w:sz w:val="18"/>
                      <w:szCs w:val="18"/>
                      <w:highlight w:val="none"/>
                      <w:lang w:val="en-US" w:eastAsia="zh-CN"/>
                    </w:rPr>
                    <w:t>15</w:t>
                  </w:r>
                </w:p>
              </w:tc>
              <w:tc>
                <w:tcPr>
                  <w:tcW w:w="465" w:type="pct"/>
                  <w:noWrap w:val="0"/>
                  <w:vAlign w:val="center"/>
                </w:tcPr>
                <w:p w14:paraId="2F54B2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364BB57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0.15</w:t>
                  </w:r>
                </w:p>
              </w:tc>
              <w:tc>
                <w:tcPr>
                  <w:tcW w:w="679" w:type="pct"/>
                  <w:noWrap w:val="0"/>
                  <w:vAlign w:val="center"/>
                </w:tcPr>
                <w:p w14:paraId="75E27C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0"/>
                      <w:sz w:val="18"/>
                      <w:szCs w:val="18"/>
                      <w:highlight w:val="none"/>
                      <w:lang w:val="en-US" w:eastAsia="zh-CN" w:bidi="ar"/>
                    </w:rPr>
                  </w:pPr>
                  <w:r>
                    <w:rPr>
                      <w:rFonts w:hint="eastAsia" w:cs="Times New Roman"/>
                      <w:color w:val="auto"/>
                      <w:sz w:val="18"/>
                      <w:szCs w:val="18"/>
                      <w:highlight w:val="none"/>
                      <w:lang w:val="en-US" w:eastAsia="zh-CN"/>
                    </w:rPr>
                    <w:t>+0.15</w:t>
                  </w:r>
                </w:p>
              </w:tc>
            </w:tr>
            <w:tr w14:paraId="4F3C83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4ECFD0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5BCCB0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156DE2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eastAsia" w:cs="Times New Roman"/>
                      <w:color w:val="auto"/>
                      <w:spacing w:val="0"/>
                      <w:kern w:val="0"/>
                      <w:sz w:val="18"/>
                      <w:szCs w:val="18"/>
                      <w:highlight w:val="none"/>
                      <w:lang w:val="en-US" w:eastAsia="zh-CN"/>
                    </w:rPr>
                    <w:t>废润滑油</w:t>
                  </w:r>
                </w:p>
              </w:tc>
              <w:tc>
                <w:tcPr>
                  <w:tcW w:w="667" w:type="pct"/>
                  <w:shd w:val="clear" w:color="auto" w:fill="auto"/>
                  <w:noWrap w:val="0"/>
                  <w:vAlign w:val="center"/>
                </w:tcPr>
                <w:p w14:paraId="6705B0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shd w:val="clear" w:color="auto" w:fill="auto"/>
                  <w:noWrap w:val="0"/>
                  <w:vAlign w:val="center"/>
                </w:tcPr>
                <w:p w14:paraId="3B91CA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0.2</w:t>
                  </w:r>
                </w:p>
              </w:tc>
              <w:tc>
                <w:tcPr>
                  <w:tcW w:w="465" w:type="pct"/>
                  <w:noWrap w:val="0"/>
                  <w:vAlign w:val="center"/>
                </w:tcPr>
                <w:p w14:paraId="0CB98E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460752E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snapToGrid w:val="0"/>
                      <w:color w:val="auto"/>
                      <w:kern w:val="18"/>
                      <w:sz w:val="18"/>
                      <w:szCs w:val="18"/>
                      <w:highlight w:val="none"/>
                      <w:lang w:val="en-US" w:eastAsia="zh-CN" w:bidi="ar-SA"/>
                    </w:rPr>
                    <w:t>0.2</w:t>
                  </w:r>
                </w:p>
              </w:tc>
              <w:tc>
                <w:tcPr>
                  <w:tcW w:w="679" w:type="pct"/>
                  <w:noWrap w:val="0"/>
                  <w:vAlign w:val="center"/>
                </w:tcPr>
                <w:p w14:paraId="6CEBEB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z w:val="18"/>
                      <w:szCs w:val="18"/>
                      <w:highlight w:val="none"/>
                      <w:lang w:val="en-US" w:eastAsia="zh-CN"/>
                    </w:rPr>
                    <w:t>+0.2</w:t>
                  </w:r>
                </w:p>
              </w:tc>
            </w:tr>
            <w:tr w14:paraId="4F712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center"/>
                </w:tcPr>
                <w:p w14:paraId="251481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485" w:type="pct"/>
                  <w:vMerge w:val="continue"/>
                  <w:noWrap w:val="0"/>
                  <w:vAlign w:val="center"/>
                </w:tcPr>
                <w:p w14:paraId="1831EC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p>
              </w:tc>
              <w:tc>
                <w:tcPr>
                  <w:tcW w:w="788" w:type="pct"/>
                  <w:gridSpan w:val="2"/>
                  <w:shd w:val="clear" w:color="auto" w:fill="auto"/>
                  <w:noWrap w:val="0"/>
                  <w:vAlign w:val="center"/>
                </w:tcPr>
                <w:p w14:paraId="1B5A31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废胶桶</w:t>
                  </w:r>
                </w:p>
              </w:tc>
              <w:tc>
                <w:tcPr>
                  <w:tcW w:w="667" w:type="pct"/>
                  <w:shd w:val="clear" w:color="auto" w:fill="auto"/>
                  <w:noWrap w:val="0"/>
                  <w:vAlign w:val="center"/>
                </w:tcPr>
                <w:p w14:paraId="0BA61F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09" w:type="pct"/>
                  <w:shd w:val="clear" w:color="auto" w:fill="auto"/>
                  <w:noWrap w:val="0"/>
                  <w:vAlign w:val="center"/>
                </w:tcPr>
                <w:p w14:paraId="239C91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0.012</w:t>
                  </w:r>
                </w:p>
              </w:tc>
              <w:tc>
                <w:tcPr>
                  <w:tcW w:w="465" w:type="pct"/>
                  <w:noWrap w:val="0"/>
                  <w:vAlign w:val="center"/>
                </w:tcPr>
                <w:p w14:paraId="20BAEA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0</w:t>
                  </w:r>
                </w:p>
              </w:tc>
              <w:tc>
                <w:tcPr>
                  <w:tcW w:w="853" w:type="pct"/>
                  <w:noWrap w:val="0"/>
                  <w:vAlign w:val="center"/>
                </w:tcPr>
                <w:p w14:paraId="6F39A37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18"/>
                      <w:szCs w:val="18"/>
                      <w:highlight w:val="none"/>
                      <w:lang w:val="en-US" w:eastAsia="zh-CN" w:bidi="ar-SA"/>
                    </w:rPr>
                  </w:pPr>
                  <w:r>
                    <w:rPr>
                      <w:rFonts w:hint="eastAsia"/>
                      <w:snapToGrid w:val="0"/>
                      <w:color w:val="auto"/>
                      <w:kern w:val="18"/>
                      <w:sz w:val="18"/>
                      <w:szCs w:val="18"/>
                      <w:highlight w:val="none"/>
                      <w:lang w:val="en-US" w:eastAsia="zh-CN" w:bidi="ar-SA"/>
                    </w:rPr>
                    <w:t>0.012</w:t>
                  </w:r>
                </w:p>
              </w:tc>
              <w:tc>
                <w:tcPr>
                  <w:tcW w:w="679" w:type="pct"/>
                  <w:noWrap w:val="0"/>
                  <w:vAlign w:val="center"/>
                </w:tcPr>
                <w:p w14:paraId="273D14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+0.012</w:t>
                  </w:r>
                </w:p>
              </w:tc>
            </w:tr>
            <w:tr w14:paraId="05FA8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noWrap w:val="0"/>
                  <w:vAlign w:val="top"/>
                </w:tcPr>
                <w:p w14:paraId="72AB12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p>
              </w:tc>
              <w:tc>
                <w:tcPr>
                  <w:tcW w:w="1273" w:type="pct"/>
                  <w:gridSpan w:val="3"/>
                  <w:noWrap w:val="0"/>
                  <w:vAlign w:val="center"/>
                </w:tcPr>
                <w:p w14:paraId="37BFBF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bidi="ar-SA"/>
                    </w:rPr>
                  </w:pPr>
                  <w:r>
                    <w:rPr>
                      <w:rFonts w:hint="default" w:ascii="Times New Roman" w:hAnsi="Times New Roman" w:eastAsia="宋体" w:cs="Times New Roman"/>
                      <w:color w:val="auto"/>
                      <w:spacing w:val="0"/>
                      <w:kern w:val="0"/>
                      <w:sz w:val="18"/>
                      <w:szCs w:val="18"/>
                      <w:highlight w:val="none"/>
                      <w:lang w:val="en-US" w:eastAsia="zh-CN"/>
                    </w:rPr>
                    <w:t>生活垃圾</w:t>
                  </w:r>
                </w:p>
              </w:tc>
              <w:tc>
                <w:tcPr>
                  <w:tcW w:w="667" w:type="pct"/>
                  <w:noWrap w:val="0"/>
                  <w:vAlign w:val="center"/>
                </w:tcPr>
                <w:p w14:paraId="0B04D2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4.3</w:t>
                  </w:r>
                </w:p>
              </w:tc>
              <w:tc>
                <w:tcPr>
                  <w:tcW w:w="809" w:type="pct"/>
                  <w:noWrap w:val="0"/>
                  <w:vAlign w:val="center"/>
                </w:tcPr>
                <w:p w14:paraId="61D0A3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24</w:t>
                  </w:r>
                </w:p>
              </w:tc>
              <w:tc>
                <w:tcPr>
                  <w:tcW w:w="465" w:type="pct"/>
                  <w:noWrap w:val="0"/>
                  <w:vAlign w:val="center"/>
                </w:tcPr>
                <w:p w14:paraId="4087EF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0</w:t>
                  </w:r>
                </w:p>
              </w:tc>
              <w:tc>
                <w:tcPr>
                  <w:tcW w:w="853" w:type="pct"/>
                  <w:noWrap w:val="0"/>
                  <w:vAlign w:val="center"/>
                </w:tcPr>
                <w:p w14:paraId="300C5E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cs="Times New Roman"/>
                      <w:color w:val="auto"/>
                      <w:spacing w:val="0"/>
                      <w:kern w:val="0"/>
                      <w:sz w:val="18"/>
                      <w:szCs w:val="18"/>
                      <w:highlight w:val="none"/>
                      <w:lang w:val="en-US" w:eastAsia="zh-CN"/>
                    </w:rPr>
                    <w:t>28.3</w:t>
                  </w:r>
                </w:p>
              </w:tc>
              <w:tc>
                <w:tcPr>
                  <w:tcW w:w="679" w:type="pct"/>
                  <w:noWrap w:val="0"/>
                  <w:vAlign w:val="center"/>
                </w:tcPr>
                <w:p w14:paraId="265E2C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 w:val="18"/>
                      <w:szCs w:val="18"/>
                      <w:highlight w:val="none"/>
                      <w:lang w:val="en-US" w:eastAsia="zh-CN"/>
                    </w:rPr>
                  </w:pPr>
                  <w:r>
                    <w:rPr>
                      <w:rFonts w:hint="eastAsia" w:ascii="Times New Roman" w:hAnsi="Times New Roman" w:eastAsia="宋体" w:cs="Times New Roman"/>
                      <w:color w:val="auto"/>
                      <w:spacing w:val="0"/>
                      <w:kern w:val="0"/>
                      <w:sz w:val="18"/>
                      <w:szCs w:val="18"/>
                      <w:highlight w:val="none"/>
                      <w:lang w:val="en-US" w:eastAsia="zh-CN"/>
                    </w:rPr>
                    <w:t>+</w:t>
                  </w:r>
                  <w:r>
                    <w:rPr>
                      <w:rFonts w:hint="eastAsia" w:cs="Times New Roman"/>
                      <w:color w:val="auto"/>
                      <w:spacing w:val="0"/>
                      <w:kern w:val="0"/>
                      <w:sz w:val="18"/>
                      <w:szCs w:val="18"/>
                      <w:highlight w:val="none"/>
                      <w:lang w:val="en-US" w:eastAsia="zh-CN"/>
                    </w:rPr>
                    <w:t>24</w:t>
                  </w:r>
                </w:p>
              </w:tc>
            </w:tr>
          </w:tbl>
          <w:p w14:paraId="5B392EF2">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color w:val="auto"/>
                <w:kern w:val="0"/>
                <w:sz w:val="28"/>
                <w:szCs w:val="28"/>
              </w:rPr>
            </w:pPr>
            <w:r>
              <w:rPr>
                <w:rStyle w:val="53"/>
                <w:rFonts w:hint="eastAsia"/>
                <w:color w:val="auto"/>
                <w:lang w:val="en-US" w:eastAsia="zh-CN"/>
              </w:rPr>
              <w:t>4.</w:t>
            </w:r>
            <w:bookmarkEnd w:id="36"/>
            <w:r>
              <w:rPr>
                <w:rStyle w:val="53"/>
                <w:rFonts w:hint="eastAsia"/>
                <w:color w:val="auto"/>
                <w:lang w:val="en-US" w:eastAsia="zh-CN"/>
              </w:rPr>
              <w:t>9</w:t>
            </w:r>
            <w:r>
              <w:rPr>
                <w:rStyle w:val="53"/>
                <w:rFonts w:hint="eastAsia"/>
                <w:color w:val="auto"/>
              </w:rPr>
              <w:t xml:space="preserve"> 环保投资估算</w:t>
            </w:r>
            <w:r>
              <w:rPr>
                <w:rFonts w:hint="eastAsia"/>
                <w:b/>
                <w:bCs/>
                <w:color w:val="auto"/>
                <w:kern w:val="0"/>
                <w:sz w:val="28"/>
                <w:szCs w:val="28"/>
              </w:rPr>
              <w:t xml:space="preserve"> </w:t>
            </w:r>
          </w:p>
          <w:p w14:paraId="126CA494">
            <w:pPr>
              <w:spacing w:line="360" w:lineRule="auto"/>
              <w:ind w:firstLine="480" w:firstLineChars="200"/>
              <w:rPr>
                <w:color w:val="auto"/>
                <w:sz w:val="24"/>
              </w:rPr>
            </w:pPr>
            <w:r>
              <w:rPr>
                <w:color w:val="auto"/>
                <w:kern w:val="0"/>
                <w:sz w:val="24"/>
              </w:rPr>
              <w:t>本项目环保投资估算具体明细见表</w:t>
            </w:r>
            <w:r>
              <w:rPr>
                <w:rFonts w:hint="eastAsia"/>
                <w:color w:val="auto"/>
                <w:kern w:val="0"/>
                <w:sz w:val="24"/>
              </w:rPr>
              <w:t>4</w:t>
            </w:r>
            <w:r>
              <w:rPr>
                <w:color w:val="auto"/>
                <w:kern w:val="0"/>
                <w:sz w:val="24"/>
              </w:rPr>
              <w:t>-</w:t>
            </w:r>
            <w:r>
              <w:rPr>
                <w:rFonts w:hint="eastAsia"/>
                <w:color w:val="auto"/>
                <w:kern w:val="0"/>
                <w:sz w:val="24"/>
                <w:lang w:val="en-US" w:eastAsia="zh-CN"/>
              </w:rPr>
              <w:t>25</w:t>
            </w:r>
            <w:r>
              <w:rPr>
                <w:color w:val="auto"/>
                <w:kern w:val="0"/>
                <w:sz w:val="24"/>
              </w:rPr>
              <w:t>。</w:t>
            </w:r>
          </w:p>
          <w:p w14:paraId="4ECDD585">
            <w:pPr>
              <w:pStyle w:val="30"/>
              <w:widowControl w:val="0"/>
              <w:spacing w:before="120" w:beforeLines="50" w:beforeAutospacing="0" w:after="0" w:afterAutospacing="0"/>
              <w:jc w:val="center"/>
              <w:rPr>
                <w:rFonts w:ascii="Times New Roman" w:hAnsi="Times New Roman" w:eastAsia="黑体"/>
                <w:color w:val="auto"/>
                <w:kern w:val="2"/>
                <w:lang w:val="en-US" w:eastAsia="zh-CN"/>
              </w:rPr>
            </w:pPr>
            <w:r>
              <w:rPr>
                <w:rFonts w:ascii="Times New Roman" w:hAnsi="Times New Roman" w:eastAsia="黑体"/>
                <w:color w:val="auto"/>
                <w:kern w:val="2"/>
                <w:lang w:val="en-US" w:eastAsia="zh-CN"/>
              </w:rPr>
              <w:t>表</w:t>
            </w:r>
            <w:r>
              <w:rPr>
                <w:rFonts w:hint="eastAsia" w:ascii="Times New Roman" w:hAnsi="Times New Roman" w:eastAsia="黑体"/>
                <w:color w:val="auto"/>
                <w:kern w:val="2"/>
                <w:lang w:val="en-US" w:eastAsia="zh-CN"/>
              </w:rPr>
              <w:t>4-25</w:t>
            </w:r>
            <w:r>
              <w:rPr>
                <w:rFonts w:ascii="Times New Roman" w:hAnsi="Times New Roman" w:eastAsia="黑体"/>
                <w:color w:val="auto"/>
                <w:kern w:val="2"/>
                <w:lang w:val="en-US" w:eastAsia="zh-CN"/>
              </w:rPr>
              <w:t xml:space="preserve">  环保措施投资明细表</w:t>
            </w:r>
          </w:p>
          <w:tbl>
            <w:tblPr>
              <w:tblStyle w:val="35"/>
              <w:tblW w:w="853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78"/>
              <w:gridCol w:w="1535"/>
              <w:gridCol w:w="3412"/>
              <w:gridCol w:w="2064"/>
              <w:gridCol w:w="1047"/>
            </w:tblGrid>
            <w:tr w14:paraId="48B43D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6A9DFECB">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1535" w:type="dxa"/>
                  <w:noWrap w:val="0"/>
                  <w:vAlign w:val="center"/>
                </w:tcPr>
                <w:p w14:paraId="43DD299B">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污染源</w:t>
                  </w:r>
                </w:p>
              </w:tc>
              <w:tc>
                <w:tcPr>
                  <w:tcW w:w="3412" w:type="dxa"/>
                  <w:noWrap w:val="0"/>
                  <w:vAlign w:val="center"/>
                </w:tcPr>
                <w:p w14:paraId="1C00D125">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治理措施</w:t>
                  </w:r>
                </w:p>
              </w:tc>
              <w:tc>
                <w:tcPr>
                  <w:tcW w:w="2064" w:type="dxa"/>
                  <w:noWrap w:val="0"/>
                  <w:vAlign w:val="center"/>
                </w:tcPr>
                <w:p w14:paraId="63AEDBCA">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设施</w:t>
                  </w:r>
                </w:p>
              </w:tc>
              <w:tc>
                <w:tcPr>
                  <w:tcW w:w="1047" w:type="dxa"/>
                  <w:noWrap w:val="0"/>
                  <w:vAlign w:val="center"/>
                </w:tcPr>
                <w:p w14:paraId="370B2444">
                  <w:pPr>
                    <w:pStyle w:val="30"/>
                    <w:widowControl w:val="0"/>
                    <w:autoSpaceDE w:val="0"/>
                    <w:autoSpaceDN w:val="0"/>
                    <w:adjustRightInd w:val="0"/>
                    <w:spacing w:before="0" w:beforeAutospacing="0" w:after="0" w:afterAutospacing="0"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投资金额(万元)</w:t>
                  </w:r>
                </w:p>
              </w:tc>
            </w:tr>
            <w:tr w14:paraId="45EC07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15" w:hRule="atLeast"/>
                <w:jc w:val="center"/>
              </w:trPr>
              <w:tc>
                <w:tcPr>
                  <w:tcW w:w="478" w:type="dxa"/>
                  <w:vMerge w:val="restart"/>
                  <w:noWrap w:val="0"/>
                  <w:vAlign w:val="center"/>
                </w:tcPr>
                <w:p w14:paraId="75FF8444">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1535" w:type="dxa"/>
                  <w:vMerge w:val="restart"/>
                  <w:noWrap w:val="0"/>
                  <w:vAlign w:val="center"/>
                </w:tcPr>
                <w:p w14:paraId="4064AB72">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废气</w:t>
                  </w:r>
                </w:p>
              </w:tc>
              <w:tc>
                <w:tcPr>
                  <w:tcW w:w="3412" w:type="dxa"/>
                  <w:noWrap w:val="0"/>
                  <w:vAlign w:val="center"/>
                </w:tcPr>
                <w:p w14:paraId="576DBA0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注塑</w:t>
                  </w:r>
                  <w:r>
                    <w:rPr>
                      <w:rFonts w:hint="eastAsia" w:cs="Times New Roman"/>
                      <w:color w:val="auto"/>
                      <w:sz w:val="21"/>
                      <w:szCs w:val="21"/>
                      <w:highlight w:val="none"/>
                      <w:lang w:eastAsia="zh-CN"/>
                    </w:rPr>
                    <w:t>废气、复合废气、</w:t>
                  </w:r>
                  <w:r>
                    <w:rPr>
                      <w:rFonts w:hint="eastAsia" w:cs="Times New Roman"/>
                      <w:color w:val="auto"/>
                      <w:sz w:val="21"/>
                      <w:szCs w:val="21"/>
                      <w:highlight w:val="none"/>
                      <w:lang w:val="en-US" w:eastAsia="zh-CN"/>
                    </w:rPr>
                    <w:t>挤出</w:t>
                  </w:r>
                  <w:r>
                    <w:rPr>
                      <w:rFonts w:hint="eastAsia" w:cs="Times New Roman"/>
                      <w:color w:val="auto"/>
                      <w:sz w:val="21"/>
                      <w:szCs w:val="21"/>
                      <w:highlight w:val="none"/>
                      <w:lang w:eastAsia="zh-CN"/>
                    </w:rPr>
                    <w:t>废气</w:t>
                  </w:r>
                  <w:r>
                    <w:rPr>
                      <w:rFonts w:hint="eastAsia" w:cs="Times New Roman"/>
                      <w:color w:val="auto"/>
                      <w:sz w:val="21"/>
                      <w:szCs w:val="21"/>
                      <w:highlight w:val="none"/>
                      <w:lang w:val="en-US" w:eastAsia="zh-CN"/>
                    </w:rPr>
                    <w:t>和涂胶</w:t>
                  </w:r>
                  <w:r>
                    <w:rPr>
                      <w:rFonts w:hint="eastAsia" w:cs="Times New Roman"/>
                      <w:color w:val="auto"/>
                      <w:sz w:val="21"/>
                      <w:szCs w:val="21"/>
                      <w:highlight w:val="none"/>
                      <w:lang w:eastAsia="zh-CN"/>
                    </w:rPr>
                    <w:t>废气：经收集后通过二级活性炭吸附装置处理后最终通过25m高排气筒（DA00</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）排放</w:t>
                  </w:r>
                </w:p>
              </w:tc>
              <w:tc>
                <w:tcPr>
                  <w:tcW w:w="2064" w:type="dxa"/>
                  <w:noWrap w:val="0"/>
                  <w:vAlign w:val="center"/>
                </w:tcPr>
                <w:p w14:paraId="31A26B0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废气管道、集气罩、</w:t>
                  </w:r>
                  <w:r>
                    <w:rPr>
                      <w:rFonts w:hint="eastAsia" w:cs="Times New Roman"/>
                      <w:color w:val="auto"/>
                      <w:sz w:val="21"/>
                      <w:szCs w:val="21"/>
                      <w:highlight w:val="none"/>
                      <w:lang w:val="en-US" w:eastAsia="zh-CN"/>
                    </w:rPr>
                    <w:t>二级活性炭吸附</w:t>
                  </w:r>
                  <w:r>
                    <w:rPr>
                      <w:rFonts w:hint="eastAsia" w:ascii="Times New Roman" w:hAnsi="Times New Roman" w:eastAsia="宋体" w:cs="Times New Roman"/>
                      <w:color w:val="auto"/>
                      <w:sz w:val="21"/>
                      <w:szCs w:val="21"/>
                      <w:highlight w:val="none"/>
                      <w:lang w:eastAsia="zh-CN"/>
                    </w:rPr>
                    <w:t>装置</w:t>
                  </w:r>
                  <w:r>
                    <w:rPr>
                      <w:rFonts w:hint="eastAsia" w:ascii="Times New Roman" w:hAnsi="Times New Roman" w:eastAsia="宋体"/>
                      <w:color w:val="auto"/>
                      <w:sz w:val="21"/>
                      <w:szCs w:val="21"/>
                      <w:lang w:val="en-US" w:eastAsia="zh-CN"/>
                    </w:rPr>
                    <w:t>、</w:t>
                  </w:r>
                  <w:r>
                    <w:rPr>
                      <w:rFonts w:hint="eastAsia"/>
                      <w:color w:val="auto"/>
                      <w:sz w:val="21"/>
                      <w:szCs w:val="21"/>
                      <w:lang w:val="en-US" w:eastAsia="zh-CN"/>
                    </w:rPr>
                    <w:t>2</w:t>
                  </w:r>
                  <w:r>
                    <w:rPr>
                      <w:rFonts w:hint="eastAsia" w:ascii="Times New Roman" w:hAnsi="Times New Roman" w:eastAsia="宋体"/>
                      <w:color w:val="auto"/>
                      <w:sz w:val="21"/>
                      <w:szCs w:val="21"/>
                      <w:lang w:val="en-US" w:eastAsia="zh-CN"/>
                    </w:rPr>
                    <w:t>5m排气筒</w:t>
                  </w:r>
                </w:p>
              </w:tc>
              <w:tc>
                <w:tcPr>
                  <w:tcW w:w="1047" w:type="dxa"/>
                  <w:noWrap w:val="0"/>
                  <w:vAlign w:val="center"/>
                </w:tcPr>
                <w:p w14:paraId="2435EB65">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30</w:t>
                  </w:r>
                </w:p>
              </w:tc>
            </w:tr>
            <w:tr w14:paraId="04CE22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80" w:hRule="atLeast"/>
                <w:jc w:val="center"/>
              </w:trPr>
              <w:tc>
                <w:tcPr>
                  <w:tcW w:w="478" w:type="dxa"/>
                  <w:vMerge w:val="continue"/>
                  <w:noWrap w:val="0"/>
                  <w:vAlign w:val="center"/>
                </w:tcPr>
                <w:p w14:paraId="51D74E33">
                  <w:pPr>
                    <w:pStyle w:val="30"/>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lang w:val="en-US" w:eastAsia="zh-CN"/>
                    </w:rPr>
                  </w:pPr>
                </w:p>
              </w:tc>
              <w:tc>
                <w:tcPr>
                  <w:tcW w:w="1535" w:type="dxa"/>
                  <w:vMerge w:val="continue"/>
                  <w:noWrap w:val="0"/>
                  <w:vAlign w:val="center"/>
                </w:tcPr>
                <w:p w14:paraId="65A3C1D8">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lang w:val="en-US" w:eastAsia="zh-CN"/>
                    </w:rPr>
                  </w:pPr>
                </w:p>
              </w:tc>
              <w:tc>
                <w:tcPr>
                  <w:tcW w:w="3412" w:type="dxa"/>
                  <w:noWrap w:val="0"/>
                  <w:vAlign w:val="center"/>
                </w:tcPr>
                <w:p w14:paraId="2493268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破碎粉尘经袋式除尘器处理达标后于车间内无组织排放</w:t>
                  </w:r>
                </w:p>
              </w:tc>
              <w:tc>
                <w:tcPr>
                  <w:tcW w:w="2064" w:type="dxa"/>
                  <w:noWrap w:val="0"/>
                  <w:vAlign w:val="center"/>
                </w:tcPr>
                <w:p w14:paraId="0BA054D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集气罩、袋式除尘器</w:t>
                  </w:r>
                </w:p>
              </w:tc>
              <w:tc>
                <w:tcPr>
                  <w:tcW w:w="1047" w:type="dxa"/>
                  <w:noWrap w:val="0"/>
                  <w:vAlign w:val="center"/>
                </w:tcPr>
                <w:p w14:paraId="4248B49E">
                  <w:pPr>
                    <w:pStyle w:val="30"/>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r>
            <w:tr w14:paraId="48FA44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15" w:hRule="atLeast"/>
                <w:jc w:val="center"/>
              </w:trPr>
              <w:tc>
                <w:tcPr>
                  <w:tcW w:w="478" w:type="dxa"/>
                  <w:vMerge w:val="continue"/>
                  <w:noWrap w:val="0"/>
                  <w:vAlign w:val="center"/>
                </w:tcPr>
                <w:p w14:paraId="52F710D3">
                  <w:pPr>
                    <w:pStyle w:val="30"/>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lang w:val="en-US" w:eastAsia="zh-CN"/>
                    </w:rPr>
                  </w:pPr>
                </w:p>
              </w:tc>
              <w:tc>
                <w:tcPr>
                  <w:tcW w:w="1535" w:type="dxa"/>
                  <w:vMerge w:val="continue"/>
                  <w:noWrap w:val="0"/>
                  <w:vAlign w:val="center"/>
                </w:tcPr>
                <w:p w14:paraId="5E1E7D5C">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lang w:val="en-US" w:eastAsia="zh-CN"/>
                    </w:rPr>
                  </w:pPr>
                </w:p>
              </w:tc>
              <w:tc>
                <w:tcPr>
                  <w:tcW w:w="3412" w:type="dxa"/>
                  <w:noWrap w:val="0"/>
                  <w:vAlign w:val="center"/>
                </w:tcPr>
                <w:p w14:paraId="794C938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焊接烟尘经移动式烟尘净化器处理达标后于车间内无组织排放</w:t>
                  </w:r>
                </w:p>
              </w:tc>
              <w:tc>
                <w:tcPr>
                  <w:tcW w:w="2064" w:type="dxa"/>
                  <w:noWrap w:val="0"/>
                  <w:vAlign w:val="center"/>
                </w:tcPr>
                <w:p w14:paraId="58E8145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移动式烟尘净化器</w:t>
                  </w:r>
                </w:p>
              </w:tc>
              <w:tc>
                <w:tcPr>
                  <w:tcW w:w="1047" w:type="dxa"/>
                  <w:noWrap w:val="0"/>
                  <w:vAlign w:val="center"/>
                </w:tcPr>
                <w:p w14:paraId="30553959">
                  <w:pPr>
                    <w:pStyle w:val="30"/>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w:t>
                  </w:r>
                </w:p>
              </w:tc>
            </w:tr>
            <w:tr w14:paraId="3E0C58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7C3E6996">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hint="eastAsia" w:ascii="Times New Roman" w:hAnsi="Times New Roman"/>
                      <w:color w:val="auto"/>
                      <w:sz w:val="21"/>
                      <w:szCs w:val="21"/>
                      <w:lang w:val="en-US" w:eastAsia="zh-CN"/>
                    </w:rPr>
                    <w:t>2</w:t>
                  </w:r>
                </w:p>
              </w:tc>
              <w:tc>
                <w:tcPr>
                  <w:tcW w:w="1535" w:type="dxa"/>
                  <w:noWrap w:val="0"/>
                  <w:vAlign w:val="center"/>
                </w:tcPr>
                <w:p w14:paraId="2EAE1A35">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噪声</w:t>
                  </w:r>
                </w:p>
              </w:tc>
              <w:tc>
                <w:tcPr>
                  <w:tcW w:w="5476" w:type="dxa"/>
                  <w:gridSpan w:val="2"/>
                  <w:noWrap w:val="0"/>
                  <w:vAlign w:val="center"/>
                </w:tcPr>
                <w:p w14:paraId="4B920A1F">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厂房隔声、设备基础设置</w:t>
                  </w:r>
                  <w:r>
                    <w:rPr>
                      <w:rFonts w:ascii="Times New Roman" w:hAnsi="Times New Roman" w:eastAsia="宋体"/>
                      <w:color w:val="auto"/>
                      <w:sz w:val="21"/>
                      <w:szCs w:val="21"/>
                    </w:rPr>
                    <w:t>减振垫等综合降噪措施</w:t>
                  </w:r>
                </w:p>
              </w:tc>
              <w:tc>
                <w:tcPr>
                  <w:tcW w:w="1047" w:type="dxa"/>
                  <w:noWrap w:val="0"/>
                  <w:vAlign w:val="center"/>
                </w:tcPr>
                <w:p w14:paraId="27F06073">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5.0</w:t>
                  </w:r>
                </w:p>
              </w:tc>
            </w:tr>
            <w:tr w14:paraId="38810D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09AFCFF2">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w:t>
                  </w:r>
                </w:p>
              </w:tc>
              <w:tc>
                <w:tcPr>
                  <w:tcW w:w="1535" w:type="dxa"/>
                  <w:noWrap w:val="0"/>
                  <w:vAlign w:val="center"/>
                </w:tcPr>
                <w:p w14:paraId="15FCF05C">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地下水及土壤</w:t>
                  </w:r>
                </w:p>
              </w:tc>
              <w:tc>
                <w:tcPr>
                  <w:tcW w:w="5476" w:type="dxa"/>
                  <w:gridSpan w:val="2"/>
                  <w:noWrap w:val="0"/>
                  <w:vAlign w:val="center"/>
                </w:tcPr>
                <w:p w14:paraId="552AEF43">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分区防渗</w:t>
                  </w:r>
                </w:p>
              </w:tc>
              <w:tc>
                <w:tcPr>
                  <w:tcW w:w="1047" w:type="dxa"/>
                  <w:noWrap w:val="0"/>
                  <w:vAlign w:val="center"/>
                </w:tcPr>
                <w:p w14:paraId="581BEB02">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w:t>
                  </w:r>
                </w:p>
              </w:tc>
            </w:tr>
            <w:tr w14:paraId="4BE42A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21B505D3">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w:t>
                  </w:r>
                </w:p>
              </w:tc>
              <w:tc>
                <w:tcPr>
                  <w:tcW w:w="1535" w:type="dxa"/>
                  <w:noWrap w:val="0"/>
                  <w:vAlign w:val="center"/>
                </w:tcPr>
                <w:p w14:paraId="410DB536">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highlight w:val="none"/>
                      <w:lang w:val="en-US" w:eastAsia="zh-CN"/>
                    </w:rPr>
                    <w:t>环境风险</w:t>
                  </w:r>
                </w:p>
              </w:tc>
              <w:tc>
                <w:tcPr>
                  <w:tcW w:w="5476" w:type="dxa"/>
                  <w:gridSpan w:val="2"/>
                  <w:noWrap w:val="0"/>
                  <w:vAlign w:val="center"/>
                </w:tcPr>
                <w:p w14:paraId="4DB80ADC">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s="Times New Roman"/>
                      <w:color w:val="auto"/>
                      <w:sz w:val="21"/>
                      <w:szCs w:val="21"/>
                      <w:lang w:val="en-GB" w:eastAsia="zh-CN"/>
                    </w:rPr>
                  </w:pPr>
                  <w:r>
                    <w:rPr>
                      <w:rFonts w:hint="eastAsia" w:ascii="Times New Roman" w:hAnsi="Times New Roman" w:eastAsia="宋体" w:cs="Times New Roman"/>
                      <w:color w:val="auto"/>
                      <w:sz w:val="21"/>
                      <w:szCs w:val="21"/>
                      <w:lang w:val="en-US" w:eastAsia="zh-CN"/>
                    </w:rPr>
                    <w:t>配套</w:t>
                  </w:r>
                  <w:r>
                    <w:rPr>
                      <w:rFonts w:hint="eastAsia" w:ascii="Times New Roman" w:hAnsi="Times New Roman" w:eastAsia="宋体"/>
                      <w:color w:val="auto"/>
                      <w:sz w:val="21"/>
                      <w:szCs w:val="21"/>
                      <w:lang w:val="en-US" w:eastAsia="zh-CN"/>
                    </w:rPr>
                    <w:t>应急物资，设置辅料</w:t>
                  </w:r>
                  <w:r>
                    <w:rPr>
                      <w:rFonts w:hint="eastAsia" w:ascii="Times New Roman" w:hAnsi="Times New Roman"/>
                      <w:color w:val="auto"/>
                      <w:sz w:val="21"/>
                      <w:szCs w:val="21"/>
                      <w:lang w:val="en-US" w:eastAsia="zh-CN"/>
                    </w:rPr>
                    <w:t>区</w:t>
                  </w:r>
                  <w:r>
                    <w:rPr>
                      <w:rFonts w:hint="eastAsia" w:ascii="Times New Roman" w:hAnsi="Times New Roman" w:eastAsia="宋体"/>
                      <w:color w:val="auto"/>
                      <w:sz w:val="21"/>
                      <w:szCs w:val="21"/>
                      <w:lang w:val="en-US" w:eastAsia="zh-CN"/>
                    </w:rPr>
                    <w:t>围堰及导流沟槽</w:t>
                  </w:r>
                </w:p>
              </w:tc>
              <w:tc>
                <w:tcPr>
                  <w:tcW w:w="1047" w:type="dxa"/>
                  <w:noWrap w:val="0"/>
                  <w:vAlign w:val="center"/>
                </w:tcPr>
                <w:p w14:paraId="1D5D2B3B">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w:t>
                  </w:r>
                </w:p>
              </w:tc>
            </w:tr>
            <w:tr w14:paraId="19219E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8" w:type="dxa"/>
                  <w:noWrap w:val="0"/>
                  <w:vAlign w:val="center"/>
                </w:tcPr>
                <w:p w14:paraId="536D3CA1">
                  <w:pPr>
                    <w:pStyle w:val="30"/>
                    <w:widowControl w:val="0"/>
                    <w:autoSpaceDE w:val="0"/>
                    <w:autoSpaceDN w:val="0"/>
                    <w:adjustRightInd w:val="0"/>
                    <w:spacing w:before="0" w:beforeAutospacing="0" w:after="0" w:afterAutospacing="0" w:line="240" w:lineRule="auto"/>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w:t>
                  </w:r>
                </w:p>
              </w:tc>
              <w:tc>
                <w:tcPr>
                  <w:tcW w:w="1535" w:type="dxa"/>
                  <w:noWrap w:val="0"/>
                  <w:vAlign w:val="center"/>
                </w:tcPr>
                <w:p w14:paraId="17D32014">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rPr>
                    <w:t>固体废物</w:t>
                  </w:r>
                </w:p>
              </w:tc>
              <w:tc>
                <w:tcPr>
                  <w:tcW w:w="5476" w:type="dxa"/>
                  <w:gridSpan w:val="2"/>
                  <w:noWrap w:val="0"/>
                  <w:vAlign w:val="center"/>
                </w:tcPr>
                <w:p w14:paraId="5E17F87A">
                  <w:pPr>
                    <w:pStyle w:val="30"/>
                    <w:widowControl w:val="0"/>
                    <w:autoSpaceDE w:val="0"/>
                    <w:autoSpaceDN w:val="0"/>
                    <w:adjustRightInd w:val="0"/>
                    <w:spacing w:before="0" w:beforeAutospacing="0" w:after="0" w:afterAutospacing="0" w:line="240" w:lineRule="auto"/>
                    <w:jc w:val="center"/>
                    <w:rPr>
                      <w:rFonts w:hint="eastAsia" w:ascii="Times New Roman" w:hAnsi="Times New Roman" w:eastAsia="宋体" w:cs="Times New Roman"/>
                      <w:color w:val="auto"/>
                      <w:sz w:val="21"/>
                      <w:szCs w:val="21"/>
                      <w:lang w:val="en-US" w:eastAsia="zh-CN"/>
                    </w:rPr>
                  </w:pPr>
                  <w:r>
                    <w:rPr>
                      <w:rFonts w:ascii="Times New Roman" w:hAnsi="Times New Roman" w:eastAsia="宋体"/>
                      <w:color w:val="auto"/>
                      <w:sz w:val="21"/>
                      <w:szCs w:val="21"/>
                      <w:highlight w:val="none"/>
                    </w:rPr>
                    <w:t>垃圾收集装置，</w:t>
                  </w:r>
                  <w:r>
                    <w:rPr>
                      <w:rFonts w:hint="eastAsia" w:ascii="Times New Roman" w:hAnsi="Times New Roman" w:eastAsia="宋体"/>
                      <w:color w:val="auto"/>
                      <w:sz w:val="21"/>
                      <w:szCs w:val="21"/>
                      <w:highlight w:val="none"/>
                    </w:rPr>
                    <w:t>一般工业固废暂存间、</w:t>
                  </w:r>
                  <w:r>
                    <w:rPr>
                      <w:rFonts w:hint="eastAsia" w:ascii="Times New Roman" w:hAnsi="Times New Roman"/>
                      <w:color w:val="auto"/>
                      <w:sz w:val="21"/>
                      <w:szCs w:val="21"/>
                      <w:highlight w:val="none"/>
                      <w:lang w:eastAsia="zh-CN"/>
                    </w:rPr>
                    <w:t>危险废物贮存间</w:t>
                  </w:r>
                  <w:r>
                    <w:rPr>
                      <w:rFonts w:ascii="Times New Roman" w:hAnsi="Times New Roman" w:eastAsia="宋体"/>
                      <w:color w:val="auto"/>
                      <w:sz w:val="21"/>
                      <w:szCs w:val="21"/>
                      <w:highlight w:val="none"/>
                    </w:rPr>
                    <w:t>及委托处置</w:t>
                  </w:r>
                  <w:r>
                    <w:rPr>
                      <w:rFonts w:hint="eastAsia" w:ascii="Times New Roman" w:hAnsi="Times New Roman" w:eastAsia="宋体"/>
                      <w:color w:val="auto"/>
                      <w:sz w:val="21"/>
                      <w:szCs w:val="21"/>
                      <w:highlight w:val="none"/>
                    </w:rPr>
                    <w:t>等</w:t>
                  </w:r>
                </w:p>
              </w:tc>
              <w:tc>
                <w:tcPr>
                  <w:tcW w:w="1047" w:type="dxa"/>
                  <w:noWrap w:val="0"/>
                  <w:vAlign w:val="center"/>
                </w:tcPr>
                <w:p w14:paraId="4D8A350A">
                  <w:pPr>
                    <w:pStyle w:val="30"/>
                    <w:widowControl w:val="0"/>
                    <w:autoSpaceDE w:val="0"/>
                    <w:autoSpaceDN w:val="0"/>
                    <w:adjustRightInd w:val="0"/>
                    <w:spacing w:before="0" w:beforeAutospacing="0" w:after="0" w:afterAutospacing="0" w:line="240" w:lineRule="auto"/>
                    <w:jc w:val="center"/>
                    <w:rPr>
                      <w:rFonts w:hint="eastAsia" w:ascii="Times New Roman" w:hAnsi="Times New Roman"/>
                      <w:color w:val="auto"/>
                      <w:sz w:val="21"/>
                      <w:szCs w:val="21"/>
                      <w:lang w:val="en-US" w:eastAsia="zh-CN"/>
                    </w:rPr>
                  </w:pPr>
                  <w:r>
                    <w:rPr>
                      <w:rFonts w:hint="eastAsia" w:ascii="Times New Roman" w:hAnsi="Times New Roman" w:eastAsia="宋体"/>
                      <w:color w:val="auto"/>
                      <w:sz w:val="21"/>
                      <w:szCs w:val="21"/>
                      <w:highlight w:val="none"/>
                      <w:lang w:val="en-US" w:eastAsia="zh-CN"/>
                    </w:rPr>
                    <w:t>5.0</w:t>
                  </w:r>
                </w:p>
              </w:tc>
            </w:tr>
            <w:tr w14:paraId="29044F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489" w:type="dxa"/>
                  <w:gridSpan w:val="4"/>
                  <w:noWrap w:val="0"/>
                  <w:vAlign w:val="center"/>
                </w:tcPr>
                <w:p w14:paraId="684D97C9">
                  <w:pPr>
                    <w:pStyle w:val="30"/>
                    <w:widowControl w:val="0"/>
                    <w:autoSpaceDE w:val="0"/>
                    <w:autoSpaceDN w:val="0"/>
                    <w:adjustRightInd w:val="0"/>
                    <w:spacing w:before="0" w:beforeAutospacing="0" w:after="0" w:afterAutospacing="0"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合  计</w:t>
                  </w:r>
                </w:p>
              </w:tc>
              <w:tc>
                <w:tcPr>
                  <w:tcW w:w="1047" w:type="dxa"/>
                  <w:noWrap w:val="0"/>
                  <w:vAlign w:val="center"/>
                </w:tcPr>
                <w:p w14:paraId="383397A8">
                  <w:pPr>
                    <w:pStyle w:val="30"/>
                    <w:widowControl w:val="0"/>
                    <w:autoSpaceDE w:val="0"/>
                    <w:autoSpaceDN w:val="0"/>
                    <w:adjustRightInd w:val="0"/>
                    <w:spacing w:before="0" w:beforeAutospacing="0" w:after="0" w:afterAutospacing="0"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75</w:t>
                  </w:r>
                </w:p>
              </w:tc>
            </w:tr>
          </w:tbl>
          <w:p w14:paraId="0CB589C9">
            <w:pPr>
              <w:pStyle w:val="98"/>
              <w:keepNext w:val="0"/>
              <w:keepLines w:val="0"/>
              <w:pageBreakBefore w:val="0"/>
              <w:widowControl w:val="0"/>
              <w:kinsoku/>
              <w:wordWrap/>
              <w:overflowPunct/>
              <w:topLinePunct w:val="0"/>
              <w:bidi w:val="0"/>
              <w:adjustRightInd w:val="0"/>
              <w:snapToGrid w:val="0"/>
              <w:spacing w:line="360" w:lineRule="auto"/>
              <w:ind w:firstLine="480"/>
              <w:jc w:val="both"/>
              <w:rPr>
                <w:bCs/>
                <w:color w:val="auto"/>
                <w:spacing w:val="-10"/>
                <w:szCs w:val="21"/>
              </w:rPr>
            </w:pPr>
          </w:p>
        </w:tc>
      </w:tr>
    </w:tbl>
    <w:p w14:paraId="2355B72A">
      <w:pPr>
        <w:bidi w:val="0"/>
        <w:ind w:left="0" w:leftChars="0" w:firstLineChars="0"/>
        <w:jc w:val="center"/>
        <w:rPr>
          <w:color w:val="auto"/>
        </w:rPr>
      </w:pPr>
      <w:r>
        <w:rPr>
          <w:color w:val="auto"/>
        </w:rPr>
        <w:br w:type="page"/>
      </w:r>
    </w:p>
    <w:p w14:paraId="188FFC90">
      <w:pPr>
        <w:pStyle w:val="2"/>
        <w:bidi w:val="0"/>
        <w:ind w:left="0" w:leftChars="0" w:firstLine="0" w:firstLineChars="0"/>
        <w:jc w:val="center"/>
        <w:rPr>
          <w:color w:val="auto"/>
        </w:rPr>
      </w:pPr>
      <w:bookmarkStart w:id="37" w:name="_Toc4357"/>
      <w:bookmarkStart w:id="38" w:name="_Toc24030"/>
      <w:r>
        <w:rPr>
          <w:color w:val="auto"/>
        </w:rPr>
        <w:t>五、</w:t>
      </w:r>
      <w:bookmarkStart w:id="39" w:name="_Hlk54167917"/>
      <w:r>
        <w:rPr>
          <w:color w:val="auto"/>
        </w:rPr>
        <w:t>环境保护措施监督检查清单</w:t>
      </w:r>
      <w:bookmarkEnd w:id="37"/>
      <w:bookmarkEnd w:id="38"/>
      <w:bookmarkEnd w:id="39"/>
    </w:p>
    <w:tbl>
      <w:tblPr>
        <w:tblStyle w:val="35"/>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70"/>
        <w:gridCol w:w="1118"/>
        <w:gridCol w:w="2260"/>
        <w:gridCol w:w="3192"/>
      </w:tblGrid>
      <w:tr w14:paraId="6610E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tcBorders>
              <w:tl2br w:val="single" w:color="auto" w:sz="4" w:space="0"/>
            </w:tcBorders>
            <w:noWrap w:val="0"/>
            <w:vAlign w:val="top"/>
          </w:tcPr>
          <w:p w14:paraId="3C751DB2">
            <w:pPr>
              <w:adjustRightInd w:val="0"/>
              <w:snapToGrid w:val="0"/>
              <w:spacing w:line="340" w:lineRule="exact"/>
              <w:jc w:val="right"/>
              <w:rPr>
                <w:b/>
                <w:bCs/>
                <w:color w:val="auto"/>
                <w:szCs w:val="21"/>
              </w:rPr>
            </w:pPr>
            <w:r>
              <w:rPr>
                <w:b/>
                <w:bCs/>
                <w:color w:val="auto"/>
                <w:szCs w:val="21"/>
              </w:rPr>
              <w:t>内容</w:t>
            </w:r>
          </w:p>
          <w:p w14:paraId="5B67EF14">
            <w:pPr>
              <w:adjustRightInd w:val="0"/>
              <w:snapToGrid w:val="0"/>
              <w:spacing w:line="340" w:lineRule="exact"/>
              <w:rPr>
                <w:b/>
                <w:bCs/>
                <w:color w:val="auto"/>
                <w:szCs w:val="21"/>
              </w:rPr>
            </w:pPr>
          </w:p>
          <w:p w14:paraId="4FDE8ED1">
            <w:pPr>
              <w:adjustRightInd w:val="0"/>
              <w:snapToGrid w:val="0"/>
              <w:spacing w:line="340" w:lineRule="exact"/>
              <w:rPr>
                <w:b/>
                <w:bCs/>
                <w:color w:val="auto"/>
                <w:szCs w:val="21"/>
              </w:rPr>
            </w:pPr>
            <w:r>
              <w:rPr>
                <w:b/>
                <w:bCs/>
                <w:color w:val="auto"/>
                <w:szCs w:val="21"/>
              </w:rPr>
              <w:t>要素</w:t>
            </w:r>
          </w:p>
        </w:tc>
        <w:tc>
          <w:tcPr>
            <w:tcW w:w="1170" w:type="dxa"/>
            <w:noWrap w:val="0"/>
            <w:vAlign w:val="center"/>
          </w:tcPr>
          <w:p w14:paraId="76FF5ABF">
            <w:pPr>
              <w:adjustRightInd w:val="0"/>
              <w:snapToGrid w:val="0"/>
              <w:spacing w:line="340" w:lineRule="exact"/>
              <w:jc w:val="center"/>
              <w:rPr>
                <w:b/>
                <w:bCs/>
                <w:color w:val="auto"/>
                <w:szCs w:val="21"/>
              </w:rPr>
            </w:pPr>
            <w:r>
              <w:rPr>
                <w:b/>
                <w:bCs/>
                <w:color w:val="auto"/>
                <w:szCs w:val="21"/>
              </w:rPr>
              <w:t>排放口(编号、名称)/污染源</w:t>
            </w:r>
          </w:p>
        </w:tc>
        <w:tc>
          <w:tcPr>
            <w:tcW w:w="1118" w:type="dxa"/>
            <w:noWrap w:val="0"/>
            <w:vAlign w:val="center"/>
          </w:tcPr>
          <w:p w14:paraId="629A5F8E">
            <w:pPr>
              <w:adjustRightInd w:val="0"/>
              <w:snapToGrid w:val="0"/>
              <w:spacing w:line="340" w:lineRule="exact"/>
              <w:jc w:val="center"/>
              <w:rPr>
                <w:b/>
                <w:bCs/>
                <w:color w:val="auto"/>
                <w:szCs w:val="21"/>
              </w:rPr>
            </w:pPr>
            <w:r>
              <w:rPr>
                <w:b/>
                <w:bCs/>
                <w:color w:val="auto"/>
                <w:szCs w:val="21"/>
              </w:rPr>
              <w:t>污染物</w:t>
            </w:r>
          </w:p>
          <w:p w14:paraId="0F5C64ED">
            <w:pPr>
              <w:adjustRightInd w:val="0"/>
              <w:snapToGrid w:val="0"/>
              <w:spacing w:line="340" w:lineRule="exact"/>
              <w:jc w:val="center"/>
              <w:rPr>
                <w:b/>
                <w:bCs/>
                <w:color w:val="auto"/>
                <w:szCs w:val="21"/>
              </w:rPr>
            </w:pPr>
            <w:r>
              <w:rPr>
                <w:b/>
                <w:bCs/>
                <w:color w:val="auto"/>
                <w:szCs w:val="21"/>
              </w:rPr>
              <w:t>项目</w:t>
            </w:r>
          </w:p>
        </w:tc>
        <w:tc>
          <w:tcPr>
            <w:tcW w:w="2260" w:type="dxa"/>
            <w:noWrap w:val="0"/>
            <w:vAlign w:val="center"/>
          </w:tcPr>
          <w:p w14:paraId="14F14C2F">
            <w:pPr>
              <w:adjustRightInd w:val="0"/>
              <w:snapToGrid w:val="0"/>
              <w:spacing w:line="340" w:lineRule="exact"/>
              <w:jc w:val="center"/>
              <w:rPr>
                <w:b/>
                <w:bCs/>
                <w:color w:val="auto"/>
                <w:szCs w:val="21"/>
              </w:rPr>
            </w:pPr>
            <w:r>
              <w:rPr>
                <w:b/>
                <w:bCs/>
                <w:color w:val="auto"/>
                <w:szCs w:val="21"/>
              </w:rPr>
              <w:t>环境保护措施</w:t>
            </w:r>
          </w:p>
        </w:tc>
        <w:tc>
          <w:tcPr>
            <w:tcW w:w="3192" w:type="dxa"/>
            <w:noWrap w:val="0"/>
            <w:vAlign w:val="center"/>
          </w:tcPr>
          <w:p w14:paraId="0E72312A">
            <w:pPr>
              <w:adjustRightInd w:val="0"/>
              <w:snapToGrid w:val="0"/>
              <w:spacing w:line="340" w:lineRule="exact"/>
              <w:jc w:val="center"/>
              <w:rPr>
                <w:b/>
                <w:bCs/>
                <w:color w:val="auto"/>
                <w:szCs w:val="21"/>
              </w:rPr>
            </w:pPr>
            <w:r>
              <w:rPr>
                <w:b/>
                <w:bCs/>
                <w:color w:val="auto"/>
                <w:szCs w:val="21"/>
              </w:rPr>
              <w:t>执行标准</w:t>
            </w:r>
          </w:p>
        </w:tc>
      </w:tr>
      <w:tr w14:paraId="05B74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restart"/>
            <w:noWrap w:val="0"/>
            <w:vAlign w:val="center"/>
          </w:tcPr>
          <w:p w14:paraId="3056A279">
            <w:pPr>
              <w:adjustRightInd w:val="0"/>
              <w:snapToGrid w:val="0"/>
              <w:spacing w:line="340" w:lineRule="exact"/>
              <w:jc w:val="center"/>
              <w:rPr>
                <w:color w:val="auto"/>
                <w:szCs w:val="21"/>
              </w:rPr>
            </w:pPr>
            <w:r>
              <w:rPr>
                <w:color w:val="auto"/>
                <w:szCs w:val="21"/>
              </w:rPr>
              <w:t>大气环境</w:t>
            </w:r>
          </w:p>
        </w:tc>
        <w:tc>
          <w:tcPr>
            <w:tcW w:w="1170" w:type="dxa"/>
            <w:noWrap w:val="0"/>
            <w:vAlign w:val="center"/>
          </w:tcPr>
          <w:p w14:paraId="33BFDF8C">
            <w:pPr>
              <w:adjustRightInd w:val="0"/>
              <w:snapToGrid w:val="0"/>
              <w:spacing w:line="340" w:lineRule="exact"/>
              <w:jc w:val="center"/>
              <w:rPr>
                <w:rFonts w:hint="eastAsia" w:eastAsia="宋体"/>
                <w:color w:val="auto"/>
                <w:szCs w:val="21"/>
                <w:lang w:eastAsia="zh-CN"/>
              </w:rPr>
            </w:pPr>
            <w:r>
              <w:rPr>
                <w:color w:val="auto"/>
                <w:szCs w:val="21"/>
              </w:rPr>
              <w:t>DA00</w:t>
            </w:r>
            <w:r>
              <w:rPr>
                <w:rFonts w:hint="eastAsia"/>
                <w:color w:val="auto"/>
                <w:szCs w:val="21"/>
                <w:lang w:val="en-US" w:eastAsia="zh-CN"/>
              </w:rPr>
              <w:t>2</w:t>
            </w:r>
          </w:p>
          <w:p w14:paraId="7EACBB6E">
            <w:pPr>
              <w:adjustRightInd w:val="0"/>
              <w:snapToGrid w:val="0"/>
              <w:spacing w:line="340" w:lineRule="exact"/>
              <w:jc w:val="center"/>
              <w:rPr>
                <w:color w:val="auto"/>
                <w:szCs w:val="21"/>
              </w:rPr>
            </w:pPr>
            <w:r>
              <w:rPr>
                <w:rFonts w:hint="eastAsia"/>
                <w:color w:val="auto"/>
                <w:szCs w:val="21"/>
              </w:rPr>
              <w:t>(有机废气排放口</w:t>
            </w:r>
            <w:r>
              <w:rPr>
                <w:rFonts w:hint="eastAsia"/>
                <w:color w:val="auto"/>
                <w:szCs w:val="21"/>
                <w:lang w:eastAsia="zh-CN"/>
              </w:rPr>
              <w:t>）</w:t>
            </w:r>
            <w:r>
              <w:rPr>
                <w:rFonts w:hint="eastAsia"/>
                <w:color w:val="auto"/>
                <w:szCs w:val="21"/>
                <w:lang w:val="en-US" w:eastAsia="zh-CN"/>
              </w:rPr>
              <w:t>/注塑废气、复合废气、挤出废气、涂胶废气</w:t>
            </w:r>
          </w:p>
        </w:tc>
        <w:tc>
          <w:tcPr>
            <w:tcW w:w="1118" w:type="dxa"/>
            <w:noWrap w:val="0"/>
            <w:vAlign w:val="center"/>
          </w:tcPr>
          <w:p w14:paraId="698658BB">
            <w:pPr>
              <w:adjustRightInd w:val="0"/>
              <w:snapToGrid w:val="0"/>
              <w:spacing w:line="340" w:lineRule="exact"/>
              <w:jc w:val="center"/>
              <w:rPr>
                <w:rFonts w:hint="default" w:eastAsia="宋体"/>
                <w:color w:val="auto"/>
                <w:szCs w:val="21"/>
                <w:lang w:val="en-US" w:eastAsia="zh-CN"/>
              </w:rPr>
            </w:pPr>
            <w:r>
              <w:rPr>
                <w:rFonts w:hint="eastAsia"/>
                <w:color w:val="auto"/>
                <w:szCs w:val="21"/>
              </w:rPr>
              <w:t>非甲烷总烃</w:t>
            </w:r>
            <w:r>
              <w:rPr>
                <w:rFonts w:hint="eastAsia"/>
                <w:color w:val="auto"/>
                <w:szCs w:val="21"/>
                <w:lang w:eastAsia="zh-CN"/>
              </w:rPr>
              <w:t>、甲苯、臭气浓度、</w:t>
            </w:r>
            <w:r>
              <w:rPr>
                <w:rFonts w:hint="eastAsia"/>
                <w:color w:val="auto"/>
                <w:szCs w:val="21"/>
                <w:lang w:val="en-US" w:eastAsia="zh-CN"/>
              </w:rPr>
              <w:t>苯系物、氯化氢</w:t>
            </w:r>
          </w:p>
        </w:tc>
        <w:tc>
          <w:tcPr>
            <w:tcW w:w="2260" w:type="dxa"/>
            <w:noWrap w:val="0"/>
            <w:vAlign w:val="center"/>
          </w:tcPr>
          <w:p w14:paraId="01762098">
            <w:pPr>
              <w:pStyle w:val="89"/>
              <w:keepNext w:val="0"/>
              <w:keepLines w:val="0"/>
              <w:pageBreakBefore w:val="0"/>
              <w:widowControl w:val="0"/>
              <w:kinsoku/>
              <w:wordWrap/>
              <w:overflowPunct/>
              <w:topLinePunct w:val="0"/>
              <w:autoSpaceDE/>
              <w:autoSpaceDN/>
              <w:bidi w:val="0"/>
              <w:adjustRightInd w:val="0"/>
              <w:snapToGrid w:val="0"/>
              <w:spacing w:before="0" w:line="340" w:lineRule="exact"/>
              <w:ind w:left="0" w:leftChars="0" w:right="0" w:rightChars="0" w:firstLine="0" w:firstLineChars="0"/>
              <w:jc w:val="center"/>
              <w:textAlignment w:val="auto"/>
              <w:rPr>
                <w:rFonts w:ascii="Times New Roman" w:hAnsi="Times New Roman"/>
                <w:color w:val="auto"/>
                <w:sz w:val="21"/>
                <w:szCs w:val="21"/>
                <w:lang w:bidi="ar"/>
              </w:rPr>
            </w:pPr>
            <w:r>
              <w:rPr>
                <w:rFonts w:hint="eastAsia" w:ascii="Times New Roman" w:hAnsi="Times New Roman" w:cs="Times New Roman"/>
                <w:color w:val="auto"/>
                <w:spacing w:val="0"/>
                <w:sz w:val="21"/>
                <w:szCs w:val="21"/>
                <w:lang w:val="en-US" w:eastAsia="zh-CN"/>
              </w:rPr>
              <w:t>注塑机、复合挤出机、挤出机、涂胶区所在区域设独立密闭空间，注塑、挤出、涂胶废气经集气罩收集一同经二级活性炭吸附装置</w:t>
            </w:r>
            <w:r>
              <w:rPr>
                <w:rFonts w:hint="eastAsia"/>
                <w:color w:val="auto"/>
                <w:szCs w:val="21"/>
              </w:rPr>
              <w:t>，</w:t>
            </w:r>
            <w:r>
              <w:rPr>
                <w:rFonts w:hint="eastAsia"/>
                <w:color w:val="auto"/>
                <w:sz w:val="21"/>
                <w:szCs w:val="21"/>
              </w:rPr>
              <w:t>通过1根</w:t>
            </w:r>
            <w:r>
              <w:rPr>
                <w:rFonts w:hint="eastAsia" w:ascii="Times New Roman" w:hAnsi="Times New Roman" w:cs="Times New Roman"/>
                <w:color w:val="auto"/>
                <w:spacing w:val="0"/>
                <w:sz w:val="21"/>
                <w:szCs w:val="21"/>
                <w:lang w:val="en-US" w:eastAsia="zh-CN"/>
              </w:rPr>
              <w:t>25m高排气筒排放（风机风量为20000</w:t>
            </w:r>
            <w:r>
              <w:rPr>
                <w:rFonts w:hint="eastAsia" w:ascii="Times New Roman" w:hAnsi="Times New Roman" w:eastAsia="宋体" w:cs="Times New Roman"/>
                <w:color w:val="auto"/>
                <w:kern w:val="0"/>
                <w:sz w:val="21"/>
                <w:szCs w:val="21"/>
                <w:highlight w:val="none"/>
                <w:lang w:val="en-US" w:eastAsia="zh-CN"/>
              </w:rPr>
              <w:t>m</w:t>
            </w:r>
            <w:r>
              <w:rPr>
                <w:rFonts w:hint="eastAsia" w:ascii="Times New Roman" w:hAnsi="Times New Roman" w:eastAsia="宋体" w:cs="Times New Roman"/>
                <w:color w:val="auto"/>
                <w:kern w:val="0"/>
                <w:sz w:val="21"/>
                <w:szCs w:val="21"/>
                <w:highlight w:val="none"/>
                <w:vertAlign w:val="superscript"/>
                <w:lang w:val="en-US" w:eastAsia="zh-CN"/>
              </w:rPr>
              <w:t>3</w:t>
            </w:r>
            <w:r>
              <w:rPr>
                <w:rFonts w:hint="eastAsia" w:ascii="Times New Roman" w:hAnsi="Times New Roman" w:eastAsia="宋体" w:cs="Times New Roman"/>
                <w:color w:val="auto"/>
                <w:kern w:val="0"/>
                <w:sz w:val="21"/>
                <w:szCs w:val="21"/>
                <w:highlight w:val="none"/>
                <w:lang w:val="en-US" w:eastAsia="zh-CN"/>
              </w:rPr>
              <w:t>/h</w:t>
            </w:r>
            <w:r>
              <w:rPr>
                <w:rFonts w:hint="eastAsia" w:ascii="Times New Roman" w:hAnsi="Times New Roman"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采用碘值不低于800mg/g活性炭，每级活性炭箱装填量为</w:t>
            </w:r>
            <w:r>
              <w:rPr>
                <w:rFonts w:hint="eastAsia" w:ascii="Times New Roman" w:hAnsi="Times New Roman" w:cs="Times New Roman"/>
                <w:color w:val="auto"/>
                <w:kern w:val="0"/>
                <w:sz w:val="21"/>
                <w:szCs w:val="21"/>
                <w:highlight w:val="none"/>
                <w:lang w:val="en-US" w:eastAsia="zh-CN"/>
              </w:rPr>
              <w:t>1.1</w:t>
            </w:r>
            <w:r>
              <w:rPr>
                <w:rFonts w:hint="eastAsia" w:ascii="Times New Roman" w:hAnsi="Times New Roman" w:eastAsia="宋体" w:cs="Times New Roman"/>
                <w:color w:val="auto"/>
                <w:kern w:val="0"/>
                <w:sz w:val="21"/>
                <w:szCs w:val="21"/>
                <w:highlight w:val="none"/>
                <w:lang w:val="en-US" w:eastAsia="zh-CN"/>
              </w:rPr>
              <w:t>t，每三个月更换一次）</w:t>
            </w:r>
          </w:p>
        </w:tc>
        <w:tc>
          <w:tcPr>
            <w:tcW w:w="3192" w:type="dxa"/>
            <w:noWrap w:val="0"/>
            <w:vAlign w:val="center"/>
          </w:tcPr>
          <w:p w14:paraId="012A129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color w:val="auto"/>
                <w:szCs w:val="21"/>
                <w:lang w:val="en-US"/>
              </w:rPr>
            </w:pPr>
            <w:r>
              <w:rPr>
                <w:rFonts w:hint="eastAsia" w:cs="Times New Roman"/>
                <w:color w:val="auto"/>
                <w:sz w:val="21"/>
                <w:szCs w:val="21"/>
                <w:highlight w:val="none"/>
                <w:lang w:val="en-US" w:eastAsia="zh-CN"/>
              </w:rPr>
              <w:t>非甲烷总烃、</w:t>
            </w:r>
            <w:r>
              <w:rPr>
                <w:rFonts w:hint="default"/>
                <w:color w:val="auto"/>
                <w:lang w:val="en-US" w:eastAsia="zh-CN"/>
              </w:rPr>
              <w:t>氯化氢</w:t>
            </w:r>
            <w:r>
              <w:rPr>
                <w:rFonts w:hint="eastAsia"/>
                <w:color w:val="auto"/>
                <w:lang w:val="en-US" w:eastAsia="zh-CN"/>
              </w:rPr>
              <w:t>执行《合成树脂工业污染物排放标准》(GB31572-2015)表5的大气污染物排放限值标准</w:t>
            </w:r>
            <w:r>
              <w:rPr>
                <w:rFonts w:hint="default"/>
                <w:color w:val="auto"/>
                <w:lang w:val="en-US" w:eastAsia="zh-CN"/>
              </w:rPr>
              <w:t>(即非甲烷总烃≤</w:t>
            </w:r>
            <w:r>
              <w:rPr>
                <w:rFonts w:hint="eastAsia"/>
                <w:color w:val="auto"/>
                <w:lang w:val="en-US" w:eastAsia="zh-CN"/>
              </w:rPr>
              <w:t>60</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，氯化氢</w:t>
            </w:r>
            <w:r>
              <w:rPr>
                <w:rFonts w:hint="default"/>
                <w:color w:val="auto"/>
                <w:lang w:val="en-US" w:eastAsia="zh-CN"/>
              </w:rPr>
              <w:t>≤</w:t>
            </w:r>
            <w:r>
              <w:rPr>
                <w:rFonts w:hint="eastAsia"/>
                <w:color w:val="auto"/>
                <w:lang w:val="en-US" w:eastAsia="zh-CN"/>
              </w:rPr>
              <w:t>2</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）；甲苯参照执行《工业企业挥发性有机物排放标准》（DB35/1782-2018）表1中标准（</w:t>
            </w:r>
            <w:r>
              <w:rPr>
                <w:rFonts w:hint="default"/>
                <w:color w:val="auto"/>
                <w:lang w:val="en-US" w:eastAsia="zh-CN"/>
              </w:rPr>
              <w:t>即</w:t>
            </w:r>
            <w:r>
              <w:rPr>
                <w:rFonts w:hint="eastAsia"/>
                <w:color w:val="auto"/>
                <w:lang w:val="en-US" w:eastAsia="zh-CN"/>
              </w:rPr>
              <w:t>甲苯</w:t>
            </w:r>
            <w:r>
              <w:rPr>
                <w:rFonts w:hint="default"/>
                <w:color w:val="auto"/>
                <w:lang w:val="en-US" w:eastAsia="zh-CN"/>
              </w:rPr>
              <w:t>≤</w:t>
            </w:r>
            <w:r>
              <w:rPr>
                <w:rFonts w:hint="eastAsia"/>
                <w:color w:val="auto"/>
                <w:lang w:val="en-US" w:eastAsia="zh-CN"/>
              </w:rPr>
              <w:t>15</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w:t>
            </w:r>
            <w:r>
              <w:rPr>
                <w:rFonts w:hint="default"/>
                <w:color w:val="auto"/>
                <w:lang w:val="en-US" w:eastAsia="zh-CN"/>
              </w:rPr>
              <w:t>污染物排放速率≤</w:t>
            </w:r>
            <w:r>
              <w:rPr>
                <w:rFonts w:hint="eastAsia"/>
                <w:color w:val="auto"/>
                <w:lang w:val="en-US" w:eastAsia="zh-CN"/>
              </w:rPr>
              <w:t>2.2</w:t>
            </w:r>
            <w:r>
              <w:rPr>
                <w:rFonts w:hint="default"/>
                <w:color w:val="auto"/>
                <w:lang w:val="en-US" w:eastAsia="zh-CN"/>
              </w:rPr>
              <w:t>kg/h)</w:t>
            </w:r>
            <w:r>
              <w:rPr>
                <w:rFonts w:hint="eastAsia"/>
                <w:color w:val="auto"/>
                <w:vertAlign w:val="baseline"/>
                <w:lang w:val="en-US" w:eastAsia="zh-CN"/>
              </w:rPr>
              <w:t>）；</w:t>
            </w:r>
            <w:r>
              <w:rPr>
                <w:rFonts w:hint="eastAsia" w:cs="Times New Roman"/>
                <w:color w:val="auto"/>
                <w:sz w:val="21"/>
                <w:szCs w:val="21"/>
                <w:highlight w:val="none"/>
                <w:lang w:val="en-US" w:eastAsia="zh-CN"/>
              </w:rPr>
              <w:t>苯系物参照</w:t>
            </w:r>
            <w:r>
              <w:rPr>
                <w:rFonts w:hint="eastAsia" w:ascii="Times New Roman" w:hAnsi="Times New Roman" w:cs="Times New Roman"/>
                <w:color w:val="auto"/>
                <w:sz w:val="21"/>
                <w:szCs w:val="21"/>
                <w:highlight w:val="none"/>
                <w:lang w:val="en-US" w:eastAsia="zh-CN"/>
              </w:rPr>
              <w:t>执行</w:t>
            </w:r>
            <w:r>
              <w:rPr>
                <w:rFonts w:hint="default" w:ascii="Times New Roman" w:hAnsi="Times New Roman" w:eastAsia="宋体" w:cs="Times New Roman"/>
                <w:color w:val="auto"/>
                <w:sz w:val="21"/>
                <w:szCs w:val="21"/>
              </w:rPr>
              <w:t>《工业涂装工序挥发性有机物排放标准》(DB35/1783-2018)中表1涉涂装工序的其它行业标准限值</w:t>
            </w:r>
            <w:r>
              <w:rPr>
                <w:rFonts w:hint="default"/>
                <w:color w:val="auto"/>
                <w:lang w:val="en-US" w:eastAsia="zh-CN"/>
              </w:rPr>
              <w:t>(</w:t>
            </w:r>
            <w:r>
              <w:rPr>
                <w:rFonts w:hint="eastAsia"/>
                <w:color w:val="auto"/>
                <w:lang w:val="en-US" w:eastAsia="zh-CN"/>
              </w:rPr>
              <w:t>苯系物</w:t>
            </w:r>
            <w:r>
              <w:rPr>
                <w:rFonts w:hint="default"/>
                <w:color w:val="auto"/>
                <w:lang w:val="en-US" w:eastAsia="zh-CN"/>
              </w:rPr>
              <w:t>≤</w:t>
            </w:r>
            <w:r>
              <w:rPr>
                <w:rFonts w:hint="eastAsia"/>
                <w:color w:val="auto"/>
                <w:lang w:val="en-US" w:eastAsia="zh-CN"/>
              </w:rPr>
              <w:t>30</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w:t>
            </w:r>
            <w:r>
              <w:rPr>
                <w:rFonts w:hint="default"/>
                <w:color w:val="auto"/>
                <w:lang w:val="en-US" w:eastAsia="zh-CN"/>
              </w:rPr>
              <w:t>污染物排放速率≤</w:t>
            </w:r>
            <w:r>
              <w:rPr>
                <w:rFonts w:hint="eastAsia"/>
                <w:color w:val="auto"/>
                <w:lang w:val="en-US" w:eastAsia="zh-CN"/>
              </w:rPr>
              <w:t>6.6</w:t>
            </w:r>
            <w:r>
              <w:rPr>
                <w:rFonts w:hint="default"/>
                <w:color w:val="auto"/>
                <w:lang w:val="en-US" w:eastAsia="zh-CN"/>
              </w:rPr>
              <w:t>kg/h)</w:t>
            </w:r>
            <w:r>
              <w:rPr>
                <w:rFonts w:hint="eastAsia"/>
                <w:color w:val="auto"/>
                <w:lang w:val="en-US" w:eastAsia="zh-CN"/>
              </w:rPr>
              <w:t>；</w:t>
            </w:r>
            <w:r>
              <w:rPr>
                <w:rFonts w:hint="eastAsia" w:cs="Times New Roman"/>
                <w:color w:val="auto"/>
                <w:sz w:val="21"/>
                <w:szCs w:val="21"/>
                <w:highlight w:val="none"/>
                <w:shd w:val="clear" w:color="auto" w:fill="FFFFFF"/>
                <w:vertAlign w:val="baseline"/>
                <w:lang w:val="en-US" w:eastAsia="zh-CN"/>
              </w:rPr>
              <w:t>臭气浓度执行《恶臭污染物排放标准》(GB14554-93)表2标准限值（</w:t>
            </w:r>
            <w:r>
              <w:rPr>
                <w:rFonts w:hint="default" w:ascii="Times New Roman" w:hAnsi="Times New Roman" w:cs="Times New Roman"/>
                <w:color w:val="auto"/>
                <w:sz w:val="21"/>
                <w:szCs w:val="21"/>
                <w:highlight w:val="none"/>
              </w:rPr>
              <w:t>即臭气浓度≤</w:t>
            </w:r>
            <w:r>
              <w:rPr>
                <w:rFonts w:hint="eastAsia" w:ascii="Times New Roman" w:hAnsi="Times New Roman" w:cs="Times New Roman"/>
                <w:color w:val="auto"/>
                <w:sz w:val="21"/>
                <w:szCs w:val="21"/>
                <w:highlight w:val="none"/>
                <w:lang w:val="en-US" w:eastAsia="zh-CN"/>
              </w:rPr>
              <w:t>600</w:t>
            </w:r>
            <w:r>
              <w:rPr>
                <w:rFonts w:hint="default" w:ascii="Times New Roman" w:hAnsi="Times New Roman" w:cs="Times New Roman"/>
                <w:color w:val="auto"/>
                <w:sz w:val="21"/>
                <w:szCs w:val="21"/>
                <w:highlight w:val="none"/>
              </w:rPr>
              <w:t>0(无量纲</w:t>
            </w:r>
            <w:r>
              <w:rPr>
                <w:rFonts w:hint="eastAsia" w:cs="Times New Roman"/>
                <w:color w:val="auto"/>
                <w:sz w:val="21"/>
                <w:szCs w:val="21"/>
                <w:highlight w:val="none"/>
                <w:shd w:val="clear" w:color="auto" w:fill="FFFFFF"/>
                <w:vertAlign w:val="baseline"/>
                <w:lang w:val="en-US" w:eastAsia="zh-CN"/>
              </w:rPr>
              <w:t>）</w:t>
            </w:r>
          </w:p>
        </w:tc>
      </w:tr>
      <w:tr w14:paraId="4E10D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7" w:hRule="atLeast"/>
          <w:jc w:val="center"/>
        </w:trPr>
        <w:tc>
          <w:tcPr>
            <w:tcW w:w="1060" w:type="dxa"/>
            <w:vMerge w:val="continue"/>
            <w:noWrap w:val="0"/>
            <w:vAlign w:val="center"/>
          </w:tcPr>
          <w:p w14:paraId="3848A29B">
            <w:pPr>
              <w:adjustRightInd w:val="0"/>
              <w:snapToGrid w:val="0"/>
              <w:spacing w:line="340" w:lineRule="exact"/>
              <w:jc w:val="center"/>
              <w:rPr>
                <w:color w:val="auto"/>
                <w:szCs w:val="21"/>
              </w:rPr>
            </w:pPr>
          </w:p>
        </w:tc>
        <w:tc>
          <w:tcPr>
            <w:tcW w:w="1170" w:type="dxa"/>
            <w:noWrap w:val="0"/>
            <w:vAlign w:val="center"/>
          </w:tcPr>
          <w:p w14:paraId="5A0399DA">
            <w:pPr>
              <w:adjustRightInd w:val="0"/>
              <w:snapToGrid w:val="0"/>
              <w:jc w:val="center"/>
              <w:rPr>
                <w:color w:val="auto"/>
                <w:sz w:val="21"/>
                <w:szCs w:val="21"/>
              </w:rPr>
            </w:pPr>
            <w:r>
              <w:rPr>
                <w:rFonts w:hint="eastAsia"/>
                <w:color w:val="auto"/>
                <w:sz w:val="21"/>
                <w:szCs w:val="21"/>
              </w:rPr>
              <w:t>厂界无组织</w:t>
            </w:r>
          </w:p>
        </w:tc>
        <w:tc>
          <w:tcPr>
            <w:tcW w:w="1118" w:type="dxa"/>
            <w:noWrap w:val="0"/>
            <w:vAlign w:val="center"/>
          </w:tcPr>
          <w:p w14:paraId="6D1F802B">
            <w:pPr>
              <w:adjustRightInd w:val="0"/>
              <w:snapToGrid w:val="0"/>
              <w:jc w:val="center"/>
              <w:rPr>
                <w:rFonts w:hint="default" w:eastAsia="宋体"/>
                <w:color w:val="auto"/>
                <w:sz w:val="21"/>
                <w:szCs w:val="21"/>
                <w:lang w:val="en-US" w:eastAsia="zh-CN"/>
              </w:rPr>
            </w:pPr>
            <w:r>
              <w:rPr>
                <w:rFonts w:hint="eastAsia"/>
                <w:color w:val="auto"/>
                <w:sz w:val="21"/>
                <w:szCs w:val="21"/>
              </w:rPr>
              <w:t>非甲烷总烃、颗粒物</w:t>
            </w:r>
            <w:r>
              <w:rPr>
                <w:rFonts w:hint="eastAsia"/>
                <w:color w:val="auto"/>
                <w:sz w:val="21"/>
                <w:szCs w:val="21"/>
                <w:lang w:eastAsia="zh-CN"/>
              </w:rPr>
              <w:t>、</w:t>
            </w:r>
            <w:r>
              <w:rPr>
                <w:rFonts w:hint="eastAsia"/>
                <w:color w:val="auto"/>
                <w:sz w:val="21"/>
                <w:szCs w:val="21"/>
                <w:lang w:val="en-US" w:eastAsia="zh-CN"/>
              </w:rPr>
              <w:t>臭气浓度、氯化氢、甲苯</w:t>
            </w:r>
          </w:p>
        </w:tc>
        <w:tc>
          <w:tcPr>
            <w:tcW w:w="2260" w:type="dxa"/>
            <w:noWrap w:val="0"/>
            <w:vAlign w:val="center"/>
          </w:tcPr>
          <w:p w14:paraId="0A4190FD">
            <w:pPr>
              <w:adjustRightInd w:val="0"/>
              <w:snapToGrid w:val="0"/>
              <w:jc w:val="center"/>
              <w:rPr>
                <w:rFonts w:hint="eastAsia" w:eastAsia="宋体"/>
                <w:color w:val="auto"/>
                <w:sz w:val="21"/>
                <w:szCs w:val="21"/>
                <w:lang w:eastAsia="zh-CN"/>
              </w:rPr>
            </w:pPr>
            <w:r>
              <w:rPr>
                <w:rFonts w:hint="eastAsia"/>
                <w:color w:val="auto"/>
                <w:sz w:val="21"/>
                <w:szCs w:val="21"/>
              </w:rPr>
              <w:t>破碎粉尘经袋式除尘器处理达标后于车间内无组织排放焊接烟尘经移动式烟尘净化器处理达标后于车间内无组织排放</w:t>
            </w:r>
            <w:r>
              <w:rPr>
                <w:rFonts w:hint="eastAsia"/>
                <w:color w:val="auto"/>
                <w:sz w:val="21"/>
                <w:szCs w:val="21"/>
                <w:lang w:eastAsia="zh-CN"/>
              </w:rPr>
              <w:t>；</w:t>
            </w:r>
            <w:r>
              <w:rPr>
                <w:rFonts w:hint="eastAsia"/>
                <w:color w:val="auto"/>
                <w:sz w:val="21"/>
                <w:szCs w:val="21"/>
              </w:rPr>
              <w:t>车间阻隔</w:t>
            </w:r>
          </w:p>
        </w:tc>
        <w:tc>
          <w:tcPr>
            <w:tcW w:w="3192" w:type="dxa"/>
            <w:noWrap w:val="0"/>
            <w:vAlign w:val="center"/>
          </w:tcPr>
          <w:p w14:paraId="41AED3AF">
            <w:pPr>
              <w:adjustRightInd w:val="0"/>
              <w:snapToGrid w:val="0"/>
              <w:jc w:val="center"/>
              <w:rPr>
                <w:color w:val="auto"/>
                <w:sz w:val="21"/>
                <w:szCs w:val="21"/>
              </w:rPr>
            </w:pPr>
            <w:r>
              <w:rPr>
                <w:rFonts w:hint="eastAsia"/>
                <w:color w:val="auto"/>
                <w:kern w:val="0"/>
                <w:sz w:val="21"/>
                <w:szCs w:val="21"/>
                <w:highlight w:val="none"/>
                <w:lang w:val="en-US" w:eastAsia="zh-CN"/>
              </w:rPr>
              <w:t>颗粒物</w:t>
            </w:r>
            <w:r>
              <w:rPr>
                <w:rFonts w:hint="eastAsia"/>
                <w:color w:val="auto"/>
                <w:kern w:val="0"/>
                <w:sz w:val="21"/>
                <w:szCs w:val="21"/>
                <w:highlight w:val="none"/>
              </w:rPr>
              <w:t>执行《大气污染物综合排放标准》（GB16297-1996）表2中无组织排放监控浓度限值</w:t>
            </w:r>
            <w:r>
              <w:rPr>
                <w:color w:val="auto"/>
                <w:sz w:val="21"/>
                <w:szCs w:val="21"/>
                <w:highlight w:val="none"/>
                <w:shd w:val="clear" w:color="auto" w:fill="FFFFFF"/>
              </w:rPr>
              <w:t>(</w:t>
            </w:r>
            <w:r>
              <w:rPr>
                <w:rFonts w:hint="default"/>
                <w:color w:val="auto"/>
                <w:highlight w:val="none"/>
                <w:lang w:val="en-US" w:eastAsia="zh-CN"/>
              </w:rPr>
              <w:t>即</w:t>
            </w:r>
            <w:r>
              <w:rPr>
                <w:rFonts w:hint="eastAsia"/>
                <w:color w:val="auto"/>
                <w:sz w:val="21"/>
                <w:szCs w:val="21"/>
                <w:highlight w:val="none"/>
                <w:shd w:val="clear" w:color="auto" w:fill="FFFFFF"/>
              </w:rPr>
              <w:t>颗粒物</w:t>
            </w:r>
            <w:r>
              <w:rPr>
                <w:color w:val="auto"/>
                <w:sz w:val="21"/>
                <w:szCs w:val="21"/>
                <w:highlight w:val="none"/>
              </w:rPr>
              <w:t>≤1.0</w:t>
            </w:r>
            <w:r>
              <w:rPr>
                <w:color w:val="auto"/>
                <w:sz w:val="21"/>
                <w:szCs w:val="21"/>
                <w:highlight w:val="none"/>
                <w:shd w:val="clear" w:color="auto" w:fill="FFFFFF"/>
              </w:rPr>
              <w:t>mg/m</w:t>
            </w:r>
            <w:r>
              <w:rPr>
                <w:color w:val="auto"/>
                <w:sz w:val="21"/>
                <w:szCs w:val="21"/>
                <w:highlight w:val="none"/>
                <w:shd w:val="clear" w:color="auto" w:fill="FFFFFF"/>
                <w:vertAlign w:val="superscript"/>
              </w:rPr>
              <w:t>3</w:t>
            </w:r>
            <w:r>
              <w:rPr>
                <w:rFonts w:hint="eastAsia"/>
                <w:color w:val="auto"/>
                <w:kern w:val="0"/>
                <w:sz w:val="21"/>
                <w:szCs w:val="21"/>
                <w:highlight w:val="none"/>
                <w:lang w:eastAsia="zh-CN"/>
              </w:rPr>
              <w:t>）；</w:t>
            </w:r>
            <w:r>
              <w:rPr>
                <w:rFonts w:hint="eastAsia"/>
                <w:color w:val="auto"/>
                <w:sz w:val="21"/>
                <w:szCs w:val="21"/>
                <w:highlight w:val="none"/>
                <w:shd w:val="clear" w:color="auto" w:fill="FFFFFF"/>
                <w:lang w:val="en-US" w:eastAsia="zh-CN"/>
              </w:rPr>
              <w:t>臭气浓度执行</w:t>
            </w:r>
            <w:r>
              <w:rPr>
                <w:rFonts w:hint="eastAsia"/>
                <w:color w:val="auto"/>
                <w:sz w:val="21"/>
                <w:szCs w:val="21"/>
                <w:highlight w:val="none"/>
                <w:lang w:eastAsia="zh-CN"/>
              </w:rPr>
              <w:t>《恶臭污染物排放标准》(GB14554-93)表1（</w:t>
            </w:r>
            <w:r>
              <w:rPr>
                <w:rFonts w:hint="eastAsia"/>
                <w:color w:val="auto"/>
                <w:sz w:val="21"/>
                <w:szCs w:val="21"/>
                <w:highlight w:val="none"/>
                <w:lang w:val="en-US" w:eastAsia="zh-CN"/>
              </w:rPr>
              <w:t>即</w:t>
            </w:r>
            <w:r>
              <w:rPr>
                <w:rFonts w:hint="eastAsia"/>
                <w:color w:val="auto"/>
                <w:sz w:val="21"/>
                <w:szCs w:val="21"/>
                <w:highlight w:val="none"/>
                <w:shd w:val="clear" w:color="auto" w:fill="FFFFFF"/>
                <w:lang w:val="en-US" w:eastAsia="zh-CN"/>
              </w:rPr>
              <w:t>臭气浓度</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(无量纲</w:t>
            </w:r>
            <w:r>
              <w:rPr>
                <w:rFonts w:hint="eastAsia" w:cs="Times New Roman"/>
                <w:color w:val="auto"/>
                <w:sz w:val="21"/>
                <w:szCs w:val="21"/>
                <w:highlight w:val="none"/>
                <w:shd w:val="clear" w:color="auto" w:fill="FFFFFF"/>
                <w:vertAlign w:val="baseline"/>
                <w:lang w:val="en-US" w:eastAsia="zh-CN"/>
              </w:rPr>
              <w:t>）</w:t>
            </w:r>
            <w:r>
              <w:rPr>
                <w:rFonts w:hint="eastAsia"/>
                <w:color w:val="auto"/>
                <w:sz w:val="21"/>
                <w:szCs w:val="21"/>
                <w:highlight w:val="none"/>
                <w:lang w:eastAsia="zh-CN"/>
              </w:rPr>
              <w:t>）、</w:t>
            </w:r>
            <w:r>
              <w:rPr>
                <w:rFonts w:hint="eastAsia"/>
                <w:color w:val="auto"/>
                <w:sz w:val="21"/>
                <w:szCs w:val="21"/>
                <w:highlight w:val="none"/>
                <w:lang w:val="en-US" w:eastAsia="zh-CN"/>
              </w:rPr>
              <w:t>非甲烷总烃、氯化氢执行</w:t>
            </w:r>
            <w:r>
              <w:rPr>
                <w:rFonts w:hint="eastAsia"/>
                <w:color w:val="auto"/>
                <w:sz w:val="21"/>
                <w:szCs w:val="21"/>
                <w:highlight w:val="none"/>
                <w:lang w:eastAsia="zh-CN"/>
              </w:rPr>
              <w:t>《合成树脂工业污染物排放标准》(GB31572-2015)表9企业边界大气污染物浓度限值（</w:t>
            </w:r>
            <w:r>
              <w:rPr>
                <w:rFonts w:hint="eastAsia"/>
                <w:color w:val="auto"/>
                <w:sz w:val="21"/>
                <w:szCs w:val="21"/>
                <w:highlight w:val="none"/>
                <w:lang w:val="en-US" w:eastAsia="zh-CN"/>
              </w:rPr>
              <w:t>即</w:t>
            </w:r>
            <w:r>
              <w:rPr>
                <w:color w:val="auto"/>
                <w:sz w:val="21"/>
                <w:szCs w:val="21"/>
                <w:highlight w:val="none"/>
              </w:rPr>
              <w:t>非甲烷总烃≤</w:t>
            </w:r>
            <w:r>
              <w:rPr>
                <w:rFonts w:hint="eastAsia"/>
                <w:color w:val="auto"/>
                <w:sz w:val="21"/>
                <w:szCs w:val="21"/>
                <w:highlight w:val="none"/>
                <w:lang w:val="en-US" w:eastAsia="zh-CN"/>
              </w:rPr>
              <w:t>4</w:t>
            </w:r>
            <w:r>
              <w:rPr>
                <w:color w:val="auto"/>
                <w:sz w:val="21"/>
                <w:szCs w:val="21"/>
                <w:highlight w:val="none"/>
              </w:rPr>
              <w:t>.0mg/m</w:t>
            </w:r>
            <w:r>
              <w:rPr>
                <w:color w:val="auto"/>
                <w:sz w:val="21"/>
                <w:szCs w:val="21"/>
                <w:highlight w:val="none"/>
                <w:vertAlign w:val="superscript"/>
              </w:rPr>
              <w:t>3</w:t>
            </w:r>
            <w:r>
              <w:rPr>
                <w:rFonts w:hint="eastAsia"/>
                <w:color w:val="auto"/>
                <w:sz w:val="21"/>
                <w:szCs w:val="21"/>
                <w:highlight w:val="none"/>
                <w:shd w:val="clear" w:color="auto" w:fill="FFFFFF"/>
              </w:rPr>
              <w:t>，</w:t>
            </w:r>
            <w:r>
              <w:rPr>
                <w:rFonts w:hint="eastAsia"/>
                <w:color w:val="auto"/>
                <w:sz w:val="21"/>
                <w:szCs w:val="21"/>
                <w:highlight w:val="none"/>
                <w:shd w:val="clear" w:color="auto" w:fill="FFFFFF"/>
                <w:lang w:val="en-US" w:eastAsia="zh-CN"/>
              </w:rPr>
              <w:t>氯化氢</w:t>
            </w:r>
            <w:r>
              <w:rPr>
                <w:color w:val="auto"/>
                <w:sz w:val="21"/>
                <w:szCs w:val="21"/>
                <w:highlight w:val="none"/>
              </w:rPr>
              <w:t>≤</w:t>
            </w:r>
            <w:r>
              <w:rPr>
                <w:rFonts w:hint="eastAsia"/>
                <w:color w:val="auto"/>
                <w:sz w:val="21"/>
                <w:szCs w:val="21"/>
                <w:highlight w:val="none"/>
                <w:lang w:val="en-US" w:eastAsia="zh-CN"/>
              </w:rPr>
              <w:t>0.2</w:t>
            </w:r>
            <w:r>
              <w:rPr>
                <w:color w:val="auto"/>
                <w:sz w:val="21"/>
                <w:szCs w:val="21"/>
                <w:highlight w:val="none"/>
                <w:shd w:val="clear" w:color="auto" w:fill="FFFFFF"/>
              </w:rPr>
              <w:t>mg/m</w:t>
            </w:r>
            <w:r>
              <w:rPr>
                <w:color w:val="auto"/>
                <w:sz w:val="21"/>
                <w:szCs w:val="21"/>
                <w:highlight w:val="none"/>
                <w:shd w:val="clear" w:color="auto" w:fill="FFFFFF"/>
                <w:vertAlign w:val="superscript"/>
              </w:rPr>
              <w:t>3</w:t>
            </w:r>
            <w:r>
              <w:rPr>
                <w:rFonts w:hint="eastAsia"/>
                <w:color w:val="auto"/>
                <w:sz w:val="21"/>
                <w:szCs w:val="21"/>
                <w:highlight w:val="none"/>
                <w:lang w:eastAsia="zh-CN"/>
              </w:rPr>
              <w:t>）、</w:t>
            </w:r>
            <w:r>
              <w:rPr>
                <w:rFonts w:hint="eastAsia"/>
                <w:color w:val="auto"/>
                <w:sz w:val="21"/>
                <w:szCs w:val="21"/>
                <w:highlight w:val="none"/>
                <w:lang w:val="en-US" w:eastAsia="zh-CN"/>
              </w:rPr>
              <w:t>甲苯参照执行</w:t>
            </w:r>
            <w:r>
              <w:rPr>
                <w:rFonts w:hint="eastAsia"/>
                <w:color w:val="auto"/>
                <w:sz w:val="21"/>
                <w:szCs w:val="21"/>
                <w:highlight w:val="none"/>
                <w:lang w:eastAsia="zh-CN"/>
              </w:rPr>
              <w:t>《工业企业挥发性有机物排放标准》（DB35/1782-2018）表3企业边界监控点浓度限值</w:t>
            </w:r>
            <w:r>
              <w:rPr>
                <w:color w:val="auto"/>
                <w:sz w:val="21"/>
                <w:szCs w:val="21"/>
                <w:highlight w:val="none"/>
                <w:shd w:val="clear" w:color="auto" w:fill="FFFFFF"/>
              </w:rPr>
              <w:t>(</w:t>
            </w:r>
            <w:r>
              <w:rPr>
                <w:rFonts w:hint="eastAsia"/>
                <w:color w:val="auto"/>
                <w:sz w:val="21"/>
                <w:szCs w:val="21"/>
                <w:highlight w:val="none"/>
                <w:shd w:val="clear" w:color="auto" w:fill="FFFFFF"/>
                <w:lang w:val="en-US" w:eastAsia="zh-CN"/>
              </w:rPr>
              <w:t>即</w:t>
            </w:r>
            <w:r>
              <w:rPr>
                <w:rFonts w:hint="eastAsia"/>
                <w:color w:val="auto"/>
                <w:sz w:val="21"/>
                <w:szCs w:val="21"/>
                <w:highlight w:val="none"/>
                <w:vertAlign w:val="baseline"/>
                <w:lang w:val="en-US" w:eastAsia="zh-CN"/>
              </w:rPr>
              <w:t>甲苯</w:t>
            </w:r>
            <w:r>
              <w:rPr>
                <w:color w:val="auto"/>
                <w:sz w:val="21"/>
                <w:szCs w:val="21"/>
                <w:highlight w:val="none"/>
              </w:rPr>
              <w:t>≤</w:t>
            </w:r>
            <w:r>
              <w:rPr>
                <w:rFonts w:hint="eastAsia"/>
                <w:color w:val="auto"/>
                <w:sz w:val="21"/>
                <w:szCs w:val="21"/>
                <w:highlight w:val="none"/>
                <w:lang w:val="en-US" w:eastAsia="zh-CN"/>
              </w:rPr>
              <w:t>0.6</w:t>
            </w:r>
            <w:r>
              <w:rPr>
                <w:color w:val="auto"/>
                <w:sz w:val="21"/>
                <w:szCs w:val="21"/>
                <w:highlight w:val="none"/>
                <w:shd w:val="clear" w:color="auto" w:fill="FFFFFF"/>
              </w:rPr>
              <w:t>mg/m</w:t>
            </w:r>
            <w:r>
              <w:rPr>
                <w:color w:val="auto"/>
                <w:sz w:val="21"/>
                <w:szCs w:val="21"/>
                <w:highlight w:val="none"/>
                <w:shd w:val="clear" w:color="auto" w:fill="FFFFFF"/>
                <w:vertAlign w:val="superscript"/>
              </w:rPr>
              <w:t>3</w:t>
            </w:r>
            <w:r>
              <w:rPr>
                <w:color w:val="auto"/>
                <w:sz w:val="21"/>
                <w:szCs w:val="21"/>
                <w:highlight w:val="none"/>
                <w:shd w:val="clear" w:color="auto" w:fill="FFFFFF"/>
              </w:rPr>
              <w:t>)</w:t>
            </w:r>
          </w:p>
        </w:tc>
      </w:tr>
      <w:tr w14:paraId="78E87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261061CD">
            <w:pPr>
              <w:adjustRightInd w:val="0"/>
              <w:snapToGrid w:val="0"/>
              <w:spacing w:line="340" w:lineRule="exact"/>
              <w:jc w:val="center"/>
              <w:rPr>
                <w:color w:val="auto"/>
                <w:szCs w:val="21"/>
              </w:rPr>
            </w:pPr>
          </w:p>
        </w:tc>
        <w:tc>
          <w:tcPr>
            <w:tcW w:w="1170" w:type="dxa"/>
            <w:noWrap w:val="0"/>
            <w:vAlign w:val="center"/>
          </w:tcPr>
          <w:p w14:paraId="040B6E32">
            <w:pPr>
              <w:adjustRightInd w:val="0"/>
              <w:snapToGrid w:val="0"/>
              <w:spacing w:line="340" w:lineRule="exact"/>
              <w:jc w:val="center"/>
              <w:rPr>
                <w:rFonts w:hint="eastAsia"/>
                <w:color w:val="auto"/>
                <w:szCs w:val="21"/>
              </w:rPr>
            </w:pPr>
            <w:r>
              <w:rPr>
                <w:rFonts w:hint="eastAsia"/>
                <w:color w:val="auto"/>
                <w:szCs w:val="21"/>
              </w:rPr>
              <w:t>厂内</w:t>
            </w:r>
          </w:p>
          <w:p w14:paraId="254DD3FE">
            <w:pPr>
              <w:adjustRightInd w:val="0"/>
              <w:snapToGrid w:val="0"/>
              <w:spacing w:line="340" w:lineRule="exact"/>
              <w:jc w:val="center"/>
              <w:rPr>
                <w:rFonts w:hint="eastAsia"/>
                <w:color w:val="auto"/>
                <w:szCs w:val="21"/>
              </w:rPr>
            </w:pPr>
            <w:r>
              <w:rPr>
                <w:rFonts w:hint="eastAsia"/>
                <w:color w:val="auto"/>
                <w:szCs w:val="21"/>
              </w:rPr>
              <w:t>无组织</w:t>
            </w:r>
          </w:p>
        </w:tc>
        <w:tc>
          <w:tcPr>
            <w:tcW w:w="1118" w:type="dxa"/>
            <w:noWrap w:val="0"/>
            <w:vAlign w:val="center"/>
          </w:tcPr>
          <w:p w14:paraId="1B5C3F0A">
            <w:pPr>
              <w:adjustRightInd w:val="0"/>
              <w:snapToGrid w:val="0"/>
              <w:spacing w:line="340" w:lineRule="exact"/>
              <w:jc w:val="center"/>
              <w:rPr>
                <w:rFonts w:hint="eastAsia"/>
                <w:color w:val="auto"/>
                <w:szCs w:val="21"/>
              </w:rPr>
            </w:pPr>
            <w:r>
              <w:rPr>
                <w:rFonts w:hint="eastAsia"/>
                <w:color w:val="auto"/>
                <w:szCs w:val="21"/>
              </w:rPr>
              <w:t>非甲烷</w:t>
            </w:r>
          </w:p>
          <w:p w14:paraId="0781B104">
            <w:pPr>
              <w:adjustRightInd w:val="0"/>
              <w:snapToGrid w:val="0"/>
              <w:spacing w:line="340" w:lineRule="exact"/>
              <w:jc w:val="center"/>
              <w:rPr>
                <w:rFonts w:hint="eastAsia"/>
                <w:bCs/>
                <w:color w:val="auto"/>
                <w:szCs w:val="21"/>
              </w:rPr>
            </w:pPr>
            <w:r>
              <w:rPr>
                <w:rFonts w:hint="eastAsia"/>
                <w:color w:val="auto"/>
                <w:szCs w:val="21"/>
              </w:rPr>
              <w:t>总烃</w:t>
            </w:r>
          </w:p>
        </w:tc>
        <w:tc>
          <w:tcPr>
            <w:tcW w:w="2260" w:type="dxa"/>
            <w:noWrap w:val="0"/>
            <w:vAlign w:val="center"/>
          </w:tcPr>
          <w:p w14:paraId="006BA17F">
            <w:pPr>
              <w:keepNext w:val="0"/>
              <w:keepLines w:val="0"/>
              <w:pageBreakBefore w:val="0"/>
              <w:widowControl w:val="0"/>
              <w:kinsoku/>
              <w:wordWrap/>
              <w:overflowPunct/>
              <w:topLinePunct w:val="0"/>
              <w:bidi w:val="0"/>
              <w:adjustRightInd w:val="0"/>
              <w:snapToGrid w:val="0"/>
              <w:spacing w:line="340" w:lineRule="exact"/>
              <w:jc w:val="center"/>
              <w:textAlignment w:val="auto"/>
              <w:rPr>
                <w:color w:val="auto"/>
                <w:szCs w:val="21"/>
              </w:rPr>
            </w:pPr>
            <w:r>
              <w:rPr>
                <w:rFonts w:hint="default" w:ascii="Times New Roman" w:hAnsi="Times New Roman" w:eastAsia="宋体" w:cs="Times New Roman"/>
                <w:color w:val="auto"/>
                <w:kern w:val="0"/>
                <w:sz w:val="21"/>
                <w:szCs w:val="21"/>
                <w:highlight w:val="none"/>
                <w:lang w:val="en-US" w:eastAsia="zh-CN" w:bidi="he-IL"/>
              </w:rPr>
              <w:t>加强有机废气的收集</w:t>
            </w:r>
            <w:r>
              <w:rPr>
                <w:rFonts w:hint="eastAsia" w:ascii="Times New Roman" w:hAnsi="Times New Roman" w:cs="Times New Roman"/>
                <w:color w:val="auto"/>
                <w:kern w:val="0"/>
                <w:sz w:val="21"/>
                <w:szCs w:val="21"/>
                <w:highlight w:val="none"/>
                <w:lang w:val="en-US" w:eastAsia="zh-CN" w:bidi="he-IL"/>
              </w:rPr>
              <w:t>、定期对废气设施进行</w:t>
            </w:r>
            <w:r>
              <w:rPr>
                <w:rFonts w:hint="default" w:ascii="Times New Roman" w:hAnsi="Times New Roman" w:eastAsia="宋体" w:cs="Times New Roman"/>
                <w:color w:val="auto"/>
                <w:kern w:val="0"/>
                <w:sz w:val="21"/>
                <w:szCs w:val="21"/>
                <w:highlight w:val="none"/>
                <w:lang w:val="en-US" w:eastAsia="zh-CN" w:bidi="he-IL"/>
              </w:rPr>
              <w:t>维护保养</w:t>
            </w:r>
            <w:r>
              <w:rPr>
                <w:rFonts w:hint="eastAsia" w:ascii="Times New Roman" w:hAnsi="Times New Roman" w:eastAsia="宋体" w:cs="Times New Roman"/>
                <w:color w:val="auto"/>
                <w:kern w:val="0"/>
                <w:sz w:val="21"/>
                <w:szCs w:val="21"/>
                <w:highlight w:val="none"/>
                <w:lang w:val="en-US" w:eastAsia="zh-CN" w:bidi="he-IL"/>
              </w:rPr>
              <w:t>等</w:t>
            </w:r>
          </w:p>
        </w:tc>
        <w:tc>
          <w:tcPr>
            <w:tcW w:w="3192" w:type="dxa"/>
            <w:noWrap w:val="0"/>
            <w:vAlign w:val="center"/>
          </w:tcPr>
          <w:p w14:paraId="309A1B53">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color w:val="auto"/>
                <w:szCs w:val="21"/>
              </w:rPr>
            </w:pPr>
            <w:r>
              <w:rPr>
                <w:rFonts w:hint="default" w:ascii="Times New Roman" w:hAnsi="Times New Roman" w:eastAsia="宋体" w:cs="Times New Roman"/>
                <w:color w:val="auto"/>
                <w:sz w:val="21"/>
                <w:szCs w:val="21"/>
                <w:highlight w:val="none"/>
                <w:u w:val="none"/>
                <w:lang w:val="en-US" w:eastAsia="zh-CN" w:bidi="he-IL"/>
              </w:rPr>
              <w:t>《挥发性有机物无组织排放控制标准》（GB 37822</w:t>
            </w:r>
            <w:r>
              <w:rPr>
                <w:rFonts w:hint="eastAsia" w:ascii="Times New Roman" w:hAnsi="Times New Roman"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u w:val="none"/>
                <w:lang w:val="en-US" w:eastAsia="zh-CN" w:bidi="he-IL"/>
              </w:rPr>
              <w:t>2019）表A.1特别排放</w:t>
            </w:r>
            <w:r>
              <w:rPr>
                <w:rFonts w:hint="eastAsia" w:ascii="Times New Roman" w:hAnsi="Times New Roman" w:eastAsia="宋体" w:cs="Times New Roman"/>
                <w:color w:val="auto"/>
                <w:sz w:val="21"/>
                <w:szCs w:val="21"/>
                <w:highlight w:val="none"/>
                <w:u w:val="none"/>
                <w:lang w:val="en-US" w:eastAsia="zh-CN" w:bidi="he-IL"/>
              </w:rPr>
              <w:t>（</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cs="Times New Roman"/>
                <w:color w:val="auto"/>
                <w:sz w:val="21"/>
                <w:szCs w:val="21"/>
                <w:highlight w:val="none"/>
                <w:lang w:val="en-US" w:eastAsia="zh-CN"/>
              </w:rPr>
              <w:t>监控点1h平均浓度值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cs="Times New Roman"/>
                <w:color w:val="auto"/>
                <w:sz w:val="21"/>
                <w:szCs w:val="21"/>
                <w:highlight w:val="none"/>
                <w:lang w:val="en-US" w:eastAsia="zh-CN"/>
              </w:rPr>
              <w:t>非甲烷总烃≤</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)；厂区内监控点任意一次浓度值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eastAsia="宋体" w:cs="Times New Roman"/>
                <w:color w:val="auto"/>
                <w:sz w:val="21"/>
                <w:szCs w:val="21"/>
                <w:highlight w:val="none"/>
                <w:lang w:val="en-US" w:eastAsia="zh-CN"/>
              </w:rPr>
              <w:t>(非</w:t>
            </w:r>
            <w:r>
              <w:rPr>
                <w:rFonts w:hint="default" w:ascii="Times New Roman" w:hAnsi="Times New Roman" w:cs="Times New Roman"/>
                <w:color w:val="auto"/>
                <w:sz w:val="21"/>
                <w:szCs w:val="21"/>
                <w:highlight w:val="none"/>
                <w:lang w:val="en-US" w:eastAsia="zh-CN"/>
              </w:rPr>
              <w:t>甲烷总烃≤</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r>
      <w:tr w14:paraId="57429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7AD61B45">
            <w:pPr>
              <w:adjustRightInd w:val="0"/>
              <w:snapToGrid w:val="0"/>
              <w:spacing w:line="340" w:lineRule="exact"/>
              <w:jc w:val="center"/>
              <w:rPr>
                <w:color w:val="auto"/>
                <w:szCs w:val="21"/>
              </w:rPr>
            </w:pPr>
            <w:r>
              <w:rPr>
                <w:color w:val="auto"/>
                <w:szCs w:val="21"/>
              </w:rPr>
              <w:t>地表水</w:t>
            </w:r>
          </w:p>
          <w:p w14:paraId="4920E017">
            <w:pPr>
              <w:adjustRightInd w:val="0"/>
              <w:snapToGrid w:val="0"/>
              <w:spacing w:line="340" w:lineRule="exact"/>
              <w:jc w:val="center"/>
              <w:rPr>
                <w:color w:val="auto"/>
                <w:szCs w:val="21"/>
              </w:rPr>
            </w:pPr>
            <w:r>
              <w:rPr>
                <w:color w:val="auto"/>
                <w:szCs w:val="21"/>
              </w:rPr>
              <w:t>环境</w:t>
            </w:r>
          </w:p>
        </w:tc>
        <w:tc>
          <w:tcPr>
            <w:tcW w:w="1170" w:type="dxa"/>
            <w:noWrap w:val="0"/>
            <w:vAlign w:val="center"/>
          </w:tcPr>
          <w:p w14:paraId="440D8B43">
            <w:pPr>
              <w:adjustRightInd w:val="0"/>
              <w:snapToGrid w:val="0"/>
              <w:spacing w:line="340" w:lineRule="exact"/>
              <w:jc w:val="center"/>
              <w:rPr>
                <w:rFonts w:hint="eastAsia"/>
                <w:color w:val="auto"/>
                <w:szCs w:val="21"/>
              </w:rPr>
            </w:pPr>
            <w:r>
              <w:rPr>
                <w:rFonts w:hint="eastAsia"/>
                <w:color w:val="auto"/>
                <w:szCs w:val="21"/>
              </w:rPr>
              <w:t>DW001</w:t>
            </w:r>
          </w:p>
          <w:p w14:paraId="7B9E5511">
            <w:pPr>
              <w:adjustRightInd w:val="0"/>
              <w:snapToGrid w:val="0"/>
              <w:spacing w:line="340" w:lineRule="exact"/>
              <w:jc w:val="center"/>
              <w:rPr>
                <w:color w:val="auto"/>
                <w:szCs w:val="21"/>
              </w:rPr>
            </w:pPr>
            <w:r>
              <w:rPr>
                <w:rFonts w:hint="eastAsia"/>
                <w:color w:val="auto"/>
                <w:szCs w:val="21"/>
              </w:rPr>
              <w:t>(厂区污水总排口)</w:t>
            </w:r>
          </w:p>
        </w:tc>
        <w:tc>
          <w:tcPr>
            <w:tcW w:w="1118" w:type="dxa"/>
            <w:noWrap w:val="0"/>
            <w:vAlign w:val="center"/>
          </w:tcPr>
          <w:p w14:paraId="6C61AA1D">
            <w:pPr>
              <w:adjustRightInd w:val="0"/>
              <w:snapToGrid w:val="0"/>
              <w:spacing w:line="340" w:lineRule="exact"/>
              <w:jc w:val="center"/>
              <w:rPr>
                <w:rFonts w:hint="default"/>
                <w:color w:val="auto"/>
                <w:szCs w:val="21"/>
                <w:lang w:val="en-US"/>
              </w:rPr>
            </w:pPr>
            <w:r>
              <w:rPr>
                <w:color w:val="auto"/>
                <w:szCs w:val="21"/>
              </w:rPr>
              <w:t>pH、COD、BOD</w:t>
            </w:r>
            <w:r>
              <w:rPr>
                <w:color w:val="auto"/>
                <w:szCs w:val="21"/>
                <w:vertAlign w:val="subscript"/>
              </w:rPr>
              <w:t>5</w:t>
            </w:r>
            <w:r>
              <w:rPr>
                <w:color w:val="auto"/>
                <w:szCs w:val="21"/>
              </w:rPr>
              <w:t>、悬浮物、氨氮</w:t>
            </w:r>
          </w:p>
        </w:tc>
        <w:tc>
          <w:tcPr>
            <w:tcW w:w="2260" w:type="dxa"/>
            <w:noWrap w:val="0"/>
            <w:vAlign w:val="center"/>
          </w:tcPr>
          <w:p w14:paraId="48C88EDD">
            <w:pPr>
              <w:adjustRightInd w:val="0"/>
              <w:snapToGrid w:val="0"/>
              <w:spacing w:line="340" w:lineRule="exact"/>
              <w:jc w:val="center"/>
              <w:rPr>
                <w:color w:val="auto"/>
                <w:szCs w:val="21"/>
              </w:rPr>
            </w:pPr>
            <w:r>
              <w:rPr>
                <w:rFonts w:hint="default" w:ascii="Times New Roman" w:hAnsi="Times New Roman" w:eastAsia="宋体" w:cs="Times New Roman"/>
                <w:color w:val="auto"/>
                <w:sz w:val="21"/>
                <w:szCs w:val="21"/>
                <w:highlight w:val="none"/>
                <w:lang w:eastAsia="zh-CN"/>
              </w:rPr>
              <w:t>生活污水</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化粪池预处理后排入</w:t>
            </w:r>
            <w:r>
              <w:rPr>
                <w:rFonts w:hint="eastAsia" w:ascii="Times New Roman" w:hAnsi="Times New Roman" w:eastAsia="宋体" w:cs="Times New Roman"/>
                <w:color w:val="auto"/>
                <w:sz w:val="21"/>
                <w:szCs w:val="21"/>
                <w:highlight w:val="none"/>
                <w:lang w:eastAsia="zh-CN"/>
              </w:rPr>
              <w:t>污水管网</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最终统一</w:t>
            </w:r>
            <w:r>
              <w:rPr>
                <w:rFonts w:hint="default" w:ascii="Times New Roman" w:hAnsi="Times New Roman" w:eastAsia="宋体" w:cs="Times New Roman"/>
                <w:color w:val="auto"/>
                <w:sz w:val="21"/>
                <w:szCs w:val="21"/>
                <w:highlight w:val="none"/>
                <w:lang w:eastAsia="zh-CN"/>
              </w:rPr>
              <w:t>送往</w:t>
            </w:r>
            <w:r>
              <w:rPr>
                <w:rFonts w:hint="eastAsia" w:cs="Times New Roman"/>
                <w:color w:val="auto"/>
                <w:sz w:val="21"/>
                <w:szCs w:val="21"/>
                <w:highlight w:val="none"/>
                <w:lang w:eastAsia="zh-CN"/>
              </w:rPr>
              <w:t>福清市融元污水处理厂</w:t>
            </w:r>
          </w:p>
        </w:tc>
        <w:tc>
          <w:tcPr>
            <w:tcW w:w="3192" w:type="dxa"/>
            <w:noWrap w:val="0"/>
            <w:vAlign w:val="center"/>
          </w:tcPr>
          <w:p w14:paraId="1266173A">
            <w:pPr>
              <w:adjustRightInd w:val="0"/>
              <w:snapToGrid w:val="0"/>
              <w:spacing w:line="340" w:lineRule="exact"/>
              <w:jc w:val="center"/>
              <w:rPr>
                <w:rFonts w:hint="eastAsia" w:eastAsia="宋体"/>
                <w:color w:val="auto"/>
                <w:szCs w:val="21"/>
                <w:lang w:eastAsia="zh-CN"/>
              </w:rPr>
            </w:pPr>
            <w:r>
              <w:rPr>
                <w:rFonts w:hint="eastAsia" w:ascii="Times New Roman" w:hAnsi="Times New Roman" w:eastAsia="宋体" w:cs="Times New Roman"/>
                <w:color w:val="auto"/>
                <w:sz w:val="21"/>
                <w:szCs w:val="21"/>
                <w:highlight w:val="none"/>
                <w:lang w:val="en-US" w:eastAsia="zh-CN"/>
              </w:rPr>
              <w:t>生活污水执行</w:t>
            </w:r>
            <w:r>
              <w:rPr>
                <w:rFonts w:hint="default" w:ascii="Times New Roman" w:hAnsi="Times New Roman" w:eastAsia="宋体" w:cs="Times New Roman"/>
                <w:color w:val="auto"/>
                <w:sz w:val="21"/>
                <w:szCs w:val="21"/>
                <w:highlight w:val="none"/>
              </w:rPr>
              <w:t>《污水综合排放标准》(GB8978-1996)表4中三级排放标准</w:t>
            </w:r>
            <w:r>
              <w:rPr>
                <w:rFonts w:hint="default" w:ascii="Times New Roman" w:hAnsi="Times New Roman" w:eastAsia="宋体" w:cs="Times New Roman"/>
                <w:color w:val="auto"/>
                <w:sz w:val="21"/>
                <w:szCs w:val="21"/>
                <w:highlight w:val="none"/>
                <w:lang w:eastAsia="zh-CN"/>
              </w:rPr>
              <w:t>及</w:t>
            </w:r>
            <w:r>
              <w:rPr>
                <w:rFonts w:hint="default" w:ascii="Times New Roman" w:hAnsi="Times New Roman" w:eastAsia="宋体" w:cs="Times New Roman"/>
                <w:color w:val="auto"/>
                <w:sz w:val="21"/>
                <w:szCs w:val="21"/>
                <w:highlight w:val="none"/>
              </w:rPr>
              <w:t>《污水排入城镇下水道水质标准》(GB/T 31962-2015)表1中B级标准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rPr>
              <w:t>(即</w:t>
            </w:r>
            <w:r>
              <w:rPr>
                <w:rFonts w:hint="default" w:ascii="Times New Roman" w:hAnsi="Times New Roman" w:eastAsia="宋体" w:cs="Times New Roman"/>
                <w:color w:val="auto"/>
                <w:sz w:val="21"/>
                <w:szCs w:val="21"/>
                <w:highlight w:val="none"/>
                <w:lang w:val="en-US" w:eastAsia="zh-CN"/>
              </w:rPr>
              <w:t>COD</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mg/L</w:t>
            </w:r>
            <w:r>
              <w:rPr>
                <w:rFonts w:hint="eastAsia" w:ascii="Times New Roman" w:hAnsi="Times New Roman" w:eastAsia="宋体" w:cs="Times New Roman"/>
                <w:color w:val="auto"/>
                <w:sz w:val="21"/>
                <w:szCs w:val="21"/>
                <w:highlight w:val="none"/>
                <w:lang w:eastAsia="zh-CN"/>
              </w:rPr>
              <w:t>）</w:t>
            </w:r>
          </w:p>
        </w:tc>
      </w:tr>
      <w:tr w14:paraId="75DC1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60" w:type="dxa"/>
            <w:noWrap w:val="0"/>
            <w:vAlign w:val="center"/>
          </w:tcPr>
          <w:p w14:paraId="5D51E4A6">
            <w:pPr>
              <w:adjustRightInd w:val="0"/>
              <w:snapToGrid w:val="0"/>
              <w:spacing w:line="340" w:lineRule="exact"/>
              <w:jc w:val="center"/>
              <w:rPr>
                <w:color w:val="auto"/>
                <w:szCs w:val="21"/>
              </w:rPr>
            </w:pPr>
            <w:r>
              <w:rPr>
                <w:color w:val="auto"/>
                <w:szCs w:val="21"/>
              </w:rPr>
              <w:t>声环境</w:t>
            </w:r>
          </w:p>
        </w:tc>
        <w:tc>
          <w:tcPr>
            <w:tcW w:w="1170" w:type="dxa"/>
            <w:noWrap w:val="0"/>
            <w:vAlign w:val="center"/>
          </w:tcPr>
          <w:p w14:paraId="3F2D333C">
            <w:pPr>
              <w:adjustRightInd w:val="0"/>
              <w:snapToGrid w:val="0"/>
              <w:spacing w:line="340" w:lineRule="exact"/>
              <w:jc w:val="center"/>
              <w:rPr>
                <w:color w:val="auto"/>
                <w:szCs w:val="21"/>
              </w:rPr>
            </w:pPr>
            <w:r>
              <w:rPr>
                <w:color w:val="auto"/>
                <w:szCs w:val="21"/>
              </w:rPr>
              <w:t>厂界四周</w:t>
            </w:r>
            <w:r>
              <w:rPr>
                <w:rFonts w:hint="eastAsia"/>
                <w:color w:val="auto"/>
                <w:szCs w:val="21"/>
              </w:rPr>
              <w:t>外1m</w:t>
            </w:r>
          </w:p>
        </w:tc>
        <w:tc>
          <w:tcPr>
            <w:tcW w:w="1118" w:type="dxa"/>
            <w:noWrap w:val="0"/>
            <w:vAlign w:val="center"/>
          </w:tcPr>
          <w:p w14:paraId="2D1C5382">
            <w:pPr>
              <w:adjustRightInd w:val="0"/>
              <w:snapToGrid w:val="0"/>
              <w:spacing w:line="340" w:lineRule="exact"/>
              <w:jc w:val="center"/>
              <w:rPr>
                <w:color w:val="auto"/>
                <w:szCs w:val="21"/>
              </w:rPr>
            </w:pPr>
            <w:r>
              <w:rPr>
                <w:color w:val="auto"/>
                <w:szCs w:val="21"/>
              </w:rPr>
              <w:t>等效A</w:t>
            </w:r>
          </w:p>
          <w:p w14:paraId="42019485">
            <w:pPr>
              <w:adjustRightInd w:val="0"/>
              <w:snapToGrid w:val="0"/>
              <w:spacing w:line="340" w:lineRule="exact"/>
              <w:jc w:val="center"/>
              <w:rPr>
                <w:color w:val="auto"/>
                <w:szCs w:val="21"/>
              </w:rPr>
            </w:pPr>
            <w:r>
              <w:rPr>
                <w:color w:val="auto"/>
                <w:szCs w:val="21"/>
              </w:rPr>
              <w:t>声级</w:t>
            </w:r>
          </w:p>
        </w:tc>
        <w:tc>
          <w:tcPr>
            <w:tcW w:w="2260" w:type="dxa"/>
            <w:noWrap w:val="0"/>
            <w:vAlign w:val="center"/>
          </w:tcPr>
          <w:p w14:paraId="2073FEF0">
            <w:pPr>
              <w:adjustRightInd w:val="0"/>
              <w:snapToGrid w:val="0"/>
              <w:spacing w:line="340" w:lineRule="exact"/>
              <w:jc w:val="center"/>
              <w:rPr>
                <w:color w:val="auto"/>
                <w:szCs w:val="21"/>
              </w:rPr>
            </w:pPr>
            <w:r>
              <w:rPr>
                <w:color w:val="auto"/>
                <w:szCs w:val="21"/>
                <w:lang w:val="en-GB"/>
              </w:rPr>
              <w:t>选用低噪声设备，加强设备维护，高噪声设备设置基础减振、隔声等措施</w:t>
            </w:r>
          </w:p>
        </w:tc>
        <w:tc>
          <w:tcPr>
            <w:tcW w:w="3192" w:type="dxa"/>
            <w:noWrap w:val="0"/>
            <w:vAlign w:val="center"/>
          </w:tcPr>
          <w:p w14:paraId="08AEBF14">
            <w:pPr>
              <w:adjustRightInd w:val="0"/>
              <w:snapToGrid w:val="0"/>
              <w:spacing w:line="340" w:lineRule="exact"/>
              <w:jc w:val="center"/>
              <w:rPr>
                <w:rFonts w:hint="eastAsia" w:eastAsia="宋体"/>
                <w:color w:val="auto"/>
                <w:szCs w:val="21"/>
                <w:lang w:eastAsia="zh-CN"/>
              </w:rPr>
            </w:pPr>
            <w:r>
              <w:rPr>
                <w:color w:val="auto"/>
                <w:szCs w:val="21"/>
              </w:rPr>
              <w:t>满足</w:t>
            </w:r>
            <w:r>
              <w:rPr>
                <w:color w:val="auto"/>
                <w:spacing w:val="-2"/>
                <w:szCs w:val="21"/>
              </w:rPr>
              <w:t>《工业企业厂界环境噪声排放标准》(GB12348-2008)中</w:t>
            </w:r>
            <w:r>
              <w:rPr>
                <w:rFonts w:hint="eastAsia"/>
                <w:color w:val="auto"/>
                <w:spacing w:val="-2"/>
                <w:szCs w:val="21"/>
                <w:lang w:val="en-US" w:eastAsia="zh-CN"/>
              </w:rPr>
              <w:t>3</w:t>
            </w:r>
            <w:r>
              <w:rPr>
                <w:color w:val="auto"/>
                <w:spacing w:val="-2"/>
                <w:szCs w:val="21"/>
              </w:rPr>
              <w:t>类标准(昼间≤6</w:t>
            </w:r>
            <w:r>
              <w:rPr>
                <w:rFonts w:hint="eastAsia"/>
                <w:color w:val="auto"/>
                <w:spacing w:val="-2"/>
                <w:szCs w:val="21"/>
                <w:lang w:val="en-US" w:eastAsia="zh-CN"/>
              </w:rPr>
              <w:t>5</w:t>
            </w:r>
            <w:r>
              <w:rPr>
                <w:color w:val="auto"/>
                <w:spacing w:val="-2"/>
                <w:szCs w:val="21"/>
              </w:rPr>
              <w:t>dB(A)</w:t>
            </w:r>
            <w:r>
              <w:rPr>
                <w:rFonts w:hint="eastAsia"/>
                <w:color w:val="auto"/>
                <w:spacing w:val="-2"/>
                <w:szCs w:val="21"/>
                <w:lang w:eastAsia="zh-CN"/>
              </w:rPr>
              <w:t>、</w:t>
            </w:r>
            <w:r>
              <w:rPr>
                <w:rFonts w:hint="eastAsia"/>
                <w:color w:val="auto"/>
                <w:spacing w:val="-2"/>
                <w:szCs w:val="21"/>
                <w:lang w:val="en-US" w:eastAsia="zh-CN"/>
              </w:rPr>
              <w:t>夜间</w:t>
            </w:r>
            <w:r>
              <w:rPr>
                <w:color w:val="auto"/>
                <w:spacing w:val="-2"/>
                <w:szCs w:val="21"/>
              </w:rPr>
              <w:t>≤</w:t>
            </w:r>
            <w:r>
              <w:rPr>
                <w:rFonts w:hint="eastAsia"/>
                <w:color w:val="auto"/>
                <w:spacing w:val="-2"/>
                <w:szCs w:val="21"/>
                <w:lang w:val="en-US" w:eastAsia="zh-CN"/>
              </w:rPr>
              <w:t>55</w:t>
            </w:r>
            <w:r>
              <w:rPr>
                <w:color w:val="auto"/>
                <w:spacing w:val="-2"/>
                <w:szCs w:val="21"/>
              </w:rPr>
              <w:t>dB(A)</w:t>
            </w:r>
            <w:r>
              <w:rPr>
                <w:rFonts w:hint="eastAsia"/>
                <w:color w:val="auto"/>
                <w:spacing w:val="-2"/>
                <w:szCs w:val="21"/>
                <w:lang w:eastAsia="zh-CN"/>
              </w:rPr>
              <w:t>）</w:t>
            </w:r>
          </w:p>
        </w:tc>
      </w:tr>
      <w:tr w14:paraId="7B802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4B53A1D2">
            <w:pPr>
              <w:adjustRightInd w:val="0"/>
              <w:snapToGrid w:val="0"/>
              <w:spacing w:line="340" w:lineRule="exact"/>
              <w:jc w:val="center"/>
              <w:rPr>
                <w:color w:val="auto"/>
                <w:szCs w:val="21"/>
              </w:rPr>
            </w:pPr>
            <w:r>
              <w:rPr>
                <w:color w:val="auto"/>
                <w:szCs w:val="21"/>
              </w:rPr>
              <w:t>电磁辐射</w:t>
            </w:r>
          </w:p>
        </w:tc>
        <w:tc>
          <w:tcPr>
            <w:tcW w:w="1170" w:type="dxa"/>
            <w:noWrap w:val="0"/>
            <w:vAlign w:val="center"/>
          </w:tcPr>
          <w:p w14:paraId="36FC35F4">
            <w:pPr>
              <w:adjustRightInd w:val="0"/>
              <w:snapToGrid w:val="0"/>
              <w:spacing w:line="340" w:lineRule="exact"/>
              <w:jc w:val="center"/>
              <w:rPr>
                <w:color w:val="auto"/>
                <w:szCs w:val="21"/>
              </w:rPr>
            </w:pPr>
            <w:r>
              <w:rPr>
                <w:color w:val="auto"/>
                <w:szCs w:val="21"/>
              </w:rPr>
              <w:t>/</w:t>
            </w:r>
          </w:p>
        </w:tc>
        <w:tc>
          <w:tcPr>
            <w:tcW w:w="1118" w:type="dxa"/>
            <w:noWrap w:val="0"/>
            <w:vAlign w:val="center"/>
          </w:tcPr>
          <w:p w14:paraId="72A23F20">
            <w:pPr>
              <w:adjustRightInd w:val="0"/>
              <w:snapToGrid w:val="0"/>
              <w:spacing w:line="340" w:lineRule="exact"/>
              <w:jc w:val="center"/>
              <w:rPr>
                <w:color w:val="auto"/>
                <w:szCs w:val="21"/>
              </w:rPr>
            </w:pPr>
            <w:r>
              <w:rPr>
                <w:color w:val="auto"/>
                <w:szCs w:val="21"/>
              </w:rPr>
              <w:t>/</w:t>
            </w:r>
          </w:p>
        </w:tc>
        <w:tc>
          <w:tcPr>
            <w:tcW w:w="2260" w:type="dxa"/>
            <w:noWrap w:val="0"/>
            <w:vAlign w:val="center"/>
          </w:tcPr>
          <w:p w14:paraId="55340761">
            <w:pPr>
              <w:adjustRightInd w:val="0"/>
              <w:snapToGrid w:val="0"/>
              <w:spacing w:line="340" w:lineRule="exact"/>
              <w:jc w:val="center"/>
              <w:rPr>
                <w:color w:val="auto"/>
                <w:szCs w:val="21"/>
              </w:rPr>
            </w:pPr>
            <w:r>
              <w:rPr>
                <w:color w:val="auto"/>
                <w:szCs w:val="21"/>
              </w:rPr>
              <w:t>/</w:t>
            </w:r>
          </w:p>
        </w:tc>
        <w:tc>
          <w:tcPr>
            <w:tcW w:w="3192" w:type="dxa"/>
            <w:noWrap w:val="0"/>
            <w:vAlign w:val="center"/>
          </w:tcPr>
          <w:p w14:paraId="2A8608C9">
            <w:pPr>
              <w:adjustRightInd w:val="0"/>
              <w:snapToGrid w:val="0"/>
              <w:spacing w:line="340" w:lineRule="exact"/>
              <w:jc w:val="center"/>
              <w:rPr>
                <w:color w:val="auto"/>
                <w:szCs w:val="21"/>
              </w:rPr>
            </w:pPr>
            <w:r>
              <w:rPr>
                <w:color w:val="auto"/>
                <w:szCs w:val="21"/>
              </w:rPr>
              <w:t>/</w:t>
            </w:r>
          </w:p>
        </w:tc>
      </w:tr>
      <w:tr w14:paraId="17CBE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06E2491D">
            <w:pPr>
              <w:adjustRightInd w:val="0"/>
              <w:snapToGrid w:val="0"/>
              <w:spacing w:line="340" w:lineRule="exact"/>
              <w:jc w:val="center"/>
              <w:rPr>
                <w:color w:val="auto"/>
                <w:szCs w:val="21"/>
              </w:rPr>
            </w:pPr>
            <w:r>
              <w:rPr>
                <w:color w:val="auto"/>
                <w:szCs w:val="21"/>
              </w:rPr>
              <w:t>固体废物</w:t>
            </w:r>
          </w:p>
        </w:tc>
        <w:tc>
          <w:tcPr>
            <w:tcW w:w="7740" w:type="dxa"/>
            <w:gridSpan w:val="4"/>
            <w:noWrap w:val="0"/>
            <w:vAlign w:val="center"/>
          </w:tcPr>
          <w:p w14:paraId="4963263C">
            <w:pPr>
              <w:adjustRightInd w:val="0"/>
              <w:snapToGrid w:val="0"/>
              <w:spacing w:line="340" w:lineRule="exact"/>
              <w:jc w:val="left"/>
              <w:rPr>
                <w:color w:val="auto"/>
                <w:szCs w:val="21"/>
                <w:lang w:val="en-GB"/>
              </w:rPr>
            </w:pPr>
            <w:r>
              <w:rPr>
                <w:color w:val="auto"/>
                <w:szCs w:val="21"/>
                <w:lang w:val="en-GB"/>
              </w:rPr>
              <w:t>一般工业固废：</w:t>
            </w:r>
            <w:r>
              <w:rPr>
                <w:rFonts w:hint="eastAsia"/>
                <w:color w:val="auto"/>
                <w:szCs w:val="21"/>
                <w:lang w:val="en-US" w:eastAsia="zh-CN"/>
              </w:rPr>
              <w:t>本次扩建后对厂房五三层北侧现有一般固废暂存间进行扩建，同时在厂房四一层北侧新建一间一般固废暂存间</w:t>
            </w:r>
            <w:r>
              <w:rPr>
                <w:color w:val="auto"/>
                <w:szCs w:val="21"/>
                <w:lang w:val="en-GB"/>
              </w:rPr>
              <w:t>，</w:t>
            </w:r>
            <w:r>
              <w:rPr>
                <w:rFonts w:hint="eastAsia"/>
                <w:color w:val="auto"/>
                <w:szCs w:val="21"/>
                <w:lang w:val="en-US" w:eastAsia="zh-CN"/>
              </w:rPr>
              <w:t>不合格品及</w:t>
            </w:r>
            <w:r>
              <w:rPr>
                <w:rFonts w:hint="eastAsia"/>
                <w:color w:val="auto"/>
                <w:szCs w:val="21"/>
              </w:rPr>
              <w:t>边角料</w:t>
            </w:r>
            <w:r>
              <w:rPr>
                <w:rFonts w:hint="eastAsia"/>
                <w:color w:val="auto"/>
                <w:szCs w:val="21"/>
                <w:lang w:eastAsia="zh-CN"/>
              </w:rPr>
              <w:t>、</w:t>
            </w:r>
            <w:r>
              <w:rPr>
                <w:rFonts w:hint="eastAsia"/>
                <w:color w:val="auto"/>
                <w:szCs w:val="21"/>
                <w:lang w:val="en-US" w:eastAsia="zh-CN"/>
              </w:rPr>
              <w:t>下卡条边角料、钣金件边角料、布袋收集尘、废焊丝、焊渣</w:t>
            </w:r>
            <w:r>
              <w:rPr>
                <w:color w:val="auto"/>
                <w:szCs w:val="21"/>
                <w:lang w:val="en-GB"/>
              </w:rPr>
              <w:t>妥善分类收集后出售给回收企业综合利用；满足</w:t>
            </w:r>
            <w:r>
              <w:rPr>
                <w:rFonts w:hint="eastAsia"/>
                <w:color w:val="auto"/>
                <w:szCs w:val="21"/>
                <w:lang w:val="en-GB"/>
              </w:rPr>
              <w:t>《一般工业固体废物贮存和填埋污染控制标准》</w:t>
            </w:r>
            <w:r>
              <w:rPr>
                <w:rFonts w:hint="eastAsia"/>
                <w:color w:val="auto"/>
                <w:szCs w:val="21"/>
              </w:rPr>
              <w:t>(</w:t>
            </w:r>
            <w:r>
              <w:rPr>
                <w:rFonts w:hint="eastAsia"/>
                <w:color w:val="auto"/>
                <w:szCs w:val="21"/>
                <w:lang w:val="en-GB"/>
              </w:rPr>
              <w:t>GB 18599-2020</w:t>
            </w:r>
            <w:r>
              <w:rPr>
                <w:rFonts w:hint="eastAsia"/>
                <w:color w:val="auto"/>
                <w:szCs w:val="21"/>
              </w:rPr>
              <w:t>)</w:t>
            </w:r>
            <w:r>
              <w:rPr>
                <w:color w:val="auto"/>
                <w:szCs w:val="21"/>
                <w:lang w:val="en-GB"/>
              </w:rPr>
              <w:t>的相关要求；</w:t>
            </w:r>
          </w:p>
          <w:p w14:paraId="2C858F66">
            <w:pPr>
              <w:keepNext w:val="0"/>
              <w:keepLines w:val="0"/>
              <w:pageBreakBefore w:val="0"/>
              <w:widowControl w:val="0"/>
              <w:kinsoku/>
              <w:wordWrap/>
              <w:overflowPunct/>
              <w:topLinePunct w:val="0"/>
              <w:bidi w:val="0"/>
              <w:adjustRightInd w:val="0"/>
              <w:snapToGrid w:val="0"/>
              <w:spacing w:line="340" w:lineRule="exact"/>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危险废物：</w:t>
            </w:r>
            <w:r>
              <w:rPr>
                <w:rFonts w:hint="eastAsia" w:cs="Times New Roman"/>
                <w:color w:val="auto"/>
                <w:sz w:val="21"/>
                <w:szCs w:val="21"/>
                <w:lang w:val="en-US" w:eastAsia="zh-CN"/>
              </w:rPr>
              <w:t>新建</w:t>
            </w:r>
            <w:r>
              <w:rPr>
                <w:rFonts w:hint="eastAsia" w:cs="Times New Roman"/>
                <w:color w:val="auto"/>
                <w:sz w:val="21"/>
                <w:szCs w:val="21"/>
                <w:lang w:eastAsia="zh-CN"/>
              </w:rPr>
              <w:t>危险废物贮存间</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废活性炭</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废液压油、废胶桶、废润滑油、废过滤棉、</w:t>
            </w:r>
            <w:r>
              <w:rPr>
                <w:rFonts w:hint="eastAsia" w:ascii="Times New Roman" w:hAnsi="Times New Roman" w:eastAsia="宋体" w:cs="Times New Roman"/>
                <w:color w:val="auto"/>
                <w:sz w:val="21"/>
                <w:szCs w:val="21"/>
                <w:lang w:val="en-US" w:eastAsia="zh-CN"/>
              </w:rPr>
              <w:t>等危险废物经</w:t>
            </w:r>
            <w:r>
              <w:rPr>
                <w:rFonts w:hint="default" w:ascii="Times New Roman" w:hAnsi="Times New Roman" w:eastAsia="宋体" w:cs="Times New Roman"/>
                <w:color w:val="auto"/>
                <w:sz w:val="21"/>
                <w:szCs w:val="21"/>
                <w:lang w:val="en-GB"/>
              </w:rPr>
              <w:t>妥善收集</w:t>
            </w:r>
            <w:r>
              <w:rPr>
                <w:rFonts w:hint="eastAsia" w:ascii="Times New Roman" w:hAnsi="Times New Roman" w:eastAsia="宋体" w:cs="Times New Roman"/>
                <w:color w:val="auto"/>
                <w:sz w:val="21"/>
                <w:szCs w:val="21"/>
                <w:lang w:val="en-GB" w:eastAsia="zh-CN"/>
              </w:rPr>
              <w:t>，</w:t>
            </w:r>
            <w:r>
              <w:rPr>
                <w:rFonts w:hint="eastAsia" w:ascii="Times New Roman" w:hAnsi="Times New Roman" w:eastAsia="宋体" w:cs="Times New Roman"/>
                <w:color w:val="auto"/>
                <w:sz w:val="21"/>
                <w:szCs w:val="21"/>
                <w:lang w:val="en-US" w:eastAsia="zh-CN"/>
              </w:rPr>
              <w:t>在</w:t>
            </w:r>
            <w:r>
              <w:rPr>
                <w:rFonts w:hint="eastAsia" w:cs="Times New Roman"/>
                <w:color w:val="auto"/>
                <w:sz w:val="21"/>
                <w:szCs w:val="21"/>
                <w:lang w:eastAsia="zh-CN"/>
              </w:rPr>
              <w:t>危险废物贮存间</w:t>
            </w:r>
            <w:r>
              <w:rPr>
                <w:rFonts w:hint="eastAsia" w:ascii="Times New Roman" w:hAnsi="Times New Roman" w:eastAsia="宋体" w:cs="Times New Roman"/>
                <w:color w:val="auto"/>
                <w:sz w:val="21"/>
                <w:szCs w:val="21"/>
                <w:lang w:val="en-US" w:eastAsia="zh-CN"/>
              </w:rPr>
              <w:t>内分类分区暂存，</w:t>
            </w:r>
            <w:r>
              <w:rPr>
                <w:rFonts w:hint="default" w:ascii="Times New Roman" w:hAnsi="Times New Roman" w:eastAsia="宋体" w:cs="Times New Roman"/>
                <w:color w:val="auto"/>
                <w:sz w:val="21"/>
                <w:szCs w:val="21"/>
              </w:rPr>
              <w:t>定期委托有资质的单位进行处置</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eastAsia="zh-CN"/>
              </w:rPr>
              <w:t>危险废物贮存间</w:t>
            </w:r>
            <w:r>
              <w:rPr>
                <w:rFonts w:hint="eastAsia" w:ascii="Times New Roman" w:hAnsi="Times New Roman" w:eastAsia="宋体" w:cs="Times New Roman"/>
                <w:color w:val="auto"/>
                <w:sz w:val="21"/>
                <w:szCs w:val="21"/>
                <w:lang w:val="en-US" w:eastAsia="zh-CN"/>
              </w:rPr>
              <w:t>应符合</w:t>
            </w:r>
            <w:r>
              <w:rPr>
                <w:rFonts w:hint="default" w:ascii="Times New Roman" w:hAnsi="Times New Roman" w:eastAsia="宋体" w:cs="Times New Roman"/>
                <w:color w:val="auto"/>
                <w:sz w:val="21"/>
                <w:szCs w:val="21"/>
                <w:lang w:val="en-GB"/>
              </w:rPr>
              <w:t>《危险废物贮存污染控制标准》(GB 18597-20</w:t>
            </w:r>
            <w:r>
              <w:rPr>
                <w:rFonts w:hint="eastAsia"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lang w:val="en-GB"/>
              </w:rPr>
              <w:t>)要求</w:t>
            </w:r>
            <w:r>
              <w:rPr>
                <w:rFonts w:hint="default" w:ascii="Times New Roman" w:hAnsi="Times New Roman" w:eastAsia="宋体" w:cs="Times New Roman"/>
                <w:color w:val="auto"/>
                <w:sz w:val="21"/>
                <w:szCs w:val="21"/>
                <w:lang w:val="en-GB" w:eastAsia="zh-CN"/>
              </w:rPr>
              <w:t>；</w:t>
            </w:r>
          </w:p>
          <w:p w14:paraId="15B32F71">
            <w:pPr>
              <w:adjustRightInd w:val="0"/>
              <w:snapToGrid w:val="0"/>
              <w:spacing w:line="340" w:lineRule="exact"/>
              <w:jc w:val="left"/>
              <w:rPr>
                <w:color w:val="auto"/>
                <w:szCs w:val="21"/>
              </w:rPr>
            </w:pPr>
            <w:r>
              <w:rPr>
                <w:color w:val="auto"/>
                <w:szCs w:val="21"/>
              </w:rPr>
              <w:t>生活垃圾：由垃圾桶收集，由市政环卫部门统一清运处理</w:t>
            </w:r>
            <w:r>
              <w:rPr>
                <w:rFonts w:hint="eastAsia"/>
                <w:color w:val="auto"/>
                <w:szCs w:val="21"/>
              </w:rPr>
              <w:t>；</w:t>
            </w:r>
            <w:r>
              <w:rPr>
                <w:color w:val="auto"/>
                <w:szCs w:val="21"/>
              </w:rPr>
              <w:t>项目生活垃圾</w:t>
            </w:r>
            <w:r>
              <w:rPr>
                <w:rFonts w:hint="eastAsia"/>
                <w:color w:val="auto"/>
                <w:szCs w:val="21"/>
              </w:rPr>
              <w:t>参照</w:t>
            </w:r>
            <w:r>
              <w:rPr>
                <w:color w:val="auto"/>
                <w:szCs w:val="21"/>
              </w:rPr>
              <w:t>《城市环境卫生设施规划规范》</w:t>
            </w:r>
            <w:r>
              <w:rPr>
                <w:rFonts w:hint="eastAsia"/>
                <w:color w:val="auto"/>
                <w:szCs w:val="21"/>
              </w:rPr>
              <w:t>(</w:t>
            </w:r>
            <w:r>
              <w:rPr>
                <w:color w:val="auto"/>
                <w:szCs w:val="21"/>
              </w:rPr>
              <w:t>GB50337-2018</w:t>
            </w:r>
            <w:r>
              <w:rPr>
                <w:rFonts w:hint="eastAsia"/>
                <w:color w:val="auto"/>
                <w:szCs w:val="21"/>
              </w:rPr>
              <w:t>)</w:t>
            </w:r>
            <w:r>
              <w:rPr>
                <w:color w:val="auto"/>
                <w:szCs w:val="21"/>
              </w:rPr>
              <w:t>中的要求进行综合利用和处置</w:t>
            </w:r>
            <w:r>
              <w:rPr>
                <w:rFonts w:hint="eastAsia"/>
                <w:color w:val="auto"/>
                <w:szCs w:val="21"/>
              </w:rPr>
              <w:t>。</w:t>
            </w:r>
          </w:p>
        </w:tc>
      </w:tr>
      <w:tr w14:paraId="79E96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3112CBEA">
            <w:pPr>
              <w:adjustRightInd w:val="0"/>
              <w:snapToGrid w:val="0"/>
              <w:spacing w:line="340" w:lineRule="exact"/>
              <w:jc w:val="center"/>
              <w:rPr>
                <w:color w:val="auto"/>
                <w:szCs w:val="21"/>
              </w:rPr>
            </w:pPr>
            <w:r>
              <w:rPr>
                <w:color w:val="auto"/>
                <w:szCs w:val="21"/>
              </w:rPr>
              <w:t>土壤及地下水污染防治措施</w:t>
            </w:r>
          </w:p>
        </w:tc>
        <w:tc>
          <w:tcPr>
            <w:tcW w:w="7740" w:type="dxa"/>
            <w:gridSpan w:val="4"/>
            <w:noWrap w:val="0"/>
            <w:vAlign w:val="center"/>
          </w:tcPr>
          <w:p w14:paraId="451BA903">
            <w:pPr>
              <w:adjustRightInd w:val="0"/>
              <w:snapToGrid w:val="0"/>
              <w:spacing w:line="340" w:lineRule="exact"/>
              <w:jc w:val="center"/>
              <w:rPr>
                <w:color w:val="auto"/>
                <w:szCs w:val="21"/>
              </w:rPr>
            </w:pPr>
            <w:r>
              <w:rPr>
                <w:color w:val="auto"/>
                <w:szCs w:val="21"/>
              </w:rPr>
              <w:t>合理进行防渗区域划分，</w:t>
            </w:r>
            <w:r>
              <w:rPr>
                <w:rFonts w:hint="eastAsia"/>
                <w:color w:val="auto"/>
                <w:szCs w:val="21"/>
                <w:lang w:val="en-US" w:eastAsia="zh-CN"/>
              </w:rPr>
              <w:t>危险废物贮存间、辅料区</w:t>
            </w:r>
            <w:r>
              <w:rPr>
                <w:color w:val="auto"/>
                <w:szCs w:val="21"/>
              </w:rPr>
              <w:t>等四周设置导流沟，地面采取防渗</w:t>
            </w:r>
            <w:r>
              <w:rPr>
                <w:rFonts w:hint="eastAsia"/>
                <w:color w:val="auto"/>
                <w:szCs w:val="21"/>
              </w:rPr>
              <w:t>，</w:t>
            </w:r>
            <w:r>
              <w:rPr>
                <w:color w:val="auto"/>
                <w:szCs w:val="21"/>
              </w:rPr>
              <w:t>按重点污染区防渗要求进行建设</w:t>
            </w:r>
            <w:r>
              <w:rPr>
                <w:rFonts w:hint="eastAsia"/>
                <w:color w:val="auto"/>
                <w:szCs w:val="21"/>
              </w:rPr>
              <w:t>；</w:t>
            </w:r>
            <w:r>
              <w:rPr>
                <w:color w:val="auto"/>
                <w:szCs w:val="21"/>
              </w:rPr>
              <w:t>一般工业固废间</w:t>
            </w:r>
            <w:r>
              <w:rPr>
                <w:rFonts w:hint="eastAsia"/>
                <w:color w:val="auto"/>
                <w:szCs w:val="21"/>
                <w:lang w:eastAsia="zh-CN"/>
              </w:rPr>
              <w:t>、</w:t>
            </w:r>
            <w:r>
              <w:rPr>
                <w:rFonts w:hint="eastAsia"/>
                <w:color w:val="auto"/>
                <w:szCs w:val="21"/>
                <w:lang w:val="en-US" w:eastAsia="zh-CN"/>
              </w:rPr>
              <w:t>化粪池</w:t>
            </w:r>
            <w:r>
              <w:rPr>
                <w:color w:val="auto"/>
                <w:szCs w:val="21"/>
              </w:rPr>
              <w:t>等按一般污染区防渗要求进行建设</w:t>
            </w:r>
            <w:r>
              <w:rPr>
                <w:rFonts w:hint="eastAsia"/>
                <w:color w:val="auto"/>
                <w:szCs w:val="21"/>
                <w:lang w:eastAsia="zh-CN"/>
              </w:rPr>
              <w:t>且</w:t>
            </w:r>
            <w:r>
              <w:rPr>
                <w:color w:val="auto"/>
                <w:szCs w:val="21"/>
              </w:rPr>
              <w:t>具有防雨、防渗、防风、防日晒等功能</w:t>
            </w:r>
          </w:p>
        </w:tc>
      </w:tr>
      <w:tr w14:paraId="28179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049EA601">
            <w:pPr>
              <w:adjustRightInd w:val="0"/>
              <w:snapToGrid w:val="0"/>
              <w:spacing w:line="340" w:lineRule="exact"/>
              <w:jc w:val="center"/>
              <w:rPr>
                <w:color w:val="auto"/>
                <w:szCs w:val="21"/>
              </w:rPr>
            </w:pPr>
            <w:r>
              <w:rPr>
                <w:color w:val="auto"/>
                <w:szCs w:val="21"/>
              </w:rPr>
              <w:t>生态保护措施</w:t>
            </w:r>
          </w:p>
        </w:tc>
        <w:tc>
          <w:tcPr>
            <w:tcW w:w="7740" w:type="dxa"/>
            <w:gridSpan w:val="4"/>
            <w:noWrap w:val="0"/>
            <w:vAlign w:val="center"/>
          </w:tcPr>
          <w:p w14:paraId="4CA30655">
            <w:pPr>
              <w:adjustRightInd w:val="0"/>
              <w:snapToGrid w:val="0"/>
              <w:spacing w:line="340" w:lineRule="exact"/>
              <w:jc w:val="center"/>
              <w:rPr>
                <w:color w:val="auto"/>
                <w:szCs w:val="21"/>
              </w:rPr>
            </w:pPr>
            <w:r>
              <w:rPr>
                <w:color w:val="auto"/>
                <w:szCs w:val="21"/>
              </w:rPr>
              <w:t>无</w:t>
            </w:r>
          </w:p>
        </w:tc>
      </w:tr>
      <w:tr w14:paraId="58E75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1FC74DBE">
            <w:pPr>
              <w:adjustRightInd w:val="0"/>
              <w:snapToGrid w:val="0"/>
              <w:spacing w:line="340" w:lineRule="exact"/>
              <w:jc w:val="center"/>
              <w:rPr>
                <w:color w:val="auto"/>
                <w:szCs w:val="21"/>
              </w:rPr>
            </w:pPr>
            <w:r>
              <w:rPr>
                <w:color w:val="auto"/>
                <w:szCs w:val="21"/>
              </w:rPr>
              <w:t>环境风险</w:t>
            </w:r>
          </w:p>
          <w:p w14:paraId="7DB01259">
            <w:pPr>
              <w:adjustRightInd w:val="0"/>
              <w:snapToGrid w:val="0"/>
              <w:spacing w:line="340" w:lineRule="exact"/>
              <w:jc w:val="center"/>
              <w:rPr>
                <w:color w:val="auto"/>
                <w:szCs w:val="21"/>
              </w:rPr>
            </w:pPr>
            <w:r>
              <w:rPr>
                <w:color w:val="auto"/>
                <w:szCs w:val="21"/>
              </w:rPr>
              <w:t>防范措施</w:t>
            </w:r>
          </w:p>
        </w:tc>
        <w:tc>
          <w:tcPr>
            <w:tcW w:w="7740" w:type="dxa"/>
            <w:gridSpan w:val="4"/>
            <w:noWrap w:val="0"/>
            <w:vAlign w:val="center"/>
          </w:tcPr>
          <w:p w14:paraId="2E3E46D6">
            <w:pPr>
              <w:adjustRightInd w:val="0"/>
              <w:snapToGrid w:val="0"/>
              <w:spacing w:line="340" w:lineRule="exact"/>
              <w:jc w:val="center"/>
              <w:rPr>
                <w:color w:val="auto"/>
                <w:szCs w:val="21"/>
              </w:rPr>
            </w:pPr>
            <w:r>
              <w:rPr>
                <w:rFonts w:hint="eastAsia"/>
                <w:color w:val="auto"/>
                <w:szCs w:val="21"/>
                <w:lang w:eastAsia="zh-CN"/>
              </w:rPr>
              <w:t>危险废物贮存间</w:t>
            </w:r>
            <w:r>
              <w:rPr>
                <w:rFonts w:hint="eastAsia"/>
                <w:color w:val="auto"/>
                <w:szCs w:val="21"/>
              </w:rPr>
              <w:t>，</w:t>
            </w:r>
            <w:r>
              <w:rPr>
                <w:rFonts w:hint="eastAsia"/>
                <w:color w:val="auto"/>
                <w:szCs w:val="21"/>
                <w:lang w:val="en-US" w:eastAsia="zh-CN"/>
              </w:rPr>
              <w:t>辅料区</w:t>
            </w:r>
            <w:r>
              <w:rPr>
                <w:color w:val="auto"/>
                <w:szCs w:val="21"/>
              </w:rPr>
              <w:t>等四周设置导流沟，地面采取防渗、</w:t>
            </w:r>
            <w:r>
              <w:rPr>
                <w:rFonts w:hint="eastAsia"/>
                <w:color w:val="auto"/>
                <w:szCs w:val="21"/>
              </w:rPr>
              <w:t>设置围堰</w:t>
            </w:r>
            <w:r>
              <w:rPr>
                <w:color w:val="auto"/>
                <w:szCs w:val="21"/>
              </w:rPr>
              <w:t>等风险防范措施；厂区内严禁烟火，严格动火审批制度；配备相应的堵漏材料(</w:t>
            </w:r>
            <w:r>
              <w:rPr>
                <w:rFonts w:hint="eastAsia"/>
                <w:color w:val="auto"/>
                <w:szCs w:val="21"/>
              </w:rPr>
              <w:t>沙袋</w:t>
            </w:r>
            <w:r>
              <w:rPr>
                <w:color w:val="auto"/>
                <w:szCs w:val="21"/>
              </w:rPr>
              <w:t>、吸油毡等)</w:t>
            </w:r>
            <w:r>
              <w:rPr>
                <w:rFonts w:hint="eastAsia"/>
                <w:color w:val="auto"/>
                <w:szCs w:val="21"/>
              </w:rPr>
              <w:t>等</w:t>
            </w:r>
          </w:p>
        </w:tc>
      </w:tr>
      <w:tr w14:paraId="0CB5E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4E3AF702">
            <w:pPr>
              <w:adjustRightInd w:val="0"/>
              <w:snapToGrid w:val="0"/>
              <w:spacing w:line="340" w:lineRule="exact"/>
              <w:jc w:val="center"/>
              <w:rPr>
                <w:color w:val="auto"/>
                <w:szCs w:val="21"/>
              </w:rPr>
            </w:pPr>
            <w:r>
              <w:rPr>
                <w:color w:val="auto"/>
                <w:szCs w:val="21"/>
              </w:rPr>
              <w:t>其他环境</w:t>
            </w:r>
          </w:p>
          <w:p w14:paraId="2C9DADED">
            <w:pPr>
              <w:adjustRightInd w:val="0"/>
              <w:snapToGrid w:val="0"/>
              <w:spacing w:line="340" w:lineRule="exact"/>
              <w:jc w:val="center"/>
              <w:rPr>
                <w:color w:val="auto"/>
                <w:szCs w:val="21"/>
              </w:rPr>
            </w:pPr>
            <w:r>
              <w:rPr>
                <w:color w:val="auto"/>
                <w:szCs w:val="21"/>
              </w:rPr>
              <w:t>管理要求</w:t>
            </w:r>
          </w:p>
        </w:tc>
        <w:tc>
          <w:tcPr>
            <w:tcW w:w="7740" w:type="dxa"/>
            <w:gridSpan w:val="4"/>
            <w:noWrap w:val="0"/>
            <w:vAlign w:val="center"/>
          </w:tcPr>
          <w:p w14:paraId="2A4D4AF6">
            <w:pPr>
              <w:adjustRightInd w:val="0"/>
              <w:snapToGrid w:val="0"/>
              <w:spacing w:line="340" w:lineRule="exact"/>
              <w:jc w:val="left"/>
              <w:rPr>
                <w:b/>
                <w:bCs/>
                <w:color w:val="auto"/>
              </w:rPr>
            </w:pPr>
            <w:r>
              <w:rPr>
                <w:b/>
                <w:bCs/>
                <w:color w:val="auto"/>
              </w:rPr>
              <w:t>1、竣工环境保护验收</w:t>
            </w:r>
          </w:p>
          <w:p w14:paraId="669FE56A">
            <w:pPr>
              <w:adjustRightInd w:val="0"/>
              <w:snapToGrid w:val="0"/>
              <w:spacing w:line="340" w:lineRule="exact"/>
              <w:ind w:firstLine="420" w:firstLineChars="200"/>
              <w:jc w:val="left"/>
              <w:rPr>
                <w:color w:val="auto"/>
              </w:rPr>
            </w:pPr>
            <w:r>
              <w:rPr>
                <w:color w:val="auto"/>
              </w:rPr>
              <w:t>根据《建设项目竣工环境保护验收暂行办法》的规定，建设项目竣工后，建设单位应当如实查验、监测、记载建设项目环境保护设施的建设和调试情况，编制验收监测报告表。</w:t>
            </w:r>
          </w:p>
          <w:p w14:paraId="160EA192">
            <w:pPr>
              <w:adjustRightInd w:val="0"/>
              <w:snapToGrid w:val="0"/>
              <w:spacing w:line="340" w:lineRule="exact"/>
              <w:rPr>
                <w:b/>
                <w:bCs/>
                <w:color w:val="auto"/>
              </w:rPr>
            </w:pPr>
            <w:r>
              <w:rPr>
                <w:b/>
                <w:bCs/>
                <w:color w:val="auto"/>
              </w:rPr>
              <w:t>2、排污许可管理要求</w:t>
            </w:r>
          </w:p>
          <w:p w14:paraId="0F7C44A8">
            <w:pPr>
              <w:adjustRightInd w:val="0"/>
              <w:snapToGrid w:val="0"/>
              <w:spacing w:line="340" w:lineRule="exact"/>
              <w:ind w:firstLine="420" w:firstLineChars="200"/>
              <w:jc w:val="left"/>
              <w:rPr>
                <w:color w:val="auto"/>
              </w:rPr>
            </w:pPr>
            <w:r>
              <w:rPr>
                <w:color w:val="auto"/>
              </w:rPr>
              <w:t>根据《固定污染源排污许可分类管理名录(2019年版)》(生态环境部 第11号)可知，本项目实行排污许可</w:t>
            </w:r>
            <w:r>
              <w:rPr>
                <w:rFonts w:hint="eastAsia"/>
                <w:color w:val="auto"/>
                <w:lang w:val="en-US" w:eastAsia="zh-CN"/>
              </w:rPr>
              <w:t>登记</w:t>
            </w:r>
            <w:r>
              <w:rPr>
                <w:color w:val="auto"/>
              </w:rPr>
              <w:t>管理</w:t>
            </w:r>
            <w:r>
              <w:rPr>
                <w:rFonts w:hint="eastAsia"/>
                <w:color w:val="auto"/>
              </w:rPr>
              <w:t>(详见5-1)</w:t>
            </w:r>
            <w:r>
              <w:rPr>
                <w:color w:val="auto"/>
              </w:rPr>
              <w:t>；因此，建设单位应当在启动生产设施或者发生实际排污之前在全国排污许可证管理信息平台进行排污许可</w:t>
            </w:r>
            <w:r>
              <w:rPr>
                <w:rFonts w:hint="eastAsia"/>
                <w:color w:val="auto"/>
              </w:rPr>
              <w:t>申报</w:t>
            </w:r>
            <w:r>
              <w:rPr>
                <w:color w:val="auto"/>
              </w:rPr>
              <w:t>。</w:t>
            </w:r>
          </w:p>
          <w:p w14:paraId="43004501">
            <w:pPr>
              <w:adjustRightInd w:val="0"/>
              <w:snapToGrid w:val="0"/>
              <w:spacing w:before="120" w:beforeLines="50"/>
              <w:jc w:val="center"/>
              <w:rPr>
                <w:rFonts w:eastAsia="黑体"/>
                <w:color w:val="auto"/>
                <w:szCs w:val="21"/>
              </w:rPr>
            </w:pPr>
            <w:r>
              <w:rPr>
                <w:rFonts w:eastAsia="黑体"/>
                <w:color w:val="auto"/>
                <w:szCs w:val="21"/>
              </w:rPr>
              <w:t>表</w:t>
            </w:r>
            <w:r>
              <w:rPr>
                <w:rFonts w:hint="eastAsia" w:eastAsia="黑体"/>
                <w:color w:val="auto"/>
                <w:szCs w:val="21"/>
              </w:rPr>
              <w:t>5</w:t>
            </w:r>
            <w:r>
              <w:rPr>
                <w:rFonts w:eastAsia="黑体"/>
                <w:color w:val="auto"/>
                <w:szCs w:val="21"/>
              </w:rPr>
              <w:t>-1 固定污染源排污许可分类管理名录(摘录)</w:t>
            </w:r>
          </w:p>
          <w:tbl>
            <w:tblPr>
              <w:tblStyle w:val="35"/>
              <w:tblW w:w="7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9"/>
              <w:gridCol w:w="1696"/>
              <w:gridCol w:w="1099"/>
              <w:gridCol w:w="2815"/>
              <w:gridCol w:w="54"/>
              <w:gridCol w:w="1102"/>
            </w:tblGrid>
            <w:tr w14:paraId="7023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12" w:space="0"/>
                    <w:left w:val="nil"/>
                    <w:bottom w:val="single" w:color="auto" w:sz="4" w:space="0"/>
                  </w:tcBorders>
                  <w:shd w:val="clear" w:color="auto" w:fill="auto"/>
                  <w:noWrap w:val="0"/>
                  <w:vAlign w:val="center"/>
                </w:tcPr>
                <w:p w14:paraId="72EF72CC">
                  <w:pPr>
                    <w:adjustRightInd w:val="0"/>
                    <w:snapToGrid w:val="0"/>
                    <w:spacing w:line="340" w:lineRule="exact"/>
                    <w:jc w:val="center"/>
                    <w:rPr>
                      <w:b/>
                      <w:bCs/>
                      <w:color w:val="auto"/>
                      <w:szCs w:val="21"/>
                    </w:rPr>
                  </w:pPr>
                  <w:r>
                    <w:rPr>
                      <w:b/>
                      <w:bCs/>
                      <w:color w:val="auto"/>
                      <w:szCs w:val="21"/>
                    </w:rPr>
                    <w:t>序号</w:t>
                  </w:r>
                </w:p>
              </w:tc>
              <w:tc>
                <w:tcPr>
                  <w:tcW w:w="1705" w:type="dxa"/>
                  <w:gridSpan w:val="2"/>
                  <w:tcBorders>
                    <w:top w:val="single" w:color="auto" w:sz="12" w:space="0"/>
                    <w:left w:val="single" w:color="auto" w:sz="4" w:space="0"/>
                    <w:bottom w:val="single" w:color="auto" w:sz="4" w:space="0"/>
                  </w:tcBorders>
                  <w:shd w:val="clear" w:color="auto" w:fill="auto"/>
                  <w:noWrap w:val="0"/>
                  <w:vAlign w:val="center"/>
                </w:tcPr>
                <w:p w14:paraId="56197825">
                  <w:pPr>
                    <w:adjustRightInd w:val="0"/>
                    <w:snapToGrid w:val="0"/>
                    <w:spacing w:line="340" w:lineRule="exact"/>
                    <w:jc w:val="center"/>
                    <w:rPr>
                      <w:b/>
                      <w:bCs/>
                      <w:color w:val="auto"/>
                      <w:szCs w:val="21"/>
                    </w:rPr>
                  </w:pPr>
                  <w:r>
                    <w:rPr>
                      <w:b/>
                      <w:bCs/>
                      <w:color w:val="auto"/>
                      <w:szCs w:val="21"/>
                    </w:rPr>
                    <w:t>行业类别</w:t>
                  </w:r>
                </w:p>
              </w:tc>
              <w:tc>
                <w:tcPr>
                  <w:tcW w:w="1099" w:type="dxa"/>
                  <w:tcBorders>
                    <w:top w:val="single" w:color="auto" w:sz="12" w:space="0"/>
                    <w:bottom w:val="single" w:color="auto" w:sz="4" w:space="0"/>
                  </w:tcBorders>
                  <w:shd w:val="clear" w:color="auto" w:fill="auto"/>
                  <w:noWrap w:val="0"/>
                  <w:vAlign w:val="center"/>
                </w:tcPr>
                <w:p w14:paraId="47837C0F">
                  <w:pPr>
                    <w:adjustRightInd w:val="0"/>
                    <w:snapToGrid w:val="0"/>
                    <w:spacing w:line="340" w:lineRule="exact"/>
                    <w:jc w:val="center"/>
                    <w:rPr>
                      <w:b/>
                      <w:bCs/>
                      <w:color w:val="auto"/>
                      <w:szCs w:val="21"/>
                    </w:rPr>
                  </w:pPr>
                  <w:r>
                    <w:rPr>
                      <w:b/>
                      <w:bCs/>
                      <w:color w:val="auto"/>
                      <w:szCs w:val="21"/>
                    </w:rPr>
                    <w:t>重点管理</w:t>
                  </w:r>
                </w:p>
              </w:tc>
              <w:tc>
                <w:tcPr>
                  <w:tcW w:w="2815" w:type="dxa"/>
                  <w:tcBorders>
                    <w:top w:val="single" w:color="auto" w:sz="12" w:space="0"/>
                    <w:bottom w:val="single" w:color="auto" w:sz="4" w:space="0"/>
                  </w:tcBorders>
                  <w:shd w:val="clear" w:color="auto" w:fill="A4A4A4"/>
                  <w:noWrap w:val="0"/>
                  <w:vAlign w:val="center"/>
                </w:tcPr>
                <w:p w14:paraId="1C20C158">
                  <w:pPr>
                    <w:adjustRightInd w:val="0"/>
                    <w:snapToGrid w:val="0"/>
                    <w:spacing w:line="340" w:lineRule="exact"/>
                    <w:jc w:val="center"/>
                    <w:rPr>
                      <w:b/>
                      <w:bCs/>
                      <w:color w:val="auto"/>
                      <w:szCs w:val="21"/>
                    </w:rPr>
                  </w:pPr>
                  <w:r>
                    <w:rPr>
                      <w:b/>
                      <w:bCs/>
                      <w:color w:val="auto"/>
                      <w:szCs w:val="21"/>
                    </w:rPr>
                    <w:t>简化管理</w:t>
                  </w:r>
                </w:p>
              </w:tc>
              <w:tc>
                <w:tcPr>
                  <w:tcW w:w="1156" w:type="dxa"/>
                  <w:gridSpan w:val="2"/>
                  <w:tcBorders>
                    <w:top w:val="single" w:color="auto" w:sz="12" w:space="0"/>
                    <w:bottom w:val="single" w:color="auto" w:sz="4" w:space="0"/>
                    <w:right w:val="nil"/>
                  </w:tcBorders>
                  <w:noWrap w:val="0"/>
                  <w:vAlign w:val="center"/>
                </w:tcPr>
                <w:p w14:paraId="3BAFAD9B">
                  <w:pPr>
                    <w:adjustRightInd w:val="0"/>
                    <w:snapToGrid w:val="0"/>
                    <w:spacing w:line="340" w:lineRule="exact"/>
                    <w:jc w:val="center"/>
                    <w:rPr>
                      <w:b/>
                      <w:bCs/>
                      <w:color w:val="auto"/>
                      <w:szCs w:val="21"/>
                    </w:rPr>
                  </w:pPr>
                  <w:r>
                    <w:rPr>
                      <w:b/>
                      <w:bCs/>
                      <w:color w:val="auto"/>
                      <w:szCs w:val="21"/>
                    </w:rPr>
                    <w:t>登记管理</w:t>
                  </w:r>
                </w:p>
              </w:tc>
            </w:tr>
            <w:tr w14:paraId="2F1F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7" w:type="dxa"/>
                  <w:gridSpan w:val="7"/>
                  <w:tcBorders>
                    <w:top w:val="single" w:color="auto" w:sz="4" w:space="0"/>
                    <w:left w:val="nil"/>
                    <w:bottom w:val="single" w:color="auto" w:sz="4" w:space="0"/>
                    <w:right w:val="nil"/>
                  </w:tcBorders>
                  <w:shd w:val="clear" w:color="auto" w:fill="A4A4A4"/>
                  <w:noWrap w:val="0"/>
                  <w:vAlign w:val="center"/>
                </w:tcPr>
                <w:p w14:paraId="4508BED1">
                  <w:pPr>
                    <w:widowControl/>
                    <w:adjustRightInd w:val="0"/>
                    <w:snapToGrid w:val="0"/>
                    <w:spacing w:line="340" w:lineRule="exact"/>
                    <w:jc w:val="left"/>
                    <w:rPr>
                      <w:rFonts w:hint="eastAsia" w:eastAsia="宋体"/>
                      <w:color w:val="auto"/>
                      <w:szCs w:val="21"/>
                      <w:lang w:val="en-US" w:eastAsia="zh-CN"/>
                    </w:rPr>
                  </w:pPr>
                  <w:r>
                    <w:rPr>
                      <w:rFonts w:hint="eastAsia"/>
                      <w:b/>
                      <w:bCs/>
                      <w:color w:val="auto"/>
                      <w:szCs w:val="21"/>
                    </w:rPr>
                    <w:t>三十一、汽车制造业3</w:t>
                  </w:r>
                  <w:r>
                    <w:rPr>
                      <w:rFonts w:hint="eastAsia"/>
                      <w:b/>
                      <w:bCs/>
                      <w:color w:val="auto"/>
                      <w:szCs w:val="21"/>
                      <w:lang w:val="en-US" w:eastAsia="zh-CN"/>
                    </w:rPr>
                    <w:t>6</w:t>
                  </w:r>
                </w:p>
              </w:tc>
            </w:tr>
            <w:tr w14:paraId="7003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4" w:space="0"/>
                    <w:left w:val="nil"/>
                    <w:bottom w:val="single" w:color="auto" w:sz="4" w:space="0"/>
                  </w:tcBorders>
                  <w:shd w:val="clear" w:color="auto" w:fill="auto"/>
                  <w:noWrap w:val="0"/>
                  <w:vAlign w:val="center"/>
                </w:tcPr>
                <w:p w14:paraId="0ABC7154">
                  <w:pPr>
                    <w:adjustRightInd w:val="0"/>
                    <w:snapToGrid w:val="0"/>
                    <w:spacing w:line="340" w:lineRule="exact"/>
                    <w:jc w:val="center"/>
                    <w:rPr>
                      <w:rFonts w:hint="default" w:eastAsia="宋体"/>
                      <w:color w:val="auto"/>
                      <w:szCs w:val="21"/>
                      <w:lang w:val="en-US" w:eastAsia="zh-CN"/>
                    </w:rPr>
                  </w:pPr>
                  <w:r>
                    <w:rPr>
                      <w:rFonts w:hint="eastAsia"/>
                      <w:color w:val="auto"/>
                      <w:szCs w:val="21"/>
                      <w:lang w:val="en-US" w:eastAsia="zh-CN"/>
                    </w:rPr>
                    <w:t>85</w:t>
                  </w:r>
                </w:p>
              </w:tc>
              <w:tc>
                <w:tcPr>
                  <w:tcW w:w="1705" w:type="dxa"/>
                  <w:gridSpan w:val="2"/>
                  <w:tcBorders>
                    <w:top w:val="single" w:color="auto" w:sz="4" w:space="0"/>
                    <w:left w:val="single" w:color="auto" w:sz="4" w:space="0"/>
                    <w:bottom w:val="single" w:color="auto" w:sz="4" w:space="0"/>
                  </w:tcBorders>
                  <w:shd w:val="clear" w:color="auto" w:fill="auto"/>
                  <w:noWrap w:val="0"/>
                  <w:vAlign w:val="center"/>
                </w:tcPr>
                <w:p w14:paraId="04C1ECB2">
                  <w:pPr>
                    <w:widowControl/>
                    <w:adjustRightInd w:val="0"/>
                    <w:snapToGrid w:val="0"/>
                    <w:spacing w:line="340" w:lineRule="exact"/>
                    <w:jc w:val="both"/>
                    <w:rPr>
                      <w:color w:val="auto"/>
                      <w:szCs w:val="21"/>
                    </w:rPr>
                  </w:pPr>
                  <w:r>
                    <w:rPr>
                      <w:rFonts w:hint="eastAsia"/>
                      <w:color w:val="auto"/>
                      <w:szCs w:val="21"/>
                    </w:rPr>
                    <w:t>汽车整车制造361，汽车用发动机制造362，改装汽车制造363，低速汽车制造364，电车制造365，汽车车身、挂车制造366，汽车零部件及配件制造367</w:t>
                  </w:r>
                </w:p>
              </w:tc>
              <w:tc>
                <w:tcPr>
                  <w:tcW w:w="1099" w:type="dxa"/>
                  <w:tcBorders>
                    <w:top w:val="single" w:color="auto" w:sz="4" w:space="0"/>
                    <w:bottom w:val="single" w:color="auto" w:sz="4" w:space="0"/>
                  </w:tcBorders>
                  <w:shd w:val="clear" w:color="auto" w:fill="auto"/>
                  <w:noWrap w:val="0"/>
                  <w:vAlign w:val="center"/>
                </w:tcPr>
                <w:p w14:paraId="1DB12938">
                  <w:pPr>
                    <w:widowControl/>
                    <w:adjustRightInd w:val="0"/>
                    <w:snapToGrid w:val="0"/>
                    <w:spacing w:line="340" w:lineRule="exact"/>
                    <w:jc w:val="center"/>
                    <w:rPr>
                      <w:color w:val="auto"/>
                      <w:szCs w:val="21"/>
                    </w:rPr>
                  </w:pPr>
                  <w:r>
                    <w:rPr>
                      <w:rFonts w:hint="eastAsia"/>
                      <w:color w:val="auto"/>
                      <w:szCs w:val="21"/>
                    </w:rPr>
                    <w:t>纳入重点排污单位名录的</w:t>
                  </w:r>
                </w:p>
              </w:tc>
              <w:tc>
                <w:tcPr>
                  <w:tcW w:w="2815" w:type="dxa"/>
                  <w:tcBorders>
                    <w:top w:val="single" w:color="auto" w:sz="4" w:space="0"/>
                    <w:bottom w:val="single" w:color="auto" w:sz="4" w:space="0"/>
                  </w:tcBorders>
                  <w:shd w:val="clear" w:color="auto" w:fill="FFFFFF" w:themeFill="background1"/>
                  <w:noWrap w:val="0"/>
                  <w:vAlign w:val="center"/>
                </w:tcPr>
                <w:p w14:paraId="03C4A145">
                  <w:pPr>
                    <w:widowControl/>
                    <w:adjustRightInd w:val="0"/>
                    <w:snapToGrid w:val="0"/>
                    <w:spacing w:line="340" w:lineRule="exact"/>
                    <w:jc w:val="center"/>
                    <w:rPr>
                      <w:color w:val="auto"/>
                      <w:szCs w:val="21"/>
                    </w:rPr>
                  </w:pPr>
                  <w:r>
                    <w:rPr>
                      <w:rFonts w:hint="eastAsia"/>
                      <w:color w:val="auto"/>
                      <w:szCs w:val="21"/>
                    </w:rPr>
                    <w:t>除重点管理以外的汽车整车制造361，除重点管理以外的年使用10吨及以上溶剂型涂料或者胶粘剂（含稀释剂、固化剂、清洗溶剂）的汽车用发动机制造362、改装汽车制造363、低速汽车制造364、电车制造365、汽车车身、挂车制造366、汽车零部件及配件制造367</w:t>
                  </w:r>
                </w:p>
              </w:tc>
              <w:tc>
                <w:tcPr>
                  <w:tcW w:w="1156" w:type="dxa"/>
                  <w:gridSpan w:val="2"/>
                  <w:tcBorders>
                    <w:top w:val="single" w:color="auto" w:sz="4" w:space="0"/>
                    <w:bottom w:val="single" w:color="auto" w:sz="4" w:space="0"/>
                    <w:right w:val="nil"/>
                  </w:tcBorders>
                  <w:shd w:val="clear" w:color="auto" w:fill="7F7F7F" w:themeFill="text1" w:themeFillTint="7F"/>
                  <w:noWrap w:val="0"/>
                  <w:vAlign w:val="center"/>
                </w:tcPr>
                <w:p w14:paraId="49A8FAFF">
                  <w:pPr>
                    <w:widowControl/>
                    <w:adjustRightInd w:val="0"/>
                    <w:snapToGrid w:val="0"/>
                    <w:spacing w:line="340" w:lineRule="exact"/>
                    <w:jc w:val="center"/>
                    <w:rPr>
                      <w:color w:val="auto"/>
                      <w:szCs w:val="21"/>
                    </w:rPr>
                  </w:pPr>
                  <w:r>
                    <w:rPr>
                      <w:color w:val="auto"/>
                      <w:kern w:val="0"/>
                      <w:szCs w:val="21"/>
                      <w:lang w:bidi="ar"/>
                    </w:rPr>
                    <w:t>其</w:t>
                  </w:r>
                  <w:r>
                    <w:rPr>
                      <w:color w:val="auto"/>
                      <w:szCs w:val="21"/>
                    </w:rPr>
                    <w:t>他</w:t>
                  </w:r>
                </w:p>
              </w:tc>
            </w:tr>
            <w:tr w14:paraId="1747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7" w:type="dxa"/>
                  <w:gridSpan w:val="7"/>
                  <w:tcBorders>
                    <w:top w:val="single" w:color="auto" w:sz="4" w:space="0"/>
                    <w:left w:val="nil"/>
                    <w:bottom w:val="single" w:color="auto" w:sz="4" w:space="0"/>
                    <w:right w:val="nil"/>
                  </w:tcBorders>
                  <w:shd w:val="clear" w:color="auto" w:fill="7F7F7F" w:themeFill="text1" w:themeFillTint="7F"/>
                  <w:noWrap w:val="0"/>
                  <w:vAlign w:val="center"/>
                </w:tcPr>
                <w:p w14:paraId="11EF5AFE">
                  <w:pPr>
                    <w:widowControl/>
                    <w:adjustRightInd w:val="0"/>
                    <w:snapToGrid w:val="0"/>
                    <w:spacing w:line="340" w:lineRule="exact"/>
                    <w:jc w:val="left"/>
                    <w:rPr>
                      <w:color w:val="auto"/>
                      <w:kern w:val="0"/>
                      <w:szCs w:val="21"/>
                      <w:lang w:bidi="ar"/>
                    </w:rPr>
                  </w:pPr>
                  <w:r>
                    <w:rPr>
                      <w:rFonts w:hint="default" w:ascii="Times New Roman" w:hAnsi="Times New Roman" w:eastAsia="宋体" w:cs="Times New Roman"/>
                      <w:b/>
                      <w:bCs/>
                      <w:color w:val="auto"/>
                      <w:szCs w:val="21"/>
                    </w:rPr>
                    <w:t>二十</w:t>
                  </w:r>
                  <w:r>
                    <w:rPr>
                      <w:rFonts w:hint="eastAsia" w:ascii="Times New Roman" w:hAnsi="Times New Roman" w:eastAsia="宋体" w:cs="Times New Roman"/>
                      <w:b/>
                      <w:bCs/>
                      <w:color w:val="auto"/>
                      <w:szCs w:val="21"/>
                      <w:lang w:val="en-US" w:eastAsia="zh-CN"/>
                    </w:rPr>
                    <w:t>四</w:t>
                  </w:r>
                  <w:r>
                    <w:rPr>
                      <w:rFonts w:hint="default" w:ascii="Times New Roman" w:hAnsi="Times New Roman" w:eastAsia="宋体" w:cs="Times New Roman"/>
                      <w:b/>
                      <w:bCs/>
                      <w:color w:val="auto"/>
                      <w:szCs w:val="21"/>
                    </w:rPr>
                    <w:t xml:space="preserve">、橡胶和塑料制品业 </w:t>
                  </w:r>
                  <w:r>
                    <w:rPr>
                      <w:rFonts w:hint="eastAsia" w:ascii="Times New Roman" w:hAnsi="Times New Roman" w:eastAsia="宋体" w:cs="Times New Roman"/>
                      <w:b/>
                      <w:bCs/>
                      <w:color w:val="auto"/>
                      <w:szCs w:val="21"/>
                      <w:lang w:val="en-US" w:eastAsia="zh-CN"/>
                    </w:rPr>
                    <w:t>29</w:t>
                  </w:r>
                </w:p>
              </w:tc>
            </w:tr>
            <w:tr w14:paraId="175E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2" w:type="dxa"/>
                  <w:tcBorders>
                    <w:top w:val="single" w:color="auto" w:sz="4" w:space="0"/>
                    <w:left w:val="nil"/>
                    <w:bottom w:val="single" w:color="auto" w:sz="4" w:space="0"/>
                  </w:tcBorders>
                  <w:shd w:val="clear" w:color="auto" w:fill="auto"/>
                  <w:noWrap w:val="0"/>
                  <w:vAlign w:val="center"/>
                </w:tcPr>
                <w:p w14:paraId="3AD437D7">
                  <w:pPr>
                    <w:adjustRightInd w:val="0"/>
                    <w:snapToGrid w:val="0"/>
                    <w:spacing w:line="340" w:lineRule="exact"/>
                    <w:jc w:val="center"/>
                    <w:rPr>
                      <w:rFonts w:hint="default"/>
                      <w:color w:val="auto"/>
                      <w:szCs w:val="21"/>
                      <w:lang w:val="en-US" w:eastAsia="zh-CN"/>
                    </w:rPr>
                  </w:pPr>
                  <w:r>
                    <w:rPr>
                      <w:rFonts w:hint="eastAsia"/>
                      <w:color w:val="auto"/>
                      <w:szCs w:val="21"/>
                      <w:lang w:val="en-US" w:eastAsia="zh-CN"/>
                    </w:rPr>
                    <w:t>62</w:t>
                  </w:r>
                </w:p>
              </w:tc>
              <w:tc>
                <w:tcPr>
                  <w:tcW w:w="1705" w:type="dxa"/>
                  <w:gridSpan w:val="2"/>
                  <w:tcBorders>
                    <w:top w:val="single" w:color="auto" w:sz="4" w:space="0"/>
                    <w:left w:val="single" w:color="auto" w:sz="4" w:space="0"/>
                    <w:bottom w:val="single" w:color="auto" w:sz="4" w:space="0"/>
                  </w:tcBorders>
                  <w:shd w:val="clear" w:color="auto" w:fill="auto"/>
                  <w:noWrap w:val="0"/>
                  <w:vAlign w:val="center"/>
                </w:tcPr>
                <w:p w14:paraId="3A3FA060">
                  <w:pPr>
                    <w:jc w:val="center"/>
                    <w:rPr>
                      <w:rFonts w:hint="eastAsia"/>
                      <w:color w:val="auto"/>
                      <w:szCs w:val="21"/>
                    </w:rPr>
                  </w:pPr>
                  <w:r>
                    <w:rPr>
                      <w:rFonts w:hint="default" w:ascii="Times New Roman" w:hAnsi="Times New Roman" w:cs="Times New Roman"/>
                      <w:color w:val="auto"/>
                      <w:sz w:val="18"/>
                      <w:szCs w:val="18"/>
                      <w:lang w:val="en-US" w:eastAsia="zh-CN"/>
                    </w:rPr>
                    <w:t>塑料制品业 292</w:t>
                  </w:r>
                </w:p>
              </w:tc>
              <w:tc>
                <w:tcPr>
                  <w:tcW w:w="1099" w:type="dxa"/>
                  <w:tcBorders>
                    <w:top w:val="single" w:color="auto" w:sz="4" w:space="0"/>
                    <w:bottom w:val="single" w:color="auto" w:sz="4" w:space="0"/>
                  </w:tcBorders>
                  <w:shd w:val="clear" w:color="auto" w:fill="auto"/>
                  <w:noWrap w:val="0"/>
                  <w:vAlign w:val="center"/>
                </w:tcPr>
                <w:p w14:paraId="0515C4D8">
                  <w:pPr>
                    <w:jc w:val="center"/>
                    <w:rPr>
                      <w:rFonts w:hint="eastAsia"/>
                      <w:color w:val="auto"/>
                      <w:szCs w:val="21"/>
                    </w:rPr>
                  </w:pPr>
                  <w:r>
                    <w:rPr>
                      <w:rFonts w:hint="default" w:ascii="Times New Roman" w:hAnsi="Times New Roman" w:cs="Times New Roman"/>
                      <w:color w:val="auto"/>
                      <w:sz w:val="18"/>
                      <w:szCs w:val="18"/>
                    </w:rPr>
                    <w:t>塑料人造革、合成革制造 2925</w:t>
                  </w:r>
                </w:p>
              </w:tc>
              <w:tc>
                <w:tcPr>
                  <w:tcW w:w="2815" w:type="dxa"/>
                  <w:tcBorders>
                    <w:top w:val="single" w:color="auto" w:sz="4" w:space="0"/>
                    <w:bottom w:val="single" w:color="auto" w:sz="4" w:space="0"/>
                  </w:tcBorders>
                  <w:shd w:val="clear" w:color="auto" w:fill="FFFFFF" w:themeFill="background1"/>
                  <w:noWrap w:val="0"/>
                  <w:vAlign w:val="center"/>
                </w:tcPr>
                <w:p w14:paraId="5FF0CD87">
                  <w:pPr>
                    <w:jc w:val="center"/>
                    <w:rPr>
                      <w:rFonts w:hint="eastAsia"/>
                      <w:color w:val="auto"/>
                      <w:szCs w:val="21"/>
                    </w:rPr>
                  </w:pPr>
                  <w:r>
                    <w:rPr>
                      <w:rFonts w:hint="default" w:ascii="Times New Roman" w:hAnsi="Times New Roman" w:cs="Times New Roman"/>
                      <w:color w:val="auto"/>
                      <w:sz w:val="18"/>
                      <w:szCs w:val="18"/>
                    </w:rPr>
                    <w:t>年产1万吨及以上的泡沫塑料制造2924</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年产1万吨及以上涉及改性的塑料薄膜制造2921、塑料板、管、型材制造2922、塑料丝、绳和编织品制造2923、塑料包装箱及容器制造2926、日用塑料品制造2927、人造草坪制造2928、塑料零件及其他塑料制品制造2929</w:t>
                  </w:r>
                </w:p>
              </w:tc>
              <w:tc>
                <w:tcPr>
                  <w:tcW w:w="1156" w:type="dxa"/>
                  <w:gridSpan w:val="2"/>
                  <w:tcBorders>
                    <w:top w:val="single" w:color="auto" w:sz="4" w:space="0"/>
                    <w:bottom w:val="single" w:color="auto" w:sz="4" w:space="0"/>
                    <w:right w:val="nil"/>
                  </w:tcBorders>
                  <w:shd w:val="clear" w:color="auto" w:fill="7F7F7F" w:themeFill="text1" w:themeFillTint="7F"/>
                  <w:noWrap w:val="0"/>
                  <w:vAlign w:val="center"/>
                </w:tcPr>
                <w:p w14:paraId="74F69980">
                  <w:pPr>
                    <w:jc w:val="center"/>
                    <w:rPr>
                      <w:color w:val="auto"/>
                      <w:kern w:val="0"/>
                      <w:szCs w:val="21"/>
                      <w:lang w:bidi="ar"/>
                    </w:rPr>
                  </w:pPr>
                  <w:r>
                    <w:rPr>
                      <w:rFonts w:hint="default" w:ascii="Times New Roman" w:hAnsi="Times New Roman" w:cs="Times New Roman"/>
                      <w:color w:val="auto"/>
                      <w:sz w:val="18"/>
                      <w:szCs w:val="18"/>
                    </w:rPr>
                    <w:t>其他</w:t>
                  </w:r>
                </w:p>
              </w:tc>
            </w:tr>
            <w:tr w14:paraId="6C72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427" w:type="dxa"/>
                  <w:gridSpan w:val="7"/>
                  <w:tcBorders>
                    <w:top w:val="single" w:color="auto" w:sz="4" w:space="0"/>
                    <w:left w:val="nil"/>
                    <w:bottom w:val="single" w:color="auto" w:sz="4" w:space="0"/>
                    <w:right w:val="nil"/>
                  </w:tcBorders>
                  <w:shd w:val="clear" w:color="auto" w:fill="7F7F7F" w:themeFill="text1" w:themeFillTint="7F"/>
                  <w:noWrap w:val="0"/>
                  <w:vAlign w:val="center"/>
                </w:tcPr>
                <w:p w14:paraId="71B5D15D">
                  <w:pPr>
                    <w:widowControl/>
                    <w:adjustRightInd w:val="0"/>
                    <w:snapToGrid w:val="0"/>
                    <w:jc w:val="left"/>
                    <w:rPr>
                      <w:rFonts w:hint="default" w:ascii="Times New Roman" w:hAnsi="Times New Roman" w:cs="Times New Roman"/>
                      <w:color w:val="auto"/>
                      <w:sz w:val="18"/>
                      <w:szCs w:val="18"/>
                    </w:rPr>
                  </w:pPr>
                  <w:r>
                    <w:rPr>
                      <w:b/>
                      <w:bCs/>
                      <w:color w:val="auto"/>
                      <w:sz w:val="21"/>
                      <w:szCs w:val="21"/>
                    </w:rPr>
                    <w:t>二十</w:t>
                  </w:r>
                  <w:r>
                    <w:rPr>
                      <w:rFonts w:hint="eastAsia"/>
                      <w:b/>
                      <w:bCs/>
                      <w:color w:val="auto"/>
                      <w:sz w:val="21"/>
                      <w:szCs w:val="21"/>
                    </w:rPr>
                    <w:t>八</w:t>
                  </w:r>
                  <w:r>
                    <w:rPr>
                      <w:b/>
                      <w:bCs/>
                      <w:color w:val="auto"/>
                      <w:sz w:val="21"/>
                      <w:szCs w:val="21"/>
                    </w:rPr>
                    <w:t>、</w:t>
                  </w:r>
                  <w:r>
                    <w:rPr>
                      <w:rFonts w:hint="eastAsia"/>
                      <w:b/>
                      <w:bCs/>
                      <w:color w:val="auto"/>
                      <w:sz w:val="21"/>
                      <w:szCs w:val="21"/>
                    </w:rPr>
                    <w:t>金属制品业33</w:t>
                  </w:r>
                </w:p>
              </w:tc>
            </w:tr>
            <w:tr w14:paraId="1B55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gridSpan w:val="2"/>
                  <w:tcBorders>
                    <w:top w:val="single" w:color="auto" w:sz="4" w:space="0"/>
                    <w:left w:val="nil"/>
                    <w:bottom w:val="single" w:color="auto" w:sz="12" w:space="0"/>
                  </w:tcBorders>
                  <w:shd w:val="clear" w:color="auto" w:fill="auto"/>
                  <w:noWrap w:val="0"/>
                  <w:vAlign w:val="center"/>
                </w:tcPr>
                <w:p w14:paraId="5A653EC2">
                  <w:pPr>
                    <w:adjustRightInd w:val="0"/>
                    <w:snapToGrid w:val="0"/>
                    <w:jc w:val="center"/>
                    <w:rPr>
                      <w:rFonts w:hint="eastAsia"/>
                      <w:color w:val="auto"/>
                      <w:szCs w:val="21"/>
                      <w:lang w:val="en-US" w:eastAsia="zh-CN"/>
                    </w:rPr>
                  </w:pPr>
                  <w:r>
                    <w:rPr>
                      <w:rFonts w:hint="eastAsia"/>
                      <w:color w:val="auto"/>
                      <w:sz w:val="18"/>
                      <w:szCs w:val="18"/>
                    </w:rPr>
                    <w:t>80</w:t>
                  </w:r>
                </w:p>
              </w:tc>
              <w:tc>
                <w:tcPr>
                  <w:tcW w:w="1696" w:type="dxa"/>
                  <w:tcBorders>
                    <w:top w:val="single" w:color="auto" w:sz="4" w:space="0"/>
                    <w:left w:val="single" w:color="auto" w:sz="4" w:space="0"/>
                    <w:bottom w:val="single" w:color="auto" w:sz="12" w:space="0"/>
                  </w:tcBorders>
                  <w:shd w:val="clear" w:color="auto" w:fill="auto"/>
                  <w:noWrap w:val="0"/>
                  <w:vAlign w:val="center"/>
                </w:tcPr>
                <w:p w14:paraId="22D8F1C6">
                  <w:pPr>
                    <w:adjustRightInd w:val="0"/>
                    <w:snapToGrid w:val="0"/>
                    <w:jc w:val="center"/>
                    <w:rPr>
                      <w:rFonts w:hint="default" w:ascii="Times New Roman" w:hAnsi="Times New Roman" w:cs="Times New Roman"/>
                      <w:color w:val="auto"/>
                      <w:sz w:val="18"/>
                      <w:szCs w:val="18"/>
                    </w:rPr>
                  </w:pPr>
                  <w:r>
                    <w:rPr>
                      <w:color w:val="auto"/>
                      <w:sz w:val="18"/>
                      <w:szCs w:val="18"/>
                    </w:rPr>
                    <w:t>结构性金属制品制造331</w:t>
                  </w:r>
                </w:p>
              </w:tc>
              <w:tc>
                <w:tcPr>
                  <w:tcW w:w="1099" w:type="dxa"/>
                  <w:tcBorders>
                    <w:top w:val="single" w:color="auto" w:sz="4" w:space="0"/>
                    <w:bottom w:val="single" w:color="auto" w:sz="12" w:space="0"/>
                  </w:tcBorders>
                  <w:shd w:val="clear" w:color="auto" w:fill="FFFFFF" w:themeFill="background1"/>
                  <w:noWrap w:val="0"/>
                  <w:vAlign w:val="center"/>
                </w:tcPr>
                <w:p w14:paraId="2C3FB76F">
                  <w:pPr>
                    <w:adjustRightInd w:val="0"/>
                    <w:snapToGrid w:val="0"/>
                    <w:jc w:val="center"/>
                    <w:rPr>
                      <w:rFonts w:hint="default" w:ascii="Times New Roman" w:hAnsi="Times New Roman" w:cs="Times New Roman"/>
                      <w:color w:val="auto"/>
                      <w:sz w:val="18"/>
                      <w:szCs w:val="18"/>
                    </w:rPr>
                  </w:pPr>
                  <w:r>
                    <w:rPr>
                      <w:color w:val="auto"/>
                      <w:sz w:val="18"/>
                      <w:szCs w:val="18"/>
                    </w:rPr>
                    <w:t>涉及通用工序重点管理的</w:t>
                  </w:r>
                </w:p>
              </w:tc>
              <w:tc>
                <w:tcPr>
                  <w:tcW w:w="2869" w:type="dxa"/>
                  <w:gridSpan w:val="2"/>
                  <w:tcBorders>
                    <w:top w:val="single" w:color="auto" w:sz="4" w:space="0"/>
                    <w:bottom w:val="single" w:color="auto" w:sz="12" w:space="0"/>
                    <w:right w:val="nil"/>
                  </w:tcBorders>
                  <w:shd w:val="clear" w:color="auto" w:fill="FFFFFF" w:themeFill="background1"/>
                  <w:noWrap w:val="0"/>
                  <w:vAlign w:val="center"/>
                </w:tcPr>
                <w:p w14:paraId="1DBA892D">
                  <w:pPr>
                    <w:adjustRightInd w:val="0"/>
                    <w:snapToGrid w:val="0"/>
                    <w:jc w:val="center"/>
                    <w:rPr>
                      <w:rFonts w:hint="default" w:ascii="Times New Roman" w:hAnsi="Times New Roman" w:cs="Times New Roman"/>
                      <w:color w:val="auto"/>
                      <w:sz w:val="18"/>
                      <w:szCs w:val="18"/>
                    </w:rPr>
                  </w:pPr>
                  <w:r>
                    <w:rPr>
                      <w:color w:val="auto"/>
                      <w:sz w:val="18"/>
                      <w:szCs w:val="18"/>
                    </w:rPr>
                    <w:t>涉及通用工序</w:t>
                  </w:r>
                  <w:r>
                    <w:rPr>
                      <w:rFonts w:hint="eastAsia"/>
                      <w:color w:val="auto"/>
                      <w:sz w:val="18"/>
                      <w:szCs w:val="18"/>
                    </w:rPr>
                    <w:t>简化</w:t>
                  </w:r>
                  <w:r>
                    <w:rPr>
                      <w:color w:val="auto"/>
                      <w:sz w:val="18"/>
                      <w:szCs w:val="18"/>
                    </w:rPr>
                    <w:t>管理的</w:t>
                  </w:r>
                </w:p>
              </w:tc>
              <w:tc>
                <w:tcPr>
                  <w:tcW w:w="1102" w:type="dxa"/>
                  <w:tcBorders>
                    <w:top w:val="single" w:color="auto" w:sz="4" w:space="0"/>
                    <w:bottom w:val="single" w:color="auto" w:sz="12" w:space="0"/>
                    <w:right w:val="nil"/>
                  </w:tcBorders>
                  <w:shd w:val="clear" w:color="auto" w:fill="7F7F7F" w:themeFill="text1" w:themeFillTint="7F"/>
                  <w:noWrap w:val="0"/>
                  <w:vAlign w:val="center"/>
                </w:tcPr>
                <w:p w14:paraId="01E1EDC9">
                  <w:pPr>
                    <w:adjustRightInd w:val="0"/>
                    <w:snapToGrid w:val="0"/>
                    <w:jc w:val="center"/>
                    <w:rPr>
                      <w:color w:val="auto"/>
                    </w:rPr>
                  </w:pPr>
                  <w:r>
                    <w:rPr>
                      <w:color w:val="auto"/>
                      <w:sz w:val="18"/>
                      <w:szCs w:val="18"/>
                    </w:rPr>
                    <w:t>其他*</w:t>
                  </w:r>
                </w:p>
              </w:tc>
            </w:tr>
          </w:tbl>
          <w:p w14:paraId="0A00C748">
            <w:pPr>
              <w:numPr>
                <w:ilvl w:val="0"/>
                <w:numId w:val="10"/>
              </w:numPr>
              <w:adjustRightInd w:val="0"/>
              <w:snapToGrid w:val="0"/>
              <w:spacing w:before="120" w:beforeLines="50" w:line="340" w:lineRule="exact"/>
              <w:jc w:val="left"/>
              <w:rPr>
                <w:rFonts w:hint="eastAsia"/>
                <w:b/>
                <w:bCs/>
                <w:color w:val="auto"/>
              </w:rPr>
            </w:pPr>
            <w:r>
              <w:rPr>
                <w:rFonts w:hint="eastAsia"/>
                <w:b/>
                <w:bCs/>
                <w:color w:val="auto"/>
              </w:rPr>
              <w:t>排污口规范化管理要求</w:t>
            </w:r>
          </w:p>
          <w:p w14:paraId="70EA0DC6">
            <w:pPr>
              <w:adjustRightInd w:val="0"/>
              <w:snapToGrid w:val="0"/>
              <w:spacing w:line="340" w:lineRule="exact"/>
              <w:ind w:firstLine="420" w:firstLineChars="200"/>
              <w:rPr>
                <w:rFonts w:hint="eastAsia"/>
                <w:color w:val="auto"/>
              </w:rPr>
            </w:pPr>
            <w:r>
              <w:rPr>
                <w:rFonts w:hint="eastAsia"/>
                <w:color w:val="auto"/>
              </w:rPr>
              <w:t>项目排污口规范化</w:t>
            </w:r>
            <w:r>
              <w:rPr>
                <w:color w:val="auto"/>
              </w:rPr>
              <w:t>图标</w:t>
            </w:r>
            <w:r>
              <w:rPr>
                <w:rFonts w:hint="eastAsia"/>
                <w:color w:val="auto"/>
              </w:rPr>
              <w:t>按照</w:t>
            </w:r>
            <w:r>
              <w:rPr>
                <w:color w:val="auto"/>
              </w:rPr>
              <w:t>《环境保护图形标志—排放口(源)》(GB15563.1-1995)</w:t>
            </w:r>
            <w:r>
              <w:rPr>
                <w:rFonts w:hint="eastAsia"/>
                <w:color w:val="auto"/>
              </w:rPr>
              <w:t>要求进行，具体详见表5-2。</w:t>
            </w:r>
            <w:r>
              <w:rPr>
                <w:rFonts w:hint="eastAsia"/>
                <w:color w:val="auto"/>
                <w:szCs w:val="21"/>
              </w:rPr>
              <w:t>同时根据</w:t>
            </w:r>
            <w:r>
              <w:rPr>
                <w:rFonts w:hint="eastAsia"/>
                <w:color w:val="auto"/>
              </w:rPr>
              <w:t>《排污单位污染物排放口二维码标识技术规范》(HJ 1297-2023)，设置规范的排放口二维码标识。</w:t>
            </w:r>
          </w:p>
          <w:p w14:paraId="41012D9B">
            <w:pPr>
              <w:adjustRightInd w:val="0"/>
              <w:snapToGrid w:val="0"/>
              <w:spacing w:before="120" w:beforeLines="50"/>
              <w:jc w:val="center"/>
              <w:rPr>
                <w:rFonts w:ascii="Times New Roman" w:hAnsi="Times New Roman" w:eastAsia="黑体" w:cs="Times New Roman"/>
                <w:color w:val="auto"/>
                <w:szCs w:val="21"/>
              </w:rPr>
            </w:pPr>
            <w:bookmarkStart w:id="40" w:name="_Toc490031280"/>
            <w:bookmarkStart w:id="41" w:name="_Toc492278677"/>
            <w:r>
              <w:rPr>
                <w:rFonts w:ascii="Times New Roman" w:hAnsi="Times New Roman" w:eastAsia="黑体" w:cs="Times New Roman"/>
                <w:color w:val="auto"/>
                <w:szCs w:val="21"/>
              </w:rPr>
              <w:t>表</w:t>
            </w:r>
            <w:r>
              <w:rPr>
                <w:rFonts w:hint="eastAsia" w:ascii="Times New Roman" w:hAnsi="Times New Roman" w:eastAsia="黑体" w:cs="Times New Roman"/>
                <w:color w:val="auto"/>
                <w:szCs w:val="21"/>
              </w:rPr>
              <w:t>5-2</w:t>
            </w:r>
            <w:r>
              <w:rPr>
                <w:rFonts w:ascii="Times New Roman" w:hAnsi="Times New Roman" w:eastAsia="黑体" w:cs="Times New Roman"/>
                <w:color w:val="auto"/>
                <w:szCs w:val="21"/>
              </w:rPr>
              <w:t xml:space="preserve">  环境保护图形标志的形状及颜色表</w:t>
            </w:r>
          </w:p>
          <w:tbl>
            <w:tblPr>
              <w:tblStyle w:val="35"/>
              <w:tblW w:w="7524"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81"/>
              <w:gridCol w:w="1881"/>
              <w:gridCol w:w="1881"/>
              <w:gridCol w:w="1881"/>
            </w:tblGrid>
            <w:tr w14:paraId="7E014D3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tcBorders>
                    <w:top w:val="single" w:color="auto" w:sz="12" w:space="0"/>
                  </w:tcBorders>
                  <w:noWrap w:val="0"/>
                  <w:vAlign w:val="center"/>
                </w:tcPr>
                <w:p w14:paraId="60F395AA">
                  <w:pPr>
                    <w:adjustRightInd w:val="0"/>
                    <w:snapToGrid w:val="0"/>
                    <w:jc w:val="center"/>
                    <w:rPr>
                      <w:snapToGrid w:val="0"/>
                      <w:color w:val="auto"/>
                      <w:kern w:val="0"/>
                      <w:sz w:val="18"/>
                      <w:szCs w:val="18"/>
                    </w:rPr>
                  </w:pPr>
                  <w:r>
                    <w:rPr>
                      <w:snapToGrid w:val="0"/>
                      <w:color w:val="auto"/>
                      <w:kern w:val="0"/>
                      <w:sz w:val="18"/>
                      <w:szCs w:val="18"/>
                    </w:rPr>
                    <w:t>标志名称</w:t>
                  </w:r>
                </w:p>
              </w:tc>
              <w:tc>
                <w:tcPr>
                  <w:tcW w:w="1881" w:type="dxa"/>
                  <w:tcBorders>
                    <w:top w:val="single" w:color="auto" w:sz="12" w:space="0"/>
                  </w:tcBorders>
                  <w:noWrap w:val="0"/>
                  <w:vAlign w:val="center"/>
                </w:tcPr>
                <w:p w14:paraId="2D43DABB">
                  <w:pPr>
                    <w:adjustRightInd w:val="0"/>
                    <w:snapToGrid w:val="0"/>
                    <w:jc w:val="center"/>
                    <w:rPr>
                      <w:snapToGrid w:val="0"/>
                      <w:color w:val="auto"/>
                      <w:kern w:val="0"/>
                      <w:sz w:val="18"/>
                      <w:szCs w:val="18"/>
                    </w:rPr>
                  </w:pPr>
                  <w:r>
                    <w:rPr>
                      <w:snapToGrid w:val="0"/>
                      <w:color w:val="auto"/>
                      <w:kern w:val="0"/>
                      <w:sz w:val="18"/>
                      <w:szCs w:val="18"/>
                    </w:rPr>
                    <w:t>形状</w:t>
                  </w:r>
                </w:p>
              </w:tc>
              <w:tc>
                <w:tcPr>
                  <w:tcW w:w="1881" w:type="dxa"/>
                  <w:tcBorders>
                    <w:top w:val="single" w:color="auto" w:sz="12" w:space="0"/>
                  </w:tcBorders>
                  <w:noWrap w:val="0"/>
                  <w:vAlign w:val="center"/>
                </w:tcPr>
                <w:p w14:paraId="60A18A2E">
                  <w:pPr>
                    <w:adjustRightInd w:val="0"/>
                    <w:snapToGrid w:val="0"/>
                    <w:jc w:val="center"/>
                    <w:rPr>
                      <w:snapToGrid w:val="0"/>
                      <w:color w:val="auto"/>
                      <w:kern w:val="0"/>
                      <w:sz w:val="18"/>
                      <w:szCs w:val="18"/>
                    </w:rPr>
                  </w:pPr>
                  <w:r>
                    <w:rPr>
                      <w:snapToGrid w:val="0"/>
                      <w:color w:val="auto"/>
                      <w:kern w:val="0"/>
                      <w:sz w:val="18"/>
                      <w:szCs w:val="18"/>
                    </w:rPr>
                    <w:t>背景颜色</w:t>
                  </w:r>
                </w:p>
              </w:tc>
              <w:tc>
                <w:tcPr>
                  <w:tcW w:w="1881" w:type="dxa"/>
                  <w:tcBorders>
                    <w:top w:val="single" w:color="auto" w:sz="12" w:space="0"/>
                  </w:tcBorders>
                  <w:noWrap w:val="0"/>
                  <w:vAlign w:val="center"/>
                </w:tcPr>
                <w:p w14:paraId="542C244C">
                  <w:pPr>
                    <w:adjustRightInd w:val="0"/>
                    <w:snapToGrid w:val="0"/>
                    <w:jc w:val="center"/>
                    <w:rPr>
                      <w:snapToGrid w:val="0"/>
                      <w:color w:val="auto"/>
                      <w:kern w:val="0"/>
                      <w:sz w:val="18"/>
                      <w:szCs w:val="18"/>
                    </w:rPr>
                  </w:pPr>
                  <w:r>
                    <w:rPr>
                      <w:snapToGrid w:val="0"/>
                      <w:color w:val="auto"/>
                      <w:kern w:val="0"/>
                      <w:sz w:val="18"/>
                      <w:szCs w:val="18"/>
                    </w:rPr>
                    <w:t>图形颜色</w:t>
                  </w:r>
                </w:p>
              </w:tc>
            </w:tr>
            <w:tr w14:paraId="63C6DA30">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noWrap w:val="0"/>
                  <w:vAlign w:val="center"/>
                </w:tcPr>
                <w:p w14:paraId="56F9929D">
                  <w:pPr>
                    <w:adjustRightInd w:val="0"/>
                    <w:snapToGrid w:val="0"/>
                    <w:jc w:val="center"/>
                    <w:rPr>
                      <w:snapToGrid w:val="0"/>
                      <w:color w:val="auto"/>
                      <w:kern w:val="0"/>
                      <w:sz w:val="18"/>
                      <w:szCs w:val="18"/>
                    </w:rPr>
                  </w:pPr>
                  <w:r>
                    <w:rPr>
                      <w:snapToGrid w:val="0"/>
                      <w:color w:val="auto"/>
                      <w:kern w:val="0"/>
                      <w:sz w:val="18"/>
                      <w:szCs w:val="18"/>
                    </w:rPr>
                    <w:t>警告标志</w:t>
                  </w:r>
                </w:p>
              </w:tc>
              <w:tc>
                <w:tcPr>
                  <w:tcW w:w="1881" w:type="dxa"/>
                  <w:noWrap w:val="0"/>
                  <w:vAlign w:val="center"/>
                </w:tcPr>
                <w:p w14:paraId="52A937DF">
                  <w:pPr>
                    <w:adjustRightInd w:val="0"/>
                    <w:snapToGrid w:val="0"/>
                    <w:jc w:val="center"/>
                    <w:rPr>
                      <w:snapToGrid w:val="0"/>
                      <w:color w:val="auto"/>
                      <w:kern w:val="0"/>
                      <w:sz w:val="18"/>
                      <w:szCs w:val="18"/>
                    </w:rPr>
                  </w:pPr>
                  <w:r>
                    <w:rPr>
                      <w:snapToGrid w:val="0"/>
                      <w:color w:val="auto"/>
                      <w:kern w:val="0"/>
                      <w:sz w:val="18"/>
                      <w:szCs w:val="18"/>
                    </w:rPr>
                    <w:t>三角形边框</w:t>
                  </w:r>
                </w:p>
              </w:tc>
              <w:tc>
                <w:tcPr>
                  <w:tcW w:w="1881" w:type="dxa"/>
                  <w:noWrap w:val="0"/>
                  <w:vAlign w:val="center"/>
                </w:tcPr>
                <w:p w14:paraId="41D142D6">
                  <w:pPr>
                    <w:adjustRightInd w:val="0"/>
                    <w:snapToGrid w:val="0"/>
                    <w:jc w:val="center"/>
                    <w:rPr>
                      <w:snapToGrid w:val="0"/>
                      <w:color w:val="auto"/>
                      <w:kern w:val="0"/>
                      <w:sz w:val="18"/>
                      <w:szCs w:val="18"/>
                    </w:rPr>
                  </w:pPr>
                  <w:r>
                    <w:rPr>
                      <w:snapToGrid w:val="0"/>
                      <w:color w:val="auto"/>
                      <w:kern w:val="0"/>
                      <w:sz w:val="18"/>
                      <w:szCs w:val="18"/>
                    </w:rPr>
                    <w:t>黄色</w:t>
                  </w:r>
                </w:p>
              </w:tc>
              <w:tc>
                <w:tcPr>
                  <w:tcW w:w="1881" w:type="dxa"/>
                  <w:noWrap w:val="0"/>
                  <w:vAlign w:val="center"/>
                </w:tcPr>
                <w:p w14:paraId="50099CA8">
                  <w:pPr>
                    <w:adjustRightInd w:val="0"/>
                    <w:snapToGrid w:val="0"/>
                    <w:jc w:val="center"/>
                    <w:rPr>
                      <w:snapToGrid w:val="0"/>
                      <w:color w:val="auto"/>
                      <w:kern w:val="0"/>
                      <w:sz w:val="18"/>
                      <w:szCs w:val="18"/>
                    </w:rPr>
                  </w:pPr>
                  <w:r>
                    <w:rPr>
                      <w:snapToGrid w:val="0"/>
                      <w:color w:val="auto"/>
                      <w:kern w:val="0"/>
                      <w:sz w:val="18"/>
                      <w:szCs w:val="18"/>
                    </w:rPr>
                    <w:t>黑色</w:t>
                  </w:r>
                </w:p>
              </w:tc>
            </w:tr>
            <w:tr w14:paraId="5756A80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881" w:type="dxa"/>
                  <w:tcBorders>
                    <w:bottom w:val="single" w:color="auto" w:sz="12" w:space="0"/>
                  </w:tcBorders>
                  <w:noWrap w:val="0"/>
                  <w:vAlign w:val="center"/>
                </w:tcPr>
                <w:p w14:paraId="76E78AC3">
                  <w:pPr>
                    <w:adjustRightInd w:val="0"/>
                    <w:snapToGrid w:val="0"/>
                    <w:jc w:val="center"/>
                    <w:rPr>
                      <w:snapToGrid w:val="0"/>
                      <w:color w:val="auto"/>
                      <w:kern w:val="0"/>
                      <w:sz w:val="18"/>
                      <w:szCs w:val="18"/>
                    </w:rPr>
                  </w:pPr>
                  <w:r>
                    <w:rPr>
                      <w:snapToGrid w:val="0"/>
                      <w:color w:val="auto"/>
                      <w:kern w:val="0"/>
                      <w:sz w:val="18"/>
                      <w:szCs w:val="18"/>
                    </w:rPr>
                    <w:t>提示标志</w:t>
                  </w:r>
                </w:p>
              </w:tc>
              <w:tc>
                <w:tcPr>
                  <w:tcW w:w="1881" w:type="dxa"/>
                  <w:tcBorders>
                    <w:bottom w:val="single" w:color="auto" w:sz="12" w:space="0"/>
                  </w:tcBorders>
                  <w:noWrap w:val="0"/>
                  <w:vAlign w:val="center"/>
                </w:tcPr>
                <w:p w14:paraId="3259CBAC">
                  <w:pPr>
                    <w:adjustRightInd w:val="0"/>
                    <w:snapToGrid w:val="0"/>
                    <w:jc w:val="center"/>
                    <w:rPr>
                      <w:snapToGrid w:val="0"/>
                      <w:color w:val="auto"/>
                      <w:kern w:val="0"/>
                      <w:sz w:val="18"/>
                      <w:szCs w:val="18"/>
                    </w:rPr>
                  </w:pPr>
                  <w:r>
                    <w:rPr>
                      <w:snapToGrid w:val="0"/>
                      <w:color w:val="auto"/>
                      <w:kern w:val="0"/>
                      <w:sz w:val="18"/>
                      <w:szCs w:val="18"/>
                    </w:rPr>
                    <w:t>正方形边框</w:t>
                  </w:r>
                </w:p>
              </w:tc>
              <w:tc>
                <w:tcPr>
                  <w:tcW w:w="1881" w:type="dxa"/>
                  <w:tcBorders>
                    <w:bottom w:val="single" w:color="auto" w:sz="12" w:space="0"/>
                  </w:tcBorders>
                  <w:noWrap w:val="0"/>
                  <w:vAlign w:val="center"/>
                </w:tcPr>
                <w:p w14:paraId="22DD8801">
                  <w:pPr>
                    <w:adjustRightInd w:val="0"/>
                    <w:snapToGrid w:val="0"/>
                    <w:jc w:val="center"/>
                    <w:rPr>
                      <w:snapToGrid w:val="0"/>
                      <w:color w:val="auto"/>
                      <w:kern w:val="0"/>
                      <w:sz w:val="18"/>
                      <w:szCs w:val="18"/>
                    </w:rPr>
                  </w:pPr>
                  <w:r>
                    <w:rPr>
                      <w:snapToGrid w:val="0"/>
                      <w:color w:val="auto"/>
                      <w:kern w:val="0"/>
                      <w:sz w:val="18"/>
                      <w:szCs w:val="18"/>
                    </w:rPr>
                    <w:t>绿色</w:t>
                  </w:r>
                </w:p>
              </w:tc>
              <w:tc>
                <w:tcPr>
                  <w:tcW w:w="1881" w:type="dxa"/>
                  <w:tcBorders>
                    <w:bottom w:val="single" w:color="auto" w:sz="12" w:space="0"/>
                  </w:tcBorders>
                  <w:noWrap w:val="0"/>
                  <w:vAlign w:val="center"/>
                </w:tcPr>
                <w:p w14:paraId="6F69D432">
                  <w:pPr>
                    <w:adjustRightInd w:val="0"/>
                    <w:snapToGrid w:val="0"/>
                    <w:jc w:val="center"/>
                    <w:rPr>
                      <w:snapToGrid w:val="0"/>
                      <w:color w:val="auto"/>
                      <w:kern w:val="0"/>
                      <w:sz w:val="18"/>
                      <w:szCs w:val="18"/>
                    </w:rPr>
                  </w:pPr>
                  <w:r>
                    <w:rPr>
                      <w:snapToGrid w:val="0"/>
                      <w:color w:val="auto"/>
                      <w:kern w:val="0"/>
                      <w:sz w:val="18"/>
                      <w:szCs w:val="18"/>
                    </w:rPr>
                    <w:t>白色</w:t>
                  </w:r>
                </w:p>
              </w:tc>
            </w:tr>
          </w:tbl>
          <w:p w14:paraId="6D03994B">
            <w:pPr>
              <w:adjustRightInd w:val="0"/>
              <w:snapToGrid w:val="0"/>
              <w:spacing w:before="120" w:beforeLines="50" w:line="384" w:lineRule="auto"/>
              <w:ind w:firstLine="482"/>
              <w:rPr>
                <w:snapToGrid w:val="0"/>
                <w:color w:val="auto"/>
                <w:kern w:val="0"/>
                <w:szCs w:val="21"/>
              </w:rPr>
            </w:pPr>
            <w:r>
              <w:rPr>
                <w:snapToGrid w:val="0"/>
                <w:color w:val="auto"/>
                <w:kern w:val="0"/>
                <w:szCs w:val="21"/>
              </w:rPr>
              <w:t>环境保护图形符号见</w:t>
            </w:r>
            <w:r>
              <w:rPr>
                <w:rFonts w:hint="eastAsia"/>
                <w:snapToGrid w:val="0"/>
                <w:color w:val="auto"/>
                <w:kern w:val="0"/>
                <w:szCs w:val="21"/>
              </w:rPr>
              <w:t>下表</w:t>
            </w:r>
            <w:r>
              <w:rPr>
                <w:snapToGrid w:val="0"/>
                <w:color w:val="auto"/>
                <w:kern w:val="0"/>
                <w:szCs w:val="21"/>
              </w:rPr>
              <w:t>。</w:t>
            </w:r>
          </w:p>
          <w:p w14:paraId="1C405EAD">
            <w:pPr>
              <w:adjustRightInd w:val="0"/>
              <w:snapToGrid w:val="0"/>
              <w:spacing w:before="120" w:beforeLines="50"/>
              <w:jc w:val="center"/>
              <w:rPr>
                <w:rFonts w:ascii="Times New Roman" w:hAnsi="Times New Roman" w:eastAsia="黑体" w:cs="Times New Roman"/>
                <w:color w:val="auto"/>
                <w:szCs w:val="21"/>
              </w:rPr>
            </w:pPr>
            <w:r>
              <w:rPr>
                <w:rFonts w:ascii="Times New Roman" w:hAnsi="Times New Roman" w:eastAsia="黑体" w:cs="Times New Roman"/>
                <w:color w:val="auto"/>
                <w:szCs w:val="21"/>
              </w:rPr>
              <w:t>表</w:t>
            </w:r>
            <w:r>
              <w:rPr>
                <w:rFonts w:hint="eastAsia" w:ascii="Times New Roman" w:hAnsi="Times New Roman" w:eastAsia="黑体" w:cs="Times New Roman"/>
                <w:color w:val="auto"/>
                <w:szCs w:val="21"/>
              </w:rPr>
              <w:t>5-3</w:t>
            </w:r>
            <w:r>
              <w:rPr>
                <w:rFonts w:ascii="Times New Roman" w:hAnsi="Times New Roman" w:eastAsia="黑体" w:cs="Times New Roman"/>
                <w:color w:val="auto"/>
                <w:szCs w:val="21"/>
              </w:rPr>
              <w:t xml:space="preserve">  环境保护图形符号一览表</w:t>
            </w:r>
          </w:p>
          <w:tbl>
            <w:tblPr>
              <w:tblStyle w:val="35"/>
              <w:tblW w:w="7524"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35"/>
              <w:gridCol w:w="1566"/>
              <w:gridCol w:w="2076"/>
              <w:gridCol w:w="1099"/>
              <w:gridCol w:w="2448"/>
            </w:tblGrid>
            <w:tr w14:paraId="65E9B66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tcBorders>
                    <w:top w:val="single" w:color="auto" w:sz="12" w:space="0"/>
                  </w:tcBorders>
                  <w:noWrap w:val="0"/>
                  <w:vAlign w:val="center"/>
                </w:tcPr>
                <w:p w14:paraId="62336DE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序号</w:t>
                  </w:r>
                </w:p>
              </w:tc>
              <w:tc>
                <w:tcPr>
                  <w:tcW w:w="1566" w:type="dxa"/>
                  <w:tcBorders>
                    <w:top w:val="single" w:color="auto" w:sz="12" w:space="0"/>
                  </w:tcBorders>
                  <w:noWrap w:val="0"/>
                  <w:vAlign w:val="center"/>
                </w:tcPr>
                <w:p w14:paraId="656DFE7F">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提示图形符号</w:t>
                  </w:r>
                </w:p>
              </w:tc>
              <w:tc>
                <w:tcPr>
                  <w:tcW w:w="2076" w:type="dxa"/>
                  <w:tcBorders>
                    <w:top w:val="single" w:color="auto" w:sz="12" w:space="0"/>
                  </w:tcBorders>
                  <w:noWrap w:val="0"/>
                  <w:vAlign w:val="center"/>
                </w:tcPr>
                <w:p w14:paraId="5BED8FB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警告图形符号</w:t>
                  </w:r>
                </w:p>
              </w:tc>
              <w:tc>
                <w:tcPr>
                  <w:tcW w:w="1099" w:type="dxa"/>
                  <w:tcBorders>
                    <w:top w:val="single" w:color="auto" w:sz="12" w:space="0"/>
                  </w:tcBorders>
                  <w:noWrap w:val="0"/>
                  <w:vAlign w:val="center"/>
                </w:tcPr>
                <w:p w14:paraId="609D1D1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名称</w:t>
                  </w:r>
                </w:p>
              </w:tc>
              <w:tc>
                <w:tcPr>
                  <w:tcW w:w="2448" w:type="dxa"/>
                  <w:tcBorders>
                    <w:top w:val="single" w:color="auto" w:sz="12" w:space="0"/>
                  </w:tcBorders>
                  <w:noWrap w:val="0"/>
                  <w:vAlign w:val="center"/>
                </w:tcPr>
                <w:p w14:paraId="36F16E81">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功能</w:t>
                  </w:r>
                </w:p>
              </w:tc>
            </w:tr>
            <w:tr w14:paraId="4FB15B8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6C08A009">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1</w:t>
                  </w:r>
                </w:p>
              </w:tc>
              <w:tc>
                <w:tcPr>
                  <w:tcW w:w="1566" w:type="dxa"/>
                  <w:noWrap w:val="0"/>
                  <w:vAlign w:val="center"/>
                </w:tcPr>
                <w:p w14:paraId="2E15BC3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drawing>
                      <wp:inline distT="0" distB="0" distL="114300" distR="114300">
                        <wp:extent cx="956945" cy="974090"/>
                        <wp:effectExtent l="0" t="0" r="14605" b="16510"/>
                        <wp:docPr id="91" name="图片 7"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descr="说明: 13001"/>
                                <pic:cNvPicPr>
                                  <a:picLocks noChangeAspect="1"/>
                                </pic:cNvPicPr>
                              </pic:nvPicPr>
                              <pic:blipFill>
                                <a:blip r:embed="rId51"/>
                                <a:stretch>
                                  <a:fillRect/>
                                </a:stretch>
                              </pic:blipFill>
                              <pic:spPr>
                                <a:xfrm>
                                  <a:off x="0" y="0"/>
                                  <a:ext cx="956945" cy="974090"/>
                                </a:xfrm>
                                <a:prstGeom prst="rect">
                                  <a:avLst/>
                                </a:prstGeom>
                                <a:noFill/>
                                <a:ln>
                                  <a:noFill/>
                                </a:ln>
                              </pic:spPr>
                            </pic:pic>
                          </a:graphicData>
                        </a:graphic>
                      </wp:inline>
                    </w:drawing>
                  </w:r>
                </w:p>
              </w:tc>
              <w:tc>
                <w:tcPr>
                  <w:tcW w:w="2076" w:type="dxa"/>
                  <w:noWrap w:val="0"/>
                  <w:vAlign w:val="center"/>
                </w:tcPr>
                <w:p w14:paraId="53DD1B6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drawing>
                      <wp:inline distT="0" distB="0" distL="114300" distR="114300">
                        <wp:extent cx="909320" cy="922020"/>
                        <wp:effectExtent l="0" t="0" r="5080" b="11430"/>
                        <wp:docPr id="92" name="图片 8"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descr="说明: 13002"/>
                                <pic:cNvPicPr>
                                  <a:picLocks noChangeAspect="1"/>
                                </pic:cNvPicPr>
                              </pic:nvPicPr>
                              <pic:blipFill>
                                <a:blip r:embed="rId52"/>
                                <a:stretch>
                                  <a:fillRect/>
                                </a:stretch>
                              </pic:blipFill>
                              <pic:spPr>
                                <a:xfrm>
                                  <a:off x="0" y="0"/>
                                  <a:ext cx="909320" cy="922020"/>
                                </a:xfrm>
                                <a:prstGeom prst="rect">
                                  <a:avLst/>
                                </a:prstGeom>
                                <a:noFill/>
                                <a:ln>
                                  <a:noFill/>
                                </a:ln>
                              </pic:spPr>
                            </pic:pic>
                          </a:graphicData>
                        </a:graphic>
                      </wp:inline>
                    </w:drawing>
                  </w:r>
                </w:p>
              </w:tc>
              <w:tc>
                <w:tcPr>
                  <w:tcW w:w="1099" w:type="dxa"/>
                  <w:noWrap w:val="0"/>
                  <w:vAlign w:val="center"/>
                </w:tcPr>
                <w:p w14:paraId="236E011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废水</w:t>
                  </w:r>
                  <w:r>
                    <w:rPr>
                      <w:snapToGrid w:val="0"/>
                      <w:color w:val="auto"/>
                      <w:kern w:val="0"/>
                      <w:sz w:val="18"/>
                      <w:szCs w:val="18"/>
                    </w:rPr>
                    <w:t>排放口</w:t>
                  </w:r>
                </w:p>
              </w:tc>
              <w:tc>
                <w:tcPr>
                  <w:tcW w:w="2448" w:type="dxa"/>
                  <w:noWrap w:val="0"/>
                  <w:vAlign w:val="center"/>
                </w:tcPr>
                <w:p w14:paraId="2CEBB07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sz w:val="18"/>
                      <w:szCs w:val="18"/>
                    </w:rPr>
                    <w:t>表示污水向水体排放</w:t>
                  </w:r>
                </w:p>
              </w:tc>
            </w:tr>
            <w:tr w14:paraId="60D2BB3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781BD56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2</w:t>
                  </w:r>
                </w:p>
              </w:tc>
              <w:tc>
                <w:tcPr>
                  <w:tcW w:w="1566" w:type="dxa"/>
                  <w:noWrap w:val="0"/>
                  <w:vAlign w:val="center"/>
                </w:tcPr>
                <w:p w14:paraId="0B7C53D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67105" cy="972185"/>
                        <wp:effectExtent l="0" t="0" r="4445" b="18415"/>
                        <wp:docPr id="93" name="图片 9"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descr="说明: 13003"/>
                                <pic:cNvPicPr>
                                  <a:picLocks noChangeAspect="1"/>
                                </pic:cNvPicPr>
                              </pic:nvPicPr>
                              <pic:blipFill>
                                <a:blip r:embed="rId53"/>
                                <a:stretch>
                                  <a:fillRect/>
                                </a:stretch>
                              </pic:blipFill>
                              <pic:spPr>
                                <a:xfrm>
                                  <a:off x="0" y="0"/>
                                  <a:ext cx="967105" cy="972185"/>
                                </a:xfrm>
                                <a:prstGeom prst="rect">
                                  <a:avLst/>
                                </a:prstGeom>
                                <a:noFill/>
                                <a:ln>
                                  <a:noFill/>
                                </a:ln>
                              </pic:spPr>
                            </pic:pic>
                          </a:graphicData>
                        </a:graphic>
                      </wp:inline>
                    </w:drawing>
                  </w:r>
                </w:p>
              </w:tc>
              <w:tc>
                <w:tcPr>
                  <w:tcW w:w="2076" w:type="dxa"/>
                  <w:noWrap w:val="0"/>
                  <w:vAlign w:val="center"/>
                </w:tcPr>
                <w:p w14:paraId="18B450BD">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21385" cy="934085"/>
                        <wp:effectExtent l="0" t="0" r="12065" b="18415"/>
                        <wp:docPr id="94" name="图片 10"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 descr="说明: 4"/>
                                <pic:cNvPicPr>
                                  <a:picLocks noChangeAspect="1"/>
                                </pic:cNvPicPr>
                              </pic:nvPicPr>
                              <pic:blipFill>
                                <a:blip r:embed="rId54"/>
                                <a:stretch>
                                  <a:fillRect/>
                                </a:stretch>
                              </pic:blipFill>
                              <pic:spPr>
                                <a:xfrm>
                                  <a:off x="0" y="0"/>
                                  <a:ext cx="921385" cy="934085"/>
                                </a:xfrm>
                                <a:prstGeom prst="rect">
                                  <a:avLst/>
                                </a:prstGeom>
                                <a:noFill/>
                                <a:ln>
                                  <a:noFill/>
                                </a:ln>
                              </pic:spPr>
                            </pic:pic>
                          </a:graphicData>
                        </a:graphic>
                      </wp:inline>
                    </w:drawing>
                  </w:r>
                </w:p>
              </w:tc>
              <w:tc>
                <w:tcPr>
                  <w:tcW w:w="1099" w:type="dxa"/>
                  <w:noWrap w:val="0"/>
                  <w:vAlign w:val="center"/>
                </w:tcPr>
                <w:p w14:paraId="540BC935">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废气排放口</w:t>
                  </w:r>
                </w:p>
              </w:tc>
              <w:tc>
                <w:tcPr>
                  <w:tcW w:w="2448" w:type="dxa"/>
                  <w:noWrap w:val="0"/>
                  <w:vAlign w:val="center"/>
                </w:tcPr>
                <w:p w14:paraId="440BDCF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表示废气向大气环境排放</w:t>
                  </w:r>
                </w:p>
              </w:tc>
            </w:tr>
            <w:tr w14:paraId="077CA50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1E88C4D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3</w:t>
                  </w:r>
                </w:p>
              </w:tc>
              <w:tc>
                <w:tcPr>
                  <w:tcW w:w="1566" w:type="dxa"/>
                  <w:noWrap w:val="0"/>
                  <w:vAlign w:val="center"/>
                </w:tcPr>
                <w:p w14:paraId="6C48DB10">
                  <w:pPr>
                    <w:autoSpaceDE w:val="0"/>
                    <w:autoSpaceDN w:val="0"/>
                    <w:snapToGrid w:val="0"/>
                    <w:spacing w:before="24" w:beforeLines="10" w:after="24" w:afterLines="10"/>
                    <w:ind w:left="-105" w:leftChars="-50" w:right="-105" w:rightChars="-50"/>
                    <w:jc w:val="center"/>
                    <w:textAlignment w:val="baseline"/>
                    <w:rPr>
                      <w:color w:val="auto"/>
                      <w:kern w:val="0"/>
                      <w:sz w:val="18"/>
                      <w:szCs w:val="18"/>
                    </w:rPr>
                  </w:pPr>
                  <w:r>
                    <w:rPr>
                      <w:color w:val="auto"/>
                      <w:kern w:val="0"/>
                      <w:sz w:val="18"/>
                      <w:szCs w:val="18"/>
                    </w:rPr>
                    <w:drawing>
                      <wp:inline distT="0" distB="0" distL="114300" distR="114300">
                        <wp:extent cx="972185" cy="972185"/>
                        <wp:effectExtent l="0" t="0" r="18415" b="18415"/>
                        <wp:docPr id="95" name="图片 11"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descr="说明: 200602201518049853"/>
                                <pic:cNvPicPr>
                                  <a:picLocks noChangeAspect="1"/>
                                </pic:cNvPicPr>
                              </pic:nvPicPr>
                              <pic:blipFill>
                                <a:blip r:embed="rId55"/>
                                <a:stretch>
                                  <a:fillRect/>
                                </a:stretch>
                              </pic:blipFill>
                              <pic:spPr>
                                <a:xfrm>
                                  <a:off x="0" y="0"/>
                                  <a:ext cx="972185" cy="972185"/>
                                </a:xfrm>
                                <a:prstGeom prst="rect">
                                  <a:avLst/>
                                </a:prstGeom>
                                <a:noFill/>
                                <a:ln>
                                  <a:noFill/>
                                </a:ln>
                              </pic:spPr>
                            </pic:pic>
                          </a:graphicData>
                        </a:graphic>
                      </wp:inline>
                    </w:drawing>
                  </w:r>
                </w:p>
              </w:tc>
              <w:tc>
                <w:tcPr>
                  <w:tcW w:w="2076" w:type="dxa"/>
                  <w:noWrap w:val="0"/>
                  <w:vAlign w:val="center"/>
                </w:tcPr>
                <w:p w14:paraId="6CABBE5C">
                  <w:pPr>
                    <w:autoSpaceDE w:val="0"/>
                    <w:autoSpaceDN w:val="0"/>
                    <w:snapToGrid w:val="0"/>
                    <w:spacing w:before="24" w:beforeLines="10" w:after="24" w:afterLines="10"/>
                    <w:ind w:left="-105" w:leftChars="-50" w:right="-105" w:rightChars="-50"/>
                    <w:jc w:val="center"/>
                    <w:textAlignment w:val="baseline"/>
                    <w:rPr>
                      <w:color w:val="auto"/>
                      <w:kern w:val="0"/>
                      <w:sz w:val="18"/>
                      <w:szCs w:val="18"/>
                    </w:rPr>
                  </w:pPr>
                  <w:r>
                    <w:rPr>
                      <w:color w:val="auto"/>
                      <w:kern w:val="0"/>
                      <w:sz w:val="18"/>
                      <w:szCs w:val="18"/>
                    </w:rPr>
                    <w:drawing>
                      <wp:inline distT="0" distB="0" distL="114300" distR="114300">
                        <wp:extent cx="1028700" cy="909320"/>
                        <wp:effectExtent l="0" t="0" r="0" b="5080"/>
                        <wp:docPr id="96" name="图片 12"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 descr="说明: 200602201519018631"/>
                                <pic:cNvPicPr>
                                  <a:picLocks noChangeAspect="1"/>
                                </pic:cNvPicPr>
                              </pic:nvPicPr>
                              <pic:blipFill>
                                <a:blip r:embed="rId56"/>
                                <a:stretch>
                                  <a:fillRect/>
                                </a:stretch>
                              </pic:blipFill>
                              <pic:spPr>
                                <a:xfrm>
                                  <a:off x="0" y="0"/>
                                  <a:ext cx="1028700" cy="909320"/>
                                </a:xfrm>
                                <a:prstGeom prst="rect">
                                  <a:avLst/>
                                </a:prstGeom>
                                <a:noFill/>
                                <a:ln>
                                  <a:noFill/>
                                </a:ln>
                              </pic:spPr>
                            </pic:pic>
                          </a:graphicData>
                        </a:graphic>
                      </wp:inline>
                    </w:drawing>
                  </w:r>
                </w:p>
              </w:tc>
              <w:tc>
                <w:tcPr>
                  <w:tcW w:w="1099" w:type="dxa"/>
                  <w:noWrap w:val="0"/>
                  <w:vAlign w:val="center"/>
                </w:tcPr>
                <w:p w14:paraId="5BD47A7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噪声排放源</w:t>
                  </w:r>
                </w:p>
              </w:tc>
              <w:tc>
                <w:tcPr>
                  <w:tcW w:w="2448" w:type="dxa"/>
                  <w:noWrap w:val="0"/>
                  <w:vAlign w:val="center"/>
                </w:tcPr>
                <w:p w14:paraId="42B48F5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表示噪声向外环境排放</w:t>
                  </w:r>
                </w:p>
              </w:tc>
            </w:tr>
            <w:tr w14:paraId="23902771">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5" w:type="dxa"/>
                  <w:noWrap w:val="0"/>
                  <w:vAlign w:val="center"/>
                </w:tcPr>
                <w:p w14:paraId="7B363A75">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4</w:t>
                  </w:r>
                </w:p>
              </w:tc>
              <w:tc>
                <w:tcPr>
                  <w:tcW w:w="1566" w:type="dxa"/>
                  <w:noWrap w:val="0"/>
                  <w:vAlign w:val="center"/>
                </w:tcPr>
                <w:p w14:paraId="1BE2CE3E">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72185" cy="972185"/>
                        <wp:effectExtent l="0" t="0" r="18415" b="18415"/>
                        <wp:docPr id="97" name="图片 13"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3" descr="说明: 14001"/>
                                <pic:cNvPicPr>
                                  <a:picLocks noChangeAspect="1"/>
                                </pic:cNvPicPr>
                              </pic:nvPicPr>
                              <pic:blipFill>
                                <a:blip r:embed="rId57"/>
                                <a:stretch>
                                  <a:fillRect/>
                                </a:stretch>
                              </pic:blipFill>
                              <pic:spPr>
                                <a:xfrm>
                                  <a:off x="0" y="0"/>
                                  <a:ext cx="972185" cy="972185"/>
                                </a:xfrm>
                                <a:prstGeom prst="rect">
                                  <a:avLst/>
                                </a:prstGeom>
                                <a:noFill/>
                                <a:ln>
                                  <a:noFill/>
                                </a:ln>
                              </pic:spPr>
                            </pic:pic>
                          </a:graphicData>
                        </a:graphic>
                      </wp:inline>
                    </w:drawing>
                  </w:r>
                </w:p>
              </w:tc>
              <w:tc>
                <w:tcPr>
                  <w:tcW w:w="2076" w:type="dxa"/>
                  <w:noWrap w:val="0"/>
                  <w:vAlign w:val="center"/>
                </w:tcPr>
                <w:p w14:paraId="62AB218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kern w:val="0"/>
                      <w:sz w:val="18"/>
                      <w:szCs w:val="18"/>
                    </w:rPr>
                    <w:drawing>
                      <wp:inline distT="0" distB="0" distL="114300" distR="114300">
                        <wp:extent cx="969010" cy="915670"/>
                        <wp:effectExtent l="0" t="0" r="2540" b="17780"/>
                        <wp:docPr id="98" name="图片 14"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descr="说明: 14002"/>
                                <pic:cNvPicPr>
                                  <a:picLocks noChangeAspect="1"/>
                                </pic:cNvPicPr>
                              </pic:nvPicPr>
                              <pic:blipFill>
                                <a:blip r:embed="rId58"/>
                                <a:stretch>
                                  <a:fillRect/>
                                </a:stretch>
                              </pic:blipFill>
                              <pic:spPr>
                                <a:xfrm>
                                  <a:off x="0" y="0"/>
                                  <a:ext cx="969010" cy="915670"/>
                                </a:xfrm>
                                <a:prstGeom prst="rect">
                                  <a:avLst/>
                                </a:prstGeom>
                                <a:noFill/>
                                <a:ln>
                                  <a:noFill/>
                                </a:ln>
                              </pic:spPr>
                            </pic:pic>
                          </a:graphicData>
                        </a:graphic>
                      </wp:inline>
                    </w:drawing>
                  </w:r>
                </w:p>
              </w:tc>
              <w:tc>
                <w:tcPr>
                  <w:tcW w:w="1099" w:type="dxa"/>
                  <w:noWrap w:val="0"/>
                  <w:vAlign w:val="center"/>
                </w:tcPr>
                <w:p w14:paraId="65C89268">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一般固体废物</w:t>
                  </w:r>
                </w:p>
              </w:tc>
              <w:tc>
                <w:tcPr>
                  <w:tcW w:w="2448" w:type="dxa"/>
                  <w:noWrap w:val="0"/>
                  <w:vAlign w:val="center"/>
                </w:tcPr>
                <w:p w14:paraId="7B704C9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表示一般固体废物贮存、处置场</w:t>
                  </w:r>
                </w:p>
              </w:tc>
            </w:tr>
            <w:tr w14:paraId="19071F0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47" w:hRule="atLeast"/>
                <w:jc w:val="center"/>
              </w:trPr>
              <w:tc>
                <w:tcPr>
                  <w:tcW w:w="335" w:type="dxa"/>
                  <w:tcBorders>
                    <w:bottom w:val="single" w:color="auto" w:sz="12" w:space="0"/>
                  </w:tcBorders>
                  <w:noWrap w:val="0"/>
                  <w:vAlign w:val="center"/>
                </w:tcPr>
                <w:p w14:paraId="59878C77">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5</w:t>
                  </w:r>
                </w:p>
              </w:tc>
              <w:tc>
                <w:tcPr>
                  <w:tcW w:w="1566" w:type="dxa"/>
                  <w:tcBorders>
                    <w:bottom w:val="single" w:color="auto" w:sz="12" w:space="0"/>
                  </w:tcBorders>
                  <w:noWrap w:val="0"/>
                  <w:vAlign w:val="center"/>
                </w:tcPr>
                <w:p w14:paraId="60EB3DB0">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rFonts w:hint="eastAsia"/>
                      <w:snapToGrid w:val="0"/>
                      <w:color w:val="auto"/>
                      <w:kern w:val="0"/>
                      <w:sz w:val="18"/>
                      <w:szCs w:val="18"/>
                    </w:rPr>
                    <w:t>/</w:t>
                  </w:r>
                </w:p>
              </w:tc>
              <w:tc>
                <w:tcPr>
                  <w:tcW w:w="2076" w:type="dxa"/>
                  <w:tcBorders>
                    <w:bottom w:val="single" w:color="auto" w:sz="12" w:space="0"/>
                  </w:tcBorders>
                  <w:noWrap w:val="0"/>
                  <w:vAlign w:val="center"/>
                </w:tcPr>
                <w:p w14:paraId="221CD203">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color w:val="auto"/>
                    </w:rPr>
                    <w:drawing>
                      <wp:inline distT="0" distB="0" distL="114300" distR="114300">
                        <wp:extent cx="1313815" cy="1076960"/>
                        <wp:effectExtent l="0" t="0" r="635" b="8890"/>
                        <wp:docPr id="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
                                <pic:cNvPicPr>
                                  <a:picLocks noChangeAspect="1"/>
                                </pic:cNvPicPr>
                              </pic:nvPicPr>
                              <pic:blipFill>
                                <a:blip r:embed="rId59"/>
                                <a:stretch>
                                  <a:fillRect/>
                                </a:stretch>
                              </pic:blipFill>
                              <pic:spPr>
                                <a:xfrm>
                                  <a:off x="0" y="0"/>
                                  <a:ext cx="1313815" cy="1076960"/>
                                </a:xfrm>
                                <a:prstGeom prst="rect">
                                  <a:avLst/>
                                </a:prstGeom>
                                <a:noFill/>
                                <a:ln>
                                  <a:noFill/>
                                </a:ln>
                              </pic:spPr>
                            </pic:pic>
                          </a:graphicData>
                        </a:graphic>
                      </wp:inline>
                    </w:drawing>
                  </w:r>
                </w:p>
              </w:tc>
              <w:tc>
                <w:tcPr>
                  <w:tcW w:w="1099" w:type="dxa"/>
                  <w:tcBorders>
                    <w:bottom w:val="single" w:color="auto" w:sz="12" w:space="0"/>
                  </w:tcBorders>
                  <w:noWrap w:val="0"/>
                  <w:vAlign w:val="center"/>
                </w:tcPr>
                <w:p w14:paraId="794E8F66">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危险废物</w:t>
                  </w:r>
                </w:p>
              </w:tc>
              <w:tc>
                <w:tcPr>
                  <w:tcW w:w="2448" w:type="dxa"/>
                  <w:tcBorders>
                    <w:bottom w:val="single" w:color="auto" w:sz="12" w:space="0"/>
                  </w:tcBorders>
                  <w:noWrap w:val="0"/>
                  <w:vAlign w:val="center"/>
                </w:tcPr>
                <w:p w14:paraId="30EBB39B">
                  <w:pPr>
                    <w:autoSpaceDE w:val="0"/>
                    <w:autoSpaceDN w:val="0"/>
                    <w:snapToGrid w:val="0"/>
                    <w:spacing w:before="24" w:beforeLines="10" w:after="24" w:afterLines="10"/>
                    <w:ind w:left="-105" w:leftChars="-50" w:right="-105" w:rightChars="-50"/>
                    <w:jc w:val="center"/>
                    <w:textAlignment w:val="baseline"/>
                    <w:rPr>
                      <w:snapToGrid w:val="0"/>
                      <w:color w:val="auto"/>
                      <w:kern w:val="0"/>
                      <w:sz w:val="18"/>
                      <w:szCs w:val="18"/>
                    </w:rPr>
                  </w:pPr>
                  <w:r>
                    <w:rPr>
                      <w:snapToGrid w:val="0"/>
                      <w:color w:val="auto"/>
                      <w:kern w:val="0"/>
                      <w:sz w:val="18"/>
                      <w:szCs w:val="18"/>
                    </w:rPr>
                    <w:t>表示危险废物贮存、处置场</w:t>
                  </w:r>
                </w:p>
              </w:tc>
            </w:tr>
          </w:tbl>
          <w:p w14:paraId="6825C5C4">
            <w:pPr>
              <w:numPr>
                <w:ilvl w:val="0"/>
                <w:numId w:val="10"/>
              </w:numPr>
              <w:adjustRightInd w:val="0"/>
              <w:snapToGrid w:val="0"/>
              <w:spacing w:before="120" w:beforeLines="50" w:line="360" w:lineRule="auto"/>
              <w:jc w:val="left"/>
              <w:rPr>
                <w:b/>
                <w:bCs/>
                <w:color w:val="auto"/>
              </w:rPr>
            </w:pPr>
            <w:r>
              <w:rPr>
                <w:b/>
                <w:bCs/>
                <w:color w:val="auto"/>
              </w:rPr>
              <w:t>环保信息公开要求</w:t>
            </w:r>
            <w:bookmarkEnd w:id="40"/>
            <w:bookmarkEnd w:id="41"/>
          </w:p>
          <w:p w14:paraId="72505BD7">
            <w:pPr>
              <w:adjustRightInd w:val="0"/>
              <w:snapToGrid w:val="0"/>
              <w:spacing w:line="360" w:lineRule="auto"/>
              <w:ind w:firstLine="420" w:firstLineChars="200"/>
              <w:rPr>
                <w:rFonts w:hint="eastAsia"/>
                <w:color w:val="auto"/>
              </w:rPr>
            </w:pPr>
            <w:r>
              <w:rPr>
                <w:rFonts w:hint="eastAsia"/>
                <w:color w:val="auto"/>
              </w:rPr>
              <w:t>参照</w:t>
            </w:r>
            <w:r>
              <w:rPr>
                <w:color w:val="auto"/>
              </w:rPr>
              <w:t>2021年11月26日生态环境部</w:t>
            </w:r>
            <w:r>
              <w:rPr>
                <w:rFonts w:hint="eastAsia"/>
                <w:color w:val="auto"/>
              </w:rPr>
              <w:t>发布的</w:t>
            </w:r>
            <w:r>
              <w:rPr>
                <w:color w:val="auto"/>
              </w:rPr>
              <w:t>《企业环境信息依法披露管理办法》</w:t>
            </w:r>
            <w:r>
              <w:rPr>
                <w:rFonts w:hint="eastAsia"/>
                <w:color w:val="auto"/>
              </w:rPr>
              <w:t>(生态环境部令第24号)要求可知，企业应当建立健全环境信息依法披露管理制度，规范工作规程，明确工作职责，建立准确的环境信息管理台账，妥善保存相关原始记录，科学统计归集相关环境信息。</w:t>
            </w:r>
            <w:r>
              <w:rPr>
                <w:color w:val="auto"/>
              </w:rPr>
              <w:t>企业年度环境信息依法披露报告应当包括以下内容</w:t>
            </w:r>
            <w:r>
              <w:rPr>
                <w:rFonts w:hint="eastAsia"/>
                <w:color w:val="auto"/>
              </w:rPr>
              <w:t>：</w:t>
            </w:r>
          </w:p>
          <w:p w14:paraId="176A4AAF">
            <w:pPr>
              <w:adjustRightInd w:val="0"/>
              <w:snapToGrid w:val="0"/>
              <w:spacing w:line="360" w:lineRule="auto"/>
              <w:ind w:firstLine="420" w:firstLineChars="200"/>
              <w:rPr>
                <w:rFonts w:hint="eastAsia"/>
                <w:color w:val="auto"/>
              </w:rPr>
            </w:pPr>
            <w:r>
              <w:rPr>
                <w:rFonts w:hint="eastAsia"/>
                <w:color w:val="auto"/>
              </w:rPr>
              <w:t>（1）企业基本信息，包括企业生产和生态环境保护等方面的基础信息；</w:t>
            </w:r>
          </w:p>
          <w:p w14:paraId="01B91345">
            <w:pPr>
              <w:adjustRightInd w:val="0"/>
              <w:snapToGrid w:val="0"/>
              <w:spacing w:line="360" w:lineRule="auto"/>
              <w:ind w:firstLine="420" w:firstLineChars="200"/>
              <w:rPr>
                <w:rFonts w:hint="eastAsia"/>
                <w:color w:val="auto"/>
              </w:rPr>
            </w:pPr>
            <w:r>
              <w:rPr>
                <w:rFonts w:hint="eastAsia"/>
                <w:color w:val="auto"/>
              </w:rPr>
              <w:t>（2）企业环境管理信息，包括生态环境行政许可、环境保护税、环境污染责任保险、环保信用评价等方面的信息；</w:t>
            </w:r>
          </w:p>
          <w:p w14:paraId="544B524F">
            <w:pPr>
              <w:adjustRightInd w:val="0"/>
              <w:snapToGrid w:val="0"/>
              <w:spacing w:line="360" w:lineRule="auto"/>
              <w:ind w:firstLine="420" w:firstLineChars="200"/>
              <w:rPr>
                <w:rFonts w:hint="eastAsia"/>
                <w:color w:val="auto"/>
              </w:rPr>
            </w:pPr>
            <w:r>
              <w:rPr>
                <w:rFonts w:hint="eastAsia"/>
                <w:color w:val="auto"/>
              </w:rPr>
              <w:t>（3）污染物产生、治理与排放信息，包括污染防治设施，污染物排放，有毒有害物质排放，工业固体废物和危险废物产生、贮存、流向、利用、处置，自行监测等方面的信息；</w:t>
            </w:r>
          </w:p>
          <w:p w14:paraId="39612DB7">
            <w:pPr>
              <w:adjustRightInd w:val="0"/>
              <w:snapToGrid w:val="0"/>
              <w:spacing w:line="360" w:lineRule="auto"/>
              <w:ind w:firstLine="420" w:firstLineChars="200"/>
              <w:rPr>
                <w:rFonts w:hint="eastAsia"/>
                <w:color w:val="auto"/>
              </w:rPr>
            </w:pPr>
            <w:r>
              <w:rPr>
                <w:rFonts w:hint="eastAsia"/>
                <w:color w:val="auto"/>
              </w:rPr>
              <w:t>（4）碳排放信息，包括排放量、排放设施等方面的信息；</w:t>
            </w:r>
          </w:p>
          <w:p w14:paraId="361CD1B8">
            <w:pPr>
              <w:adjustRightInd w:val="0"/>
              <w:snapToGrid w:val="0"/>
              <w:spacing w:line="360" w:lineRule="auto"/>
              <w:ind w:firstLine="420" w:firstLineChars="200"/>
              <w:rPr>
                <w:rFonts w:hint="eastAsia"/>
                <w:color w:val="auto"/>
              </w:rPr>
            </w:pPr>
            <w:r>
              <w:rPr>
                <w:rFonts w:hint="eastAsia"/>
                <w:color w:val="auto"/>
              </w:rPr>
              <w:t>（5）生态环境应急信息，包括突发环境事件应急预案、重污染天气应急响应等方面的信息；</w:t>
            </w:r>
          </w:p>
          <w:p w14:paraId="121A8E23">
            <w:pPr>
              <w:adjustRightInd w:val="0"/>
              <w:snapToGrid w:val="0"/>
              <w:spacing w:line="360" w:lineRule="auto"/>
              <w:ind w:firstLine="420" w:firstLineChars="200"/>
              <w:rPr>
                <w:rFonts w:hint="eastAsia"/>
                <w:color w:val="auto"/>
              </w:rPr>
            </w:pPr>
            <w:r>
              <w:rPr>
                <w:rFonts w:hint="eastAsia"/>
                <w:color w:val="auto"/>
              </w:rPr>
              <w:t>（6）生态环境违法信息；</w:t>
            </w:r>
          </w:p>
          <w:p w14:paraId="0D7E70AB">
            <w:pPr>
              <w:adjustRightInd w:val="0"/>
              <w:snapToGrid w:val="0"/>
              <w:spacing w:line="360" w:lineRule="auto"/>
              <w:ind w:firstLine="420" w:firstLineChars="200"/>
              <w:rPr>
                <w:rFonts w:hint="eastAsia"/>
                <w:color w:val="auto"/>
              </w:rPr>
            </w:pPr>
            <w:r>
              <w:rPr>
                <w:rFonts w:hint="eastAsia"/>
                <w:color w:val="auto"/>
              </w:rPr>
              <w:t>（7）本年度临时环境信息依法披露情况；</w:t>
            </w:r>
          </w:p>
          <w:p w14:paraId="18F6B3A9">
            <w:pPr>
              <w:adjustRightInd w:val="0"/>
              <w:snapToGrid w:val="0"/>
              <w:spacing w:line="360" w:lineRule="auto"/>
              <w:ind w:firstLine="420" w:firstLineChars="200"/>
              <w:rPr>
                <w:color w:val="auto"/>
              </w:rPr>
            </w:pPr>
            <w:r>
              <w:rPr>
                <w:rFonts w:hint="eastAsia"/>
                <w:color w:val="auto"/>
              </w:rPr>
              <w:t>（8）法律法规规定的其他环境信息。</w:t>
            </w:r>
          </w:p>
          <w:p w14:paraId="03BBCBB7">
            <w:pPr>
              <w:adjustRightInd w:val="0"/>
              <w:snapToGrid w:val="0"/>
              <w:spacing w:line="360" w:lineRule="auto"/>
              <w:ind w:firstLine="420" w:firstLineChars="200"/>
              <w:rPr>
                <w:color w:val="auto"/>
              </w:rPr>
            </w:pPr>
            <w:r>
              <w:rPr>
                <w:rFonts w:hint="eastAsia"/>
                <w:color w:val="auto"/>
              </w:rPr>
              <w:t>企业可以根据实际情况对已披露的环境信息进行变更；进行变更的，应当以临时环境信息依法披露报告的形式变更，并说明变更事项和理由。企业应当于每年3月15日前披露上一年度1月1日至12月31日的环境信息。</w:t>
            </w:r>
          </w:p>
        </w:tc>
      </w:tr>
    </w:tbl>
    <w:p w14:paraId="28B7CBF8">
      <w:pPr>
        <w:pStyle w:val="30"/>
        <w:jc w:val="center"/>
        <w:outlineLvl w:val="0"/>
        <w:rPr>
          <w:rFonts w:ascii="Times New Roman" w:hAnsi="Times New Roman" w:eastAsia="黑体"/>
          <w:snapToGrid w:val="0"/>
          <w:color w:val="auto"/>
          <w:sz w:val="30"/>
          <w:szCs w:val="30"/>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1A2AEB47">
      <w:pPr>
        <w:pStyle w:val="30"/>
        <w:jc w:val="center"/>
        <w:outlineLvl w:val="0"/>
        <w:rPr>
          <w:rFonts w:hint="eastAsia" w:ascii="Times New Roman" w:hAnsi="Times New Roman" w:eastAsia="黑体"/>
          <w:snapToGrid w:val="0"/>
          <w:color w:val="auto"/>
          <w:sz w:val="30"/>
          <w:szCs w:val="30"/>
        </w:rPr>
      </w:pPr>
      <w:bookmarkStart w:id="42" w:name="_Toc25158"/>
      <w:bookmarkStart w:id="43" w:name="_Toc8557"/>
      <w:r>
        <w:rPr>
          <w:rFonts w:eastAsia="宋体"/>
          <w:b/>
          <w:color w:val="auto"/>
          <w:sz w:val="28"/>
          <w:szCs w:val="28"/>
          <w:lang w:val="en-US" w:eastAsia="zh-CN"/>
        </w:rPr>
        <w:drawing>
          <wp:anchor distT="0" distB="0" distL="114300" distR="114300" simplePos="0" relativeHeight="251662336" behindDoc="0" locked="0" layoutInCell="1" allowOverlap="1">
            <wp:simplePos x="0" y="0"/>
            <wp:positionH relativeFrom="column">
              <wp:posOffset>-427990</wp:posOffset>
            </wp:positionH>
            <wp:positionV relativeFrom="paragraph">
              <wp:posOffset>-273050</wp:posOffset>
            </wp:positionV>
            <wp:extent cx="6760210" cy="9563100"/>
            <wp:effectExtent l="0" t="0" r="2540" b="0"/>
            <wp:wrapNone/>
            <wp:docPr id="13" name="图片 13" descr="SKM_C3682602060930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KM_C36826020609300_01"/>
                    <pic:cNvPicPr>
                      <a:picLocks noChangeAspect="1"/>
                    </pic:cNvPicPr>
                  </pic:nvPicPr>
                  <pic:blipFill>
                    <a:blip r:embed="rId60"/>
                    <a:stretch>
                      <a:fillRect/>
                    </a:stretch>
                  </pic:blipFill>
                  <pic:spPr>
                    <a:xfrm>
                      <a:off x="0" y="0"/>
                      <a:ext cx="6760210" cy="9563100"/>
                    </a:xfrm>
                    <a:prstGeom prst="rect">
                      <a:avLst/>
                    </a:prstGeom>
                  </pic:spPr>
                </pic:pic>
              </a:graphicData>
            </a:graphic>
          </wp:anchor>
        </w:drawing>
      </w:r>
      <w:r>
        <w:rPr>
          <w:rFonts w:ascii="Times New Roman" w:hAnsi="Times New Roman" w:eastAsia="黑体"/>
          <w:snapToGrid w:val="0"/>
          <w:color w:val="auto"/>
          <w:sz w:val="30"/>
          <w:szCs w:val="30"/>
        </w:rPr>
        <w:t>六、结论</w:t>
      </w:r>
      <w:bookmarkEnd w:id="42"/>
      <w:bookmarkEnd w:id="43"/>
    </w:p>
    <w:tbl>
      <w:tblPr>
        <w:tblStyle w:val="3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F287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BBF9588">
            <w:pPr>
              <w:pStyle w:val="76"/>
              <w:spacing w:before="240" w:beforeLines="100" w:afterLines="50" w:line="360" w:lineRule="auto"/>
              <w:ind w:left="0" w:leftChars="0" w:firstLine="0"/>
              <w:jc w:val="left"/>
              <w:outlineLvl w:val="1"/>
              <w:rPr>
                <w:rFonts w:eastAsia="宋体"/>
                <w:color w:val="auto"/>
                <w:sz w:val="28"/>
                <w:szCs w:val="28"/>
                <w:lang w:val="en-US" w:eastAsia="zh-CN"/>
              </w:rPr>
            </w:pPr>
            <w:bookmarkStart w:id="44" w:name="_Toc8175"/>
            <w:r>
              <w:rPr>
                <w:rFonts w:eastAsia="宋体"/>
                <w:b/>
                <w:color w:val="auto"/>
                <w:sz w:val="28"/>
                <w:szCs w:val="28"/>
                <w:lang w:val="en-US" w:eastAsia="zh-CN"/>
              </w:rPr>
              <w:t>6.1 总结论</w:t>
            </w:r>
            <w:bookmarkEnd w:id="44"/>
          </w:p>
          <w:p w14:paraId="70577441">
            <w:pPr>
              <w:spacing w:line="360" w:lineRule="auto"/>
              <w:ind w:firstLine="480" w:firstLineChars="200"/>
              <w:rPr>
                <w:rFonts w:hint="default" w:ascii="Times New Roman" w:hAnsi="Times New Roman" w:eastAsia="宋体" w:cs="Times New Roman"/>
                <w:color w:val="auto"/>
                <w:sz w:val="24"/>
                <w:lang w:eastAsia="zh-CN"/>
              </w:rPr>
            </w:pPr>
            <w:r>
              <w:rPr>
                <w:rFonts w:hint="eastAsia"/>
                <w:color w:val="auto"/>
                <w:sz w:val="24"/>
                <w:lang w:eastAsia="zh-CN"/>
              </w:rPr>
              <w:t>福建铠盾材料科技有限公司年加工300万件注塑件、年加工1200万件下卡条、1000万件钣金件</w:t>
            </w:r>
            <w:r>
              <w:rPr>
                <w:rFonts w:hint="eastAsia"/>
                <w:color w:val="auto"/>
                <w:sz w:val="24"/>
              </w:rPr>
              <w:t>项目位于</w:t>
            </w:r>
            <w:r>
              <w:rPr>
                <w:rFonts w:hint="eastAsia" w:ascii="Times New Roman" w:hAnsi="Times New Roman" w:eastAsia="宋体"/>
                <w:b w:val="0"/>
                <w:bCs w:val="0"/>
                <w:color w:val="auto"/>
                <w:sz w:val="24"/>
                <w:szCs w:val="24"/>
                <w:lang w:eastAsia="zh-CN"/>
              </w:rPr>
              <w:t>福清融侨经济技术开发区（租赁福建三锋汽配开发有限公司标准厂房五一至三层、标准厂房四一层）</w:t>
            </w:r>
            <w:r>
              <w:rPr>
                <w:rFonts w:hint="eastAsia"/>
                <w:color w:val="auto"/>
                <w:sz w:val="24"/>
              </w:rPr>
              <w:t>，</w:t>
            </w:r>
            <w:r>
              <w:rPr>
                <w:rFonts w:hint="default" w:ascii="Times New Roman" w:hAnsi="Times New Roman" w:eastAsia="宋体" w:cs="Times New Roman"/>
                <w:color w:val="auto"/>
                <w:sz w:val="24"/>
                <w:lang w:val="en-US" w:eastAsia="zh-CN"/>
              </w:rPr>
              <w:t>项目符合国家产业政策，</w:t>
            </w:r>
            <w:r>
              <w:rPr>
                <w:rFonts w:hint="eastAsia" w:ascii="Times New Roman" w:hAnsi="Times New Roman" w:eastAsia="宋体" w:cs="Times New Roman"/>
                <w:color w:val="auto"/>
                <w:sz w:val="24"/>
                <w:lang w:val="en-US" w:eastAsia="zh-CN"/>
              </w:rPr>
              <w:t>符合规划环评及审查意见要求，</w:t>
            </w:r>
            <w:r>
              <w:rPr>
                <w:rFonts w:hint="default" w:ascii="Times New Roman" w:hAnsi="Times New Roman" w:eastAsia="宋体" w:cs="Times New Roman"/>
                <w:color w:val="auto"/>
                <w:sz w:val="24"/>
                <w:lang w:val="en-US" w:eastAsia="zh-CN"/>
              </w:rPr>
              <w:t>符</w:t>
            </w:r>
            <w:r>
              <w:rPr>
                <w:rFonts w:hint="eastAsia" w:cs="Times New Roman"/>
                <w:color w:val="auto"/>
                <w:sz w:val="24"/>
                <w:lang w:val="en-US" w:eastAsia="zh-CN"/>
              </w:rPr>
              <w:t>合</w:t>
            </w:r>
            <w:r>
              <w:rPr>
                <w:rFonts w:hint="default" w:ascii="Times New Roman" w:hAnsi="Times New Roman" w:eastAsia="宋体" w:cs="Times New Roman"/>
                <w:color w:val="auto"/>
                <w:sz w:val="24"/>
                <w:lang w:val="en-US" w:eastAsia="zh-CN"/>
              </w:rPr>
              <w:t>生态环境分区管控要求</w:t>
            </w:r>
            <w:r>
              <w:rPr>
                <w:rFonts w:hint="eastAsia" w:ascii="Times New Roman" w:hAnsi="Times New Roman" w:eastAsia="宋体" w:cs="Times New Roman"/>
                <w:color w:val="auto"/>
                <w:sz w:val="24"/>
                <w:lang w:val="en-US" w:eastAsia="zh-CN"/>
              </w:rPr>
              <w:t>，</w:t>
            </w:r>
            <w:r>
              <w:rPr>
                <w:rFonts w:hint="eastAsia" w:ascii="Times New Roman" w:hAnsi="Times New Roman" w:eastAsia="宋体"/>
                <w:color w:val="auto"/>
                <w:sz w:val="24"/>
                <w:lang w:val="en-US" w:eastAsia="zh-CN"/>
              </w:rPr>
              <w:t>选址基本合理</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通过对本项目的环境影响分析，项目运营过程中</w:t>
            </w:r>
            <w:r>
              <w:rPr>
                <w:rFonts w:hint="eastAsia" w:ascii="Times New Roman" w:hAnsi="Times New Roman" w:eastAsia="宋体" w:cs="Times New Roman"/>
                <w:color w:val="auto"/>
                <w:sz w:val="24"/>
                <w:lang w:val="en-US" w:eastAsia="zh-CN"/>
              </w:rPr>
              <w:t>废水</w:t>
            </w:r>
            <w:r>
              <w:rPr>
                <w:rFonts w:hint="default" w:ascii="Times New Roman" w:hAnsi="Times New Roman" w:eastAsia="宋体" w:cs="Times New Roman"/>
                <w:color w:val="auto"/>
                <w:sz w:val="24"/>
                <w:lang w:eastAsia="zh-CN"/>
              </w:rPr>
              <w:t>、废气、噪声、固废等污染物对周围环境空气质量、水环境、声环境</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地下水和土壤环境</w:t>
            </w:r>
            <w:r>
              <w:rPr>
                <w:rFonts w:hint="default" w:ascii="Times New Roman" w:hAnsi="Times New Roman" w:eastAsia="宋体" w:cs="Times New Roman"/>
                <w:color w:val="auto"/>
                <w:sz w:val="24"/>
                <w:lang w:eastAsia="zh-CN"/>
              </w:rPr>
              <w:t>等</w:t>
            </w:r>
            <w:r>
              <w:rPr>
                <w:rFonts w:hint="eastAsia" w:ascii="Times New Roman" w:hAnsi="Times New Roman" w:eastAsia="宋体" w:cs="Times New Roman"/>
                <w:color w:val="auto"/>
                <w:sz w:val="24"/>
                <w:lang w:val="en-US" w:eastAsia="zh-CN"/>
              </w:rPr>
              <w:t>会</w:t>
            </w:r>
            <w:r>
              <w:rPr>
                <w:rFonts w:hint="default" w:ascii="Times New Roman" w:hAnsi="Times New Roman" w:eastAsia="宋体" w:cs="Times New Roman"/>
                <w:color w:val="auto"/>
                <w:sz w:val="24"/>
                <w:lang w:eastAsia="zh-CN"/>
              </w:rPr>
              <w:t>造成一定不利影响，经采取综合性、积极有效的防治措施并确保污染物达标排放后，可避免或减少这些不利影响，影响均在环境可接受的范围内。</w:t>
            </w:r>
          </w:p>
          <w:p w14:paraId="737211D8">
            <w:pPr>
              <w:spacing w:line="360" w:lineRule="auto"/>
              <w:ind w:firstLine="480" w:firstLineChars="200"/>
              <w:rPr>
                <w:color w:val="auto"/>
                <w:sz w:val="24"/>
              </w:rPr>
            </w:pPr>
            <w:r>
              <w:rPr>
                <w:color w:val="auto"/>
                <w:sz w:val="24"/>
              </w:rPr>
              <w:t>综上所述，在认真执行建设项目“三同时”制度，切实落实各项规划</w:t>
            </w:r>
            <w:r>
              <w:rPr>
                <w:rFonts w:hint="eastAsia"/>
                <w:color w:val="auto"/>
                <w:sz w:val="24"/>
              </w:rPr>
              <w:t>、</w:t>
            </w:r>
            <w:r>
              <w:rPr>
                <w:color w:val="auto"/>
                <w:sz w:val="24"/>
              </w:rPr>
              <w:t>方案的要求，严格落实本</w:t>
            </w:r>
            <w:r>
              <w:rPr>
                <w:rFonts w:hint="eastAsia"/>
                <w:color w:val="auto"/>
                <w:sz w:val="24"/>
              </w:rPr>
              <w:t>报告提出</w:t>
            </w:r>
            <w:r>
              <w:rPr>
                <w:color w:val="auto"/>
                <w:sz w:val="24"/>
              </w:rPr>
              <w:t>各项环保措施</w:t>
            </w:r>
            <w:r>
              <w:rPr>
                <w:rFonts w:hint="eastAsia"/>
                <w:color w:val="auto"/>
                <w:sz w:val="24"/>
              </w:rPr>
              <w:t>、加强</w:t>
            </w:r>
            <w:r>
              <w:rPr>
                <w:color w:val="auto"/>
                <w:sz w:val="24"/>
              </w:rPr>
              <w:t>环境管理的前提下，可将项目产生的环境影响降到最低程度</w:t>
            </w:r>
            <w:r>
              <w:rPr>
                <w:rFonts w:hint="eastAsia"/>
                <w:color w:val="auto"/>
                <w:sz w:val="24"/>
              </w:rPr>
              <w:t>，</w:t>
            </w:r>
            <w:r>
              <w:rPr>
                <w:color w:val="auto"/>
                <w:sz w:val="24"/>
              </w:rPr>
              <w:t>从环境保护角度分析，该项目的建设是可行的。</w:t>
            </w:r>
          </w:p>
          <w:p w14:paraId="61FDB42E">
            <w:pPr>
              <w:autoSpaceDE w:val="0"/>
              <w:autoSpaceDN w:val="0"/>
              <w:adjustRightInd w:val="0"/>
              <w:snapToGrid w:val="0"/>
              <w:spacing w:line="360" w:lineRule="auto"/>
              <w:ind w:right="1120" w:firstLine="480" w:firstLineChars="200"/>
              <w:jc w:val="center"/>
              <w:rPr>
                <w:rFonts w:hint="eastAsia"/>
                <w:color w:val="auto"/>
                <w:sz w:val="24"/>
              </w:rPr>
            </w:pPr>
          </w:p>
          <w:p w14:paraId="79BAF016">
            <w:pPr>
              <w:autoSpaceDE w:val="0"/>
              <w:autoSpaceDN w:val="0"/>
              <w:adjustRightInd w:val="0"/>
              <w:snapToGrid w:val="0"/>
              <w:spacing w:line="360" w:lineRule="auto"/>
              <w:ind w:firstLine="482" w:firstLineChars="200"/>
              <w:jc w:val="right"/>
              <w:rPr>
                <w:rFonts w:hint="eastAsia"/>
                <w:b/>
                <w:bCs/>
                <w:color w:val="auto"/>
                <w:sz w:val="24"/>
              </w:rPr>
            </w:pPr>
            <w:r>
              <w:rPr>
                <w:rFonts w:hint="eastAsia"/>
                <w:b/>
                <w:bCs/>
                <w:color w:val="auto"/>
                <w:sz w:val="24"/>
              </w:rPr>
              <w:t xml:space="preserve">                </w:t>
            </w:r>
          </w:p>
          <w:p w14:paraId="3E6CBEA9">
            <w:pPr>
              <w:autoSpaceDE w:val="0"/>
              <w:autoSpaceDN w:val="0"/>
              <w:adjustRightInd w:val="0"/>
              <w:snapToGrid w:val="0"/>
              <w:spacing w:line="360" w:lineRule="auto"/>
              <w:ind w:firstLine="482" w:firstLineChars="200"/>
              <w:jc w:val="right"/>
              <w:rPr>
                <w:b/>
                <w:bCs/>
                <w:color w:val="auto"/>
                <w:sz w:val="24"/>
              </w:rPr>
            </w:pPr>
            <w:r>
              <w:rPr>
                <w:rFonts w:hint="eastAsia"/>
                <w:b/>
                <w:bCs/>
                <w:color w:val="auto"/>
                <w:sz w:val="24"/>
              </w:rPr>
              <w:t xml:space="preserve">               编制单位：福建绿川环保科技有限公司</w:t>
            </w:r>
          </w:p>
          <w:p w14:paraId="310A1B3B">
            <w:pPr>
              <w:autoSpaceDE w:val="0"/>
              <w:autoSpaceDN w:val="0"/>
              <w:adjustRightInd w:val="0"/>
              <w:snapToGrid w:val="0"/>
              <w:spacing w:line="360" w:lineRule="auto"/>
              <w:ind w:firstLine="482" w:firstLineChars="200"/>
              <w:jc w:val="center"/>
              <w:rPr>
                <w:color w:val="auto"/>
                <w:sz w:val="24"/>
              </w:rPr>
            </w:pPr>
            <w:r>
              <w:rPr>
                <w:rFonts w:hint="eastAsia"/>
                <w:b/>
                <w:bCs/>
                <w:color w:val="auto"/>
                <w:sz w:val="24"/>
              </w:rPr>
              <w:t xml:space="preserve">                   编制时间：202</w:t>
            </w:r>
            <w:r>
              <w:rPr>
                <w:rFonts w:hint="eastAsia"/>
                <w:b/>
                <w:bCs/>
                <w:color w:val="auto"/>
                <w:sz w:val="24"/>
                <w:lang w:val="en-US" w:eastAsia="zh-CN"/>
              </w:rPr>
              <w:t>6</w:t>
            </w:r>
            <w:r>
              <w:rPr>
                <w:rFonts w:hint="eastAsia"/>
                <w:b/>
                <w:bCs/>
                <w:color w:val="auto"/>
                <w:sz w:val="24"/>
              </w:rPr>
              <w:t>年</w:t>
            </w:r>
            <w:r>
              <w:rPr>
                <w:rFonts w:hint="eastAsia"/>
                <w:b/>
                <w:bCs/>
                <w:color w:val="auto"/>
                <w:sz w:val="24"/>
                <w:lang w:val="en-US" w:eastAsia="zh-CN"/>
              </w:rPr>
              <w:t>01</w:t>
            </w:r>
            <w:r>
              <w:rPr>
                <w:rFonts w:hint="eastAsia"/>
                <w:b/>
                <w:bCs/>
                <w:color w:val="auto"/>
                <w:sz w:val="24"/>
              </w:rPr>
              <w:t>月</w:t>
            </w:r>
          </w:p>
        </w:tc>
      </w:tr>
    </w:tbl>
    <w:p w14:paraId="26E92404">
      <w:pPr>
        <w:rPr>
          <w:color w:val="auto"/>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6F440BFD">
      <w:pPr>
        <w:pStyle w:val="30"/>
        <w:adjustRightInd w:val="0"/>
        <w:snapToGrid w:val="0"/>
        <w:spacing w:before="0" w:beforeAutospacing="0" w:after="0" w:afterAutospacing="0"/>
        <w:outlineLvl w:val="0"/>
        <w:rPr>
          <w:rFonts w:ascii="Times New Roman" w:hAnsi="Times New Roman" w:eastAsia="黑体"/>
          <w:snapToGrid w:val="0"/>
          <w:color w:val="auto"/>
          <w:sz w:val="32"/>
          <w:szCs w:val="32"/>
        </w:rPr>
      </w:pPr>
      <w:bookmarkStart w:id="45" w:name="_Toc7881"/>
      <w:bookmarkStart w:id="46" w:name="_Toc4724"/>
      <w:bookmarkStart w:id="47" w:name="_Toc17000"/>
      <w:r>
        <w:rPr>
          <w:rFonts w:ascii="Times New Roman" w:hAnsi="Times New Roman" w:eastAsia="黑体"/>
          <w:snapToGrid w:val="0"/>
          <w:color w:val="auto"/>
          <w:sz w:val="32"/>
          <w:szCs w:val="32"/>
        </w:rPr>
        <w:t>附表</w:t>
      </w:r>
      <w:bookmarkEnd w:id="45"/>
      <w:bookmarkEnd w:id="46"/>
      <w:bookmarkEnd w:id="47"/>
    </w:p>
    <w:p w14:paraId="512EC8A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kern w:val="0"/>
          <w:sz w:val="38"/>
          <w:szCs w:val="38"/>
          <w:highlight w:val="none"/>
          <w:lang w:val="en-US" w:eastAsia="zh-CN" w:bidi="ar-SA"/>
        </w:rPr>
      </w:pPr>
      <w:bookmarkStart w:id="48" w:name="_Toc25540"/>
      <w:bookmarkStart w:id="49" w:name="_Toc15328"/>
      <w:bookmarkStart w:id="50" w:name="_Toc5966"/>
      <w:bookmarkStart w:id="51" w:name="_Toc13590"/>
      <w:bookmarkStart w:id="52" w:name="_Toc25672"/>
      <w:bookmarkStart w:id="53" w:name="_Toc17241"/>
      <w:bookmarkStart w:id="54" w:name="_Toc26637"/>
      <w:r>
        <w:rPr>
          <w:rFonts w:hint="default" w:ascii="Times New Roman" w:hAnsi="Times New Roman" w:eastAsia="宋体" w:cs="Times New Roman"/>
          <w:b/>
          <w:bCs/>
          <w:snapToGrid w:val="0"/>
          <w:color w:val="auto"/>
          <w:kern w:val="0"/>
          <w:sz w:val="38"/>
          <w:szCs w:val="38"/>
          <w:highlight w:val="none"/>
          <w:lang w:val="en-US" w:eastAsia="zh-CN" w:bidi="ar-SA"/>
        </w:rPr>
        <w:t>建设项目污染物排放量汇总表</w:t>
      </w:r>
      <w:bookmarkEnd w:id="48"/>
      <w:bookmarkEnd w:id="49"/>
      <w:bookmarkEnd w:id="50"/>
      <w:bookmarkEnd w:id="51"/>
      <w:bookmarkEnd w:id="52"/>
    </w:p>
    <w:tbl>
      <w:tblPr>
        <w:tblStyle w:val="35"/>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46"/>
        <w:gridCol w:w="1601"/>
        <w:gridCol w:w="1590"/>
        <w:gridCol w:w="1136"/>
        <w:gridCol w:w="1464"/>
        <w:gridCol w:w="1745"/>
        <w:gridCol w:w="1553"/>
        <w:gridCol w:w="1691"/>
        <w:gridCol w:w="1296"/>
      </w:tblGrid>
      <w:tr w14:paraId="70B15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tcBorders>
              <w:tl2br w:val="single" w:color="auto" w:sz="4" w:space="0"/>
            </w:tcBorders>
            <w:noWrap w:val="0"/>
            <w:tcMar>
              <w:left w:w="28" w:type="dxa"/>
              <w:right w:w="28" w:type="dxa"/>
            </w:tcMar>
            <w:vAlign w:val="center"/>
          </w:tcPr>
          <w:p w14:paraId="13A6516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right"/>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项目</w:t>
            </w:r>
          </w:p>
          <w:p w14:paraId="098FB7D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分类</w:t>
            </w:r>
          </w:p>
        </w:tc>
        <w:tc>
          <w:tcPr>
            <w:tcW w:w="835" w:type="pct"/>
            <w:gridSpan w:val="2"/>
            <w:noWrap w:val="0"/>
            <w:tcMar>
              <w:left w:w="28" w:type="dxa"/>
              <w:right w:w="28" w:type="dxa"/>
            </w:tcMar>
            <w:vAlign w:val="center"/>
          </w:tcPr>
          <w:p w14:paraId="086C74F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污染物名称</w:t>
            </w:r>
          </w:p>
        </w:tc>
        <w:tc>
          <w:tcPr>
            <w:tcW w:w="565" w:type="pct"/>
            <w:noWrap w:val="0"/>
            <w:tcMar>
              <w:left w:w="28" w:type="dxa"/>
              <w:right w:w="28" w:type="dxa"/>
            </w:tcMar>
            <w:vAlign w:val="center"/>
          </w:tcPr>
          <w:p w14:paraId="78CD8DF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现有工程</w:t>
            </w:r>
          </w:p>
          <w:p w14:paraId="08CCB35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1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①</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404" w:type="pct"/>
            <w:noWrap w:val="0"/>
            <w:tcMar>
              <w:left w:w="28" w:type="dxa"/>
              <w:right w:w="28" w:type="dxa"/>
            </w:tcMar>
            <w:vAlign w:val="center"/>
          </w:tcPr>
          <w:p w14:paraId="7068150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现有工程</w:t>
            </w:r>
          </w:p>
          <w:p w14:paraId="559B935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许可排放量</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2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snapToGrid w:val="0"/>
                <w:color w:val="auto"/>
                <w:spacing w:val="-6"/>
                <w:kern w:val="21"/>
                <w:sz w:val="21"/>
                <w:szCs w:val="21"/>
                <w:highlight w:val="none"/>
                <w:lang w:val="en-US" w:eastAsia="zh-CN" w:bidi="ar-SA"/>
              </w:rPr>
              <w:t>②</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520" w:type="pct"/>
            <w:noWrap w:val="0"/>
            <w:tcMar>
              <w:left w:w="28" w:type="dxa"/>
              <w:right w:w="28" w:type="dxa"/>
            </w:tcMar>
            <w:vAlign w:val="center"/>
          </w:tcPr>
          <w:p w14:paraId="5772180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在建工程</w:t>
            </w:r>
          </w:p>
          <w:p w14:paraId="7BF29DB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3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③</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620" w:type="pct"/>
            <w:noWrap w:val="0"/>
            <w:tcMar>
              <w:left w:w="28" w:type="dxa"/>
              <w:right w:w="28" w:type="dxa"/>
            </w:tcMar>
            <w:vAlign w:val="center"/>
          </w:tcPr>
          <w:p w14:paraId="4F707DA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本项目</w:t>
            </w:r>
          </w:p>
          <w:p w14:paraId="07A2953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6"/>
                <w:kern w:val="21"/>
                <w:sz w:val="21"/>
                <w:szCs w:val="21"/>
                <w:highlight w:val="none"/>
                <w:lang w:val="en-US" w:eastAsia="zh-CN" w:bidi="ar-SA"/>
              </w:rPr>
              <w:t>)</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4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④</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c>
          <w:tcPr>
            <w:tcW w:w="552" w:type="pct"/>
            <w:noWrap w:val="0"/>
            <w:tcMar>
              <w:left w:w="28" w:type="dxa"/>
              <w:right w:w="28" w:type="dxa"/>
            </w:tcMar>
            <w:vAlign w:val="center"/>
          </w:tcPr>
          <w:p w14:paraId="731E418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以新带老削减量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t>新建项目不填</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16"/>
                <w:kern w:val="21"/>
                <w:sz w:val="21"/>
                <w:szCs w:val="21"/>
                <w:highlight w:val="none"/>
                <w:lang w:val="en-US" w:eastAsia="zh-CN" w:bidi="ar-SA"/>
              </w:rPr>
              <w:instrText xml:space="preserve"> = 5 \* GB3 \* MERGEFORMAT </w:instrTex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⑤</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end"/>
            </w:r>
          </w:p>
        </w:tc>
        <w:tc>
          <w:tcPr>
            <w:tcW w:w="601" w:type="pct"/>
            <w:noWrap w:val="0"/>
            <w:tcMar>
              <w:left w:w="28" w:type="dxa"/>
              <w:right w:w="28" w:type="dxa"/>
            </w:tcMar>
            <w:vAlign w:val="center"/>
          </w:tcPr>
          <w:p w14:paraId="6A005AE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本项目建成后</w:t>
            </w:r>
          </w:p>
          <w:p w14:paraId="64870A4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16"/>
                <w:kern w:val="21"/>
                <w:sz w:val="21"/>
                <w:szCs w:val="21"/>
                <w:highlight w:val="none"/>
                <w:lang w:val="en-US" w:eastAsia="zh-CN" w:bidi="ar-SA"/>
              </w:rPr>
            </w:pPr>
            <w:r>
              <w:rPr>
                <w:rFonts w:hint="default" w:ascii="Times New Roman" w:hAnsi="Times New Roman" w:eastAsia="宋体" w:cs="Times New Roman"/>
                <w:b/>
                <w:bCs/>
                <w:snapToGrid w:val="0"/>
                <w:color w:val="auto"/>
                <w:spacing w:val="-16"/>
                <w:kern w:val="21"/>
                <w:sz w:val="21"/>
                <w:szCs w:val="21"/>
                <w:highlight w:val="none"/>
                <w:lang w:val="en-US" w:eastAsia="zh-CN" w:bidi="ar-SA"/>
              </w:rPr>
              <w:t>全厂排放量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t>固体废物产生量</w:t>
            </w:r>
            <w:r>
              <w:rPr>
                <w:rFonts w:hint="eastAsia" w:ascii="Times New Roman" w:hAnsi="Times New Roman" w:eastAsia="宋体" w:cs="Times New Roman"/>
                <w:b/>
                <w:bCs/>
                <w:snapToGrid w:val="0"/>
                <w:color w:val="auto"/>
                <w:spacing w:val="-16"/>
                <w:kern w:val="21"/>
                <w:sz w:val="21"/>
                <w:szCs w:val="21"/>
                <w:highlight w:val="none"/>
                <w:lang w:val="en-US" w:eastAsia="zh-CN" w:bidi="ar-SA"/>
              </w:rPr>
              <w:t>)</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16"/>
                <w:kern w:val="21"/>
                <w:sz w:val="21"/>
                <w:szCs w:val="21"/>
                <w:highlight w:val="none"/>
                <w:lang w:val="en-US" w:eastAsia="zh-CN" w:bidi="ar-SA"/>
              </w:rPr>
              <w:instrText xml:space="preserve"> = 6 \* GB3 \* MERGEFORMAT </w:instrTex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⑥</w:t>
            </w:r>
            <w:r>
              <w:rPr>
                <w:rFonts w:hint="default" w:ascii="Times New Roman" w:hAnsi="Times New Roman" w:eastAsia="宋体" w:cs="Times New Roman"/>
                <w:b/>
                <w:bCs/>
                <w:snapToGrid w:val="0"/>
                <w:color w:val="auto"/>
                <w:spacing w:val="-16"/>
                <w:kern w:val="21"/>
                <w:sz w:val="21"/>
                <w:szCs w:val="21"/>
                <w:highlight w:val="none"/>
                <w:lang w:val="en-US" w:eastAsia="zh-CN" w:bidi="ar-SA"/>
              </w:rPr>
              <w:fldChar w:fldCharType="end"/>
            </w:r>
          </w:p>
        </w:tc>
        <w:tc>
          <w:tcPr>
            <w:tcW w:w="461" w:type="pct"/>
            <w:noWrap w:val="0"/>
            <w:tcMar>
              <w:left w:w="28" w:type="dxa"/>
              <w:right w:w="28" w:type="dxa"/>
            </w:tcMar>
            <w:vAlign w:val="center"/>
          </w:tcPr>
          <w:p w14:paraId="469F6DE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t>变化量</w:t>
            </w:r>
          </w:p>
          <w:p w14:paraId="3DF9C89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bCs/>
                <w:snapToGrid w:val="0"/>
                <w:color w:val="auto"/>
                <w:spacing w:val="-6"/>
                <w:kern w:val="21"/>
                <w:sz w:val="21"/>
                <w:szCs w:val="21"/>
                <w:highlight w:val="none"/>
                <w:lang w:val="en-US" w:eastAsia="zh-CN" w:bidi="ar-SA"/>
              </w:rPr>
            </w:pP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begin"/>
            </w:r>
            <w:r>
              <w:rPr>
                <w:rFonts w:hint="default" w:ascii="Times New Roman" w:hAnsi="Times New Roman" w:eastAsia="宋体" w:cs="Times New Roman"/>
                <w:b/>
                <w:bCs/>
                <w:snapToGrid w:val="0"/>
                <w:color w:val="auto"/>
                <w:spacing w:val="-6"/>
                <w:kern w:val="21"/>
                <w:sz w:val="21"/>
                <w:szCs w:val="21"/>
                <w:highlight w:val="none"/>
                <w:lang w:val="en-US" w:eastAsia="zh-CN" w:bidi="ar-SA"/>
              </w:rPr>
              <w:instrText xml:space="preserve"> = 7 \* GB3 \* MERGEFORMAT </w:instrTex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separate"/>
            </w:r>
            <w:r>
              <w:rPr>
                <w:rFonts w:hint="default" w:ascii="Times New Roman" w:hAnsi="Times New Roman" w:eastAsia="宋体" w:cs="Times New Roman"/>
                <w:b/>
                <w:bCs/>
                <w:color w:val="auto"/>
                <w:kern w:val="2"/>
                <w:sz w:val="21"/>
                <w:szCs w:val="21"/>
                <w:highlight w:val="none"/>
                <w:lang w:val="en-US" w:eastAsia="zh-CN" w:bidi="ar-SA"/>
              </w:rPr>
              <w:t>⑦</w:t>
            </w:r>
            <w:r>
              <w:rPr>
                <w:rFonts w:hint="default" w:ascii="Times New Roman" w:hAnsi="Times New Roman" w:eastAsia="宋体" w:cs="Times New Roman"/>
                <w:b/>
                <w:bCs/>
                <w:snapToGrid w:val="0"/>
                <w:color w:val="auto"/>
                <w:spacing w:val="-6"/>
                <w:kern w:val="21"/>
                <w:sz w:val="21"/>
                <w:szCs w:val="21"/>
                <w:highlight w:val="none"/>
                <w:lang w:val="en-US" w:eastAsia="zh-CN" w:bidi="ar-SA"/>
              </w:rPr>
              <w:fldChar w:fldCharType="end"/>
            </w:r>
          </w:p>
        </w:tc>
      </w:tr>
      <w:tr w14:paraId="0E1AB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7" w:type="pct"/>
            <w:vMerge w:val="restart"/>
            <w:noWrap w:val="0"/>
            <w:vAlign w:val="center"/>
          </w:tcPr>
          <w:p w14:paraId="1D9CF07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废气</w:t>
            </w:r>
          </w:p>
        </w:tc>
        <w:tc>
          <w:tcPr>
            <w:tcW w:w="835" w:type="pct"/>
            <w:gridSpan w:val="2"/>
            <w:noWrap w:val="0"/>
            <w:vAlign w:val="center"/>
          </w:tcPr>
          <w:p w14:paraId="7E254C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非甲烷总烃(t/a)</w:t>
            </w:r>
          </w:p>
        </w:tc>
        <w:tc>
          <w:tcPr>
            <w:tcW w:w="565" w:type="pct"/>
            <w:noWrap w:val="0"/>
            <w:vAlign w:val="center"/>
          </w:tcPr>
          <w:p w14:paraId="370523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0.07</w:t>
            </w:r>
          </w:p>
        </w:tc>
        <w:tc>
          <w:tcPr>
            <w:tcW w:w="404" w:type="pct"/>
            <w:noWrap w:val="0"/>
            <w:vAlign w:val="center"/>
          </w:tcPr>
          <w:p w14:paraId="3163928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0.07</w:t>
            </w:r>
          </w:p>
        </w:tc>
        <w:tc>
          <w:tcPr>
            <w:tcW w:w="520" w:type="pct"/>
            <w:noWrap w:val="0"/>
            <w:vAlign w:val="center"/>
          </w:tcPr>
          <w:p w14:paraId="70F7557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1284521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0.786</w:t>
            </w:r>
          </w:p>
        </w:tc>
        <w:tc>
          <w:tcPr>
            <w:tcW w:w="552" w:type="pct"/>
            <w:noWrap w:val="0"/>
            <w:vAlign w:val="center"/>
          </w:tcPr>
          <w:p w14:paraId="55B73F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531E061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0.856</w:t>
            </w:r>
          </w:p>
        </w:tc>
        <w:tc>
          <w:tcPr>
            <w:tcW w:w="461" w:type="pct"/>
            <w:noWrap w:val="0"/>
            <w:vAlign w:val="center"/>
          </w:tcPr>
          <w:p w14:paraId="3FDA60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+0.786</w:t>
            </w:r>
          </w:p>
        </w:tc>
      </w:tr>
      <w:tr w14:paraId="54EF5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04ABD84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7D12B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颗粒物</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0241C5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063AB56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11793E9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3F07D8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0.008</w:t>
            </w:r>
          </w:p>
        </w:tc>
        <w:tc>
          <w:tcPr>
            <w:tcW w:w="552" w:type="pct"/>
            <w:noWrap w:val="0"/>
            <w:vAlign w:val="center"/>
          </w:tcPr>
          <w:p w14:paraId="5544EE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2CF25C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0.008</w:t>
            </w:r>
          </w:p>
        </w:tc>
        <w:tc>
          <w:tcPr>
            <w:tcW w:w="461" w:type="pct"/>
            <w:noWrap w:val="0"/>
            <w:vAlign w:val="center"/>
          </w:tcPr>
          <w:p w14:paraId="30D514B4">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+0.008</w:t>
            </w:r>
          </w:p>
        </w:tc>
      </w:tr>
      <w:tr w14:paraId="22028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37" w:type="pct"/>
            <w:vMerge w:val="continue"/>
            <w:noWrap w:val="0"/>
            <w:vAlign w:val="center"/>
          </w:tcPr>
          <w:p w14:paraId="235EAF2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0F3070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甲苯</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52CCAF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1E83BA1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16DF420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7AEE67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0.026</w:t>
            </w:r>
          </w:p>
        </w:tc>
        <w:tc>
          <w:tcPr>
            <w:tcW w:w="552" w:type="pct"/>
            <w:noWrap w:val="0"/>
            <w:vAlign w:val="center"/>
          </w:tcPr>
          <w:p w14:paraId="02E197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40A919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0.026</w:t>
            </w:r>
          </w:p>
        </w:tc>
        <w:tc>
          <w:tcPr>
            <w:tcW w:w="461" w:type="pct"/>
            <w:noWrap w:val="0"/>
            <w:vAlign w:val="center"/>
          </w:tcPr>
          <w:p w14:paraId="084E97A7">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+0.026</w:t>
            </w:r>
          </w:p>
        </w:tc>
      </w:tr>
      <w:tr w14:paraId="3F3E6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37" w:type="pct"/>
            <w:vMerge w:val="continue"/>
            <w:noWrap w:val="0"/>
            <w:vAlign w:val="center"/>
          </w:tcPr>
          <w:p w14:paraId="45C08F9A">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7B892E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氯化氢</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528B3C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4456869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654D439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22C9BCA5">
            <w:pPr>
              <w:keepNext w:val="0"/>
              <w:keepLines w:val="0"/>
              <w:widowControl/>
              <w:suppressLineNumbers w:val="0"/>
              <w:jc w:val="center"/>
              <w:textAlignment w:val="center"/>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0.03</w:t>
            </w:r>
          </w:p>
        </w:tc>
        <w:tc>
          <w:tcPr>
            <w:tcW w:w="552" w:type="pct"/>
            <w:noWrap w:val="0"/>
            <w:vAlign w:val="center"/>
          </w:tcPr>
          <w:p w14:paraId="103AA1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6EA83A92">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0.03</w:t>
            </w:r>
          </w:p>
        </w:tc>
        <w:tc>
          <w:tcPr>
            <w:tcW w:w="461" w:type="pct"/>
            <w:noWrap w:val="0"/>
            <w:vAlign w:val="center"/>
          </w:tcPr>
          <w:p w14:paraId="1CE00F72">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+0.03</w:t>
            </w:r>
          </w:p>
        </w:tc>
      </w:tr>
      <w:tr w14:paraId="32600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37" w:type="pct"/>
            <w:vMerge w:val="continue"/>
            <w:noWrap w:val="0"/>
            <w:vAlign w:val="center"/>
          </w:tcPr>
          <w:p w14:paraId="7143996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47D9B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苯系物</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3EB45F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6222D39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5717820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1B0317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0.028</w:t>
            </w:r>
          </w:p>
        </w:tc>
        <w:tc>
          <w:tcPr>
            <w:tcW w:w="552" w:type="pct"/>
            <w:noWrap w:val="0"/>
            <w:vAlign w:val="center"/>
          </w:tcPr>
          <w:p w14:paraId="40DDB0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387D5B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0.028</w:t>
            </w:r>
          </w:p>
        </w:tc>
        <w:tc>
          <w:tcPr>
            <w:tcW w:w="461" w:type="pct"/>
            <w:noWrap w:val="0"/>
            <w:vAlign w:val="center"/>
          </w:tcPr>
          <w:p w14:paraId="0465FB28">
            <w:pPr>
              <w:keepNext w:val="0"/>
              <w:keepLines w:val="0"/>
              <w:widowControl/>
              <w:suppressLineNumbers w:val="0"/>
              <w:jc w:val="center"/>
              <w:textAlignment w:val="center"/>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+0.028</w:t>
            </w:r>
          </w:p>
        </w:tc>
      </w:tr>
      <w:tr w14:paraId="11520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noWrap w:val="0"/>
            <w:vAlign w:val="center"/>
          </w:tcPr>
          <w:p w14:paraId="537B2B6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w:t>
            </w:r>
          </w:p>
        </w:tc>
        <w:tc>
          <w:tcPr>
            <w:tcW w:w="265" w:type="pct"/>
            <w:vMerge w:val="restart"/>
            <w:noWrap w:val="0"/>
            <w:vAlign w:val="center"/>
          </w:tcPr>
          <w:p w14:paraId="03DEC9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生活废水</w:t>
            </w:r>
          </w:p>
        </w:tc>
        <w:tc>
          <w:tcPr>
            <w:tcW w:w="569" w:type="pct"/>
            <w:noWrap w:val="0"/>
            <w:vAlign w:val="center"/>
          </w:tcPr>
          <w:p w14:paraId="5467E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废水量</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7FF264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496.125</w:t>
            </w:r>
          </w:p>
        </w:tc>
        <w:tc>
          <w:tcPr>
            <w:tcW w:w="404" w:type="pct"/>
            <w:noWrap w:val="0"/>
            <w:vAlign w:val="center"/>
          </w:tcPr>
          <w:p w14:paraId="6A3F3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496.125</w:t>
            </w:r>
          </w:p>
        </w:tc>
        <w:tc>
          <w:tcPr>
            <w:tcW w:w="520" w:type="pct"/>
            <w:noWrap w:val="0"/>
            <w:vAlign w:val="center"/>
          </w:tcPr>
          <w:p w14:paraId="10986B6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675FBF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945</w:t>
            </w:r>
          </w:p>
        </w:tc>
        <w:tc>
          <w:tcPr>
            <w:tcW w:w="552" w:type="pct"/>
            <w:noWrap w:val="0"/>
            <w:vAlign w:val="center"/>
          </w:tcPr>
          <w:p w14:paraId="468CC8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635A32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1441.125</w:t>
            </w:r>
          </w:p>
        </w:tc>
        <w:tc>
          <w:tcPr>
            <w:tcW w:w="461" w:type="pct"/>
            <w:noWrap w:val="0"/>
            <w:vAlign w:val="center"/>
          </w:tcPr>
          <w:p w14:paraId="78FFC3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+945</w:t>
            </w:r>
          </w:p>
        </w:tc>
      </w:tr>
      <w:tr w14:paraId="06F25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77A62B1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27419D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6CABD7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4550DF52">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0.025</w:t>
            </w:r>
          </w:p>
        </w:tc>
        <w:tc>
          <w:tcPr>
            <w:tcW w:w="404" w:type="pct"/>
            <w:noWrap w:val="0"/>
            <w:vAlign w:val="center"/>
          </w:tcPr>
          <w:p w14:paraId="398E3395">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0.025</w:t>
            </w:r>
          </w:p>
        </w:tc>
        <w:tc>
          <w:tcPr>
            <w:tcW w:w="520" w:type="pct"/>
            <w:noWrap w:val="0"/>
            <w:vAlign w:val="center"/>
          </w:tcPr>
          <w:p w14:paraId="204E561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7F47A512">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0.047</w:t>
            </w:r>
          </w:p>
        </w:tc>
        <w:tc>
          <w:tcPr>
            <w:tcW w:w="552" w:type="pct"/>
            <w:noWrap w:val="0"/>
            <w:vAlign w:val="center"/>
          </w:tcPr>
          <w:p w14:paraId="2E3D0B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25F6FB29">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0.072</w:t>
            </w:r>
          </w:p>
        </w:tc>
        <w:tc>
          <w:tcPr>
            <w:tcW w:w="461" w:type="pct"/>
            <w:noWrap w:val="0"/>
            <w:vAlign w:val="center"/>
          </w:tcPr>
          <w:p w14:paraId="5CA2C24E">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+0.047</w:t>
            </w:r>
          </w:p>
        </w:tc>
      </w:tr>
      <w:tr w14:paraId="03467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0AA3365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080238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6D3356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氨氮(t/a)</w:t>
            </w:r>
          </w:p>
        </w:tc>
        <w:tc>
          <w:tcPr>
            <w:tcW w:w="565" w:type="pct"/>
            <w:noWrap w:val="0"/>
            <w:vAlign w:val="center"/>
          </w:tcPr>
          <w:p w14:paraId="23D2150F">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0.002</w:t>
            </w:r>
          </w:p>
        </w:tc>
        <w:tc>
          <w:tcPr>
            <w:tcW w:w="404" w:type="pct"/>
            <w:noWrap w:val="0"/>
            <w:vAlign w:val="center"/>
          </w:tcPr>
          <w:p w14:paraId="57EC4FF3">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0.002</w:t>
            </w:r>
          </w:p>
        </w:tc>
        <w:tc>
          <w:tcPr>
            <w:tcW w:w="520" w:type="pct"/>
            <w:noWrap w:val="0"/>
            <w:vAlign w:val="center"/>
          </w:tcPr>
          <w:p w14:paraId="574BB95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50D18C1E">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0.005</w:t>
            </w:r>
          </w:p>
        </w:tc>
        <w:tc>
          <w:tcPr>
            <w:tcW w:w="552" w:type="pct"/>
            <w:noWrap w:val="0"/>
            <w:vAlign w:val="center"/>
          </w:tcPr>
          <w:p w14:paraId="29AA6E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12787C67">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0.007</w:t>
            </w:r>
          </w:p>
        </w:tc>
        <w:tc>
          <w:tcPr>
            <w:tcW w:w="461" w:type="pct"/>
            <w:noWrap w:val="0"/>
            <w:vAlign w:val="center"/>
          </w:tcPr>
          <w:p w14:paraId="5782579D">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+0.005</w:t>
            </w:r>
          </w:p>
        </w:tc>
      </w:tr>
      <w:tr w14:paraId="51309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388B70B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restart"/>
            <w:noWrap w:val="0"/>
            <w:vAlign w:val="center"/>
          </w:tcPr>
          <w:p w14:paraId="4FEA16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生产废水</w:t>
            </w:r>
          </w:p>
        </w:tc>
        <w:tc>
          <w:tcPr>
            <w:tcW w:w="569" w:type="pct"/>
            <w:noWrap w:val="0"/>
            <w:vAlign w:val="center"/>
          </w:tcPr>
          <w:p w14:paraId="4D7D66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废水量</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4B3D79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150</w:t>
            </w:r>
          </w:p>
        </w:tc>
        <w:tc>
          <w:tcPr>
            <w:tcW w:w="404" w:type="pct"/>
            <w:noWrap w:val="0"/>
            <w:vAlign w:val="center"/>
          </w:tcPr>
          <w:p w14:paraId="44AC9DD9">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150</w:t>
            </w:r>
          </w:p>
        </w:tc>
        <w:tc>
          <w:tcPr>
            <w:tcW w:w="520" w:type="pct"/>
            <w:noWrap w:val="0"/>
            <w:vAlign w:val="center"/>
          </w:tcPr>
          <w:p w14:paraId="1E281DE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7E31A38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c>
          <w:tcPr>
            <w:tcW w:w="552" w:type="pct"/>
            <w:noWrap w:val="0"/>
            <w:vAlign w:val="center"/>
          </w:tcPr>
          <w:p w14:paraId="590EB4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13970F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150</w:t>
            </w:r>
          </w:p>
        </w:tc>
        <w:tc>
          <w:tcPr>
            <w:tcW w:w="461" w:type="pct"/>
            <w:noWrap w:val="0"/>
            <w:vAlign w:val="center"/>
          </w:tcPr>
          <w:p w14:paraId="2D3B02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r>
      <w:tr w14:paraId="1498C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6BEC5C1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3A3A90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3F553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eastAsia="宋体" w:cs="Times New Roman"/>
                <w:snapToGrid w:val="0"/>
                <w:color w:val="auto"/>
                <w:kern w:val="21"/>
                <w:sz w:val="21"/>
                <w:szCs w:val="21"/>
                <w:highlight w:val="none"/>
                <w:lang w:val="en-US" w:eastAsia="zh-CN" w:bidi="ar-SA"/>
              </w:rPr>
              <w:t>(t/a)</w:t>
            </w:r>
          </w:p>
        </w:tc>
        <w:tc>
          <w:tcPr>
            <w:tcW w:w="565" w:type="pct"/>
            <w:noWrap w:val="0"/>
            <w:vAlign w:val="center"/>
          </w:tcPr>
          <w:p w14:paraId="7780F7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0.0036</w:t>
            </w:r>
          </w:p>
        </w:tc>
        <w:tc>
          <w:tcPr>
            <w:tcW w:w="404" w:type="pct"/>
            <w:noWrap w:val="0"/>
            <w:vAlign w:val="center"/>
          </w:tcPr>
          <w:p w14:paraId="5EA76224">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0.008</w:t>
            </w:r>
          </w:p>
        </w:tc>
        <w:tc>
          <w:tcPr>
            <w:tcW w:w="520" w:type="pct"/>
            <w:noWrap w:val="0"/>
            <w:vAlign w:val="center"/>
          </w:tcPr>
          <w:p w14:paraId="11211DF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783098C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c>
          <w:tcPr>
            <w:tcW w:w="552" w:type="pct"/>
            <w:noWrap w:val="0"/>
            <w:vAlign w:val="center"/>
          </w:tcPr>
          <w:p w14:paraId="0F2316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noWrap w:val="0"/>
            <w:vAlign w:val="center"/>
          </w:tcPr>
          <w:p w14:paraId="5E4884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0.0036</w:t>
            </w:r>
          </w:p>
        </w:tc>
        <w:tc>
          <w:tcPr>
            <w:tcW w:w="461" w:type="pct"/>
            <w:noWrap w:val="0"/>
            <w:vAlign w:val="center"/>
          </w:tcPr>
          <w:p w14:paraId="7EFB25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r>
      <w:tr w14:paraId="7E79A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6A9BE17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1473C5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noWrap w:val="0"/>
            <w:vAlign w:val="center"/>
          </w:tcPr>
          <w:p w14:paraId="140E01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氨氮(t/a)</w:t>
            </w:r>
          </w:p>
        </w:tc>
        <w:tc>
          <w:tcPr>
            <w:tcW w:w="565" w:type="pct"/>
            <w:noWrap w:val="0"/>
            <w:vAlign w:val="center"/>
          </w:tcPr>
          <w:p w14:paraId="78A2A7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w:t>
            </w:r>
          </w:p>
        </w:tc>
        <w:tc>
          <w:tcPr>
            <w:tcW w:w="404" w:type="pct"/>
            <w:noWrap w:val="0"/>
            <w:vAlign w:val="center"/>
          </w:tcPr>
          <w:p w14:paraId="652B1663">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0.0008</w:t>
            </w:r>
          </w:p>
        </w:tc>
        <w:tc>
          <w:tcPr>
            <w:tcW w:w="520" w:type="pct"/>
            <w:noWrap w:val="0"/>
            <w:vAlign w:val="center"/>
          </w:tcPr>
          <w:p w14:paraId="5603BDB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03BD44A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c>
          <w:tcPr>
            <w:tcW w:w="552" w:type="pct"/>
            <w:noWrap w:val="0"/>
            <w:vAlign w:val="center"/>
          </w:tcPr>
          <w:p w14:paraId="224D2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1691" w:type="dxa"/>
            <w:noWrap w:val="0"/>
            <w:vAlign w:val="center"/>
          </w:tcPr>
          <w:p w14:paraId="422273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w:t>
            </w:r>
          </w:p>
        </w:tc>
        <w:tc>
          <w:tcPr>
            <w:tcW w:w="461" w:type="pct"/>
            <w:noWrap w:val="0"/>
            <w:vAlign w:val="center"/>
          </w:tcPr>
          <w:p w14:paraId="1A30B1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i w:val="0"/>
                <w:iCs w:val="0"/>
                <w:color w:val="auto"/>
                <w:kern w:val="0"/>
                <w:sz w:val="21"/>
                <w:szCs w:val="21"/>
                <w:highlight w:val="none"/>
                <w:u w:val="none"/>
                <w:lang w:val="en-US" w:eastAsia="zh-CN" w:bidi="ar"/>
              </w:rPr>
            </w:pPr>
            <w:r>
              <w:rPr>
                <w:rFonts w:hint="eastAsia" w:cs="Times New Roman"/>
                <w:color w:val="auto"/>
                <w:spacing w:val="0"/>
                <w:kern w:val="0"/>
                <w:sz w:val="21"/>
                <w:szCs w:val="21"/>
                <w:highlight w:val="none"/>
                <w:lang w:val="en-US" w:eastAsia="zh-CN"/>
              </w:rPr>
              <w:t>0</w:t>
            </w:r>
          </w:p>
        </w:tc>
      </w:tr>
      <w:tr w14:paraId="1E10D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noWrap w:val="0"/>
            <w:vAlign w:val="center"/>
          </w:tcPr>
          <w:p w14:paraId="0E93E5D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固体废物</w:t>
            </w:r>
          </w:p>
        </w:tc>
        <w:tc>
          <w:tcPr>
            <w:tcW w:w="265" w:type="pct"/>
            <w:vMerge w:val="restart"/>
            <w:noWrap w:val="0"/>
            <w:vAlign w:val="center"/>
          </w:tcPr>
          <w:p w14:paraId="1E4BF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一般工业固体废物</w:t>
            </w:r>
          </w:p>
        </w:tc>
        <w:tc>
          <w:tcPr>
            <w:tcW w:w="569" w:type="pct"/>
            <w:shd w:val="clear" w:color="auto" w:fill="auto"/>
            <w:noWrap w:val="0"/>
            <w:vAlign w:val="center"/>
          </w:tcPr>
          <w:p w14:paraId="054F95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不合格品及</w:t>
            </w:r>
            <w:r>
              <w:rPr>
                <w:rFonts w:hint="default" w:ascii="Times New Roman" w:hAnsi="Times New Roman" w:eastAsia="宋体" w:cs="Times New Roman"/>
                <w:snapToGrid w:val="0"/>
                <w:color w:val="auto"/>
                <w:kern w:val="21"/>
                <w:sz w:val="21"/>
                <w:szCs w:val="21"/>
                <w:highlight w:val="none"/>
                <w:lang w:val="en-US" w:eastAsia="zh-CN" w:bidi="ar-SA"/>
              </w:rPr>
              <w:t>边角料</w:t>
            </w:r>
          </w:p>
        </w:tc>
        <w:tc>
          <w:tcPr>
            <w:tcW w:w="565" w:type="pct"/>
            <w:noWrap w:val="0"/>
            <w:vAlign w:val="center"/>
          </w:tcPr>
          <w:p w14:paraId="3ECF70E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bCs/>
                <w:color w:val="auto"/>
                <w:sz w:val="21"/>
                <w:szCs w:val="21"/>
                <w:highlight w:val="none"/>
                <w:lang w:val="en-US" w:eastAsia="zh-CN"/>
              </w:rPr>
              <w:t>15</w:t>
            </w:r>
          </w:p>
        </w:tc>
        <w:tc>
          <w:tcPr>
            <w:tcW w:w="404" w:type="pct"/>
            <w:noWrap w:val="0"/>
            <w:vAlign w:val="center"/>
          </w:tcPr>
          <w:p w14:paraId="3797BFE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7857C4F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5ED883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rPr>
              <w:t>0</w:t>
            </w:r>
          </w:p>
        </w:tc>
        <w:tc>
          <w:tcPr>
            <w:tcW w:w="552" w:type="pct"/>
            <w:noWrap w:val="0"/>
            <w:vAlign w:val="center"/>
          </w:tcPr>
          <w:p w14:paraId="263CEC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2ADF9F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15</w:t>
            </w:r>
          </w:p>
        </w:tc>
        <w:tc>
          <w:tcPr>
            <w:tcW w:w="461" w:type="pct"/>
            <w:noWrap w:val="0"/>
            <w:vAlign w:val="center"/>
          </w:tcPr>
          <w:p w14:paraId="673F814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rPr>
              <w:t>0</w:t>
            </w:r>
          </w:p>
        </w:tc>
      </w:tr>
      <w:tr w14:paraId="422ED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2748ED0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3CEFDD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0F6A90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下卡条边角料</w:t>
            </w:r>
          </w:p>
        </w:tc>
        <w:tc>
          <w:tcPr>
            <w:tcW w:w="565" w:type="pct"/>
            <w:noWrap w:val="0"/>
            <w:vAlign w:val="center"/>
          </w:tcPr>
          <w:p w14:paraId="1D50BF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47D931F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309A0AB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75F204D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44</w:t>
            </w:r>
          </w:p>
        </w:tc>
        <w:tc>
          <w:tcPr>
            <w:tcW w:w="552" w:type="pct"/>
            <w:noWrap w:val="0"/>
            <w:vAlign w:val="center"/>
          </w:tcPr>
          <w:p w14:paraId="1975C2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6EC3E51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44</w:t>
            </w:r>
          </w:p>
        </w:tc>
        <w:tc>
          <w:tcPr>
            <w:tcW w:w="461" w:type="pct"/>
            <w:noWrap w:val="0"/>
            <w:vAlign w:val="center"/>
          </w:tcPr>
          <w:p w14:paraId="00F3494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+44</w:t>
            </w:r>
          </w:p>
        </w:tc>
      </w:tr>
      <w:tr w14:paraId="72F65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705404E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112EAD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452D79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钣金件边角料</w:t>
            </w:r>
          </w:p>
        </w:tc>
        <w:tc>
          <w:tcPr>
            <w:tcW w:w="565" w:type="pct"/>
            <w:noWrap w:val="0"/>
            <w:vAlign w:val="center"/>
          </w:tcPr>
          <w:p w14:paraId="21392A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404" w:type="pct"/>
            <w:noWrap w:val="0"/>
            <w:vAlign w:val="center"/>
          </w:tcPr>
          <w:p w14:paraId="76B5D2F2">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321B4AE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52AFAD8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w:t>
            </w:r>
          </w:p>
        </w:tc>
        <w:tc>
          <w:tcPr>
            <w:tcW w:w="552" w:type="pct"/>
            <w:noWrap w:val="0"/>
            <w:vAlign w:val="center"/>
          </w:tcPr>
          <w:p w14:paraId="278114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7AFA11F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4</w:t>
            </w:r>
          </w:p>
        </w:tc>
        <w:tc>
          <w:tcPr>
            <w:tcW w:w="461" w:type="pct"/>
            <w:noWrap w:val="0"/>
            <w:vAlign w:val="center"/>
          </w:tcPr>
          <w:p w14:paraId="577CD4A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rPr>
            </w:pPr>
            <w:r>
              <w:rPr>
                <w:rFonts w:hint="eastAsia"/>
                <w:snapToGrid w:val="0"/>
                <w:color w:val="auto"/>
                <w:kern w:val="18"/>
                <w:sz w:val="21"/>
                <w:szCs w:val="21"/>
                <w:highlight w:val="none"/>
                <w:lang w:val="en-US" w:eastAsia="zh-CN"/>
              </w:rPr>
              <w:t>+4</w:t>
            </w:r>
          </w:p>
        </w:tc>
      </w:tr>
      <w:tr w14:paraId="00667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vMerge w:val="continue"/>
            <w:noWrap w:val="0"/>
            <w:vAlign w:val="center"/>
          </w:tcPr>
          <w:p w14:paraId="1FD92EA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66DBCE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580BEF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废焊丝、焊渣</w:t>
            </w:r>
          </w:p>
        </w:tc>
        <w:tc>
          <w:tcPr>
            <w:tcW w:w="565" w:type="pct"/>
            <w:noWrap w:val="0"/>
            <w:vAlign w:val="center"/>
          </w:tcPr>
          <w:p w14:paraId="0D2F028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0</w:t>
            </w:r>
          </w:p>
        </w:tc>
        <w:tc>
          <w:tcPr>
            <w:tcW w:w="404" w:type="pct"/>
            <w:noWrap w:val="0"/>
            <w:vAlign w:val="center"/>
          </w:tcPr>
          <w:p w14:paraId="03FE92C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31AD191C">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26D2E7A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0.005</w:t>
            </w:r>
          </w:p>
        </w:tc>
        <w:tc>
          <w:tcPr>
            <w:tcW w:w="552" w:type="pct"/>
            <w:noWrap w:val="0"/>
            <w:vAlign w:val="center"/>
          </w:tcPr>
          <w:p w14:paraId="14C20B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79DF1C7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0.005</w:t>
            </w:r>
          </w:p>
        </w:tc>
        <w:tc>
          <w:tcPr>
            <w:tcW w:w="461" w:type="pct"/>
            <w:noWrap w:val="0"/>
            <w:vAlign w:val="center"/>
          </w:tcPr>
          <w:p w14:paraId="0CC9D69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snapToGrid w:val="0"/>
                <w:color w:val="auto"/>
                <w:kern w:val="18"/>
                <w:sz w:val="21"/>
                <w:szCs w:val="21"/>
                <w:highlight w:val="none"/>
                <w:lang w:val="en-US" w:eastAsia="zh-CN" w:bidi="ar-SA"/>
              </w:rPr>
              <w:t>+</w:t>
            </w:r>
            <w:r>
              <w:rPr>
                <w:rFonts w:hint="eastAsia"/>
                <w:snapToGrid w:val="0"/>
                <w:color w:val="auto"/>
                <w:kern w:val="18"/>
                <w:sz w:val="21"/>
                <w:szCs w:val="21"/>
                <w:highlight w:val="none"/>
                <w:lang w:val="en-US" w:eastAsia="zh-CN" w:bidi="ar-SA"/>
              </w:rPr>
              <w:t>0.005</w:t>
            </w:r>
          </w:p>
        </w:tc>
      </w:tr>
      <w:tr w14:paraId="32B5F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vMerge w:val="continue"/>
            <w:noWrap w:val="0"/>
            <w:vAlign w:val="center"/>
          </w:tcPr>
          <w:p w14:paraId="61012FA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3E2EC4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5BFEA4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布袋收集尘</w:t>
            </w:r>
          </w:p>
        </w:tc>
        <w:tc>
          <w:tcPr>
            <w:tcW w:w="565" w:type="pct"/>
            <w:noWrap w:val="0"/>
            <w:vAlign w:val="center"/>
          </w:tcPr>
          <w:p w14:paraId="0B6FB2E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w:t>
            </w:r>
          </w:p>
        </w:tc>
        <w:tc>
          <w:tcPr>
            <w:tcW w:w="404" w:type="pct"/>
            <w:noWrap w:val="0"/>
            <w:vAlign w:val="center"/>
          </w:tcPr>
          <w:p w14:paraId="20F70E07">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10F35FE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15D7222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0.006</w:t>
            </w:r>
          </w:p>
        </w:tc>
        <w:tc>
          <w:tcPr>
            <w:tcW w:w="552" w:type="pct"/>
            <w:noWrap w:val="0"/>
            <w:vAlign w:val="center"/>
          </w:tcPr>
          <w:p w14:paraId="01B13E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4B43BFF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0.006</w:t>
            </w:r>
          </w:p>
        </w:tc>
        <w:tc>
          <w:tcPr>
            <w:tcW w:w="461" w:type="pct"/>
            <w:noWrap w:val="0"/>
            <w:vAlign w:val="center"/>
          </w:tcPr>
          <w:p w14:paraId="5C313AE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snapToGrid w:val="0"/>
                <w:color w:val="auto"/>
                <w:kern w:val="18"/>
                <w:sz w:val="21"/>
                <w:szCs w:val="21"/>
                <w:highlight w:val="none"/>
                <w:lang w:val="en-US" w:eastAsia="zh-CN" w:bidi="ar-SA"/>
              </w:rPr>
            </w:pPr>
            <w:r>
              <w:rPr>
                <w:rFonts w:hint="eastAsia" w:ascii="Times New Roman" w:eastAsia="宋体"/>
                <w:snapToGrid w:val="0"/>
                <w:color w:val="auto"/>
                <w:kern w:val="18"/>
                <w:sz w:val="21"/>
                <w:szCs w:val="21"/>
                <w:highlight w:val="none"/>
                <w:lang w:val="en-US" w:eastAsia="zh-CN" w:bidi="ar-SA"/>
              </w:rPr>
              <w:t>+</w:t>
            </w:r>
            <w:r>
              <w:rPr>
                <w:rFonts w:hint="eastAsia"/>
                <w:snapToGrid w:val="0"/>
                <w:color w:val="auto"/>
                <w:kern w:val="18"/>
                <w:sz w:val="21"/>
                <w:szCs w:val="21"/>
                <w:highlight w:val="none"/>
                <w:lang w:val="en-US" w:eastAsia="zh-CN" w:bidi="ar-SA"/>
              </w:rPr>
              <w:t>0.006</w:t>
            </w:r>
          </w:p>
        </w:tc>
      </w:tr>
      <w:tr w14:paraId="0218D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vMerge w:val="continue"/>
            <w:noWrap w:val="0"/>
            <w:vAlign w:val="center"/>
          </w:tcPr>
          <w:p w14:paraId="21F4A41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096C0A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7C3B1A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废包装材料</w:t>
            </w:r>
          </w:p>
        </w:tc>
        <w:tc>
          <w:tcPr>
            <w:tcW w:w="565" w:type="pct"/>
            <w:noWrap w:val="0"/>
            <w:vAlign w:val="center"/>
          </w:tcPr>
          <w:p w14:paraId="2C34AE7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w:t>
            </w:r>
          </w:p>
        </w:tc>
        <w:tc>
          <w:tcPr>
            <w:tcW w:w="404" w:type="pct"/>
            <w:noWrap w:val="0"/>
            <w:vAlign w:val="center"/>
          </w:tcPr>
          <w:p w14:paraId="513F69F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752C47B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52FF994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7.763</w:t>
            </w:r>
          </w:p>
        </w:tc>
        <w:tc>
          <w:tcPr>
            <w:tcW w:w="552" w:type="pct"/>
            <w:noWrap w:val="0"/>
            <w:vAlign w:val="center"/>
          </w:tcPr>
          <w:p w14:paraId="7E3921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5126F2F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7.763</w:t>
            </w:r>
          </w:p>
        </w:tc>
        <w:tc>
          <w:tcPr>
            <w:tcW w:w="461" w:type="pct"/>
            <w:noWrap w:val="0"/>
            <w:vAlign w:val="center"/>
          </w:tcPr>
          <w:p w14:paraId="524D726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eastAsia="宋体"/>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+7.763</w:t>
            </w:r>
          </w:p>
        </w:tc>
      </w:tr>
      <w:tr w14:paraId="07556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150F17E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restart"/>
            <w:noWrap w:val="0"/>
            <w:vAlign w:val="center"/>
          </w:tcPr>
          <w:p w14:paraId="49008A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危险废物</w:t>
            </w:r>
          </w:p>
        </w:tc>
        <w:tc>
          <w:tcPr>
            <w:tcW w:w="569" w:type="pct"/>
            <w:shd w:val="clear" w:color="auto" w:fill="auto"/>
            <w:noWrap w:val="0"/>
            <w:vAlign w:val="center"/>
          </w:tcPr>
          <w:p w14:paraId="08FA5A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废</w:t>
            </w:r>
            <w:r>
              <w:rPr>
                <w:rFonts w:hint="eastAsia" w:cs="Times New Roman"/>
                <w:snapToGrid w:val="0"/>
                <w:color w:val="auto"/>
                <w:kern w:val="21"/>
                <w:sz w:val="21"/>
                <w:szCs w:val="21"/>
                <w:highlight w:val="none"/>
                <w:lang w:val="en-US" w:eastAsia="zh-CN" w:bidi="ar-SA"/>
              </w:rPr>
              <w:t>润滑</w:t>
            </w:r>
            <w:r>
              <w:rPr>
                <w:rFonts w:hint="eastAsia" w:ascii="Times New Roman" w:hAnsi="Times New Roman" w:eastAsia="宋体" w:cs="Times New Roman"/>
                <w:snapToGrid w:val="0"/>
                <w:color w:val="auto"/>
                <w:kern w:val="21"/>
                <w:sz w:val="21"/>
                <w:szCs w:val="21"/>
                <w:highlight w:val="none"/>
                <w:lang w:val="en-US" w:eastAsia="zh-CN" w:bidi="ar-SA"/>
              </w:rPr>
              <w:t>油</w:t>
            </w:r>
          </w:p>
        </w:tc>
        <w:tc>
          <w:tcPr>
            <w:tcW w:w="565" w:type="pct"/>
            <w:noWrap w:val="0"/>
            <w:vAlign w:val="center"/>
          </w:tcPr>
          <w:p w14:paraId="095637D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kern w:val="0"/>
                <w:sz w:val="21"/>
                <w:szCs w:val="21"/>
                <w:highlight w:val="none"/>
                <w:lang w:val="en-US" w:eastAsia="zh-CN" w:bidi="ar"/>
              </w:rPr>
              <w:t>0</w:t>
            </w:r>
          </w:p>
        </w:tc>
        <w:tc>
          <w:tcPr>
            <w:tcW w:w="404" w:type="pct"/>
            <w:noWrap w:val="0"/>
            <w:vAlign w:val="center"/>
          </w:tcPr>
          <w:p w14:paraId="42A08BD5">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60D25C48">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25AB4E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color w:val="auto"/>
                <w:kern w:val="0"/>
                <w:sz w:val="21"/>
                <w:szCs w:val="21"/>
                <w:highlight w:val="none"/>
                <w:lang w:val="en-US" w:eastAsia="zh-CN" w:bidi="ar"/>
              </w:rPr>
              <w:t>0.2</w:t>
            </w:r>
          </w:p>
        </w:tc>
        <w:tc>
          <w:tcPr>
            <w:tcW w:w="552" w:type="pct"/>
            <w:noWrap w:val="0"/>
            <w:vAlign w:val="center"/>
          </w:tcPr>
          <w:p w14:paraId="682A9C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023D37E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snapToGrid w:val="0"/>
                <w:color w:val="auto"/>
                <w:kern w:val="18"/>
                <w:sz w:val="21"/>
                <w:szCs w:val="21"/>
                <w:highlight w:val="none"/>
                <w:lang w:val="en-US" w:eastAsia="zh-CN" w:bidi="ar-SA"/>
              </w:rPr>
              <w:t>0.</w:t>
            </w:r>
            <w:r>
              <w:rPr>
                <w:rFonts w:hint="eastAsia"/>
                <w:snapToGrid w:val="0"/>
                <w:color w:val="auto"/>
                <w:kern w:val="18"/>
                <w:sz w:val="21"/>
                <w:szCs w:val="21"/>
                <w:highlight w:val="none"/>
                <w:lang w:val="en-US" w:eastAsia="zh-CN" w:bidi="ar-SA"/>
              </w:rPr>
              <w:t>2</w:t>
            </w:r>
          </w:p>
        </w:tc>
        <w:tc>
          <w:tcPr>
            <w:tcW w:w="461" w:type="pct"/>
            <w:noWrap w:val="0"/>
            <w:vAlign w:val="center"/>
          </w:tcPr>
          <w:p w14:paraId="1F44633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eastAsia="宋体"/>
                <w:color w:val="auto"/>
                <w:kern w:val="0"/>
                <w:sz w:val="21"/>
                <w:szCs w:val="21"/>
                <w:highlight w:val="none"/>
                <w:lang w:val="en-US" w:eastAsia="zh-CN" w:bidi="ar"/>
              </w:rPr>
              <w:t>+0.2</w:t>
            </w:r>
          </w:p>
        </w:tc>
      </w:tr>
      <w:tr w14:paraId="34DE5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383D571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21486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76E265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废过滤棉</w:t>
            </w:r>
          </w:p>
        </w:tc>
        <w:tc>
          <w:tcPr>
            <w:tcW w:w="565" w:type="pct"/>
            <w:noWrap w:val="0"/>
            <w:vAlign w:val="center"/>
          </w:tcPr>
          <w:p w14:paraId="059B0BB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highlight w:val="none"/>
                <w:lang w:val="en-US" w:eastAsia="zh-CN" w:bidi="ar"/>
              </w:rPr>
            </w:pPr>
            <w:r>
              <w:rPr>
                <w:rFonts w:hint="eastAsia"/>
                <w:bCs/>
                <w:color w:val="auto"/>
                <w:sz w:val="21"/>
                <w:szCs w:val="21"/>
                <w:highlight w:val="none"/>
                <w:lang w:val="en-US" w:eastAsia="zh-CN"/>
              </w:rPr>
              <w:t>0.1</w:t>
            </w:r>
          </w:p>
        </w:tc>
        <w:tc>
          <w:tcPr>
            <w:tcW w:w="404" w:type="pct"/>
            <w:noWrap w:val="0"/>
            <w:vAlign w:val="center"/>
          </w:tcPr>
          <w:p w14:paraId="1BBAAE7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3500E7E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6ED5B4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color w:val="auto"/>
                <w:kern w:val="0"/>
                <w:sz w:val="21"/>
                <w:szCs w:val="21"/>
                <w:highlight w:val="none"/>
                <w:lang w:val="en-US" w:eastAsia="zh-CN" w:bidi="ar"/>
              </w:rPr>
            </w:pPr>
            <w:r>
              <w:rPr>
                <w:rFonts w:hint="eastAsia"/>
                <w:snapToGrid w:val="0"/>
                <w:color w:val="auto"/>
                <w:kern w:val="18"/>
                <w:sz w:val="21"/>
                <w:szCs w:val="21"/>
                <w:highlight w:val="none"/>
                <w:lang w:val="en-US" w:eastAsia="zh-CN"/>
              </w:rPr>
              <w:t>0</w:t>
            </w:r>
          </w:p>
        </w:tc>
        <w:tc>
          <w:tcPr>
            <w:tcW w:w="552" w:type="pct"/>
            <w:noWrap w:val="0"/>
            <w:vAlign w:val="center"/>
          </w:tcPr>
          <w:p w14:paraId="707A2F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6B5ED0E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snapToGrid w:val="0"/>
                <w:color w:val="auto"/>
                <w:kern w:val="18"/>
                <w:sz w:val="21"/>
                <w:szCs w:val="21"/>
                <w:highlight w:val="none"/>
                <w:lang w:val="en-US" w:eastAsia="zh-CN" w:bidi="ar-SA"/>
              </w:rPr>
            </w:pPr>
            <w:r>
              <w:rPr>
                <w:rFonts w:hint="eastAsia"/>
                <w:snapToGrid w:val="0"/>
                <w:color w:val="auto"/>
                <w:kern w:val="18"/>
                <w:sz w:val="21"/>
                <w:szCs w:val="21"/>
                <w:highlight w:val="none"/>
                <w:lang w:val="en-US" w:eastAsia="zh-CN" w:bidi="ar-SA"/>
              </w:rPr>
              <w:t>0.1</w:t>
            </w:r>
          </w:p>
        </w:tc>
        <w:tc>
          <w:tcPr>
            <w:tcW w:w="461" w:type="pct"/>
            <w:noWrap w:val="0"/>
            <w:vAlign w:val="center"/>
          </w:tcPr>
          <w:p w14:paraId="27F265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color w:val="auto"/>
                <w:kern w:val="0"/>
                <w:sz w:val="21"/>
                <w:szCs w:val="21"/>
                <w:highlight w:val="none"/>
                <w:lang w:val="en-US" w:eastAsia="zh-CN" w:bidi="ar"/>
              </w:rPr>
            </w:pPr>
            <w:r>
              <w:rPr>
                <w:rFonts w:hint="eastAsia"/>
                <w:snapToGrid w:val="0"/>
                <w:color w:val="auto"/>
                <w:kern w:val="18"/>
                <w:sz w:val="21"/>
                <w:szCs w:val="21"/>
                <w:highlight w:val="none"/>
                <w:lang w:val="en-US" w:eastAsia="zh-CN"/>
              </w:rPr>
              <w:t>0</w:t>
            </w:r>
          </w:p>
        </w:tc>
      </w:tr>
      <w:tr w14:paraId="0394B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63B031F0">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1AF0B0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00A801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废活性炭</w:t>
            </w:r>
          </w:p>
        </w:tc>
        <w:tc>
          <w:tcPr>
            <w:tcW w:w="565" w:type="pct"/>
            <w:noWrap w:val="0"/>
            <w:vAlign w:val="center"/>
          </w:tcPr>
          <w:p w14:paraId="36E6E3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0.279</w:t>
            </w:r>
          </w:p>
        </w:tc>
        <w:tc>
          <w:tcPr>
            <w:tcW w:w="404" w:type="pct"/>
            <w:noWrap w:val="0"/>
            <w:vAlign w:val="center"/>
          </w:tcPr>
          <w:p w14:paraId="1EB2C32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7386489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40EC4E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10.82</w:t>
            </w:r>
          </w:p>
        </w:tc>
        <w:tc>
          <w:tcPr>
            <w:tcW w:w="552" w:type="pct"/>
            <w:noWrap w:val="0"/>
            <w:vAlign w:val="center"/>
          </w:tcPr>
          <w:p w14:paraId="372056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181B8D6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18"/>
                <w:sz w:val="21"/>
                <w:szCs w:val="21"/>
                <w:highlight w:val="none"/>
                <w:lang w:val="en-US" w:eastAsia="zh-CN" w:bidi="ar-SA"/>
              </w:rPr>
              <w:t>11.099</w:t>
            </w:r>
          </w:p>
        </w:tc>
        <w:tc>
          <w:tcPr>
            <w:tcW w:w="461" w:type="pct"/>
            <w:noWrap w:val="0"/>
            <w:vAlign w:val="center"/>
          </w:tcPr>
          <w:p w14:paraId="0DCA6B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+10.82</w:t>
            </w:r>
          </w:p>
        </w:tc>
      </w:tr>
      <w:tr w14:paraId="063F9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6F41495F">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483F6E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2E88E8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废液压油</w:t>
            </w:r>
          </w:p>
        </w:tc>
        <w:tc>
          <w:tcPr>
            <w:tcW w:w="565" w:type="pct"/>
            <w:noWrap w:val="0"/>
            <w:vAlign w:val="center"/>
          </w:tcPr>
          <w:p w14:paraId="6DDE79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w:t>
            </w:r>
          </w:p>
        </w:tc>
        <w:tc>
          <w:tcPr>
            <w:tcW w:w="404" w:type="pct"/>
            <w:noWrap w:val="0"/>
            <w:vAlign w:val="center"/>
          </w:tcPr>
          <w:p w14:paraId="29A5225B">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726568C4">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540C0A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c>
          <w:tcPr>
            <w:tcW w:w="552" w:type="pct"/>
            <w:noWrap w:val="0"/>
            <w:vAlign w:val="center"/>
          </w:tcPr>
          <w:p w14:paraId="7A0537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0F4DA0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napToGrid w:val="0"/>
                <w:color w:val="auto"/>
                <w:kern w:val="18"/>
                <w:sz w:val="21"/>
                <w:szCs w:val="21"/>
                <w:highlight w:val="none"/>
                <w:lang w:val="en-US" w:eastAsia="zh-CN" w:bidi="ar-SA"/>
              </w:rPr>
            </w:pPr>
            <w:r>
              <w:rPr>
                <w:rFonts w:hint="eastAsia" w:cs="Times New Roman"/>
                <w:color w:val="auto"/>
                <w:sz w:val="21"/>
                <w:szCs w:val="21"/>
                <w:highlight w:val="none"/>
                <w:lang w:val="en-US" w:eastAsia="zh-CN"/>
              </w:rPr>
              <w:t>0.15</w:t>
            </w:r>
          </w:p>
        </w:tc>
        <w:tc>
          <w:tcPr>
            <w:tcW w:w="461" w:type="pct"/>
            <w:noWrap w:val="0"/>
            <w:vAlign w:val="center"/>
          </w:tcPr>
          <w:p w14:paraId="41A821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r>
      <w:tr w14:paraId="71AD6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7400952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65" w:type="pct"/>
            <w:vMerge w:val="continue"/>
            <w:noWrap w:val="0"/>
            <w:vAlign w:val="center"/>
          </w:tcPr>
          <w:p w14:paraId="6255D0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p>
        </w:tc>
        <w:tc>
          <w:tcPr>
            <w:tcW w:w="569" w:type="pct"/>
            <w:shd w:val="clear" w:color="auto" w:fill="auto"/>
            <w:noWrap w:val="0"/>
            <w:vAlign w:val="center"/>
          </w:tcPr>
          <w:p w14:paraId="55D1A2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废胶桶</w:t>
            </w:r>
          </w:p>
        </w:tc>
        <w:tc>
          <w:tcPr>
            <w:tcW w:w="565" w:type="pct"/>
            <w:noWrap w:val="0"/>
            <w:vAlign w:val="center"/>
          </w:tcPr>
          <w:p w14:paraId="27A4D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w:t>
            </w:r>
          </w:p>
        </w:tc>
        <w:tc>
          <w:tcPr>
            <w:tcW w:w="404" w:type="pct"/>
            <w:noWrap w:val="0"/>
            <w:vAlign w:val="center"/>
          </w:tcPr>
          <w:p w14:paraId="3F936573">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66649B39">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4A4D4C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c>
          <w:tcPr>
            <w:tcW w:w="552" w:type="pct"/>
            <w:noWrap w:val="0"/>
            <w:vAlign w:val="center"/>
          </w:tcPr>
          <w:p w14:paraId="163EAD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0</w:t>
            </w:r>
          </w:p>
        </w:tc>
        <w:tc>
          <w:tcPr>
            <w:tcW w:w="601" w:type="pct"/>
            <w:noWrap w:val="0"/>
            <w:vAlign w:val="center"/>
          </w:tcPr>
          <w:p w14:paraId="0631DA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auto"/>
                <w:kern w:val="18"/>
                <w:sz w:val="21"/>
                <w:szCs w:val="21"/>
                <w:highlight w:val="none"/>
                <w:lang w:val="en-US" w:eastAsia="zh-CN" w:bidi="ar-SA"/>
              </w:rPr>
            </w:pPr>
            <w:r>
              <w:rPr>
                <w:rFonts w:hint="eastAsia" w:cs="Times New Roman"/>
                <w:color w:val="auto"/>
                <w:sz w:val="21"/>
                <w:szCs w:val="21"/>
                <w:highlight w:val="none"/>
                <w:lang w:val="en-US" w:eastAsia="zh-CN"/>
              </w:rPr>
              <w:t>0.012</w:t>
            </w:r>
          </w:p>
        </w:tc>
        <w:tc>
          <w:tcPr>
            <w:tcW w:w="461" w:type="pct"/>
            <w:noWrap w:val="0"/>
            <w:vAlign w:val="center"/>
          </w:tcPr>
          <w:p w14:paraId="64F7A0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r>
      <w:tr w14:paraId="7EF6A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noWrap w:val="0"/>
            <w:vAlign w:val="center"/>
          </w:tcPr>
          <w:p w14:paraId="31A9A376">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835" w:type="pct"/>
            <w:gridSpan w:val="2"/>
            <w:noWrap w:val="0"/>
            <w:vAlign w:val="center"/>
          </w:tcPr>
          <w:p w14:paraId="6A84BB71">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生活垃圾</w:t>
            </w:r>
          </w:p>
        </w:tc>
        <w:tc>
          <w:tcPr>
            <w:tcW w:w="565" w:type="pct"/>
            <w:noWrap w:val="0"/>
            <w:vAlign w:val="center"/>
          </w:tcPr>
          <w:p w14:paraId="7E740E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4.3</w:t>
            </w:r>
          </w:p>
        </w:tc>
        <w:tc>
          <w:tcPr>
            <w:tcW w:w="404" w:type="pct"/>
            <w:noWrap w:val="0"/>
            <w:vAlign w:val="center"/>
          </w:tcPr>
          <w:p w14:paraId="4FA5BB3D">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520" w:type="pct"/>
            <w:noWrap w:val="0"/>
            <w:vAlign w:val="center"/>
          </w:tcPr>
          <w:p w14:paraId="73D6528E">
            <w:pPr>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w:t>
            </w:r>
          </w:p>
        </w:tc>
        <w:tc>
          <w:tcPr>
            <w:tcW w:w="620" w:type="pct"/>
            <w:noWrap w:val="0"/>
            <w:vAlign w:val="center"/>
          </w:tcPr>
          <w:p w14:paraId="450AF8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24</w:t>
            </w:r>
          </w:p>
        </w:tc>
        <w:tc>
          <w:tcPr>
            <w:tcW w:w="552" w:type="pct"/>
            <w:noWrap w:val="0"/>
            <w:vAlign w:val="top"/>
          </w:tcPr>
          <w:p w14:paraId="5632A4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0</w:t>
            </w:r>
          </w:p>
        </w:tc>
        <w:tc>
          <w:tcPr>
            <w:tcW w:w="601" w:type="pct"/>
            <w:noWrap w:val="0"/>
            <w:vAlign w:val="center"/>
          </w:tcPr>
          <w:p w14:paraId="304AC6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pacing w:val="0"/>
                <w:kern w:val="0"/>
                <w:sz w:val="21"/>
                <w:szCs w:val="21"/>
                <w:highlight w:val="none"/>
                <w:lang w:val="en-US" w:eastAsia="zh-CN"/>
              </w:rPr>
              <w:t>28.3</w:t>
            </w:r>
          </w:p>
        </w:tc>
        <w:tc>
          <w:tcPr>
            <w:tcW w:w="461" w:type="pct"/>
            <w:noWrap w:val="0"/>
            <w:vAlign w:val="center"/>
          </w:tcPr>
          <w:p w14:paraId="3625D4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rPr>
              <w:t>+</w:t>
            </w:r>
            <w:r>
              <w:rPr>
                <w:rFonts w:hint="eastAsia" w:cs="Times New Roman"/>
                <w:color w:val="auto"/>
                <w:spacing w:val="0"/>
                <w:kern w:val="0"/>
                <w:sz w:val="21"/>
                <w:szCs w:val="21"/>
                <w:highlight w:val="none"/>
                <w:lang w:val="en-US" w:eastAsia="zh-CN"/>
              </w:rPr>
              <w:t>24</w:t>
            </w:r>
          </w:p>
        </w:tc>
      </w:tr>
      <w:bookmarkEnd w:id="53"/>
      <w:bookmarkEnd w:id="54"/>
    </w:tbl>
    <w:p w14:paraId="2A45A6DA">
      <w:pPr>
        <w:pStyle w:val="79"/>
        <w:spacing w:before="192" w:beforeLines="80" w:after="24"/>
        <w:jc w:val="left"/>
        <w:rPr>
          <w:rFonts w:ascii="Times New Roman"/>
          <w:snapToGrid w:val="0"/>
          <w:color w:val="auto"/>
          <w:spacing w:val="-6"/>
          <w:kern w:val="21"/>
          <w:szCs w:val="21"/>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14:paraId="27F25AA5">
      <w:pPr>
        <w:rPr>
          <w:color w:val="auto"/>
        </w:rPr>
        <w:sectPr>
          <w:footerReference r:id="rId9"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75EEFE57">
      <w:pPr>
        <w:pStyle w:val="15"/>
        <w:outlineLvl w:val="0"/>
        <w:rPr>
          <w:rFonts w:hint="eastAsia" w:eastAsia="黑体"/>
          <w:color w:val="auto"/>
          <w:sz w:val="24"/>
          <w:szCs w:val="24"/>
          <w:lang w:val="en-US" w:eastAsia="zh-CN"/>
        </w:rPr>
      </w:pPr>
      <w:bookmarkStart w:id="55" w:name="_Toc28495"/>
      <w:r>
        <w:rPr>
          <w:rFonts w:hint="eastAsia" w:eastAsia="黑体"/>
          <w:color w:val="auto"/>
          <w:sz w:val="24"/>
          <w:szCs w:val="24"/>
        </w:rPr>
        <w:t>附件</w:t>
      </w:r>
      <w:r>
        <w:rPr>
          <w:rFonts w:hint="eastAsia" w:eastAsia="黑体"/>
          <w:color w:val="auto"/>
          <w:sz w:val="24"/>
          <w:szCs w:val="24"/>
          <w:lang w:val="en-US" w:eastAsia="zh-CN"/>
        </w:rPr>
        <w:t>二十</w:t>
      </w:r>
      <w:r>
        <w:rPr>
          <w:rFonts w:hint="eastAsia" w:eastAsia="黑体"/>
          <w:color w:val="auto"/>
          <w:sz w:val="24"/>
          <w:szCs w:val="24"/>
        </w:rPr>
        <w:t xml:space="preserve">  </w:t>
      </w:r>
      <w:r>
        <w:rPr>
          <w:rFonts w:hint="eastAsia" w:eastAsia="黑体"/>
          <w:color w:val="auto"/>
          <w:sz w:val="24"/>
          <w:szCs w:val="24"/>
          <w:lang w:val="en-US" w:eastAsia="zh-CN"/>
        </w:rPr>
        <w:t>申请环评批复的函</w:t>
      </w:r>
      <w:bookmarkEnd w:id="55"/>
    </w:p>
    <w:p w14:paraId="3DEDCCCB">
      <w:pPr>
        <w:pStyle w:val="15"/>
        <w:outlineLvl w:val="9"/>
        <w:rPr>
          <w:rFonts w:hint="eastAsia" w:eastAsia="黑体"/>
          <w:color w:val="auto"/>
          <w:sz w:val="28"/>
          <w:szCs w:val="28"/>
          <w:lang w:val="en-US" w:eastAsia="zh-CN"/>
        </w:rPr>
      </w:pPr>
      <w:r>
        <w:rPr>
          <w:rFonts w:hint="eastAsia" w:eastAsia="黑体"/>
          <w:color w:val="auto"/>
          <w:sz w:val="28"/>
          <w:szCs w:val="28"/>
          <w:lang w:val="en-US" w:eastAsia="zh-CN"/>
        </w:rPr>
        <w:drawing>
          <wp:inline distT="0" distB="0" distL="114300" distR="114300">
            <wp:extent cx="5759450" cy="8145780"/>
            <wp:effectExtent l="0" t="0" r="12700" b="7620"/>
            <wp:docPr id="17" name="图片 17" descr="SKM_C3682511171129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KM_C36825111711290_10"/>
                    <pic:cNvPicPr>
                      <a:picLocks noChangeAspect="1"/>
                    </pic:cNvPicPr>
                  </pic:nvPicPr>
                  <pic:blipFill>
                    <a:blip r:embed="rId61"/>
                    <a:stretch>
                      <a:fillRect/>
                    </a:stretch>
                  </pic:blipFill>
                  <pic:spPr>
                    <a:xfrm>
                      <a:off x="0" y="0"/>
                      <a:ext cx="5759450" cy="8145780"/>
                    </a:xfrm>
                    <a:prstGeom prst="rect">
                      <a:avLst/>
                    </a:prstGeom>
                  </pic:spPr>
                </pic:pic>
              </a:graphicData>
            </a:graphic>
          </wp:inline>
        </w:drawing>
      </w:r>
    </w:p>
    <w:p w14:paraId="3B01DE99">
      <w:pPr>
        <w:pStyle w:val="15"/>
        <w:outlineLvl w:val="9"/>
        <w:rPr>
          <w:rFonts w:hint="eastAsia" w:eastAsia="黑体"/>
          <w:color w:val="auto"/>
          <w:sz w:val="28"/>
          <w:szCs w:val="28"/>
          <w:lang w:val="en-US" w:eastAsia="zh-CN"/>
        </w:rPr>
      </w:pPr>
    </w:p>
    <w:p w14:paraId="34A50671">
      <w:pPr>
        <w:pStyle w:val="15"/>
        <w:outlineLvl w:val="0"/>
        <w:rPr>
          <w:rFonts w:hint="eastAsia" w:eastAsia="黑体"/>
          <w:color w:val="auto"/>
          <w:sz w:val="24"/>
          <w:szCs w:val="24"/>
          <w:lang w:val="en-US" w:eastAsia="zh-CN"/>
        </w:rPr>
      </w:pPr>
      <w:bookmarkStart w:id="56" w:name="_Toc4655"/>
      <w:r>
        <w:rPr>
          <w:rFonts w:hint="eastAsia" w:eastAsia="黑体"/>
          <w:color w:val="auto"/>
          <w:sz w:val="24"/>
          <w:szCs w:val="24"/>
        </w:rPr>
        <w:t>附件</w:t>
      </w:r>
      <w:r>
        <w:rPr>
          <w:rFonts w:hint="eastAsia" w:eastAsia="黑体"/>
          <w:color w:val="auto"/>
          <w:sz w:val="24"/>
          <w:szCs w:val="24"/>
          <w:lang w:val="en-US" w:eastAsia="zh-CN"/>
        </w:rPr>
        <w:t>二十一</w:t>
      </w:r>
      <w:r>
        <w:rPr>
          <w:rFonts w:hint="eastAsia" w:eastAsia="黑体"/>
          <w:color w:val="auto"/>
          <w:sz w:val="24"/>
          <w:szCs w:val="24"/>
        </w:rPr>
        <w:t xml:space="preserve">  </w:t>
      </w:r>
      <w:r>
        <w:rPr>
          <w:rFonts w:hint="eastAsia" w:eastAsia="黑体"/>
          <w:color w:val="auto"/>
          <w:sz w:val="24"/>
          <w:szCs w:val="24"/>
          <w:lang w:val="en-US" w:eastAsia="zh-CN"/>
        </w:rPr>
        <w:t>关于《福建铠盾材料科技有限公司年加工300万件注塑件、年加工1200万件下卡条、1000万件钣金件环境影响报告表》公开文本删除内容、删除依据的说明</w:t>
      </w:r>
      <w:bookmarkEnd w:id="56"/>
    </w:p>
    <w:p w14:paraId="2239BAE5">
      <w:pPr>
        <w:pStyle w:val="15"/>
        <w:outlineLvl w:val="9"/>
        <w:rPr>
          <w:rFonts w:hint="eastAsia" w:eastAsia="黑体"/>
          <w:color w:val="auto"/>
          <w:sz w:val="28"/>
          <w:szCs w:val="28"/>
          <w:lang w:val="en-US" w:eastAsia="zh-CN"/>
        </w:rPr>
      </w:pPr>
      <w:r>
        <w:rPr>
          <w:rFonts w:hint="eastAsia" w:eastAsia="黑体"/>
          <w:color w:val="auto"/>
          <w:sz w:val="28"/>
          <w:szCs w:val="28"/>
          <w:lang w:val="en-US" w:eastAsia="zh-CN"/>
        </w:rPr>
        <w:drawing>
          <wp:inline distT="0" distB="0" distL="114300" distR="114300">
            <wp:extent cx="5759450" cy="8145780"/>
            <wp:effectExtent l="0" t="0" r="12700" b="7620"/>
            <wp:docPr id="19" name="图片 19" descr="SKM_C3682511171129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KM_C36825111711290_05"/>
                    <pic:cNvPicPr>
                      <a:picLocks noChangeAspect="1"/>
                    </pic:cNvPicPr>
                  </pic:nvPicPr>
                  <pic:blipFill>
                    <a:blip r:embed="rId62"/>
                    <a:stretch>
                      <a:fillRect/>
                    </a:stretch>
                  </pic:blipFill>
                  <pic:spPr>
                    <a:xfrm>
                      <a:off x="0" y="0"/>
                      <a:ext cx="5759450" cy="8145780"/>
                    </a:xfrm>
                    <a:prstGeom prst="rect">
                      <a:avLst/>
                    </a:prstGeom>
                  </pic:spPr>
                </pic:pic>
              </a:graphicData>
            </a:graphic>
          </wp:inline>
        </w:drawing>
      </w:r>
    </w:p>
    <w:p w14:paraId="72BCB940">
      <w:pPr>
        <w:pStyle w:val="15"/>
        <w:outlineLvl w:val="9"/>
        <w:rPr>
          <w:rFonts w:hint="eastAsia" w:eastAsia="黑体"/>
          <w:color w:val="auto"/>
          <w:sz w:val="28"/>
          <w:szCs w:val="28"/>
          <w:lang w:val="en-US" w:eastAsia="zh-CN"/>
        </w:rPr>
      </w:pPr>
      <w:r>
        <w:rPr>
          <w:rFonts w:hint="eastAsia" w:eastAsia="黑体"/>
          <w:color w:val="auto"/>
          <w:sz w:val="28"/>
          <w:szCs w:val="28"/>
          <w:lang w:val="en-US" w:eastAsia="zh-CN"/>
        </w:rPr>
        <w:drawing>
          <wp:inline distT="0" distB="0" distL="114300" distR="114300">
            <wp:extent cx="5759450" cy="8145780"/>
            <wp:effectExtent l="0" t="0" r="12700" b="7620"/>
            <wp:docPr id="20" name="图片 20" descr="SKM_C3682511171129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KM_C36825111711290_06"/>
                    <pic:cNvPicPr>
                      <a:picLocks noChangeAspect="1"/>
                    </pic:cNvPicPr>
                  </pic:nvPicPr>
                  <pic:blipFill>
                    <a:blip r:embed="rId63"/>
                    <a:stretch>
                      <a:fillRect/>
                    </a:stretch>
                  </pic:blipFill>
                  <pic:spPr>
                    <a:xfrm>
                      <a:off x="0" y="0"/>
                      <a:ext cx="5759450" cy="8145780"/>
                    </a:xfrm>
                    <a:prstGeom prst="rect">
                      <a:avLst/>
                    </a:prstGeom>
                  </pic:spPr>
                </pic:pic>
              </a:graphicData>
            </a:graphic>
          </wp:inline>
        </w:drawing>
      </w:r>
    </w:p>
    <w:p w14:paraId="7E7CE795">
      <w:pPr>
        <w:pStyle w:val="15"/>
        <w:outlineLvl w:val="9"/>
        <w:rPr>
          <w:rFonts w:hint="eastAsia" w:eastAsia="黑体"/>
          <w:color w:val="auto"/>
          <w:sz w:val="28"/>
          <w:szCs w:val="28"/>
          <w:lang w:val="en-US" w:eastAsia="zh-CN"/>
        </w:rPr>
      </w:pPr>
    </w:p>
    <w:p w14:paraId="710A1CE2">
      <w:pPr>
        <w:pStyle w:val="15"/>
        <w:outlineLvl w:val="9"/>
        <w:rPr>
          <w:rFonts w:hint="eastAsia" w:eastAsia="黑体"/>
          <w:color w:val="auto"/>
          <w:sz w:val="28"/>
          <w:szCs w:val="28"/>
          <w:lang w:val="en-US" w:eastAsia="zh-CN"/>
        </w:rPr>
      </w:pPr>
    </w:p>
    <w:sectPr>
      <w:headerReference r:id="rId10" w:type="default"/>
      <w:footerReference r:id="rId11" w:type="default"/>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2000000000000000000"/>
    <w:charset w:val="86"/>
    <w:family w:val="script"/>
    <w:pitch w:val="default"/>
    <w:sig w:usb0="00000000" w:usb1="00000000" w:usb2="00000000" w:usb3="00000000" w:csb0="00040000" w:csb1="00000000"/>
  </w:font>
  <w:font w:name="serif">
    <w:altName w:val="微软雅黑"/>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376D6">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FDC4">
    <w:pPr>
      <w:pStyle w:val="22"/>
      <w:framePr w:wrap="around" w:vAnchor="text" w:hAnchor="margin" w:xAlign="center" w:y="1"/>
      <w:rPr>
        <w:rStyle w:val="39"/>
      </w:rPr>
    </w:pPr>
    <w:r>
      <w:fldChar w:fldCharType="begin"/>
    </w:r>
    <w:r>
      <w:rPr>
        <w:rStyle w:val="39"/>
      </w:rPr>
      <w:instrText xml:space="preserve">PAGE  </w:instrText>
    </w:r>
    <w:r>
      <w:fldChar w:fldCharType="end"/>
    </w:r>
  </w:p>
  <w:p w14:paraId="6F52699A">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8BF0A">
    <w:pPr>
      <w:pStyle w:val="2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9EB6D">
    <w:pPr>
      <w:pStyle w:val="22"/>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6065" cy="203835"/>
              <wp:effectExtent l="0" t="0" r="0" b="0"/>
              <wp:wrapNone/>
              <wp:docPr id="29"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542CF801">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61312;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gn1qtQAAAADAQAADwAAAAAAAAABACAAAAAiAAAAZHJzL2Rvd25yZXYu&#10;eG1sUEsBAhQAFAAAAAgAh07iQFrZMcfGAQAAgwMAAA4AAAAAAAAAAQAgAAAAIwEAAGRycy9lMm9E&#10;b2MueG1sUEsFBgAAAAAGAAYAWQEAAFsFAAAAAA==&#10;">
              <v:fill on="f" focussize="0,0"/>
              <v:stroke on="f"/>
              <v:imagedata o:title=""/>
              <o:lock v:ext="edit" aspectratio="f"/>
              <v:textbox inset="0mm,0mm,0mm,0mm">
                <w:txbxContent>
                  <w:p w14:paraId="542CF801">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DD24F">
    <w:pPr>
      <w:pStyle w:val="22"/>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66065" cy="203835"/>
              <wp:effectExtent l="0" t="0" r="0" b="0"/>
              <wp:wrapNone/>
              <wp:docPr id="156"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6F6C828D">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59264;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CfWq1AAAAAMBAAAPAAAAAAAAAAEAIAAAACIAAABkcnMvZG93bnJldi54&#10;bWxQSwECFAAUAAAACACHTuJA20YpT8UBAACEAwAADgAAAAAAAAABACAAAAAjAQAAZHJzL2Uyb0Rv&#10;Yy54bWxQSwUGAAAAAAYABgBZAQAAWgUAAAAA&#10;">
              <v:fill on="f" focussize="0,0"/>
              <v:stroke on="f"/>
              <v:imagedata o:title=""/>
              <o:lock v:ext="edit" aspectratio="f"/>
              <v:textbox inset="0mm,0mm,0mm,0mm">
                <w:txbxContent>
                  <w:p w14:paraId="6F6C828D">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38C77">
    <w:pPr>
      <w:pStyle w:val="22"/>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66065" cy="203835"/>
              <wp:effectExtent l="0" t="0" r="0" b="0"/>
              <wp:wrapNone/>
              <wp:docPr id="157" name="文本框 2060"/>
              <wp:cNvGraphicFramePr/>
              <a:graphic xmlns:a="http://schemas.openxmlformats.org/drawingml/2006/main">
                <a:graphicData uri="http://schemas.microsoft.com/office/word/2010/wordprocessingShape">
                  <wps:wsp>
                    <wps:cNvSpPr txBox="1"/>
                    <wps:spPr>
                      <a:xfrm>
                        <a:off x="0" y="0"/>
                        <a:ext cx="266065" cy="203835"/>
                      </a:xfrm>
                      <a:prstGeom prst="rect">
                        <a:avLst/>
                      </a:prstGeom>
                      <a:noFill/>
                      <a:ln>
                        <a:noFill/>
                      </a:ln>
                    </wps:spPr>
                    <wps:txbx>
                      <w:txbxContent>
                        <w:p w14:paraId="143D2E43">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wps:txbx>
                    <wps:bodyPr wrap="square" lIns="0" tIns="0" rIns="0" bIns="0" upright="0"/>
                  </wps:wsp>
                </a:graphicData>
              </a:graphic>
            </wp:anchor>
          </w:drawing>
        </mc:Choice>
        <mc:Fallback>
          <w:pict>
            <v:shape id="文本框 2060" o:spid="_x0000_s1026" o:spt="202" type="#_x0000_t202" style="position:absolute;left:0pt;margin-top:0pt;height:16.05pt;width:20.95pt;mso-position-horizontal:center;mso-position-horizontal-relative:margin;z-index:251660288;mso-width-relative:page;mso-height-relative:page;" filled="f" stroked="f" coordsize="21600,21600" o:gfxdata="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gn1qtQAAAADAQAADwAAAAAAAAABACAAAAAiAAAAZHJzL2Rvd25yZXYu&#10;eG1sUEsBAhQAFAAAAAgAh07iQNQPYcnGAQAAhAMAAA4AAAAAAAAAAQAgAAAAIwEAAGRycy9lMm9E&#10;b2MueG1sUEsFBgAAAAAGAAYAWQEAAFsFAAAAAA==&#10;">
              <v:fill on="f" focussize="0,0"/>
              <v:stroke on="f"/>
              <v:imagedata o:title=""/>
              <o:lock v:ext="edit" aspectratio="f"/>
              <v:textbox inset="0mm,0mm,0mm,0mm">
                <w:txbxContent>
                  <w:p w14:paraId="143D2E43">
                    <w:pPr>
                      <w:pStyle w:val="22"/>
                      <w:rPr>
                        <w:rFonts w:hint="eastAsia"/>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38</w:t>
                    </w:r>
                    <w:r>
                      <w:rPr>
                        <w:rFonts w:hint="eastAsia"/>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5A2D1">
    <w:pPr>
      <w:pStyle w:val="22"/>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84214">
    <w:pPr>
      <w:pStyle w:val="2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2C873">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98ADA"/>
    <w:multiLevelType w:val="singleLevel"/>
    <w:tmpl w:val="8B298ADA"/>
    <w:lvl w:ilvl="0" w:tentative="0">
      <w:start w:val="4"/>
      <w:numFmt w:val="chineseCounting"/>
      <w:suff w:val="nothing"/>
      <w:lvlText w:val="%1、"/>
      <w:lvlJc w:val="left"/>
      <w:rPr>
        <w:rFonts w:hint="eastAsia"/>
      </w:rPr>
    </w:lvl>
  </w:abstractNum>
  <w:abstractNum w:abstractNumId="1">
    <w:nsid w:val="142C2230"/>
    <w:multiLevelType w:val="singleLevel"/>
    <w:tmpl w:val="142C2230"/>
    <w:lvl w:ilvl="0" w:tentative="0">
      <w:start w:val="3"/>
      <w:numFmt w:val="decimal"/>
      <w:suff w:val="nothing"/>
      <w:lvlText w:val="（%1）"/>
      <w:lvlJc w:val="left"/>
    </w:lvl>
  </w:abstractNum>
  <w:abstractNum w:abstractNumId="2">
    <w:nsid w:val="14AC69CA"/>
    <w:multiLevelType w:val="singleLevel"/>
    <w:tmpl w:val="14AC69CA"/>
    <w:lvl w:ilvl="0" w:tentative="0">
      <w:start w:val="1"/>
      <w:numFmt w:val="chineseCounting"/>
      <w:suff w:val="nothing"/>
      <w:lvlText w:val="%1、"/>
      <w:lvlJc w:val="left"/>
      <w:rPr>
        <w:rFonts w:hint="eastAsia"/>
      </w:rPr>
    </w:lvl>
  </w:abstractNum>
  <w:abstractNum w:abstractNumId="3">
    <w:nsid w:val="1CCCB413"/>
    <w:multiLevelType w:val="singleLevel"/>
    <w:tmpl w:val="1CCCB413"/>
    <w:lvl w:ilvl="0" w:tentative="0">
      <w:start w:val="1"/>
      <w:numFmt w:val="decimal"/>
      <w:suff w:val="nothing"/>
      <w:lvlText w:val="（%1）"/>
      <w:lvlJc w:val="left"/>
    </w:lvl>
  </w:abstractNum>
  <w:abstractNum w:abstractNumId="4">
    <w:nsid w:val="2DFEFFDB"/>
    <w:multiLevelType w:val="singleLevel"/>
    <w:tmpl w:val="2DFEFFDB"/>
    <w:lvl w:ilvl="0" w:tentative="0">
      <w:start w:val="1"/>
      <w:numFmt w:val="decimal"/>
      <w:lvlText w:val="(%1)"/>
      <w:lvlJc w:val="left"/>
      <w:pPr>
        <w:tabs>
          <w:tab w:val="left" w:pos="312"/>
        </w:tabs>
      </w:pPr>
    </w:lvl>
  </w:abstractNum>
  <w:abstractNum w:abstractNumId="5">
    <w:nsid w:val="320F13A2"/>
    <w:multiLevelType w:val="multilevel"/>
    <w:tmpl w:val="320F13A2"/>
    <w:lvl w:ilvl="0" w:tentative="0">
      <w:start w:val="1"/>
      <w:numFmt w:val="decimal"/>
      <w:pStyle w:val="130"/>
      <w:lvlText w:val="(%1)"/>
      <w:lvlJc w:val="left"/>
      <w:pPr>
        <w:ind w:left="114" w:firstLine="426"/>
      </w:pPr>
      <w:rPr>
        <w:rFonts w:hint="eastAsia"/>
        <w:color w:val="000000"/>
      </w:rPr>
    </w:lvl>
    <w:lvl w:ilvl="1" w:tentative="0">
      <w:start w:val="1"/>
      <w:numFmt w:val="lowerLetter"/>
      <w:lvlText w:val="%2)"/>
      <w:lvlJc w:val="left"/>
      <w:pPr>
        <w:ind w:left="1402" w:hanging="420"/>
      </w:pPr>
      <w:rPr>
        <w:rFonts w:hint="eastAsia"/>
      </w:rPr>
    </w:lvl>
    <w:lvl w:ilvl="2" w:tentative="0">
      <w:start w:val="1"/>
      <w:numFmt w:val="lowerRoman"/>
      <w:lvlText w:val="%3."/>
      <w:lvlJc w:val="right"/>
      <w:pPr>
        <w:ind w:left="1822" w:hanging="420"/>
      </w:pPr>
      <w:rPr>
        <w:rFonts w:hint="eastAsia"/>
      </w:rPr>
    </w:lvl>
    <w:lvl w:ilvl="3" w:tentative="0">
      <w:start w:val="1"/>
      <w:numFmt w:val="decimal"/>
      <w:lvlText w:val="%4."/>
      <w:lvlJc w:val="left"/>
      <w:pPr>
        <w:ind w:left="2242" w:hanging="420"/>
      </w:pPr>
      <w:rPr>
        <w:rFonts w:hint="eastAsia"/>
      </w:rPr>
    </w:lvl>
    <w:lvl w:ilvl="4" w:tentative="0">
      <w:start w:val="1"/>
      <w:numFmt w:val="lowerLetter"/>
      <w:lvlText w:val="%5)"/>
      <w:lvlJc w:val="left"/>
      <w:pPr>
        <w:ind w:left="2662" w:hanging="420"/>
      </w:pPr>
      <w:rPr>
        <w:rFonts w:hint="eastAsia"/>
      </w:rPr>
    </w:lvl>
    <w:lvl w:ilvl="5" w:tentative="0">
      <w:start w:val="1"/>
      <w:numFmt w:val="lowerRoman"/>
      <w:lvlText w:val="%6."/>
      <w:lvlJc w:val="right"/>
      <w:pPr>
        <w:ind w:left="3082" w:hanging="420"/>
      </w:pPr>
      <w:rPr>
        <w:rFonts w:hint="eastAsia"/>
      </w:rPr>
    </w:lvl>
    <w:lvl w:ilvl="6" w:tentative="0">
      <w:start w:val="1"/>
      <w:numFmt w:val="decimal"/>
      <w:lvlText w:val="%7."/>
      <w:lvlJc w:val="left"/>
      <w:pPr>
        <w:ind w:left="3502" w:hanging="420"/>
      </w:pPr>
      <w:rPr>
        <w:rFonts w:hint="eastAsia"/>
      </w:rPr>
    </w:lvl>
    <w:lvl w:ilvl="7" w:tentative="0">
      <w:start w:val="1"/>
      <w:numFmt w:val="lowerLetter"/>
      <w:lvlText w:val="%8)"/>
      <w:lvlJc w:val="left"/>
      <w:pPr>
        <w:ind w:left="3922" w:hanging="420"/>
      </w:pPr>
      <w:rPr>
        <w:rFonts w:hint="eastAsia"/>
      </w:rPr>
    </w:lvl>
    <w:lvl w:ilvl="8" w:tentative="0">
      <w:start w:val="1"/>
      <w:numFmt w:val="lowerRoman"/>
      <w:lvlText w:val="%9."/>
      <w:lvlJc w:val="right"/>
      <w:pPr>
        <w:ind w:left="4342" w:hanging="420"/>
      </w:pPr>
      <w:rPr>
        <w:rFonts w:hint="eastAsia"/>
      </w:rPr>
    </w:lvl>
  </w:abstractNum>
  <w:abstractNum w:abstractNumId="6">
    <w:nsid w:val="56AF4760"/>
    <w:multiLevelType w:val="multilevel"/>
    <w:tmpl w:val="56AF4760"/>
    <w:lvl w:ilvl="0" w:tentative="0">
      <w:start w:val="1"/>
      <w:numFmt w:val="chineseCountingThousand"/>
      <w:suff w:val="nothing"/>
      <w:lvlText w:val="%1、"/>
      <w:lvlJc w:val="left"/>
      <w:pPr>
        <w:ind w:left="993" w:firstLine="0"/>
      </w:pPr>
      <w:rPr>
        <w:rFonts w:hint="eastAsia"/>
      </w:rPr>
    </w:lvl>
    <w:lvl w:ilvl="1" w:tentative="0">
      <w:start w:val="1"/>
      <w:numFmt w:val="decimal"/>
      <w:pStyle w:val="3"/>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6833FA05"/>
    <w:multiLevelType w:val="singleLevel"/>
    <w:tmpl w:val="6833FA05"/>
    <w:lvl w:ilvl="0" w:tentative="0">
      <w:start w:val="1"/>
      <w:numFmt w:val="decimal"/>
      <w:suff w:val="nothing"/>
      <w:lvlText w:val="%1、"/>
      <w:lvlJc w:val="left"/>
      <w:rPr>
        <w:rFonts w:hint="default"/>
        <w:color w:val="auto"/>
      </w:rPr>
    </w:lvl>
  </w:abstractNum>
  <w:abstractNum w:abstractNumId="8">
    <w:nsid w:val="6B873479"/>
    <w:multiLevelType w:val="singleLevel"/>
    <w:tmpl w:val="6B873479"/>
    <w:lvl w:ilvl="0" w:tentative="0">
      <w:start w:val="3"/>
      <w:numFmt w:val="decimal"/>
      <w:suff w:val="nothing"/>
      <w:lvlText w:val="%1、"/>
      <w:lvlJc w:val="left"/>
    </w:lvl>
  </w:abstractNum>
  <w:abstractNum w:abstractNumId="9">
    <w:nsid w:val="7F0C3E49"/>
    <w:multiLevelType w:val="multilevel"/>
    <w:tmpl w:val="7F0C3E49"/>
    <w:lvl w:ilvl="0" w:tentative="0">
      <w:start w:val="1"/>
      <w:numFmt w:val="decimal"/>
      <w:pStyle w:val="96"/>
      <w:lvlText w:val="表%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9"/>
  </w:num>
  <w:num w:numId="3">
    <w:abstractNumId w:val="5"/>
  </w:num>
  <w:num w:numId="4">
    <w:abstractNumId w:val="7"/>
  </w:num>
  <w:num w:numId="5">
    <w:abstractNumId w:val="2"/>
  </w:num>
  <w:num w:numId="6">
    <w:abstractNumId w:val="3"/>
  </w:num>
  <w:num w:numId="7">
    <w:abstractNumId w:val="1"/>
  </w:num>
  <w:num w:numId="8">
    <w:abstractNumId w:val="0"/>
  </w:num>
  <w:num w:numId="9">
    <w:abstractNumId w:val="4"/>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 qiang">
    <w15:presenceInfo w15:providerId="None" w15:userId="fu qiang"/>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2MzE2OGU5M2EzYmRlMjRjMTVmZjcyZGNjNmY1OG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04EE"/>
    <w:rsid w:val="0017504D"/>
    <w:rsid w:val="0017671A"/>
    <w:rsid w:val="00177422"/>
    <w:rsid w:val="00184590"/>
    <w:rsid w:val="001870D1"/>
    <w:rsid w:val="0018781E"/>
    <w:rsid w:val="0019262D"/>
    <w:rsid w:val="001A1B35"/>
    <w:rsid w:val="001A48A2"/>
    <w:rsid w:val="001A6F61"/>
    <w:rsid w:val="001B72B8"/>
    <w:rsid w:val="001C69B3"/>
    <w:rsid w:val="001D4045"/>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2F2B72"/>
    <w:rsid w:val="00301978"/>
    <w:rsid w:val="0030332C"/>
    <w:rsid w:val="003051C2"/>
    <w:rsid w:val="00312296"/>
    <w:rsid w:val="00314F0E"/>
    <w:rsid w:val="00321D8E"/>
    <w:rsid w:val="00325928"/>
    <w:rsid w:val="00332863"/>
    <w:rsid w:val="0033684D"/>
    <w:rsid w:val="00337B42"/>
    <w:rsid w:val="00341B42"/>
    <w:rsid w:val="0034348F"/>
    <w:rsid w:val="003550AC"/>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569E2"/>
    <w:rsid w:val="00466321"/>
    <w:rsid w:val="00484B9B"/>
    <w:rsid w:val="004855F6"/>
    <w:rsid w:val="0048661E"/>
    <w:rsid w:val="00494670"/>
    <w:rsid w:val="004A3823"/>
    <w:rsid w:val="004D5652"/>
    <w:rsid w:val="004E5645"/>
    <w:rsid w:val="004E6946"/>
    <w:rsid w:val="004F1AD8"/>
    <w:rsid w:val="005039CB"/>
    <w:rsid w:val="0050558F"/>
    <w:rsid w:val="00506286"/>
    <w:rsid w:val="00510813"/>
    <w:rsid w:val="00511990"/>
    <w:rsid w:val="00511DE0"/>
    <w:rsid w:val="00514870"/>
    <w:rsid w:val="00514B9B"/>
    <w:rsid w:val="00517F02"/>
    <w:rsid w:val="00524303"/>
    <w:rsid w:val="005258A2"/>
    <w:rsid w:val="0053448E"/>
    <w:rsid w:val="005401AE"/>
    <w:rsid w:val="00542E07"/>
    <w:rsid w:val="00545424"/>
    <w:rsid w:val="00554A7B"/>
    <w:rsid w:val="0055572C"/>
    <w:rsid w:val="0056106A"/>
    <w:rsid w:val="0056581F"/>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563A"/>
    <w:rsid w:val="006A72BF"/>
    <w:rsid w:val="006B03F2"/>
    <w:rsid w:val="006B37DC"/>
    <w:rsid w:val="006B4F68"/>
    <w:rsid w:val="006C0592"/>
    <w:rsid w:val="006C272E"/>
    <w:rsid w:val="006C5479"/>
    <w:rsid w:val="006D13B5"/>
    <w:rsid w:val="006E12FF"/>
    <w:rsid w:val="006E607E"/>
    <w:rsid w:val="007068E2"/>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E4ED2"/>
    <w:rsid w:val="00801393"/>
    <w:rsid w:val="00802F88"/>
    <w:rsid w:val="0081293E"/>
    <w:rsid w:val="00815465"/>
    <w:rsid w:val="00817E9A"/>
    <w:rsid w:val="008306BD"/>
    <w:rsid w:val="00831A80"/>
    <w:rsid w:val="00833743"/>
    <w:rsid w:val="008340A4"/>
    <w:rsid w:val="00862369"/>
    <w:rsid w:val="0087135F"/>
    <w:rsid w:val="00872D94"/>
    <w:rsid w:val="00880364"/>
    <w:rsid w:val="00891592"/>
    <w:rsid w:val="00891E9E"/>
    <w:rsid w:val="008A2F68"/>
    <w:rsid w:val="008B4FA6"/>
    <w:rsid w:val="008B5282"/>
    <w:rsid w:val="008B7C17"/>
    <w:rsid w:val="008C2D01"/>
    <w:rsid w:val="008C40E6"/>
    <w:rsid w:val="008D0F7A"/>
    <w:rsid w:val="008D5046"/>
    <w:rsid w:val="008D68E4"/>
    <w:rsid w:val="008E0506"/>
    <w:rsid w:val="008E0CFF"/>
    <w:rsid w:val="008E5D6B"/>
    <w:rsid w:val="008E76F0"/>
    <w:rsid w:val="008F15FE"/>
    <w:rsid w:val="008F2D29"/>
    <w:rsid w:val="008F5187"/>
    <w:rsid w:val="008F60D8"/>
    <w:rsid w:val="00902727"/>
    <w:rsid w:val="0090312B"/>
    <w:rsid w:val="009161E0"/>
    <w:rsid w:val="0091736D"/>
    <w:rsid w:val="0093037A"/>
    <w:rsid w:val="00932800"/>
    <w:rsid w:val="0094154D"/>
    <w:rsid w:val="0095155F"/>
    <w:rsid w:val="00954429"/>
    <w:rsid w:val="009563CE"/>
    <w:rsid w:val="00976328"/>
    <w:rsid w:val="0097680D"/>
    <w:rsid w:val="00982438"/>
    <w:rsid w:val="0098404C"/>
    <w:rsid w:val="00985283"/>
    <w:rsid w:val="00991FE3"/>
    <w:rsid w:val="00995992"/>
    <w:rsid w:val="00996219"/>
    <w:rsid w:val="009A03E5"/>
    <w:rsid w:val="009A0F3B"/>
    <w:rsid w:val="009A1BB4"/>
    <w:rsid w:val="009A2628"/>
    <w:rsid w:val="009A3200"/>
    <w:rsid w:val="009B0897"/>
    <w:rsid w:val="009B7BD9"/>
    <w:rsid w:val="009C7DD5"/>
    <w:rsid w:val="009E227D"/>
    <w:rsid w:val="009E5019"/>
    <w:rsid w:val="00A04F1B"/>
    <w:rsid w:val="00A0501B"/>
    <w:rsid w:val="00A14947"/>
    <w:rsid w:val="00A27694"/>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E52CB"/>
    <w:rsid w:val="00BF1C20"/>
    <w:rsid w:val="00C10578"/>
    <w:rsid w:val="00C135BC"/>
    <w:rsid w:val="00C15C95"/>
    <w:rsid w:val="00C2596A"/>
    <w:rsid w:val="00C27537"/>
    <w:rsid w:val="00C328FE"/>
    <w:rsid w:val="00C33507"/>
    <w:rsid w:val="00C4409D"/>
    <w:rsid w:val="00C44E72"/>
    <w:rsid w:val="00C45A06"/>
    <w:rsid w:val="00C47E5B"/>
    <w:rsid w:val="00C55043"/>
    <w:rsid w:val="00C61E4B"/>
    <w:rsid w:val="00C64BFF"/>
    <w:rsid w:val="00C704E9"/>
    <w:rsid w:val="00C763C9"/>
    <w:rsid w:val="00C771AE"/>
    <w:rsid w:val="00C80057"/>
    <w:rsid w:val="00C82232"/>
    <w:rsid w:val="00C82913"/>
    <w:rsid w:val="00C91EC0"/>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6FF"/>
    <w:rsid w:val="00D94A7C"/>
    <w:rsid w:val="00D95896"/>
    <w:rsid w:val="00DB2983"/>
    <w:rsid w:val="00DC1257"/>
    <w:rsid w:val="00DC3DC0"/>
    <w:rsid w:val="00DC5B2B"/>
    <w:rsid w:val="00DD318D"/>
    <w:rsid w:val="00DE759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3E16"/>
    <w:rsid w:val="00F465A7"/>
    <w:rsid w:val="00F50B7C"/>
    <w:rsid w:val="00F550E6"/>
    <w:rsid w:val="00F74345"/>
    <w:rsid w:val="00F80A0A"/>
    <w:rsid w:val="00F82B19"/>
    <w:rsid w:val="00F9212D"/>
    <w:rsid w:val="00F965DA"/>
    <w:rsid w:val="00FA406A"/>
    <w:rsid w:val="00FB503A"/>
    <w:rsid w:val="00FB516C"/>
    <w:rsid w:val="00FC5B3D"/>
    <w:rsid w:val="00FD0236"/>
    <w:rsid w:val="00FD18F4"/>
    <w:rsid w:val="00FD54DB"/>
    <w:rsid w:val="00FD619F"/>
    <w:rsid w:val="01170C55"/>
    <w:rsid w:val="01290F7E"/>
    <w:rsid w:val="013A37E6"/>
    <w:rsid w:val="013C58A6"/>
    <w:rsid w:val="015D1E09"/>
    <w:rsid w:val="0165432D"/>
    <w:rsid w:val="01841DDA"/>
    <w:rsid w:val="018650DF"/>
    <w:rsid w:val="01887A62"/>
    <w:rsid w:val="019D5324"/>
    <w:rsid w:val="01BA01C4"/>
    <w:rsid w:val="01C54B55"/>
    <w:rsid w:val="01CC6F4B"/>
    <w:rsid w:val="023F6BDA"/>
    <w:rsid w:val="025D54D3"/>
    <w:rsid w:val="02697903"/>
    <w:rsid w:val="027C74A2"/>
    <w:rsid w:val="02A604E3"/>
    <w:rsid w:val="02B072E7"/>
    <w:rsid w:val="02BC3862"/>
    <w:rsid w:val="02F96569"/>
    <w:rsid w:val="03002717"/>
    <w:rsid w:val="03464898"/>
    <w:rsid w:val="03AB3A38"/>
    <w:rsid w:val="03BC1F9E"/>
    <w:rsid w:val="03C75CDA"/>
    <w:rsid w:val="03EA7B21"/>
    <w:rsid w:val="03F37758"/>
    <w:rsid w:val="03FE4E53"/>
    <w:rsid w:val="03FF7707"/>
    <w:rsid w:val="041110E3"/>
    <w:rsid w:val="042B46B1"/>
    <w:rsid w:val="04334813"/>
    <w:rsid w:val="04360D09"/>
    <w:rsid w:val="045829D4"/>
    <w:rsid w:val="045F57A0"/>
    <w:rsid w:val="04756C2A"/>
    <w:rsid w:val="047A085A"/>
    <w:rsid w:val="04B64606"/>
    <w:rsid w:val="05096A6E"/>
    <w:rsid w:val="05147822"/>
    <w:rsid w:val="052D17AD"/>
    <w:rsid w:val="054F6046"/>
    <w:rsid w:val="05706B86"/>
    <w:rsid w:val="05746676"/>
    <w:rsid w:val="058A5E9A"/>
    <w:rsid w:val="05902F32"/>
    <w:rsid w:val="0599021F"/>
    <w:rsid w:val="05DF6C92"/>
    <w:rsid w:val="05F83EAE"/>
    <w:rsid w:val="061834A6"/>
    <w:rsid w:val="063E7D85"/>
    <w:rsid w:val="06473D8B"/>
    <w:rsid w:val="065B1F66"/>
    <w:rsid w:val="065E368E"/>
    <w:rsid w:val="06A42F8B"/>
    <w:rsid w:val="06A817A6"/>
    <w:rsid w:val="06B862EB"/>
    <w:rsid w:val="06CB49BC"/>
    <w:rsid w:val="06EE3FCC"/>
    <w:rsid w:val="07043A2A"/>
    <w:rsid w:val="0708351A"/>
    <w:rsid w:val="071C5217"/>
    <w:rsid w:val="07293586"/>
    <w:rsid w:val="07295285"/>
    <w:rsid w:val="07343CDF"/>
    <w:rsid w:val="07385325"/>
    <w:rsid w:val="073F4A62"/>
    <w:rsid w:val="074331C0"/>
    <w:rsid w:val="0745230D"/>
    <w:rsid w:val="07636392"/>
    <w:rsid w:val="07770C56"/>
    <w:rsid w:val="077E71A1"/>
    <w:rsid w:val="07832BA1"/>
    <w:rsid w:val="0785211B"/>
    <w:rsid w:val="07A1354D"/>
    <w:rsid w:val="07A5638E"/>
    <w:rsid w:val="07B02B10"/>
    <w:rsid w:val="07B22AB1"/>
    <w:rsid w:val="07B55C8E"/>
    <w:rsid w:val="07C20C09"/>
    <w:rsid w:val="07C82CA9"/>
    <w:rsid w:val="07CC314F"/>
    <w:rsid w:val="07CD21D1"/>
    <w:rsid w:val="07D71DC7"/>
    <w:rsid w:val="07D87480"/>
    <w:rsid w:val="07F41E72"/>
    <w:rsid w:val="07FD15A8"/>
    <w:rsid w:val="081952B3"/>
    <w:rsid w:val="08246078"/>
    <w:rsid w:val="0825634E"/>
    <w:rsid w:val="08332422"/>
    <w:rsid w:val="08646A6A"/>
    <w:rsid w:val="086F1377"/>
    <w:rsid w:val="08873237"/>
    <w:rsid w:val="089206F8"/>
    <w:rsid w:val="08964B56"/>
    <w:rsid w:val="089D3278"/>
    <w:rsid w:val="089E160F"/>
    <w:rsid w:val="08BA1462"/>
    <w:rsid w:val="08BB7177"/>
    <w:rsid w:val="08E80D86"/>
    <w:rsid w:val="08EB30F3"/>
    <w:rsid w:val="08F33D56"/>
    <w:rsid w:val="092217DD"/>
    <w:rsid w:val="093410DD"/>
    <w:rsid w:val="093A7294"/>
    <w:rsid w:val="093F16FC"/>
    <w:rsid w:val="09442091"/>
    <w:rsid w:val="0972387A"/>
    <w:rsid w:val="09734E97"/>
    <w:rsid w:val="099224C2"/>
    <w:rsid w:val="09AA0A34"/>
    <w:rsid w:val="09F16E22"/>
    <w:rsid w:val="0A263993"/>
    <w:rsid w:val="0A2D3AC2"/>
    <w:rsid w:val="0A3466AD"/>
    <w:rsid w:val="0A3D2CD6"/>
    <w:rsid w:val="0A8C7FBE"/>
    <w:rsid w:val="0A920418"/>
    <w:rsid w:val="0AA45449"/>
    <w:rsid w:val="0AA755DF"/>
    <w:rsid w:val="0ABB2275"/>
    <w:rsid w:val="0AEB027A"/>
    <w:rsid w:val="0AF1188D"/>
    <w:rsid w:val="0B082A62"/>
    <w:rsid w:val="0B0C10FF"/>
    <w:rsid w:val="0B0E30C9"/>
    <w:rsid w:val="0B120D44"/>
    <w:rsid w:val="0B124DCC"/>
    <w:rsid w:val="0B162560"/>
    <w:rsid w:val="0B456EC7"/>
    <w:rsid w:val="0B5D542E"/>
    <w:rsid w:val="0B641293"/>
    <w:rsid w:val="0B7819E2"/>
    <w:rsid w:val="0B7D51BF"/>
    <w:rsid w:val="0BC35884"/>
    <w:rsid w:val="0BC55E7E"/>
    <w:rsid w:val="0BD27BF6"/>
    <w:rsid w:val="0C243E28"/>
    <w:rsid w:val="0C3B3C7D"/>
    <w:rsid w:val="0C48260B"/>
    <w:rsid w:val="0C4D3C2E"/>
    <w:rsid w:val="0C5E00D7"/>
    <w:rsid w:val="0C890081"/>
    <w:rsid w:val="0C975821"/>
    <w:rsid w:val="0CAA586B"/>
    <w:rsid w:val="0CAB2EAE"/>
    <w:rsid w:val="0CC62579"/>
    <w:rsid w:val="0CEF17A8"/>
    <w:rsid w:val="0CF54ADB"/>
    <w:rsid w:val="0D194491"/>
    <w:rsid w:val="0D3222A1"/>
    <w:rsid w:val="0D621C7D"/>
    <w:rsid w:val="0D655F5D"/>
    <w:rsid w:val="0D6C00B4"/>
    <w:rsid w:val="0D6F4A00"/>
    <w:rsid w:val="0D7039E8"/>
    <w:rsid w:val="0DA63B16"/>
    <w:rsid w:val="0DAB1750"/>
    <w:rsid w:val="0DB50C33"/>
    <w:rsid w:val="0DBC6E0C"/>
    <w:rsid w:val="0DF6578E"/>
    <w:rsid w:val="0E172216"/>
    <w:rsid w:val="0E40351D"/>
    <w:rsid w:val="0E4806A0"/>
    <w:rsid w:val="0E4F50CE"/>
    <w:rsid w:val="0E595177"/>
    <w:rsid w:val="0E73034D"/>
    <w:rsid w:val="0EAA1526"/>
    <w:rsid w:val="0EAE2E6F"/>
    <w:rsid w:val="0ED51B54"/>
    <w:rsid w:val="0EE91F36"/>
    <w:rsid w:val="0EF05E96"/>
    <w:rsid w:val="0F13775A"/>
    <w:rsid w:val="0F256F00"/>
    <w:rsid w:val="0F272E20"/>
    <w:rsid w:val="0F2747AF"/>
    <w:rsid w:val="0F29646F"/>
    <w:rsid w:val="0F4E100E"/>
    <w:rsid w:val="0F5F45FE"/>
    <w:rsid w:val="0F6F7CEE"/>
    <w:rsid w:val="0F9A112B"/>
    <w:rsid w:val="0FA0132D"/>
    <w:rsid w:val="0FAD140C"/>
    <w:rsid w:val="0FAE1A95"/>
    <w:rsid w:val="0FAF6255"/>
    <w:rsid w:val="0FB6182D"/>
    <w:rsid w:val="0FC10487"/>
    <w:rsid w:val="0FD33220"/>
    <w:rsid w:val="0FE663C2"/>
    <w:rsid w:val="0FEE51CB"/>
    <w:rsid w:val="0FF73A44"/>
    <w:rsid w:val="100D7DF3"/>
    <w:rsid w:val="101E7E4B"/>
    <w:rsid w:val="102130A2"/>
    <w:rsid w:val="10352EA6"/>
    <w:rsid w:val="103D20A0"/>
    <w:rsid w:val="104A4984"/>
    <w:rsid w:val="10594EE0"/>
    <w:rsid w:val="106D2F64"/>
    <w:rsid w:val="108B7F7B"/>
    <w:rsid w:val="10B63710"/>
    <w:rsid w:val="10B85E96"/>
    <w:rsid w:val="10B95885"/>
    <w:rsid w:val="10DC34E6"/>
    <w:rsid w:val="10E807C3"/>
    <w:rsid w:val="10F10820"/>
    <w:rsid w:val="10F30422"/>
    <w:rsid w:val="10F52966"/>
    <w:rsid w:val="11166833"/>
    <w:rsid w:val="111C2F7A"/>
    <w:rsid w:val="112E0021"/>
    <w:rsid w:val="1151344B"/>
    <w:rsid w:val="1164318D"/>
    <w:rsid w:val="11665CA1"/>
    <w:rsid w:val="119B62FB"/>
    <w:rsid w:val="119E183B"/>
    <w:rsid w:val="11AA430F"/>
    <w:rsid w:val="11AC6A06"/>
    <w:rsid w:val="11AD2E66"/>
    <w:rsid w:val="11D566EF"/>
    <w:rsid w:val="11DC7709"/>
    <w:rsid w:val="11EE51A8"/>
    <w:rsid w:val="12903A40"/>
    <w:rsid w:val="12B24E79"/>
    <w:rsid w:val="12B25E9B"/>
    <w:rsid w:val="12F157AA"/>
    <w:rsid w:val="133823F6"/>
    <w:rsid w:val="133D5C9F"/>
    <w:rsid w:val="13400D63"/>
    <w:rsid w:val="135B2C24"/>
    <w:rsid w:val="138407FC"/>
    <w:rsid w:val="13896F2A"/>
    <w:rsid w:val="138D59D3"/>
    <w:rsid w:val="13951726"/>
    <w:rsid w:val="139A762C"/>
    <w:rsid w:val="13A81EF2"/>
    <w:rsid w:val="13AD40A7"/>
    <w:rsid w:val="13B9011A"/>
    <w:rsid w:val="13EC4464"/>
    <w:rsid w:val="13EF0584"/>
    <w:rsid w:val="13F279A0"/>
    <w:rsid w:val="13F95FBA"/>
    <w:rsid w:val="14055238"/>
    <w:rsid w:val="140B1D9B"/>
    <w:rsid w:val="1418673F"/>
    <w:rsid w:val="141F1A80"/>
    <w:rsid w:val="14260D10"/>
    <w:rsid w:val="14396509"/>
    <w:rsid w:val="144162BD"/>
    <w:rsid w:val="14785EF3"/>
    <w:rsid w:val="1486056D"/>
    <w:rsid w:val="148D316D"/>
    <w:rsid w:val="14AB5F04"/>
    <w:rsid w:val="14B768E6"/>
    <w:rsid w:val="14B86F3A"/>
    <w:rsid w:val="14D17278"/>
    <w:rsid w:val="14DD2C3C"/>
    <w:rsid w:val="14E82984"/>
    <w:rsid w:val="15126FBE"/>
    <w:rsid w:val="15325D8B"/>
    <w:rsid w:val="153D1C3D"/>
    <w:rsid w:val="1570121C"/>
    <w:rsid w:val="15785D0F"/>
    <w:rsid w:val="157D01AD"/>
    <w:rsid w:val="15814E50"/>
    <w:rsid w:val="15864BA2"/>
    <w:rsid w:val="15954EA0"/>
    <w:rsid w:val="159719DD"/>
    <w:rsid w:val="159E0850"/>
    <w:rsid w:val="15A51350"/>
    <w:rsid w:val="15A70AA6"/>
    <w:rsid w:val="15AB798B"/>
    <w:rsid w:val="15B17473"/>
    <w:rsid w:val="15B85270"/>
    <w:rsid w:val="15BB209F"/>
    <w:rsid w:val="15C26F8A"/>
    <w:rsid w:val="15C9043E"/>
    <w:rsid w:val="15D72D9A"/>
    <w:rsid w:val="15F07388"/>
    <w:rsid w:val="15FE4438"/>
    <w:rsid w:val="16086A74"/>
    <w:rsid w:val="16087E1D"/>
    <w:rsid w:val="161377E5"/>
    <w:rsid w:val="161449BA"/>
    <w:rsid w:val="16151A1F"/>
    <w:rsid w:val="16185154"/>
    <w:rsid w:val="16242B9E"/>
    <w:rsid w:val="163445BC"/>
    <w:rsid w:val="1640693E"/>
    <w:rsid w:val="16441F51"/>
    <w:rsid w:val="164F2B33"/>
    <w:rsid w:val="16555FAF"/>
    <w:rsid w:val="166236EB"/>
    <w:rsid w:val="16866209"/>
    <w:rsid w:val="168804CE"/>
    <w:rsid w:val="168924CC"/>
    <w:rsid w:val="1701598E"/>
    <w:rsid w:val="1759695E"/>
    <w:rsid w:val="176705EC"/>
    <w:rsid w:val="17701D14"/>
    <w:rsid w:val="17735226"/>
    <w:rsid w:val="1779648B"/>
    <w:rsid w:val="17AB0B5A"/>
    <w:rsid w:val="17B241A6"/>
    <w:rsid w:val="17B958C9"/>
    <w:rsid w:val="17BB1EE3"/>
    <w:rsid w:val="17C13F94"/>
    <w:rsid w:val="17CA6350"/>
    <w:rsid w:val="17D33175"/>
    <w:rsid w:val="17D64B3E"/>
    <w:rsid w:val="17EA75CF"/>
    <w:rsid w:val="181A13D3"/>
    <w:rsid w:val="181C294C"/>
    <w:rsid w:val="181D3D8C"/>
    <w:rsid w:val="182A18B7"/>
    <w:rsid w:val="182C2DE0"/>
    <w:rsid w:val="18540BAD"/>
    <w:rsid w:val="186407CC"/>
    <w:rsid w:val="18664EE6"/>
    <w:rsid w:val="188745F1"/>
    <w:rsid w:val="18900755"/>
    <w:rsid w:val="189574CF"/>
    <w:rsid w:val="189F624C"/>
    <w:rsid w:val="18AC3D2A"/>
    <w:rsid w:val="18AE6AE6"/>
    <w:rsid w:val="18BC5824"/>
    <w:rsid w:val="18D6206B"/>
    <w:rsid w:val="18F22435"/>
    <w:rsid w:val="18FD3887"/>
    <w:rsid w:val="19153875"/>
    <w:rsid w:val="191B6364"/>
    <w:rsid w:val="19225AC2"/>
    <w:rsid w:val="19264976"/>
    <w:rsid w:val="195F636C"/>
    <w:rsid w:val="19630BC9"/>
    <w:rsid w:val="196D1903"/>
    <w:rsid w:val="19712D86"/>
    <w:rsid w:val="198701A1"/>
    <w:rsid w:val="19A370D2"/>
    <w:rsid w:val="19BE147B"/>
    <w:rsid w:val="19C756B4"/>
    <w:rsid w:val="19D93B51"/>
    <w:rsid w:val="19DA2D95"/>
    <w:rsid w:val="19E4006B"/>
    <w:rsid w:val="19F85670"/>
    <w:rsid w:val="1A0F1779"/>
    <w:rsid w:val="1A1C66C0"/>
    <w:rsid w:val="1A237BC9"/>
    <w:rsid w:val="1A3621FA"/>
    <w:rsid w:val="1A42393B"/>
    <w:rsid w:val="1A46487B"/>
    <w:rsid w:val="1A50373A"/>
    <w:rsid w:val="1A6D0579"/>
    <w:rsid w:val="1A6D6133"/>
    <w:rsid w:val="1A776CD0"/>
    <w:rsid w:val="1A8716B6"/>
    <w:rsid w:val="1A8B5A07"/>
    <w:rsid w:val="1A922CFB"/>
    <w:rsid w:val="1AA16658"/>
    <w:rsid w:val="1AAD45DE"/>
    <w:rsid w:val="1AAE6691"/>
    <w:rsid w:val="1AAF1D66"/>
    <w:rsid w:val="1AB62E35"/>
    <w:rsid w:val="1AB7403A"/>
    <w:rsid w:val="1ADE2B44"/>
    <w:rsid w:val="1AF66DED"/>
    <w:rsid w:val="1AFD1169"/>
    <w:rsid w:val="1B046F80"/>
    <w:rsid w:val="1B0E7951"/>
    <w:rsid w:val="1B206E9D"/>
    <w:rsid w:val="1B3267B5"/>
    <w:rsid w:val="1B397CEE"/>
    <w:rsid w:val="1B40161D"/>
    <w:rsid w:val="1B441859"/>
    <w:rsid w:val="1B6227D6"/>
    <w:rsid w:val="1B6606B1"/>
    <w:rsid w:val="1B6F0323"/>
    <w:rsid w:val="1B827383"/>
    <w:rsid w:val="1C2838BF"/>
    <w:rsid w:val="1C2D3B4D"/>
    <w:rsid w:val="1C425B6A"/>
    <w:rsid w:val="1C4D4123"/>
    <w:rsid w:val="1C4F6AE7"/>
    <w:rsid w:val="1C5117AC"/>
    <w:rsid w:val="1C5E7925"/>
    <w:rsid w:val="1C6D792E"/>
    <w:rsid w:val="1C874A89"/>
    <w:rsid w:val="1C921A6C"/>
    <w:rsid w:val="1CA2097A"/>
    <w:rsid w:val="1CA221DB"/>
    <w:rsid w:val="1CA679EB"/>
    <w:rsid w:val="1CB17AE6"/>
    <w:rsid w:val="1CD927B3"/>
    <w:rsid w:val="1CFB0431"/>
    <w:rsid w:val="1CFD070F"/>
    <w:rsid w:val="1D061E52"/>
    <w:rsid w:val="1D22369C"/>
    <w:rsid w:val="1D2A5847"/>
    <w:rsid w:val="1D355C9E"/>
    <w:rsid w:val="1D382B80"/>
    <w:rsid w:val="1D3D686F"/>
    <w:rsid w:val="1D5F6196"/>
    <w:rsid w:val="1D6132A5"/>
    <w:rsid w:val="1D71399A"/>
    <w:rsid w:val="1D866451"/>
    <w:rsid w:val="1D8E56D5"/>
    <w:rsid w:val="1DC32982"/>
    <w:rsid w:val="1E0D36CF"/>
    <w:rsid w:val="1E0E6877"/>
    <w:rsid w:val="1E1F0D7A"/>
    <w:rsid w:val="1E234C86"/>
    <w:rsid w:val="1E555ACE"/>
    <w:rsid w:val="1E641EA2"/>
    <w:rsid w:val="1E6C101C"/>
    <w:rsid w:val="1E7275D3"/>
    <w:rsid w:val="1E7A43DA"/>
    <w:rsid w:val="1EA2033D"/>
    <w:rsid w:val="1EA2204E"/>
    <w:rsid w:val="1EAB353F"/>
    <w:rsid w:val="1EC10726"/>
    <w:rsid w:val="1EC56BD4"/>
    <w:rsid w:val="1EC6501A"/>
    <w:rsid w:val="1F16576A"/>
    <w:rsid w:val="1F271F5F"/>
    <w:rsid w:val="1F341B93"/>
    <w:rsid w:val="1F4F1594"/>
    <w:rsid w:val="1F691ED1"/>
    <w:rsid w:val="1F8A4A45"/>
    <w:rsid w:val="1FA33011"/>
    <w:rsid w:val="1FAE04A2"/>
    <w:rsid w:val="1FC92916"/>
    <w:rsid w:val="1FD61FB0"/>
    <w:rsid w:val="1FE7539E"/>
    <w:rsid w:val="1FFB6380"/>
    <w:rsid w:val="200563F1"/>
    <w:rsid w:val="205904EB"/>
    <w:rsid w:val="20671BE0"/>
    <w:rsid w:val="20737E4C"/>
    <w:rsid w:val="207E648C"/>
    <w:rsid w:val="20802736"/>
    <w:rsid w:val="20963CB8"/>
    <w:rsid w:val="2099236B"/>
    <w:rsid w:val="20A81A1B"/>
    <w:rsid w:val="20A91472"/>
    <w:rsid w:val="20B07FB6"/>
    <w:rsid w:val="20B54799"/>
    <w:rsid w:val="20B646FB"/>
    <w:rsid w:val="20BE4D41"/>
    <w:rsid w:val="20D03503"/>
    <w:rsid w:val="20DD25EA"/>
    <w:rsid w:val="20E24FCC"/>
    <w:rsid w:val="20E9778D"/>
    <w:rsid w:val="20F52909"/>
    <w:rsid w:val="20FB77F4"/>
    <w:rsid w:val="210D4F2D"/>
    <w:rsid w:val="21287520"/>
    <w:rsid w:val="213B74B1"/>
    <w:rsid w:val="215A2310"/>
    <w:rsid w:val="217E096A"/>
    <w:rsid w:val="21CE6CB6"/>
    <w:rsid w:val="21D266CD"/>
    <w:rsid w:val="21D65D91"/>
    <w:rsid w:val="21DE318A"/>
    <w:rsid w:val="21EF5B80"/>
    <w:rsid w:val="21FA65B4"/>
    <w:rsid w:val="2222280A"/>
    <w:rsid w:val="222B7BAE"/>
    <w:rsid w:val="223F7F07"/>
    <w:rsid w:val="224603A4"/>
    <w:rsid w:val="22550E26"/>
    <w:rsid w:val="22576990"/>
    <w:rsid w:val="2279239E"/>
    <w:rsid w:val="2281420B"/>
    <w:rsid w:val="228F42E4"/>
    <w:rsid w:val="2295118B"/>
    <w:rsid w:val="22B946F2"/>
    <w:rsid w:val="22CF1ECF"/>
    <w:rsid w:val="22EB44B3"/>
    <w:rsid w:val="22F47480"/>
    <w:rsid w:val="23085102"/>
    <w:rsid w:val="23993AA5"/>
    <w:rsid w:val="23B46872"/>
    <w:rsid w:val="23DE1C48"/>
    <w:rsid w:val="23E430AA"/>
    <w:rsid w:val="23E650AA"/>
    <w:rsid w:val="23EC133C"/>
    <w:rsid w:val="240210CD"/>
    <w:rsid w:val="240A38DA"/>
    <w:rsid w:val="240E1F48"/>
    <w:rsid w:val="24547947"/>
    <w:rsid w:val="245F7A2F"/>
    <w:rsid w:val="246C397D"/>
    <w:rsid w:val="246C6DAB"/>
    <w:rsid w:val="24742D22"/>
    <w:rsid w:val="247A07AB"/>
    <w:rsid w:val="24960B94"/>
    <w:rsid w:val="24A35F36"/>
    <w:rsid w:val="24BF09F7"/>
    <w:rsid w:val="24C12374"/>
    <w:rsid w:val="250732A1"/>
    <w:rsid w:val="25180974"/>
    <w:rsid w:val="25234956"/>
    <w:rsid w:val="252D53FE"/>
    <w:rsid w:val="2564005E"/>
    <w:rsid w:val="2577571F"/>
    <w:rsid w:val="257F3CE6"/>
    <w:rsid w:val="25AA5D89"/>
    <w:rsid w:val="25B032A3"/>
    <w:rsid w:val="25C2328F"/>
    <w:rsid w:val="25CC64FC"/>
    <w:rsid w:val="25DF5936"/>
    <w:rsid w:val="25EC2D81"/>
    <w:rsid w:val="25F06EFC"/>
    <w:rsid w:val="26366E0B"/>
    <w:rsid w:val="26414073"/>
    <w:rsid w:val="26625831"/>
    <w:rsid w:val="266876DA"/>
    <w:rsid w:val="26810D2F"/>
    <w:rsid w:val="268533EA"/>
    <w:rsid w:val="269A0B40"/>
    <w:rsid w:val="26B0405E"/>
    <w:rsid w:val="26B84AC6"/>
    <w:rsid w:val="26BC4B74"/>
    <w:rsid w:val="26EA7D21"/>
    <w:rsid w:val="27082C6B"/>
    <w:rsid w:val="2711085B"/>
    <w:rsid w:val="27123D57"/>
    <w:rsid w:val="27560723"/>
    <w:rsid w:val="277057A2"/>
    <w:rsid w:val="277B5881"/>
    <w:rsid w:val="277E05AE"/>
    <w:rsid w:val="278864FD"/>
    <w:rsid w:val="278D3012"/>
    <w:rsid w:val="279C601E"/>
    <w:rsid w:val="27AE586F"/>
    <w:rsid w:val="27BE2F14"/>
    <w:rsid w:val="27C426B8"/>
    <w:rsid w:val="27C461D4"/>
    <w:rsid w:val="27CB6172"/>
    <w:rsid w:val="27DB6196"/>
    <w:rsid w:val="27ED5F05"/>
    <w:rsid w:val="28142ACC"/>
    <w:rsid w:val="2817235C"/>
    <w:rsid w:val="28175647"/>
    <w:rsid w:val="282070E2"/>
    <w:rsid w:val="282407C9"/>
    <w:rsid w:val="28392043"/>
    <w:rsid w:val="283F48D6"/>
    <w:rsid w:val="28771865"/>
    <w:rsid w:val="28946C0E"/>
    <w:rsid w:val="28BC62C4"/>
    <w:rsid w:val="28CF4C5E"/>
    <w:rsid w:val="28F36F76"/>
    <w:rsid w:val="29206EB8"/>
    <w:rsid w:val="292A336C"/>
    <w:rsid w:val="293F3643"/>
    <w:rsid w:val="29481D52"/>
    <w:rsid w:val="29502FD4"/>
    <w:rsid w:val="29595666"/>
    <w:rsid w:val="295B569C"/>
    <w:rsid w:val="29813333"/>
    <w:rsid w:val="29874881"/>
    <w:rsid w:val="2991546D"/>
    <w:rsid w:val="29B42C36"/>
    <w:rsid w:val="29BD1AEA"/>
    <w:rsid w:val="29E325E0"/>
    <w:rsid w:val="29E8318C"/>
    <w:rsid w:val="29F8237D"/>
    <w:rsid w:val="29F94396"/>
    <w:rsid w:val="29FB0865"/>
    <w:rsid w:val="2A1F655E"/>
    <w:rsid w:val="2A314286"/>
    <w:rsid w:val="2A3D2C2B"/>
    <w:rsid w:val="2A452503"/>
    <w:rsid w:val="2A473AAA"/>
    <w:rsid w:val="2A495967"/>
    <w:rsid w:val="2A4C2E6E"/>
    <w:rsid w:val="2A54313A"/>
    <w:rsid w:val="2A5720BA"/>
    <w:rsid w:val="2A6E3E36"/>
    <w:rsid w:val="2A823109"/>
    <w:rsid w:val="2A823E28"/>
    <w:rsid w:val="2A88659C"/>
    <w:rsid w:val="2A930A9D"/>
    <w:rsid w:val="2A9F7B47"/>
    <w:rsid w:val="2AA95516"/>
    <w:rsid w:val="2AB03FCD"/>
    <w:rsid w:val="2AE1546A"/>
    <w:rsid w:val="2AEE6646"/>
    <w:rsid w:val="2AF7795E"/>
    <w:rsid w:val="2B20599A"/>
    <w:rsid w:val="2B2A202B"/>
    <w:rsid w:val="2B330B86"/>
    <w:rsid w:val="2B504F54"/>
    <w:rsid w:val="2B63359D"/>
    <w:rsid w:val="2B7156D0"/>
    <w:rsid w:val="2B8517F9"/>
    <w:rsid w:val="2B9E784A"/>
    <w:rsid w:val="2BA11021"/>
    <w:rsid w:val="2BA936A8"/>
    <w:rsid w:val="2BC03C8D"/>
    <w:rsid w:val="2BD61795"/>
    <w:rsid w:val="2BE3539E"/>
    <w:rsid w:val="2BE75544"/>
    <w:rsid w:val="2BF629FB"/>
    <w:rsid w:val="2C077995"/>
    <w:rsid w:val="2C315A5A"/>
    <w:rsid w:val="2C434E38"/>
    <w:rsid w:val="2C4859B3"/>
    <w:rsid w:val="2C4A524D"/>
    <w:rsid w:val="2C4B1C25"/>
    <w:rsid w:val="2C642C20"/>
    <w:rsid w:val="2C8E3DEB"/>
    <w:rsid w:val="2CA94616"/>
    <w:rsid w:val="2CD82993"/>
    <w:rsid w:val="2CDB68DF"/>
    <w:rsid w:val="2CEB0762"/>
    <w:rsid w:val="2CFD6DC5"/>
    <w:rsid w:val="2D00406C"/>
    <w:rsid w:val="2D0F324B"/>
    <w:rsid w:val="2D1577DA"/>
    <w:rsid w:val="2D1D07E9"/>
    <w:rsid w:val="2D1F65F8"/>
    <w:rsid w:val="2D204F9E"/>
    <w:rsid w:val="2D3B0BB8"/>
    <w:rsid w:val="2D4C228F"/>
    <w:rsid w:val="2D713318"/>
    <w:rsid w:val="2D7E36BB"/>
    <w:rsid w:val="2D9E56F5"/>
    <w:rsid w:val="2DB46F87"/>
    <w:rsid w:val="2DB659D5"/>
    <w:rsid w:val="2DBF19FA"/>
    <w:rsid w:val="2DDF4218"/>
    <w:rsid w:val="2DEE2EDF"/>
    <w:rsid w:val="2E027055"/>
    <w:rsid w:val="2E172721"/>
    <w:rsid w:val="2E667F96"/>
    <w:rsid w:val="2E8226AB"/>
    <w:rsid w:val="2E876B6B"/>
    <w:rsid w:val="2EA51442"/>
    <w:rsid w:val="2EB931C8"/>
    <w:rsid w:val="2EBD429E"/>
    <w:rsid w:val="2ECD0A20"/>
    <w:rsid w:val="2EE565AE"/>
    <w:rsid w:val="2EE63E74"/>
    <w:rsid w:val="2F1206F5"/>
    <w:rsid w:val="2F120E51"/>
    <w:rsid w:val="2F622E7D"/>
    <w:rsid w:val="2F715851"/>
    <w:rsid w:val="2F833E91"/>
    <w:rsid w:val="2F856CF2"/>
    <w:rsid w:val="2F862941"/>
    <w:rsid w:val="2F8F3F29"/>
    <w:rsid w:val="2FAB7620"/>
    <w:rsid w:val="2FD065E6"/>
    <w:rsid w:val="2FD96870"/>
    <w:rsid w:val="2FEE24EF"/>
    <w:rsid w:val="2FFC007D"/>
    <w:rsid w:val="3009663C"/>
    <w:rsid w:val="300F3033"/>
    <w:rsid w:val="301E4B47"/>
    <w:rsid w:val="30276CE3"/>
    <w:rsid w:val="303074BA"/>
    <w:rsid w:val="304A570C"/>
    <w:rsid w:val="30505430"/>
    <w:rsid w:val="30580BC9"/>
    <w:rsid w:val="30710A31"/>
    <w:rsid w:val="30E03C5F"/>
    <w:rsid w:val="30E34B0F"/>
    <w:rsid w:val="30F71699"/>
    <w:rsid w:val="30FE0870"/>
    <w:rsid w:val="30FF6E8C"/>
    <w:rsid w:val="311E2ED7"/>
    <w:rsid w:val="31280191"/>
    <w:rsid w:val="314351C5"/>
    <w:rsid w:val="315509B9"/>
    <w:rsid w:val="315619EE"/>
    <w:rsid w:val="315C449C"/>
    <w:rsid w:val="317B678A"/>
    <w:rsid w:val="318555E4"/>
    <w:rsid w:val="318A2900"/>
    <w:rsid w:val="319538F0"/>
    <w:rsid w:val="31A93189"/>
    <w:rsid w:val="31B82709"/>
    <w:rsid w:val="31D05482"/>
    <w:rsid w:val="31F6628B"/>
    <w:rsid w:val="31FB2BAF"/>
    <w:rsid w:val="31FF7B84"/>
    <w:rsid w:val="321E1594"/>
    <w:rsid w:val="32400B34"/>
    <w:rsid w:val="324B4CC2"/>
    <w:rsid w:val="325D46C5"/>
    <w:rsid w:val="32634EF0"/>
    <w:rsid w:val="32847649"/>
    <w:rsid w:val="32924CB8"/>
    <w:rsid w:val="329A3FA5"/>
    <w:rsid w:val="329E3676"/>
    <w:rsid w:val="329E6876"/>
    <w:rsid w:val="32AA034D"/>
    <w:rsid w:val="32D30998"/>
    <w:rsid w:val="32D5344B"/>
    <w:rsid w:val="32F94A54"/>
    <w:rsid w:val="33004494"/>
    <w:rsid w:val="33111F22"/>
    <w:rsid w:val="333015F2"/>
    <w:rsid w:val="33480F8C"/>
    <w:rsid w:val="334B6320"/>
    <w:rsid w:val="336143E6"/>
    <w:rsid w:val="3366099E"/>
    <w:rsid w:val="33667AED"/>
    <w:rsid w:val="337B0372"/>
    <w:rsid w:val="339D6243"/>
    <w:rsid w:val="33A70526"/>
    <w:rsid w:val="33AD66A7"/>
    <w:rsid w:val="33D579ED"/>
    <w:rsid w:val="33D57B1A"/>
    <w:rsid w:val="33D934D4"/>
    <w:rsid w:val="33DA3C44"/>
    <w:rsid w:val="33FE2F6A"/>
    <w:rsid w:val="340E07E5"/>
    <w:rsid w:val="341113B0"/>
    <w:rsid w:val="34235BF7"/>
    <w:rsid w:val="34291C0B"/>
    <w:rsid w:val="3431318A"/>
    <w:rsid w:val="34430EE4"/>
    <w:rsid w:val="34594D2F"/>
    <w:rsid w:val="346839C9"/>
    <w:rsid w:val="346A6D13"/>
    <w:rsid w:val="347975F9"/>
    <w:rsid w:val="348744BB"/>
    <w:rsid w:val="349018F9"/>
    <w:rsid w:val="34AF2730"/>
    <w:rsid w:val="34B01C5D"/>
    <w:rsid w:val="34BC2C65"/>
    <w:rsid w:val="34ED43F1"/>
    <w:rsid w:val="34F75C77"/>
    <w:rsid w:val="3517524E"/>
    <w:rsid w:val="35247647"/>
    <w:rsid w:val="353001B2"/>
    <w:rsid w:val="356679DA"/>
    <w:rsid w:val="358C5FA8"/>
    <w:rsid w:val="359F0E90"/>
    <w:rsid w:val="35A1044D"/>
    <w:rsid w:val="35A579D6"/>
    <w:rsid w:val="35C15DF1"/>
    <w:rsid w:val="35F217FA"/>
    <w:rsid w:val="36074A7F"/>
    <w:rsid w:val="36194ED3"/>
    <w:rsid w:val="36252EF1"/>
    <w:rsid w:val="36612FF2"/>
    <w:rsid w:val="36750D9A"/>
    <w:rsid w:val="367F579D"/>
    <w:rsid w:val="368321B0"/>
    <w:rsid w:val="36923549"/>
    <w:rsid w:val="36AF71DF"/>
    <w:rsid w:val="36B75FBF"/>
    <w:rsid w:val="36BC2597"/>
    <w:rsid w:val="36BD0C45"/>
    <w:rsid w:val="36C444DD"/>
    <w:rsid w:val="36C66279"/>
    <w:rsid w:val="36E55FBF"/>
    <w:rsid w:val="36F9612C"/>
    <w:rsid w:val="37024E2F"/>
    <w:rsid w:val="370C40B1"/>
    <w:rsid w:val="37256A5C"/>
    <w:rsid w:val="373F0A68"/>
    <w:rsid w:val="374254F0"/>
    <w:rsid w:val="37522686"/>
    <w:rsid w:val="37530996"/>
    <w:rsid w:val="37625964"/>
    <w:rsid w:val="37A04DCB"/>
    <w:rsid w:val="37AF5F49"/>
    <w:rsid w:val="37C56B6C"/>
    <w:rsid w:val="37E00298"/>
    <w:rsid w:val="37E50CFC"/>
    <w:rsid w:val="37EF4FE4"/>
    <w:rsid w:val="38031C90"/>
    <w:rsid w:val="38093155"/>
    <w:rsid w:val="38142CD1"/>
    <w:rsid w:val="38212BEC"/>
    <w:rsid w:val="384373DC"/>
    <w:rsid w:val="38440A74"/>
    <w:rsid w:val="38560CEF"/>
    <w:rsid w:val="38575800"/>
    <w:rsid w:val="3865532E"/>
    <w:rsid w:val="38964885"/>
    <w:rsid w:val="38B302F9"/>
    <w:rsid w:val="38B55979"/>
    <w:rsid w:val="38BE42EE"/>
    <w:rsid w:val="38CD3F8E"/>
    <w:rsid w:val="38F102EE"/>
    <w:rsid w:val="38F12CD3"/>
    <w:rsid w:val="38F94775"/>
    <w:rsid w:val="38FB0321"/>
    <w:rsid w:val="38FE5C7B"/>
    <w:rsid w:val="39175592"/>
    <w:rsid w:val="392971ED"/>
    <w:rsid w:val="39325651"/>
    <w:rsid w:val="39466E55"/>
    <w:rsid w:val="395B1104"/>
    <w:rsid w:val="39790DA8"/>
    <w:rsid w:val="39892F3B"/>
    <w:rsid w:val="399250DF"/>
    <w:rsid w:val="39CE5DCE"/>
    <w:rsid w:val="39D0586A"/>
    <w:rsid w:val="39EC7399"/>
    <w:rsid w:val="39ED0E81"/>
    <w:rsid w:val="3A0E02B5"/>
    <w:rsid w:val="3A167EBA"/>
    <w:rsid w:val="3A1871C0"/>
    <w:rsid w:val="3A223A67"/>
    <w:rsid w:val="3A28192E"/>
    <w:rsid w:val="3A727012"/>
    <w:rsid w:val="3A7B342B"/>
    <w:rsid w:val="3A872856"/>
    <w:rsid w:val="3A9D4034"/>
    <w:rsid w:val="3AA07F00"/>
    <w:rsid w:val="3AA22C6C"/>
    <w:rsid w:val="3AD56BC0"/>
    <w:rsid w:val="3AE91AF1"/>
    <w:rsid w:val="3B0D5CDA"/>
    <w:rsid w:val="3B1D53D9"/>
    <w:rsid w:val="3B3763D1"/>
    <w:rsid w:val="3B45582F"/>
    <w:rsid w:val="3B4E51A9"/>
    <w:rsid w:val="3B9C28C4"/>
    <w:rsid w:val="3BA05290"/>
    <w:rsid w:val="3BA65942"/>
    <w:rsid w:val="3BA716B2"/>
    <w:rsid w:val="3BC12DB6"/>
    <w:rsid w:val="3BD524E5"/>
    <w:rsid w:val="3BF750E1"/>
    <w:rsid w:val="3C090015"/>
    <w:rsid w:val="3C0C17B6"/>
    <w:rsid w:val="3C2F6E1E"/>
    <w:rsid w:val="3C317B04"/>
    <w:rsid w:val="3C37319A"/>
    <w:rsid w:val="3C3909A0"/>
    <w:rsid w:val="3C394BB5"/>
    <w:rsid w:val="3C462018"/>
    <w:rsid w:val="3C4B5501"/>
    <w:rsid w:val="3C4F64BA"/>
    <w:rsid w:val="3C756255"/>
    <w:rsid w:val="3C95103F"/>
    <w:rsid w:val="3CDA245A"/>
    <w:rsid w:val="3CF522F9"/>
    <w:rsid w:val="3CFD4C7C"/>
    <w:rsid w:val="3D1C0A69"/>
    <w:rsid w:val="3D1E06B7"/>
    <w:rsid w:val="3D42082D"/>
    <w:rsid w:val="3D485DF7"/>
    <w:rsid w:val="3D4E0F7F"/>
    <w:rsid w:val="3D695713"/>
    <w:rsid w:val="3D9904B2"/>
    <w:rsid w:val="3DDD0F5A"/>
    <w:rsid w:val="3DE15BC8"/>
    <w:rsid w:val="3DE47E58"/>
    <w:rsid w:val="3DE60A3D"/>
    <w:rsid w:val="3DF111F4"/>
    <w:rsid w:val="3DFF7EA5"/>
    <w:rsid w:val="3E0B1ADE"/>
    <w:rsid w:val="3E19488B"/>
    <w:rsid w:val="3E196FDB"/>
    <w:rsid w:val="3E4A6F89"/>
    <w:rsid w:val="3E630A5B"/>
    <w:rsid w:val="3E73334C"/>
    <w:rsid w:val="3E8338C9"/>
    <w:rsid w:val="3E8923F0"/>
    <w:rsid w:val="3E8B38A7"/>
    <w:rsid w:val="3E9756F1"/>
    <w:rsid w:val="3E9C7122"/>
    <w:rsid w:val="3EB8584B"/>
    <w:rsid w:val="3EC36F33"/>
    <w:rsid w:val="3EC82FB3"/>
    <w:rsid w:val="3EDA0523"/>
    <w:rsid w:val="3EF8725E"/>
    <w:rsid w:val="3F2F43FA"/>
    <w:rsid w:val="3F542947"/>
    <w:rsid w:val="3F817B75"/>
    <w:rsid w:val="3F9966FE"/>
    <w:rsid w:val="3FB441E8"/>
    <w:rsid w:val="3FC1575C"/>
    <w:rsid w:val="3FC8414F"/>
    <w:rsid w:val="3FD9275A"/>
    <w:rsid w:val="3FDF05B5"/>
    <w:rsid w:val="4007638B"/>
    <w:rsid w:val="403028A8"/>
    <w:rsid w:val="40324B88"/>
    <w:rsid w:val="403E7FEA"/>
    <w:rsid w:val="40456EB5"/>
    <w:rsid w:val="40560AE2"/>
    <w:rsid w:val="40744EB8"/>
    <w:rsid w:val="407A6407"/>
    <w:rsid w:val="40927CD5"/>
    <w:rsid w:val="40A62DA6"/>
    <w:rsid w:val="40A63F39"/>
    <w:rsid w:val="40B557B9"/>
    <w:rsid w:val="40B9762F"/>
    <w:rsid w:val="40D85FB0"/>
    <w:rsid w:val="40E44300"/>
    <w:rsid w:val="40E75414"/>
    <w:rsid w:val="4111786A"/>
    <w:rsid w:val="41285D30"/>
    <w:rsid w:val="413A0644"/>
    <w:rsid w:val="41446E23"/>
    <w:rsid w:val="414C5FB7"/>
    <w:rsid w:val="414D1E51"/>
    <w:rsid w:val="41505924"/>
    <w:rsid w:val="41595B3E"/>
    <w:rsid w:val="417005D0"/>
    <w:rsid w:val="41884FF2"/>
    <w:rsid w:val="418A5308"/>
    <w:rsid w:val="4193035F"/>
    <w:rsid w:val="41967399"/>
    <w:rsid w:val="41B33CC6"/>
    <w:rsid w:val="41BE01FB"/>
    <w:rsid w:val="41CD58A6"/>
    <w:rsid w:val="41FF2C74"/>
    <w:rsid w:val="4200449D"/>
    <w:rsid w:val="422E66A9"/>
    <w:rsid w:val="423A3BCC"/>
    <w:rsid w:val="4249440B"/>
    <w:rsid w:val="424E57D2"/>
    <w:rsid w:val="42520FBF"/>
    <w:rsid w:val="425F653F"/>
    <w:rsid w:val="427A781D"/>
    <w:rsid w:val="42957651"/>
    <w:rsid w:val="429F2F01"/>
    <w:rsid w:val="42A11D8F"/>
    <w:rsid w:val="42B26C49"/>
    <w:rsid w:val="42D31F27"/>
    <w:rsid w:val="42D9753D"/>
    <w:rsid w:val="42E408C4"/>
    <w:rsid w:val="42FA74B4"/>
    <w:rsid w:val="42FF1510"/>
    <w:rsid w:val="4317626E"/>
    <w:rsid w:val="43255B93"/>
    <w:rsid w:val="43300238"/>
    <w:rsid w:val="433A6FE6"/>
    <w:rsid w:val="433C429A"/>
    <w:rsid w:val="43480868"/>
    <w:rsid w:val="4350713C"/>
    <w:rsid w:val="436653E0"/>
    <w:rsid w:val="436D2CE2"/>
    <w:rsid w:val="437302E8"/>
    <w:rsid w:val="4378209B"/>
    <w:rsid w:val="43AA712C"/>
    <w:rsid w:val="43C4431A"/>
    <w:rsid w:val="43CA4F48"/>
    <w:rsid w:val="43D42437"/>
    <w:rsid w:val="43F901A8"/>
    <w:rsid w:val="441000DE"/>
    <w:rsid w:val="442E7B3A"/>
    <w:rsid w:val="44340412"/>
    <w:rsid w:val="446E729F"/>
    <w:rsid w:val="44996192"/>
    <w:rsid w:val="44A13748"/>
    <w:rsid w:val="44B951CC"/>
    <w:rsid w:val="44BB3341"/>
    <w:rsid w:val="44C3308A"/>
    <w:rsid w:val="44CC4A0D"/>
    <w:rsid w:val="44CD14E0"/>
    <w:rsid w:val="44D375CB"/>
    <w:rsid w:val="44ED5210"/>
    <w:rsid w:val="44EE2F1E"/>
    <w:rsid w:val="44F20B0B"/>
    <w:rsid w:val="451449DF"/>
    <w:rsid w:val="452E5F4C"/>
    <w:rsid w:val="453D6FF4"/>
    <w:rsid w:val="45433394"/>
    <w:rsid w:val="454E65A8"/>
    <w:rsid w:val="45612018"/>
    <w:rsid w:val="45765133"/>
    <w:rsid w:val="45765517"/>
    <w:rsid w:val="45773C30"/>
    <w:rsid w:val="458946E9"/>
    <w:rsid w:val="458B7F52"/>
    <w:rsid w:val="45A47C0E"/>
    <w:rsid w:val="45C046FE"/>
    <w:rsid w:val="45DF28EC"/>
    <w:rsid w:val="45E12397"/>
    <w:rsid w:val="45E3236A"/>
    <w:rsid w:val="45F2294E"/>
    <w:rsid w:val="46027484"/>
    <w:rsid w:val="46120C85"/>
    <w:rsid w:val="461872D5"/>
    <w:rsid w:val="462C207A"/>
    <w:rsid w:val="46474DBD"/>
    <w:rsid w:val="464B2752"/>
    <w:rsid w:val="464D268E"/>
    <w:rsid w:val="4655693D"/>
    <w:rsid w:val="46577FD6"/>
    <w:rsid w:val="466B256E"/>
    <w:rsid w:val="46944444"/>
    <w:rsid w:val="46A00F9A"/>
    <w:rsid w:val="46B67FB9"/>
    <w:rsid w:val="46C51AB9"/>
    <w:rsid w:val="46CC4CC0"/>
    <w:rsid w:val="46D955A7"/>
    <w:rsid w:val="46E2098A"/>
    <w:rsid w:val="46F41C89"/>
    <w:rsid w:val="46F54B62"/>
    <w:rsid w:val="46FF15D4"/>
    <w:rsid w:val="470B57AB"/>
    <w:rsid w:val="47133957"/>
    <w:rsid w:val="47430FF6"/>
    <w:rsid w:val="474A53B2"/>
    <w:rsid w:val="474E4B39"/>
    <w:rsid w:val="476255A6"/>
    <w:rsid w:val="477D7E68"/>
    <w:rsid w:val="47841A42"/>
    <w:rsid w:val="47A07E0C"/>
    <w:rsid w:val="47B070CC"/>
    <w:rsid w:val="47C21CD6"/>
    <w:rsid w:val="47D12ED9"/>
    <w:rsid w:val="47D82649"/>
    <w:rsid w:val="47E10C42"/>
    <w:rsid w:val="483376F0"/>
    <w:rsid w:val="48350E7A"/>
    <w:rsid w:val="48520CC5"/>
    <w:rsid w:val="486A50DB"/>
    <w:rsid w:val="4870272E"/>
    <w:rsid w:val="48C12058"/>
    <w:rsid w:val="48D0663C"/>
    <w:rsid w:val="48F97848"/>
    <w:rsid w:val="49076A92"/>
    <w:rsid w:val="490C7B89"/>
    <w:rsid w:val="491074F4"/>
    <w:rsid w:val="491F44BD"/>
    <w:rsid w:val="492577C8"/>
    <w:rsid w:val="49404042"/>
    <w:rsid w:val="494F70BE"/>
    <w:rsid w:val="49763B46"/>
    <w:rsid w:val="498A4734"/>
    <w:rsid w:val="4996313F"/>
    <w:rsid w:val="49976BAC"/>
    <w:rsid w:val="49AF0BFF"/>
    <w:rsid w:val="49B52386"/>
    <w:rsid w:val="49CF169A"/>
    <w:rsid w:val="49DC7715"/>
    <w:rsid w:val="49F92273"/>
    <w:rsid w:val="4A023139"/>
    <w:rsid w:val="4A291466"/>
    <w:rsid w:val="4A2D478B"/>
    <w:rsid w:val="4A441377"/>
    <w:rsid w:val="4A460E15"/>
    <w:rsid w:val="4A5A601A"/>
    <w:rsid w:val="4A5B2E22"/>
    <w:rsid w:val="4A6D6EA7"/>
    <w:rsid w:val="4A7045EA"/>
    <w:rsid w:val="4A7130C1"/>
    <w:rsid w:val="4A7B576F"/>
    <w:rsid w:val="4A7D4C52"/>
    <w:rsid w:val="4A99103E"/>
    <w:rsid w:val="4AAB1522"/>
    <w:rsid w:val="4AB2037A"/>
    <w:rsid w:val="4ABA40A1"/>
    <w:rsid w:val="4ABA6CC2"/>
    <w:rsid w:val="4AC66F51"/>
    <w:rsid w:val="4AF561A9"/>
    <w:rsid w:val="4B0729A6"/>
    <w:rsid w:val="4B0836F6"/>
    <w:rsid w:val="4B152584"/>
    <w:rsid w:val="4B272E10"/>
    <w:rsid w:val="4B457DAE"/>
    <w:rsid w:val="4B5736F5"/>
    <w:rsid w:val="4B9E1324"/>
    <w:rsid w:val="4BBE3813"/>
    <w:rsid w:val="4BC40CA5"/>
    <w:rsid w:val="4BC73292"/>
    <w:rsid w:val="4BC93B0B"/>
    <w:rsid w:val="4BE753D1"/>
    <w:rsid w:val="4BFE76EA"/>
    <w:rsid w:val="4C1329E7"/>
    <w:rsid w:val="4C1D7BB2"/>
    <w:rsid w:val="4C3F33DD"/>
    <w:rsid w:val="4C4A0649"/>
    <w:rsid w:val="4C6F6778"/>
    <w:rsid w:val="4C7E5ECA"/>
    <w:rsid w:val="4C876AA5"/>
    <w:rsid w:val="4CA1048E"/>
    <w:rsid w:val="4CA24EEE"/>
    <w:rsid w:val="4D027691"/>
    <w:rsid w:val="4D0677B3"/>
    <w:rsid w:val="4D0E00FB"/>
    <w:rsid w:val="4D176606"/>
    <w:rsid w:val="4D1A70D0"/>
    <w:rsid w:val="4D352F00"/>
    <w:rsid w:val="4D3A2F5A"/>
    <w:rsid w:val="4D434EB7"/>
    <w:rsid w:val="4D6D6D81"/>
    <w:rsid w:val="4D7A04F5"/>
    <w:rsid w:val="4D853510"/>
    <w:rsid w:val="4DA13154"/>
    <w:rsid w:val="4DB00825"/>
    <w:rsid w:val="4DEC4178"/>
    <w:rsid w:val="4DEC4FB0"/>
    <w:rsid w:val="4E075D8A"/>
    <w:rsid w:val="4E1854DF"/>
    <w:rsid w:val="4E1D67DC"/>
    <w:rsid w:val="4E1E58E9"/>
    <w:rsid w:val="4E2A548F"/>
    <w:rsid w:val="4E560846"/>
    <w:rsid w:val="4E5A015E"/>
    <w:rsid w:val="4E5C4778"/>
    <w:rsid w:val="4E87661C"/>
    <w:rsid w:val="4E8A2033"/>
    <w:rsid w:val="4E8A7E8A"/>
    <w:rsid w:val="4E9433A0"/>
    <w:rsid w:val="4E97588C"/>
    <w:rsid w:val="4EB726FD"/>
    <w:rsid w:val="4EC00FAD"/>
    <w:rsid w:val="4ECB2BEE"/>
    <w:rsid w:val="4ECE71C0"/>
    <w:rsid w:val="4EE5726A"/>
    <w:rsid w:val="4EFD0A57"/>
    <w:rsid w:val="4F183856"/>
    <w:rsid w:val="4F2F145C"/>
    <w:rsid w:val="4F36455C"/>
    <w:rsid w:val="4F4F43B6"/>
    <w:rsid w:val="4F512B51"/>
    <w:rsid w:val="4F5E0285"/>
    <w:rsid w:val="4F7D616D"/>
    <w:rsid w:val="4F8808D8"/>
    <w:rsid w:val="4F9843DC"/>
    <w:rsid w:val="4F9F3D94"/>
    <w:rsid w:val="4FC62A8C"/>
    <w:rsid w:val="4FCB6460"/>
    <w:rsid w:val="4FD97006"/>
    <w:rsid w:val="4FDD3887"/>
    <w:rsid w:val="4FE20F0D"/>
    <w:rsid w:val="4FE21769"/>
    <w:rsid w:val="4FE51552"/>
    <w:rsid w:val="4FF94C27"/>
    <w:rsid w:val="50112E5F"/>
    <w:rsid w:val="501F0559"/>
    <w:rsid w:val="50447FC0"/>
    <w:rsid w:val="50504BB7"/>
    <w:rsid w:val="50504C4B"/>
    <w:rsid w:val="50520A3F"/>
    <w:rsid w:val="505C586D"/>
    <w:rsid w:val="505D359A"/>
    <w:rsid w:val="505F1A42"/>
    <w:rsid w:val="50636816"/>
    <w:rsid w:val="506F3F74"/>
    <w:rsid w:val="507300D1"/>
    <w:rsid w:val="508F2C4C"/>
    <w:rsid w:val="508F5F01"/>
    <w:rsid w:val="50942CF5"/>
    <w:rsid w:val="509C6E7C"/>
    <w:rsid w:val="50B048E3"/>
    <w:rsid w:val="50B20814"/>
    <w:rsid w:val="50CE5AEC"/>
    <w:rsid w:val="50EF43D0"/>
    <w:rsid w:val="50F46AC0"/>
    <w:rsid w:val="50FD61EA"/>
    <w:rsid w:val="51077DBD"/>
    <w:rsid w:val="510C08F5"/>
    <w:rsid w:val="510F68BE"/>
    <w:rsid w:val="511E4AD0"/>
    <w:rsid w:val="515A28E1"/>
    <w:rsid w:val="51607BF1"/>
    <w:rsid w:val="5162104E"/>
    <w:rsid w:val="516431BC"/>
    <w:rsid w:val="518965D2"/>
    <w:rsid w:val="518C40A6"/>
    <w:rsid w:val="51A05DA5"/>
    <w:rsid w:val="51A11D3D"/>
    <w:rsid w:val="51CD08CC"/>
    <w:rsid w:val="521D1387"/>
    <w:rsid w:val="521E6538"/>
    <w:rsid w:val="522462FB"/>
    <w:rsid w:val="52722CFC"/>
    <w:rsid w:val="52766E38"/>
    <w:rsid w:val="528F1410"/>
    <w:rsid w:val="52A50005"/>
    <w:rsid w:val="52C002E3"/>
    <w:rsid w:val="52D153BA"/>
    <w:rsid w:val="52EE4662"/>
    <w:rsid w:val="52FE690D"/>
    <w:rsid w:val="5311062D"/>
    <w:rsid w:val="53281E1B"/>
    <w:rsid w:val="533251A4"/>
    <w:rsid w:val="53360217"/>
    <w:rsid w:val="5356456D"/>
    <w:rsid w:val="536051C0"/>
    <w:rsid w:val="53710C3C"/>
    <w:rsid w:val="53874D93"/>
    <w:rsid w:val="539C5617"/>
    <w:rsid w:val="53A039CC"/>
    <w:rsid w:val="53A1505A"/>
    <w:rsid w:val="53B83194"/>
    <w:rsid w:val="53C03C9D"/>
    <w:rsid w:val="53C2423D"/>
    <w:rsid w:val="53D41F3D"/>
    <w:rsid w:val="54063E08"/>
    <w:rsid w:val="54246E44"/>
    <w:rsid w:val="543437E8"/>
    <w:rsid w:val="54370568"/>
    <w:rsid w:val="5485419A"/>
    <w:rsid w:val="54972DB4"/>
    <w:rsid w:val="54A454D1"/>
    <w:rsid w:val="54AE2E29"/>
    <w:rsid w:val="54F73313"/>
    <w:rsid w:val="54F80955"/>
    <w:rsid w:val="54FF7ED7"/>
    <w:rsid w:val="552D3C2E"/>
    <w:rsid w:val="554525F1"/>
    <w:rsid w:val="554A6440"/>
    <w:rsid w:val="555170A7"/>
    <w:rsid w:val="555536C4"/>
    <w:rsid w:val="5587536D"/>
    <w:rsid w:val="559B174B"/>
    <w:rsid w:val="55A261B2"/>
    <w:rsid w:val="55CD539B"/>
    <w:rsid w:val="55CE0CF4"/>
    <w:rsid w:val="55E256FE"/>
    <w:rsid w:val="56011808"/>
    <w:rsid w:val="566F1659"/>
    <w:rsid w:val="56846FB4"/>
    <w:rsid w:val="568A1867"/>
    <w:rsid w:val="56A86105"/>
    <w:rsid w:val="56AE3C10"/>
    <w:rsid w:val="56B22A9C"/>
    <w:rsid w:val="56BD3865"/>
    <w:rsid w:val="56DA3846"/>
    <w:rsid w:val="56E04FCC"/>
    <w:rsid w:val="56F4739B"/>
    <w:rsid w:val="57234DD3"/>
    <w:rsid w:val="57266671"/>
    <w:rsid w:val="5728133A"/>
    <w:rsid w:val="573B5EBA"/>
    <w:rsid w:val="57596A47"/>
    <w:rsid w:val="576A47B0"/>
    <w:rsid w:val="57757C76"/>
    <w:rsid w:val="578964F2"/>
    <w:rsid w:val="578E175F"/>
    <w:rsid w:val="578F4217"/>
    <w:rsid w:val="57946AF3"/>
    <w:rsid w:val="57A42E90"/>
    <w:rsid w:val="57B72A76"/>
    <w:rsid w:val="57C3426C"/>
    <w:rsid w:val="57CE1F93"/>
    <w:rsid w:val="57FD5624"/>
    <w:rsid w:val="58332729"/>
    <w:rsid w:val="584054D7"/>
    <w:rsid w:val="584F18E4"/>
    <w:rsid w:val="588743D1"/>
    <w:rsid w:val="5887701A"/>
    <w:rsid w:val="58A3441E"/>
    <w:rsid w:val="58B00816"/>
    <w:rsid w:val="58B8779D"/>
    <w:rsid w:val="58C95270"/>
    <w:rsid w:val="58CE6D69"/>
    <w:rsid w:val="58D053E0"/>
    <w:rsid w:val="58F643B5"/>
    <w:rsid w:val="58F96B37"/>
    <w:rsid w:val="590465AB"/>
    <w:rsid w:val="59172716"/>
    <w:rsid w:val="59335421"/>
    <w:rsid w:val="593832BC"/>
    <w:rsid w:val="594F71F4"/>
    <w:rsid w:val="595400F7"/>
    <w:rsid w:val="59575208"/>
    <w:rsid w:val="59625B9B"/>
    <w:rsid w:val="59653481"/>
    <w:rsid w:val="59B45C83"/>
    <w:rsid w:val="59B465CA"/>
    <w:rsid w:val="59BC1AD5"/>
    <w:rsid w:val="59BF28A4"/>
    <w:rsid w:val="59C0439F"/>
    <w:rsid w:val="59FB5B93"/>
    <w:rsid w:val="5A05455E"/>
    <w:rsid w:val="5A0E58C7"/>
    <w:rsid w:val="5A1128E4"/>
    <w:rsid w:val="5A2013DE"/>
    <w:rsid w:val="5A3F5530"/>
    <w:rsid w:val="5A467B8D"/>
    <w:rsid w:val="5A487C69"/>
    <w:rsid w:val="5A4B35B0"/>
    <w:rsid w:val="5A5070DA"/>
    <w:rsid w:val="5A72571A"/>
    <w:rsid w:val="5A797C8D"/>
    <w:rsid w:val="5A7B448C"/>
    <w:rsid w:val="5A7F0572"/>
    <w:rsid w:val="5A7F6F5F"/>
    <w:rsid w:val="5AAB6FEB"/>
    <w:rsid w:val="5ABE2233"/>
    <w:rsid w:val="5AD923F2"/>
    <w:rsid w:val="5AFA272A"/>
    <w:rsid w:val="5B096793"/>
    <w:rsid w:val="5B266C40"/>
    <w:rsid w:val="5B50355C"/>
    <w:rsid w:val="5B5C7C85"/>
    <w:rsid w:val="5B8B7BD4"/>
    <w:rsid w:val="5BBA4DEE"/>
    <w:rsid w:val="5BC216AA"/>
    <w:rsid w:val="5BD00B40"/>
    <w:rsid w:val="5BDF5D95"/>
    <w:rsid w:val="5BFE7528"/>
    <w:rsid w:val="5C0C0CAC"/>
    <w:rsid w:val="5C0E6052"/>
    <w:rsid w:val="5C29330F"/>
    <w:rsid w:val="5C660E4B"/>
    <w:rsid w:val="5CF162F0"/>
    <w:rsid w:val="5CF6274E"/>
    <w:rsid w:val="5D4D446D"/>
    <w:rsid w:val="5D62278B"/>
    <w:rsid w:val="5D691DF0"/>
    <w:rsid w:val="5D750989"/>
    <w:rsid w:val="5D7B70EE"/>
    <w:rsid w:val="5D937AEB"/>
    <w:rsid w:val="5D9613BA"/>
    <w:rsid w:val="5DB32C4D"/>
    <w:rsid w:val="5DBB1204"/>
    <w:rsid w:val="5DE22921"/>
    <w:rsid w:val="5DE459AF"/>
    <w:rsid w:val="5DE80B25"/>
    <w:rsid w:val="5DE863FE"/>
    <w:rsid w:val="5DF03535"/>
    <w:rsid w:val="5DFB2B75"/>
    <w:rsid w:val="5E2467F1"/>
    <w:rsid w:val="5E4214DC"/>
    <w:rsid w:val="5E4D0BCC"/>
    <w:rsid w:val="5E4E2A47"/>
    <w:rsid w:val="5E6048BB"/>
    <w:rsid w:val="5E7B6218"/>
    <w:rsid w:val="5E9163FD"/>
    <w:rsid w:val="5EAA4B38"/>
    <w:rsid w:val="5EC724E8"/>
    <w:rsid w:val="5ECB7DE8"/>
    <w:rsid w:val="5EFE7687"/>
    <w:rsid w:val="5F030DC3"/>
    <w:rsid w:val="5F0E016D"/>
    <w:rsid w:val="5F1110C6"/>
    <w:rsid w:val="5F1A2B43"/>
    <w:rsid w:val="5F283659"/>
    <w:rsid w:val="5F28567D"/>
    <w:rsid w:val="5F3843D3"/>
    <w:rsid w:val="5F466B42"/>
    <w:rsid w:val="5F515246"/>
    <w:rsid w:val="5F5D0437"/>
    <w:rsid w:val="5F6D5214"/>
    <w:rsid w:val="5F8309EE"/>
    <w:rsid w:val="5F861539"/>
    <w:rsid w:val="5F862A95"/>
    <w:rsid w:val="5F8B52EF"/>
    <w:rsid w:val="5F927F40"/>
    <w:rsid w:val="5F9A6465"/>
    <w:rsid w:val="5FAE049A"/>
    <w:rsid w:val="5FB837BB"/>
    <w:rsid w:val="5FB94F9B"/>
    <w:rsid w:val="5FBC7B73"/>
    <w:rsid w:val="5FC32EAD"/>
    <w:rsid w:val="60067040"/>
    <w:rsid w:val="6009765C"/>
    <w:rsid w:val="60272892"/>
    <w:rsid w:val="604D2084"/>
    <w:rsid w:val="60880412"/>
    <w:rsid w:val="60A24FBB"/>
    <w:rsid w:val="60AC188A"/>
    <w:rsid w:val="60CC405A"/>
    <w:rsid w:val="60D050F4"/>
    <w:rsid w:val="60DB44D5"/>
    <w:rsid w:val="60DF1AAA"/>
    <w:rsid w:val="60FD08C3"/>
    <w:rsid w:val="610112DE"/>
    <w:rsid w:val="61112EBD"/>
    <w:rsid w:val="611C094B"/>
    <w:rsid w:val="61330309"/>
    <w:rsid w:val="615D7C72"/>
    <w:rsid w:val="61C20C5E"/>
    <w:rsid w:val="61C947C9"/>
    <w:rsid w:val="61E215D8"/>
    <w:rsid w:val="61F67903"/>
    <w:rsid w:val="61FA1345"/>
    <w:rsid w:val="621B3775"/>
    <w:rsid w:val="62362C53"/>
    <w:rsid w:val="62364782"/>
    <w:rsid w:val="62401BEE"/>
    <w:rsid w:val="624E2FF1"/>
    <w:rsid w:val="62670FB7"/>
    <w:rsid w:val="6272636C"/>
    <w:rsid w:val="6275586C"/>
    <w:rsid w:val="629A57A1"/>
    <w:rsid w:val="62A25746"/>
    <w:rsid w:val="62AA3D56"/>
    <w:rsid w:val="62B93C3C"/>
    <w:rsid w:val="62BF4840"/>
    <w:rsid w:val="62C97C1D"/>
    <w:rsid w:val="62D21555"/>
    <w:rsid w:val="62EE40D6"/>
    <w:rsid w:val="62FB3DDE"/>
    <w:rsid w:val="62FF66F4"/>
    <w:rsid w:val="632342AE"/>
    <w:rsid w:val="632772C7"/>
    <w:rsid w:val="634C56D6"/>
    <w:rsid w:val="63630A34"/>
    <w:rsid w:val="636F18E1"/>
    <w:rsid w:val="6394356A"/>
    <w:rsid w:val="63A504FE"/>
    <w:rsid w:val="63A52369"/>
    <w:rsid w:val="63C61B2C"/>
    <w:rsid w:val="63CE0B44"/>
    <w:rsid w:val="63CE2132"/>
    <w:rsid w:val="63D40BE9"/>
    <w:rsid w:val="63DC5637"/>
    <w:rsid w:val="63FD6A6A"/>
    <w:rsid w:val="63FF75F6"/>
    <w:rsid w:val="64102431"/>
    <w:rsid w:val="643A29A8"/>
    <w:rsid w:val="64586F66"/>
    <w:rsid w:val="647349CF"/>
    <w:rsid w:val="64834B42"/>
    <w:rsid w:val="648D7E85"/>
    <w:rsid w:val="64A22188"/>
    <w:rsid w:val="64A5243A"/>
    <w:rsid w:val="64CC2BED"/>
    <w:rsid w:val="64D34113"/>
    <w:rsid w:val="64F531DE"/>
    <w:rsid w:val="64FB738F"/>
    <w:rsid w:val="65280EA7"/>
    <w:rsid w:val="65373578"/>
    <w:rsid w:val="654C21F6"/>
    <w:rsid w:val="6551749A"/>
    <w:rsid w:val="656657C7"/>
    <w:rsid w:val="65677CFA"/>
    <w:rsid w:val="65737424"/>
    <w:rsid w:val="657435E2"/>
    <w:rsid w:val="65AF0C80"/>
    <w:rsid w:val="65B34817"/>
    <w:rsid w:val="65BC6B57"/>
    <w:rsid w:val="65C82EA6"/>
    <w:rsid w:val="65CE3FA0"/>
    <w:rsid w:val="65ED6CD8"/>
    <w:rsid w:val="6621011D"/>
    <w:rsid w:val="662B4190"/>
    <w:rsid w:val="662E1EE1"/>
    <w:rsid w:val="662F436F"/>
    <w:rsid w:val="66437DC1"/>
    <w:rsid w:val="66886D87"/>
    <w:rsid w:val="669453A6"/>
    <w:rsid w:val="66CC1132"/>
    <w:rsid w:val="671F124A"/>
    <w:rsid w:val="67435598"/>
    <w:rsid w:val="67513297"/>
    <w:rsid w:val="676B1E53"/>
    <w:rsid w:val="67705892"/>
    <w:rsid w:val="677166C6"/>
    <w:rsid w:val="677530D1"/>
    <w:rsid w:val="67753429"/>
    <w:rsid w:val="677A33C6"/>
    <w:rsid w:val="67837307"/>
    <w:rsid w:val="679020FD"/>
    <w:rsid w:val="679A1C5D"/>
    <w:rsid w:val="67D231AC"/>
    <w:rsid w:val="67E65BDE"/>
    <w:rsid w:val="67E87848"/>
    <w:rsid w:val="68010829"/>
    <w:rsid w:val="681F6961"/>
    <w:rsid w:val="684352D5"/>
    <w:rsid w:val="68590208"/>
    <w:rsid w:val="68610A2F"/>
    <w:rsid w:val="687B636E"/>
    <w:rsid w:val="68804127"/>
    <w:rsid w:val="68805514"/>
    <w:rsid w:val="68B25FB7"/>
    <w:rsid w:val="68C22B95"/>
    <w:rsid w:val="68D8137E"/>
    <w:rsid w:val="68EF0B7B"/>
    <w:rsid w:val="68F54F54"/>
    <w:rsid w:val="68F92BEA"/>
    <w:rsid w:val="69015F94"/>
    <w:rsid w:val="69232A11"/>
    <w:rsid w:val="692D249D"/>
    <w:rsid w:val="69316E2F"/>
    <w:rsid w:val="694E2071"/>
    <w:rsid w:val="694F3806"/>
    <w:rsid w:val="69613340"/>
    <w:rsid w:val="69766163"/>
    <w:rsid w:val="697A3B33"/>
    <w:rsid w:val="698D6751"/>
    <w:rsid w:val="699B1E2F"/>
    <w:rsid w:val="69B221DF"/>
    <w:rsid w:val="69C67F6C"/>
    <w:rsid w:val="69C9359A"/>
    <w:rsid w:val="69D44760"/>
    <w:rsid w:val="69DA7573"/>
    <w:rsid w:val="69E623BC"/>
    <w:rsid w:val="69EA78F3"/>
    <w:rsid w:val="6A3457CB"/>
    <w:rsid w:val="6A470AE2"/>
    <w:rsid w:val="6A520EC7"/>
    <w:rsid w:val="6A6C5359"/>
    <w:rsid w:val="6A787845"/>
    <w:rsid w:val="6A835E5D"/>
    <w:rsid w:val="6A9B7748"/>
    <w:rsid w:val="6AA42102"/>
    <w:rsid w:val="6ABF7DA9"/>
    <w:rsid w:val="6AD128EA"/>
    <w:rsid w:val="6AE33665"/>
    <w:rsid w:val="6AF87E20"/>
    <w:rsid w:val="6B143C2B"/>
    <w:rsid w:val="6B165BCB"/>
    <w:rsid w:val="6B1F62A6"/>
    <w:rsid w:val="6B322639"/>
    <w:rsid w:val="6B3453A9"/>
    <w:rsid w:val="6B733865"/>
    <w:rsid w:val="6B743E8B"/>
    <w:rsid w:val="6B815F87"/>
    <w:rsid w:val="6B843501"/>
    <w:rsid w:val="6B8E7BAD"/>
    <w:rsid w:val="6C3D529E"/>
    <w:rsid w:val="6C615234"/>
    <w:rsid w:val="6C636C38"/>
    <w:rsid w:val="6C830571"/>
    <w:rsid w:val="6C8323C2"/>
    <w:rsid w:val="6C9F3F94"/>
    <w:rsid w:val="6CAD6332"/>
    <w:rsid w:val="6CD154C6"/>
    <w:rsid w:val="6CDC526E"/>
    <w:rsid w:val="6CEF6D26"/>
    <w:rsid w:val="6D4C1CF9"/>
    <w:rsid w:val="6D7E19C0"/>
    <w:rsid w:val="6D8537EE"/>
    <w:rsid w:val="6D855A48"/>
    <w:rsid w:val="6D8D66EC"/>
    <w:rsid w:val="6D910B5C"/>
    <w:rsid w:val="6DB34098"/>
    <w:rsid w:val="6DB462E4"/>
    <w:rsid w:val="6DB545B6"/>
    <w:rsid w:val="6DDC020F"/>
    <w:rsid w:val="6DE02FB4"/>
    <w:rsid w:val="6DFD29E4"/>
    <w:rsid w:val="6E3067B4"/>
    <w:rsid w:val="6E30791C"/>
    <w:rsid w:val="6E514CED"/>
    <w:rsid w:val="6EB563D5"/>
    <w:rsid w:val="6ECB1B80"/>
    <w:rsid w:val="6ED421B0"/>
    <w:rsid w:val="6ED65E95"/>
    <w:rsid w:val="6ED92677"/>
    <w:rsid w:val="6EF83A23"/>
    <w:rsid w:val="6F225983"/>
    <w:rsid w:val="6F415F3D"/>
    <w:rsid w:val="6F4E2A35"/>
    <w:rsid w:val="6F5A4B5F"/>
    <w:rsid w:val="6F6C4631"/>
    <w:rsid w:val="6F975F07"/>
    <w:rsid w:val="6F9871D1"/>
    <w:rsid w:val="6F9D4F6A"/>
    <w:rsid w:val="6FA5229A"/>
    <w:rsid w:val="6FB84600"/>
    <w:rsid w:val="6FD1208C"/>
    <w:rsid w:val="6FEC77B5"/>
    <w:rsid w:val="6FFC5590"/>
    <w:rsid w:val="700A492A"/>
    <w:rsid w:val="701257CA"/>
    <w:rsid w:val="703C2012"/>
    <w:rsid w:val="7047792D"/>
    <w:rsid w:val="7048066C"/>
    <w:rsid w:val="705066CF"/>
    <w:rsid w:val="706D1DD0"/>
    <w:rsid w:val="70856B87"/>
    <w:rsid w:val="7087609C"/>
    <w:rsid w:val="70876B77"/>
    <w:rsid w:val="70AF076E"/>
    <w:rsid w:val="70BA1EAD"/>
    <w:rsid w:val="70C13A83"/>
    <w:rsid w:val="70D527EE"/>
    <w:rsid w:val="711457D3"/>
    <w:rsid w:val="712038D9"/>
    <w:rsid w:val="7129280B"/>
    <w:rsid w:val="71345B5F"/>
    <w:rsid w:val="71435CA9"/>
    <w:rsid w:val="715045BF"/>
    <w:rsid w:val="715347EF"/>
    <w:rsid w:val="715B5300"/>
    <w:rsid w:val="71716AB1"/>
    <w:rsid w:val="717A57D5"/>
    <w:rsid w:val="71D15351"/>
    <w:rsid w:val="71D27F8A"/>
    <w:rsid w:val="72005413"/>
    <w:rsid w:val="72030D2C"/>
    <w:rsid w:val="72366CE3"/>
    <w:rsid w:val="723802CA"/>
    <w:rsid w:val="725325B9"/>
    <w:rsid w:val="72553024"/>
    <w:rsid w:val="725C74C5"/>
    <w:rsid w:val="726B5BE8"/>
    <w:rsid w:val="727566D7"/>
    <w:rsid w:val="72B80400"/>
    <w:rsid w:val="72BC7B37"/>
    <w:rsid w:val="72C75F7E"/>
    <w:rsid w:val="72C81BDA"/>
    <w:rsid w:val="72CB1664"/>
    <w:rsid w:val="72F21F81"/>
    <w:rsid w:val="72F636F2"/>
    <w:rsid w:val="72F731E2"/>
    <w:rsid w:val="72FB69CA"/>
    <w:rsid w:val="73085D88"/>
    <w:rsid w:val="73122968"/>
    <w:rsid w:val="731F5D5E"/>
    <w:rsid w:val="733405F2"/>
    <w:rsid w:val="739A5FC5"/>
    <w:rsid w:val="73A47D55"/>
    <w:rsid w:val="73A5383E"/>
    <w:rsid w:val="73BB1335"/>
    <w:rsid w:val="73BB61C1"/>
    <w:rsid w:val="73C16D4D"/>
    <w:rsid w:val="73C51AD5"/>
    <w:rsid w:val="73EA0124"/>
    <w:rsid w:val="73F15538"/>
    <w:rsid w:val="74100036"/>
    <w:rsid w:val="741E793C"/>
    <w:rsid w:val="74346361"/>
    <w:rsid w:val="744B37C5"/>
    <w:rsid w:val="74576219"/>
    <w:rsid w:val="745A55F3"/>
    <w:rsid w:val="745E3944"/>
    <w:rsid w:val="746A2535"/>
    <w:rsid w:val="747868FE"/>
    <w:rsid w:val="748973C3"/>
    <w:rsid w:val="748B21B0"/>
    <w:rsid w:val="748F1AFC"/>
    <w:rsid w:val="74997316"/>
    <w:rsid w:val="74A25276"/>
    <w:rsid w:val="74A91386"/>
    <w:rsid w:val="74E03EAC"/>
    <w:rsid w:val="74E4574A"/>
    <w:rsid w:val="74F82FA3"/>
    <w:rsid w:val="74FB6916"/>
    <w:rsid w:val="75001F9E"/>
    <w:rsid w:val="75004982"/>
    <w:rsid w:val="7537580E"/>
    <w:rsid w:val="75383CE8"/>
    <w:rsid w:val="75647EFD"/>
    <w:rsid w:val="757D16FB"/>
    <w:rsid w:val="75A97924"/>
    <w:rsid w:val="75BB4292"/>
    <w:rsid w:val="75C46E6B"/>
    <w:rsid w:val="76322B1D"/>
    <w:rsid w:val="7633285D"/>
    <w:rsid w:val="7635099D"/>
    <w:rsid w:val="76802D7F"/>
    <w:rsid w:val="76956FDE"/>
    <w:rsid w:val="76B86D5B"/>
    <w:rsid w:val="76C20083"/>
    <w:rsid w:val="76F11890"/>
    <w:rsid w:val="772D24EA"/>
    <w:rsid w:val="773526DE"/>
    <w:rsid w:val="7752737C"/>
    <w:rsid w:val="776D31C5"/>
    <w:rsid w:val="777271A3"/>
    <w:rsid w:val="77762421"/>
    <w:rsid w:val="778744BE"/>
    <w:rsid w:val="778D2EB3"/>
    <w:rsid w:val="77B2649F"/>
    <w:rsid w:val="77B56B1F"/>
    <w:rsid w:val="77BC7573"/>
    <w:rsid w:val="77D57E93"/>
    <w:rsid w:val="77EA243A"/>
    <w:rsid w:val="77FE6B23"/>
    <w:rsid w:val="78094A7F"/>
    <w:rsid w:val="780B6566"/>
    <w:rsid w:val="780F09F4"/>
    <w:rsid w:val="782F4F2E"/>
    <w:rsid w:val="783444A3"/>
    <w:rsid w:val="7857456E"/>
    <w:rsid w:val="78723B72"/>
    <w:rsid w:val="78770683"/>
    <w:rsid w:val="78A90480"/>
    <w:rsid w:val="78B30547"/>
    <w:rsid w:val="78CF6074"/>
    <w:rsid w:val="79181646"/>
    <w:rsid w:val="79691643"/>
    <w:rsid w:val="796C21B2"/>
    <w:rsid w:val="798258F7"/>
    <w:rsid w:val="798617C0"/>
    <w:rsid w:val="79A66416"/>
    <w:rsid w:val="79DE4E5E"/>
    <w:rsid w:val="79EE2BC7"/>
    <w:rsid w:val="7A253BCC"/>
    <w:rsid w:val="7A364017"/>
    <w:rsid w:val="7A3927D5"/>
    <w:rsid w:val="7A51607E"/>
    <w:rsid w:val="7A572FE3"/>
    <w:rsid w:val="7A6147C1"/>
    <w:rsid w:val="7A625323"/>
    <w:rsid w:val="7A790531"/>
    <w:rsid w:val="7A7C7ECB"/>
    <w:rsid w:val="7A807846"/>
    <w:rsid w:val="7A82541A"/>
    <w:rsid w:val="7A8265E1"/>
    <w:rsid w:val="7AA26CB0"/>
    <w:rsid w:val="7AC71C55"/>
    <w:rsid w:val="7B054A50"/>
    <w:rsid w:val="7B0A0573"/>
    <w:rsid w:val="7B12296A"/>
    <w:rsid w:val="7B155B15"/>
    <w:rsid w:val="7B2C1BF9"/>
    <w:rsid w:val="7B2F4509"/>
    <w:rsid w:val="7B31720F"/>
    <w:rsid w:val="7B3C0DDE"/>
    <w:rsid w:val="7B4933B8"/>
    <w:rsid w:val="7B4B2C25"/>
    <w:rsid w:val="7B571D78"/>
    <w:rsid w:val="7B674D3F"/>
    <w:rsid w:val="7B686D42"/>
    <w:rsid w:val="7B6C1BAD"/>
    <w:rsid w:val="7B841746"/>
    <w:rsid w:val="7BBD4F47"/>
    <w:rsid w:val="7BBE5416"/>
    <w:rsid w:val="7BCC55C4"/>
    <w:rsid w:val="7BD36518"/>
    <w:rsid w:val="7C016BE2"/>
    <w:rsid w:val="7C146DAB"/>
    <w:rsid w:val="7C2C6A4F"/>
    <w:rsid w:val="7C2E1319"/>
    <w:rsid w:val="7C5C4789"/>
    <w:rsid w:val="7C6C5AC7"/>
    <w:rsid w:val="7C8D5009"/>
    <w:rsid w:val="7C8E603A"/>
    <w:rsid w:val="7C983526"/>
    <w:rsid w:val="7CA1516A"/>
    <w:rsid w:val="7CAD5CB9"/>
    <w:rsid w:val="7CC6544B"/>
    <w:rsid w:val="7CD4649F"/>
    <w:rsid w:val="7CDD4AB5"/>
    <w:rsid w:val="7CE2016C"/>
    <w:rsid w:val="7CE402BB"/>
    <w:rsid w:val="7CE704CD"/>
    <w:rsid w:val="7CEC3486"/>
    <w:rsid w:val="7D0239FF"/>
    <w:rsid w:val="7D064979"/>
    <w:rsid w:val="7D3A7ED8"/>
    <w:rsid w:val="7D3B093C"/>
    <w:rsid w:val="7D3E1EAA"/>
    <w:rsid w:val="7D5E40CD"/>
    <w:rsid w:val="7D833F99"/>
    <w:rsid w:val="7D8D6768"/>
    <w:rsid w:val="7D932DE5"/>
    <w:rsid w:val="7DB02026"/>
    <w:rsid w:val="7DC51E91"/>
    <w:rsid w:val="7DCD56F2"/>
    <w:rsid w:val="7DD11077"/>
    <w:rsid w:val="7E2F4020"/>
    <w:rsid w:val="7E3C65F7"/>
    <w:rsid w:val="7E415218"/>
    <w:rsid w:val="7E5F5E41"/>
    <w:rsid w:val="7E720A37"/>
    <w:rsid w:val="7E79123D"/>
    <w:rsid w:val="7E7A13B3"/>
    <w:rsid w:val="7E7E276B"/>
    <w:rsid w:val="7E810E65"/>
    <w:rsid w:val="7E8E36CB"/>
    <w:rsid w:val="7EAF2DA8"/>
    <w:rsid w:val="7EBA751C"/>
    <w:rsid w:val="7EBD328D"/>
    <w:rsid w:val="7EC94EA3"/>
    <w:rsid w:val="7EE115FA"/>
    <w:rsid w:val="7EF83BA3"/>
    <w:rsid w:val="7F001CE7"/>
    <w:rsid w:val="7F014D30"/>
    <w:rsid w:val="7F1F7A17"/>
    <w:rsid w:val="7F6D27E0"/>
    <w:rsid w:val="7F897B7C"/>
    <w:rsid w:val="7F8C1A04"/>
    <w:rsid w:val="7F8E356C"/>
    <w:rsid w:val="7F95238D"/>
    <w:rsid w:val="7FAE4132"/>
    <w:rsid w:val="7FE47E50"/>
    <w:rsid w:val="7FED5E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92D050" joinstyle="miter" endarrow="open"/>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39"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3"/>
    <w:qFormat/>
    <w:locked/>
    <w:uiPriority w:val="0"/>
    <w:pPr>
      <w:numPr>
        <w:ilvl w:val="1"/>
        <w:numId w:val="1"/>
      </w:numPr>
      <w:spacing w:line="360" w:lineRule="auto"/>
      <w:outlineLvl w:val="1"/>
    </w:pPr>
    <w:rPr>
      <w:b/>
      <w:bCs/>
      <w:kern w:val="0"/>
      <w:sz w:val="28"/>
      <w:szCs w:val="28"/>
    </w:rPr>
  </w:style>
  <w:style w:type="paragraph" w:styleId="4">
    <w:name w:val="heading 3"/>
    <w:basedOn w:val="1"/>
    <w:next w:val="1"/>
    <w:qFormat/>
    <w:locked/>
    <w:uiPriority w:val="0"/>
    <w:pPr>
      <w:keepNext/>
      <w:keepLines/>
      <w:spacing w:before="120" w:after="120" w:line="360" w:lineRule="auto"/>
      <w:ind w:firstLine="0"/>
      <w:outlineLvl w:val="2"/>
    </w:pPr>
    <w:rPr>
      <w:rFonts w:ascii="Times New Roman" w:hAnsi="Times New Roman" w:eastAsia="宋体"/>
      <w:b/>
      <w:sz w:val="24"/>
    </w:rPr>
  </w:style>
  <w:style w:type="paragraph" w:styleId="5">
    <w:name w:val="heading 4"/>
    <w:basedOn w:val="1"/>
    <w:next w:val="1"/>
    <w:qFormat/>
    <w:locked/>
    <w:uiPriority w:val="0"/>
    <w:pPr>
      <w:keepNext/>
      <w:spacing w:line="500" w:lineRule="atLeast"/>
      <w:outlineLvl w:val="3"/>
    </w:pPr>
    <w:rPr>
      <w:sz w:val="28"/>
    </w:rPr>
  </w:style>
  <w:style w:type="character" w:default="1" w:styleId="37">
    <w:name w:val="Default Paragraph Font"/>
    <w:semiHidden/>
    <w:qFormat/>
    <w:uiPriority w:val="0"/>
    <w:rPr>
      <w:rFonts w:ascii="宋体" w:hAnsi="宋体" w:eastAsia="宋体" w:cs="Courier New"/>
      <w:sz w:val="32"/>
      <w:szCs w:val="32"/>
    </w:rPr>
  </w:style>
  <w:style w:type="table" w:default="1" w:styleId="35">
    <w:name w:val="Normal Table"/>
    <w:semiHidden/>
    <w:qFormat/>
    <w:uiPriority w:val="0"/>
    <w:tblPr>
      <w:tblCellMar>
        <w:top w:w="0" w:type="dxa"/>
        <w:left w:w="108" w:type="dxa"/>
        <w:bottom w:w="0" w:type="dxa"/>
        <w:right w:w="108" w:type="dxa"/>
      </w:tblCellMar>
    </w:tblPr>
  </w:style>
  <w:style w:type="paragraph" w:styleId="6">
    <w:name w:val="toc 7"/>
    <w:basedOn w:val="1"/>
    <w:next w:val="1"/>
    <w:qFormat/>
    <w:locked/>
    <w:uiPriority w:val="39"/>
    <w:pPr>
      <w:ind w:left="2520"/>
    </w:pPr>
  </w:style>
  <w:style w:type="paragraph" w:styleId="7">
    <w:name w:val="Note Heading"/>
    <w:basedOn w:val="1"/>
    <w:next w:val="1"/>
    <w:qFormat/>
    <w:locked/>
    <w:uiPriority w:val="0"/>
    <w:pPr>
      <w:autoSpaceDE/>
      <w:autoSpaceDN/>
      <w:adjustRightInd/>
      <w:jc w:val="center"/>
    </w:pPr>
    <w:rPr>
      <w:rFonts w:ascii="Calibri" w:hAnsi="Calibri"/>
      <w:kern w:val="2"/>
      <w:sz w:val="21"/>
    </w:rPr>
  </w:style>
  <w:style w:type="paragraph" w:styleId="8">
    <w:name w:val="Normal Indent"/>
    <w:basedOn w:val="1"/>
    <w:next w:val="9"/>
    <w:qFormat/>
    <w:locked/>
    <w:uiPriority w:val="0"/>
    <w:pPr>
      <w:ind w:firstLine="420"/>
    </w:pPr>
  </w:style>
  <w:style w:type="paragraph" w:customStyle="1" w:styleId="9">
    <w:name w:val="样式 标题 1 + 首行缩进:  0 字符"/>
    <w:basedOn w:val="2"/>
    <w:next w:val="10"/>
    <w:qFormat/>
    <w:uiPriority w:val="99"/>
    <w:pPr>
      <w:adjustRightInd/>
      <w:spacing w:before="0" w:beforeLines="0" w:after="0" w:afterLines="0" w:line="520" w:lineRule="exact"/>
      <w:ind w:firstLine="0" w:firstLineChars="0"/>
      <w:jc w:val="both"/>
    </w:pPr>
    <w:rPr>
      <w:rFonts w:ascii="Arial" w:hAnsi="Arial" w:eastAsia="黑体" w:cs="宋体"/>
      <w:color w:val="auto"/>
      <w:sz w:val="30"/>
      <w:szCs w:val="20"/>
    </w:rPr>
  </w:style>
  <w:style w:type="paragraph" w:customStyle="1" w:styleId="10">
    <w:name w:val="xl57"/>
    <w:basedOn w:val="1"/>
    <w:qFormat/>
    <w:uiPriority w:val="0"/>
    <w:pPr>
      <w:widowControl/>
      <w:pBdr>
        <w:top w:val="single" w:color="auto" w:sz="4" w:space="0"/>
        <w:left w:val="single" w:color="auto" w:sz="4" w:space="0"/>
        <w:bottom w:val="single" w:color="auto" w:sz="4" w:space="0"/>
      </w:pBdr>
      <w:adjustRightInd/>
      <w:spacing w:before="100" w:beforeLines="0" w:beforeAutospacing="1" w:after="100" w:afterLines="0" w:afterAutospacing="1" w:line="240" w:lineRule="auto"/>
      <w:ind w:firstLine="0" w:firstLineChars="0"/>
      <w:textAlignment w:val="center"/>
    </w:pPr>
    <w:rPr>
      <w:rFonts w:ascii="Times New Roman"/>
      <w:b/>
      <w:bCs/>
      <w:color w:val="auto"/>
      <w:kern w:val="0"/>
      <w:sz w:val="20"/>
      <w:szCs w:val="20"/>
    </w:rPr>
  </w:style>
  <w:style w:type="paragraph" w:styleId="11">
    <w:name w:val="caption"/>
    <w:basedOn w:val="1"/>
    <w:next w:val="1"/>
    <w:qFormat/>
    <w:locked/>
    <w:uiPriority w:val="0"/>
    <w:rPr>
      <w:rFonts w:ascii="Arial" w:hAnsi="Arial" w:eastAsia="黑体" w:cs="Arial"/>
      <w:sz w:val="20"/>
      <w:szCs w:val="20"/>
    </w:rPr>
  </w:style>
  <w:style w:type="paragraph" w:styleId="12">
    <w:name w:val="Document Map"/>
    <w:basedOn w:val="1"/>
    <w:link w:val="54"/>
    <w:qFormat/>
    <w:locked/>
    <w:uiPriority w:val="0"/>
    <w:rPr>
      <w:rFonts w:ascii="宋体"/>
      <w:sz w:val="18"/>
      <w:szCs w:val="18"/>
    </w:rPr>
  </w:style>
  <w:style w:type="paragraph" w:styleId="13">
    <w:name w:val="annotation text"/>
    <w:basedOn w:val="1"/>
    <w:link w:val="55"/>
    <w:semiHidden/>
    <w:qFormat/>
    <w:uiPriority w:val="0"/>
    <w:pPr>
      <w:jc w:val="left"/>
    </w:pPr>
    <w:rPr>
      <w:kern w:val="0"/>
      <w:sz w:val="24"/>
      <w:szCs w:val="20"/>
    </w:rPr>
  </w:style>
  <w:style w:type="paragraph" w:styleId="14">
    <w:name w:val="Salutation"/>
    <w:basedOn w:val="1"/>
    <w:next w:val="1"/>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5">
    <w:name w:val="Body Text"/>
    <w:basedOn w:val="1"/>
    <w:next w:val="16"/>
    <w:link w:val="52"/>
    <w:qFormat/>
    <w:uiPriority w:val="0"/>
    <w:pPr>
      <w:widowControl/>
      <w:snapToGrid w:val="0"/>
      <w:spacing w:before="60" w:after="160" w:line="259" w:lineRule="auto"/>
      <w:ind w:right="113"/>
    </w:pPr>
    <w:rPr>
      <w:kern w:val="0"/>
      <w:sz w:val="18"/>
      <w:szCs w:val="20"/>
    </w:rPr>
  </w:style>
  <w:style w:type="paragraph" w:styleId="16">
    <w:name w:val="Date"/>
    <w:basedOn w:val="1"/>
    <w:next w:val="1"/>
    <w:link w:val="57"/>
    <w:qFormat/>
    <w:uiPriority w:val="0"/>
    <w:pPr>
      <w:ind w:left="100" w:leftChars="2500"/>
    </w:pPr>
    <w:rPr>
      <w:kern w:val="0"/>
      <w:sz w:val="24"/>
      <w:szCs w:val="20"/>
    </w:rPr>
  </w:style>
  <w:style w:type="paragraph" w:styleId="17">
    <w:name w:val="Body Text Indent"/>
    <w:basedOn w:val="1"/>
    <w:link w:val="56"/>
    <w:qFormat/>
    <w:uiPriority w:val="0"/>
    <w:pPr>
      <w:spacing w:after="120"/>
      <w:ind w:left="420" w:leftChars="200"/>
    </w:pPr>
    <w:rPr>
      <w:kern w:val="0"/>
      <w:sz w:val="24"/>
      <w:szCs w:val="20"/>
    </w:rPr>
  </w:style>
  <w:style w:type="paragraph" w:styleId="18">
    <w:name w:val="Block Text"/>
    <w:basedOn w:val="1"/>
    <w:next w:val="15"/>
    <w:qFormat/>
    <w:locked/>
    <w:uiPriority w:val="0"/>
    <w:pPr>
      <w:ind w:left="-2" w:leftChars="-1" w:right="-78" w:rightChars="-37" w:firstLine="630" w:firstLineChars="225"/>
    </w:pPr>
    <w:rPr>
      <w:rFonts w:ascii="宋体" w:hAnsi="宋体"/>
      <w:sz w:val="28"/>
    </w:rPr>
  </w:style>
  <w:style w:type="paragraph" w:styleId="19">
    <w:name w:val="Plain Text"/>
    <w:basedOn w:val="1"/>
    <w:qFormat/>
    <w:locked/>
    <w:uiPriority w:val="0"/>
    <w:pPr>
      <w:ind w:firstLine="0"/>
    </w:pPr>
    <w:rPr>
      <w:rFonts w:ascii="宋体" w:hAnsi="Courier New"/>
      <w:sz w:val="24"/>
    </w:rPr>
  </w:style>
  <w:style w:type="paragraph" w:styleId="20">
    <w:name w:val="Body Text Indent 2"/>
    <w:basedOn w:val="1"/>
    <w:qFormat/>
    <w:locked/>
    <w:uiPriority w:val="0"/>
    <w:pPr>
      <w:spacing w:after="120" w:line="480" w:lineRule="auto"/>
      <w:ind w:left="420" w:leftChars="200"/>
    </w:pPr>
  </w:style>
  <w:style w:type="paragraph" w:styleId="21">
    <w:name w:val="Balloon Text"/>
    <w:basedOn w:val="1"/>
    <w:next w:val="1"/>
    <w:link w:val="58"/>
    <w:semiHidden/>
    <w:qFormat/>
    <w:uiPriority w:val="0"/>
    <w:rPr>
      <w:kern w:val="0"/>
      <w:sz w:val="18"/>
      <w:szCs w:val="20"/>
    </w:rPr>
  </w:style>
  <w:style w:type="paragraph" w:styleId="22">
    <w:name w:val="footer"/>
    <w:basedOn w:val="1"/>
    <w:link w:val="59"/>
    <w:qFormat/>
    <w:uiPriority w:val="99"/>
    <w:pPr>
      <w:tabs>
        <w:tab w:val="center" w:pos="4153"/>
        <w:tab w:val="right" w:pos="8306"/>
      </w:tabs>
      <w:snapToGrid w:val="0"/>
      <w:jc w:val="left"/>
    </w:pPr>
    <w:rPr>
      <w:kern w:val="0"/>
      <w:sz w:val="18"/>
      <w:szCs w:val="20"/>
    </w:rPr>
  </w:style>
  <w:style w:type="paragraph" w:styleId="23">
    <w:name w:val="header"/>
    <w:basedOn w:val="1"/>
    <w:next w:val="24"/>
    <w:link w:val="6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next w:val="26"/>
    <w:qFormat/>
    <w:uiPriority w:val="0"/>
    <w:pPr>
      <w:spacing w:line="360" w:lineRule="auto"/>
      <w:ind w:firstLine="480" w:firstLineChars="200"/>
    </w:pPr>
    <w:rPr>
      <w:rFonts w:eastAsia="仿宋_GB2312"/>
      <w:sz w:val="24"/>
      <w:szCs w:val="24"/>
    </w:rPr>
  </w:style>
  <w:style w:type="paragraph" w:customStyle="1" w:styleId="25">
    <w:name w:val="正文1"/>
    <w:basedOn w:val="17"/>
    <w:qFormat/>
    <w:uiPriority w:val="0"/>
    <w:pPr>
      <w:ind w:firstLine="200" w:firstLineChars="200"/>
    </w:pPr>
    <w:rPr>
      <w:rFonts w:eastAsia="宋体" w:cs="宋体"/>
      <w:sz w:val="24"/>
    </w:rPr>
  </w:style>
  <w:style w:type="paragraph" w:customStyle="1" w:styleId="26">
    <w:name w:val="图框文字"/>
    <w:basedOn w:val="1"/>
    <w:qFormat/>
    <w:uiPriority w:val="0"/>
    <w:pPr>
      <w:jc w:val="center"/>
      <w:textAlignment w:val="center"/>
    </w:pPr>
  </w:style>
  <w:style w:type="paragraph" w:styleId="27">
    <w:name w:val="toc 1"/>
    <w:basedOn w:val="1"/>
    <w:next w:val="1"/>
    <w:qFormat/>
    <w:locked/>
    <w:uiPriority w:val="0"/>
  </w:style>
  <w:style w:type="paragraph" w:styleId="28">
    <w:name w:val="Body Text Indent 3"/>
    <w:basedOn w:val="1"/>
    <w:qFormat/>
    <w:locked/>
    <w:uiPriority w:val="0"/>
    <w:pPr>
      <w:spacing w:after="120"/>
      <w:ind w:left="420" w:leftChars="200"/>
    </w:pPr>
    <w:rPr>
      <w:rFonts w:ascii="Arial" w:hAnsi="Arial"/>
      <w:sz w:val="16"/>
      <w:szCs w:val="16"/>
    </w:rPr>
  </w:style>
  <w:style w:type="paragraph" w:styleId="29">
    <w:name w:val="toc 2"/>
    <w:basedOn w:val="1"/>
    <w:next w:val="1"/>
    <w:qFormat/>
    <w:locked/>
    <w:uiPriority w:val="0"/>
    <w:pPr>
      <w:tabs>
        <w:tab w:val="right" w:leader="dot" w:pos="8155"/>
      </w:tabs>
      <w:snapToGrid w:val="0"/>
      <w:spacing w:line="440" w:lineRule="exact"/>
      <w:ind w:firstLine="340"/>
      <w:jc w:val="left"/>
    </w:pPr>
    <w:rPr>
      <w:kern w:val="2"/>
    </w:rPr>
  </w:style>
  <w:style w:type="paragraph" w:styleId="30">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qFormat/>
    <w:locked/>
    <w:uiPriority w:val="0"/>
    <w:pPr>
      <w:spacing w:before="240" w:after="60"/>
      <w:jc w:val="center"/>
      <w:outlineLvl w:val="0"/>
    </w:pPr>
    <w:rPr>
      <w:rFonts w:ascii="Cambria" w:hAnsi="Cambria" w:eastAsia="方正小标宋简体"/>
      <w:bCs/>
      <w:spacing w:val="0"/>
      <w:kern w:val="0"/>
      <w:sz w:val="36"/>
      <w:szCs w:val="32"/>
    </w:rPr>
  </w:style>
  <w:style w:type="paragraph" w:styleId="32">
    <w:name w:val="annotation subject"/>
    <w:basedOn w:val="13"/>
    <w:next w:val="13"/>
    <w:link w:val="62"/>
    <w:semiHidden/>
    <w:qFormat/>
    <w:uiPriority w:val="0"/>
    <w:rPr>
      <w:b/>
      <w:kern w:val="2"/>
    </w:rPr>
  </w:style>
  <w:style w:type="paragraph" w:styleId="33">
    <w:name w:val="Body Text First Indent"/>
    <w:basedOn w:val="15"/>
    <w:qFormat/>
    <w:locked/>
    <w:uiPriority w:val="0"/>
    <w:pPr>
      <w:ind w:firstLine="420" w:firstLineChars="100"/>
    </w:pPr>
  </w:style>
  <w:style w:type="paragraph" w:styleId="34">
    <w:name w:val="Body Text First Indent 2"/>
    <w:basedOn w:val="17"/>
    <w:next w:val="1"/>
    <w:qFormat/>
    <w:locked/>
    <w:uiPriority w:val="0"/>
    <w:pPr>
      <w:keepNext w:val="0"/>
      <w:keepLines w:val="0"/>
      <w:widowControl/>
      <w:suppressLineNumbers w:val="0"/>
      <w:spacing w:before="0" w:beforeAutospacing="0" w:after="120" w:afterAutospacing="0"/>
      <w:ind w:left="420" w:leftChars="200" w:right="0" w:firstLine="420" w:firstLineChars="200"/>
      <w:jc w:val="left"/>
    </w:pPr>
    <w:rPr>
      <w:sz w:val="28"/>
      <w:szCs w:val="28"/>
    </w:r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locked/>
    <w:uiPriority w:val="0"/>
    <w:rPr>
      <w:b/>
      <w:bCs/>
    </w:rPr>
  </w:style>
  <w:style w:type="character" w:styleId="39">
    <w:name w:val="page number"/>
    <w:qFormat/>
    <w:locked/>
    <w:uiPriority w:val="0"/>
  </w:style>
  <w:style w:type="character" w:styleId="40">
    <w:name w:val="FollowedHyperlink"/>
    <w:qFormat/>
    <w:locked/>
    <w:uiPriority w:val="0"/>
    <w:rPr>
      <w:color w:val="338DE6"/>
      <w:u w:val="none"/>
    </w:rPr>
  </w:style>
  <w:style w:type="character" w:styleId="41">
    <w:name w:val="Emphasis"/>
    <w:qFormat/>
    <w:locked/>
    <w:uiPriority w:val="0"/>
  </w:style>
  <w:style w:type="character" w:styleId="42">
    <w:name w:val="HTML Definition"/>
    <w:qFormat/>
    <w:locked/>
    <w:uiPriority w:val="0"/>
  </w:style>
  <w:style w:type="character" w:styleId="43">
    <w:name w:val="HTML Variable"/>
    <w:qFormat/>
    <w:locked/>
    <w:uiPriority w:val="0"/>
  </w:style>
  <w:style w:type="character" w:styleId="44">
    <w:name w:val="Hyperlink"/>
    <w:qFormat/>
    <w:locked/>
    <w:uiPriority w:val="0"/>
    <w:rPr>
      <w:color w:val="338DE6"/>
      <w:u w:val="none"/>
    </w:rPr>
  </w:style>
  <w:style w:type="character" w:styleId="45">
    <w:name w:val="HTML Code"/>
    <w:qFormat/>
    <w:locked/>
    <w:uiPriority w:val="0"/>
    <w:rPr>
      <w:rFonts w:hint="default" w:ascii="serif" w:hAnsi="serif" w:eastAsia="serif" w:cs="serif"/>
      <w:sz w:val="21"/>
      <w:szCs w:val="21"/>
    </w:rPr>
  </w:style>
  <w:style w:type="character" w:styleId="46">
    <w:name w:val="annotation reference"/>
    <w:basedOn w:val="37"/>
    <w:semiHidden/>
    <w:qFormat/>
    <w:uiPriority w:val="0"/>
    <w:rPr>
      <w:sz w:val="21"/>
    </w:rPr>
  </w:style>
  <w:style w:type="character" w:styleId="47">
    <w:name w:val="HTML Cite"/>
    <w:qFormat/>
    <w:locked/>
    <w:uiPriority w:val="0"/>
  </w:style>
  <w:style w:type="character" w:styleId="48">
    <w:name w:val="HTML Keyboard"/>
    <w:qFormat/>
    <w:locked/>
    <w:uiPriority w:val="0"/>
    <w:rPr>
      <w:rFonts w:ascii="serif" w:hAnsi="serif" w:eastAsia="serif" w:cs="serif"/>
      <w:sz w:val="21"/>
      <w:szCs w:val="21"/>
    </w:rPr>
  </w:style>
  <w:style w:type="character" w:styleId="49">
    <w:name w:val="HTML Sample"/>
    <w:qFormat/>
    <w:locked/>
    <w:uiPriority w:val="0"/>
    <w:rPr>
      <w:rFonts w:hint="default" w:ascii="serif" w:hAnsi="serif" w:eastAsia="serif" w:cs="serif"/>
      <w:sz w:val="21"/>
      <w:szCs w:val="21"/>
    </w:rPr>
  </w:style>
  <w:style w:type="paragraph" w:customStyle="1" w:styleId="50">
    <w:name w:val="style4"/>
    <w:basedOn w:val="1"/>
    <w:next w:val="51"/>
    <w:qFormat/>
    <w:uiPriority w:val="0"/>
    <w:pPr>
      <w:spacing w:before="280" w:after="280"/>
    </w:pPr>
    <w:rPr>
      <w:rFonts w:ascii="宋体"/>
      <w:sz w:val="18"/>
    </w:rPr>
  </w:style>
  <w:style w:type="paragraph" w:customStyle="1" w:styleId="51">
    <w:name w:val="2"/>
    <w:basedOn w:val="1"/>
    <w:next w:val="1"/>
    <w:qFormat/>
    <w:uiPriority w:val="0"/>
    <w:rPr>
      <w:rFonts w:ascii="宋体" w:hAnsi="Courier New" w:cs="Courier New"/>
      <w:szCs w:val="21"/>
    </w:rPr>
  </w:style>
  <w:style w:type="character" w:customStyle="1" w:styleId="52">
    <w:name w:val="正文文本 Char"/>
    <w:link w:val="15"/>
    <w:qFormat/>
    <w:locked/>
    <w:uiPriority w:val="0"/>
    <w:rPr>
      <w:sz w:val="18"/>
    </w:rPr>
  </w:style>
  <w:style w:type="character" w:customStyle="1" w:styleId="53">
    <w:name w:val="标题 2 Char"/>
    <w:link w:val="3"/>
    <w:qFormat/>
    <w:uiPriority w:val="0"/>
    <w:rPr>
      <w:b/>
      <w:bCs/>
      <w:kern w:val="0"/>
      <w:sz w:val="28"/>
      <w:szCs w:val="28"/>
    </w:rPr>
  </w:style>
  <w:style w:type="character" w:customStyle="1" w:styleId="54">
    <w:name w:val="文档结构图 Char"/>
    <w:basedOn w:val="37"/>
    <w:link w:val="12"/>
    <w:qFormat/>
    <w:uiPriority w:val="0"/>
    <w:rPr>
      <w:kern w:val="2"/>
      <w:sz w:val="18"/>
      <w:szCs w:val="18"/>
    </w:rPr>
  </w:style>
  <w:style w:type="character" w:customStyle="1" w:styleId="55">
    <w:name w:val="批注文字 Char"/>
    <w:link w:val="13"/>
    <w:qFormat/>
    <w:locked/>
    <w:uiPriority w:val="0"/>
    <w:rPr>
      <w:rFonts w:ascii="Times New Roman" w:hAnsi="Times New Roman" w:eastAsia="宋体"/>
      <w:sz w:val="24"/>
    </w:rPr>
  </w:style>
  <w:style w:type="character" w:customStyle="1" w:styleId="56">
    <w:name w:val="正文文本缩进 Char"/>
    <w:link w:val="17"/>
    <w:semiHidden/>
    <w:qFormat/>
    <w:locked/>
    <w:uiPriority w:val="0"/>
    <w:rPr>
      <w:rFonts w:ascii="Times New Roman" w:hAnsi="Times New Roman" w:eastAsia="宋体"/>
      <w:sz w:val="24"/>
    </w:rPr>
  </w:style>
  <w:style w:type="character" w:customStyle="1" w:styleId="57">
    <w:name w:val="日期 Char"/>
    <w:link w:val="16"/>
    <w:qFormat/>
    <w:locked/>
    <w:uiPriority w:val="0"/>
    <w:rPr>
      <w:rFonts w:ascii="Times New Roman" w:hAnsi="Times New Roman" w:eastAsia="宋体"/>
      <w:sz w:val="24"/>
    </w:rPr>
  </w:style>
  <w:style w:type="character" w:customStyle="1" w:styleId="58">
    <w:name w:val="批注框文本 Char"/>
    <w:link w:val="21"/>
    <w:semiHidden/>
    <w:qFormat/>
    <w:locked/>
    <w:uiPriority w:val="0"/>
    <w:rPr>
      <w:rFonts w:ascii="Times New Roman" w:hAnsi="Times New Roman" w:eastAsia="宋体"/>
      <w:sz w:val="18"/>
    </w:rPr>
  </w:style>
  <w:style w:type="character" w:customStyle="1" w:styleId="59">
    <w:name w:val="页脚 Char"/>
    <w:link w:val="22"/>
    <w:qFormat/>
    <w:locked/>
    <w:uiPriority w:val="99"/>
    <w:rPr>
      <w:sz w:val="18"/>
    </w:rPr>
  </w:style>
  <w:style w:type="character" w:customStyle="1" w:styleId="60">
    <w:name w:val="页眉 Char"/>
    <w:link w:val="23"/>
    <w:qFormat/>
    <w:locked/>
    <w:uiPriority w:val="0"/>
    <w:rPr>
      <w:sz w:val="18"/>
    </w:rPr>
  </w:style>
  <w:style w:type="character" w:customStyle="1" w:styleId="61">
    <w:name w:val="普通(网站) Char"/>
    <w:link w:val="30"/>
    <w:qFormat/>
    <w:locked/>
    <w:uiPriority w:val="0"/>
    <w:rPr>
      <w:rFonts w:ascii="宋体" w:hAnsi="宋体" w:eastAsia="宋体"/>
      <w:sz w:val="24"/>
    </w:rPr>
  </w:style>
  <w:style w:type="character" w:customStyle="1" w:styleId="62">
    <w:name w:val="批注主题 Char"/>
    <w:link w:val="32"/>
    <w:semiHidden/>
    <w:qFormat/>
    <w:locked/>
    <w:uiPriority w:val="0"/>
    <w:rPr>
      <w:rFonts w:ascii="Times New Roman" w:hAnsi="Times New Roman" w:eastAsia="宋体"/>
      <w:b/>
      <w:kern w:val="2"/>
      <w:sz w:val="24"/>
    </w:rPr>
  </w:style>
  <w:style w:type="paragraph" w:customStyle="1" w:styleId="63">
    <w:name w:val="Default"/>
    <w:basedOn w:val="64"/>
    <w:next w:val="6"/>
    <w:qFormat/>
    <w:uiPriority w:val="0"/>
    <w:pPr>
      <w:widowControl w:val="0"/>
      <w:autoSpaceDE w:val="0"/>
      <w:autoSpaceDN w:val="0"/>
      <w:adjustRightInd w:val="0"/>
    </w:pPr>
    <w:rPr>
      <w:rFonts w:ascii="Arial Unicode MS" w:hAnsi="Arial Unicode MS" w:cs="Arial Unicode MS"/>
      <w:color w:val="000000"/>
      <w:sz w:val="24"/>
      <w:szCs w:val="24"/>
      <w:lang w:val="en-US" w:eastAsia="zh-CN" w:bidi="ar-SA"/>
    </w:rPr>
  </w:style>
  <w:style w:type="paragraph" w:customStyle="1" w:styleId="64">
    <w:name w:val="纯文本1"/>
    <w:basedOn w:val="1"/>
    <w:qFormat/>
    <w:uiPriority w:val="0"/>
    <w:pPr>
      <w:adjustRightInd w:val="0"/>
    </w:pPr>
    <w:rPr>
      <w:rFonts w:ascii="宋体" w:hAnsi="Courier New"/>
      <w:szCs w:val="20"/>
    </w:rPr>
  </w:style>
  <w:style w:type="paragraph" w:customStyle="1" w:styleId="65">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6">
    <w:name w:val="表格文字"/>
    <w:basedOn w:val="67"/>
    <w:qFormat/>
    <w:uiPriority w:val="0"/>
    <w:pPr>
      <w:ind w:firstLine="0"/>
      <w:jc w:val="center"/>
    </w:pPr>
    <w:rPr>
      <w:rFonts w:eastAsia="宋体"/>
      <w:sz w:val="18"/>
      <w:szCs w:val="18"/>
    </w:rPr>
  </w:style>
  <w:style w:type="paragraph" w:customStyle="1" w:styleId="67">
    <w:name w:val="环评表格"/>
    <w:basedOn w:val="1"/>
    <w:next w:val="68"/>
    <w:qFormat/>
    <w:uiPriority w:val="0"/>
    <w:pPr>
      <w:snapToGrid w:val="0"/>
      <w:spacing w:line="240" w:lineRule="auto"/>
      <w:ind w:firstLine="0" w:firstLineChars="0"/>
      <w:jc w:val="center"/>
    </w:pPr>
    <w:rPr>
      <w:rFonts w:ascii="Times New Roman" w:hAnsi="Times New Roman" w:eastAsia="宋体" w:cs="Times New Roman"/>
      <w:snapToGrid/>
      <w:kern w:val="2"/>
      <w:sz w:val="21"/>
      <w:szCs w:val="21"/>
    </w:rPr>
  </w:style>
  <w:style w:type="paragraph" w:customStyle="1" w:styleId="68">
    <w:name w:val="环评正文"/>
    <w:basedOn w:val="1"/>
    <w:qFormat/>
    <w:uiPriority w:val="0"/>
    <w:pPr>
      <w:spacing w:line="360" w:lineRule="auto"/>
      <w:ind w:firstLine="480" w:firstLineChars="200"/>
    </w:pPr>
    <w:rPr>
      <w:rFonts w:ascii="Times New Roman" w:hAnsi="Times New Roman" w:eastAsia="宋体"/>
      <w:sz w:val="24"/>
    </w:rPr>
  </w:style>
  <w:style w:type="paragraph" w:customStyle="1" w:styleId="69">
    <w:name w:val="0正文"/>
    <w:basedOn w:val="17"/>
    <w:unhideWhenUsed/>
    <w:qFormat/>
    <w:uiPriority w:val="0"/>
    <w:pPr>
      <w:spacing w:line="360" w:lineRule="auto"/>
      <w:ind w:firstLine="720" w:firstLineChars="200"/>
    </w:pPr>
    <w:rPr>
      <w:szCs w:val="22"/>
    </w:rPr>
  </w:style>
  <w:style w:type="paragraph" w:customStyle="1" w:styleId="70">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71">
    <w:name w:val="样式 正文文本缩进 + 行距: 1.5 倍行距"/>
    <w:basedOn w:val="1"/>
    <w:qFormat/>
    <w:uiPriority w:val="0"/>
    <w:pPr>
      <w:spacing w:after="120" w:line="360" w:lineRule="auto"/>
      <w:ind w:left="90" w:leftChars="32" w:firstLine="560" w:firstLineChars="200"/>
    </w:pPr>
    <w:rPr>
      <w:rFonts w:cs="宋体"/>
      <w:sz w:val="24"/>
    </w:rPr>
  </w:style>
  <w:style w:type="character" w:customStyle="1" w:styleId="72">
    <w:name w:val="5文章(治) Char1"/>
    <w:qFormat/>
    <w:uiPriority w:val="0"/>
    <w:rPr>
      <w:rFonts w:ascii="Arial" w:hAnsi="Arial" w:eastAsia="宋体" w:cs="Tahoma"/>
      <w:snapToGrid w:val="0"/>
      <w:sz w:val="24"/>
      <w:szCs w:val="21"/>
      <w:lang w:val="en-US" w:eastAsia="zh-CN" w:bidi="ar-SA"/>
    </w:rPr>
  </w:style>
  <w:style w:type="character" w:customStyle="1" w:styleId="73">
    <w:name w:val="页脚 字符"/>
    <w:qFormat/>
    <w:uiPriority w:val="99"/>
  </w:style>
  <w:style w:type="character" w:customStyle="1" w:styleId="74">
    <w:name w:val="日期 字符"/>
    <w:semiHidden/>
    <w:qFormat/>
    <w:uiPriority w:val="0"/>
    <w:rPr>
      <w:rFonts w:ascii="Times New Roman" w:hAnsi="Times New Roman" w:eastAsia="宋体"/>
      <w:sz w:val="24"/>
    </w:rPr>
  </w:style>
  <w:style w:type="character" w:customStyle="1" w:styleId="75">
    <w:name w:val="zhang正文 Char1"/>
    <w:link w:val="76"/>
    <w:qFormat/>
    <w:uiPriority w:val="0"/>
    <w:rPr>
      <w:rFonts w:eastAsia="楷体_GB2312"/>
      <w:kern w:val="0"/>
    </w:rPr>
  </w:style>
  <w:style w:type="paragraph" w:customStyle="1" w:styleId="76">
    <w:name w:val="zhang正文"/>
    <w:basedOn w:val="17"/>
    <w:next w:val="1"/>
    <w:link w:val="75"/>
    <w:qFormat/>
    <w:uiPriority w:val="0"/>
    <w:pPr>
      <w:autoSpaceDE w:val="0"/>
      <w:autoSpaceDN w:val="0"/>
      <w:adjustRightInd w:val="0"/>
      <w:snapToGrid w:val="0"/>
      <w:spacing w:line="500" w:lineRule="exact"/>
      <w:ind w:firstLine="539"/>
      <w:textAlignment w:val="baseline"/>
    </w:pPr>
    <w:rPr>
      <w:rFonts w:eastAsia="楷体_GB2312"/>
      <w:sz w:val="20"/>
    </w:rPr>
  </w:style>
  <w:style w:type="character" w:customStyle="1" w:styleId="77">
    <w:name w:val="正文文本 字符1"/>
    <w:semiHidden/>
    <w:qFormat/>
    <w:uiPriority w:val="0"/>
    <w:rPr>
      <w:rFonts w:ascii="Times New Roman" w:hAnsi="Times New Roman" w:eastAsia="宋体"/>
      <w:sz w:val="24"/>
    </w:rPr>
  </w:style>
  <w:style w:type="character" w:customStyle="1" w:styleId="78">
    <w:name w:val="表格 Char"/>
    <w:link w:val="79"/>
    <w:qFormat/>
    <w:locked/>
    <w:uiPriority w:val="0"/>
    <w:rPr>
      <w:rFonts w:ascii="宋体"/>
      <w:sz w:val="21"/>
    </w:rPr>
  </w:style>
  <w:style w:type="paragraph" w:customStyle="1" w:styleId="79">
    <w:name w:val="表格"/>
    <w:basedOn w:val="11"/>
    <w:next w:val="1"/>
    <w:link w:val="78"/>
    <w:qFormat/>
    <w:uiPriority w:val="0"/>
    <w:pPr>
      <w:adjustRightInd w:val="0"/>
      <w:snapToGrid w:val="0"/>
      <w:spacing w:beforeLines="10" w:afterLines="10" w:line="259" w:lineRule="auto"/>
      <w:jc w:val="center"/>
    </w:pPr>
    <w:rPr>
      <w:rFonts w:ascii="宋体"/>
      <w:kern w:val="0"/>
      <w:szCs w:val="20"/>
    </w:rPr>
  </w:style>
  <w:style w:type="character" w:customStyle="1" w:styleId="80">
    <w:name w:val="批注文字 字符1"/>
    <w:semiHidden/>
    <w:qFormat/>
    <w:uiPriority w:val="0"/>
    <w:rPr>
      <w:rFonts w:ascii="Times New Roman" w:hAnsi="Times New Roman" w:eastAsia="宋体"/>
      <w:sz w:val="24"/>
    </w:rPr>
  </w:style>
  <w:style w:type="character" w:customStyle="1" w:styleId="81">
    <w:name w:val="样式 zhang正文 + 宋体 小四 Char"/>
    <w:link w:val="82"/>
    <w:qFormat/>
    <w:uiPriority w:val="0"/>
    <w:rPr>
      <w:rFonts w:ascii="宋体" w:hAnsi="宋体" w:eastAsia="宋体"/>
      <w:sz w:val="24"/>
    </w:rPr>
  </w:style>
  <w:style w:type="paragraph" w:customStyle="1" w:styleId="82">
    <w:name w:val="样式 zhang正文 + 宋体 小四"/>
    <w:basedOn w:val="76"/>
    <w:link w:val="81"/>
    <w:qFormat/>
    <w:uiPriority w:val="0"/>
    <w:rPr>
      <w:rFonts w:ascii="宋体" w:hAnsi="宋体" w:eastAsia="宋体"/>
    </w:rPr>
  </w:style>
  <w:style w:type="paragraph" w:customStyle="1" w:styleId="83">
    <w:name w:val="环评 表格"/>
    <w:basedOn w:val="84"/>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84">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85">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86">
    <w:name w:val="a表格"/>
    <w:basedOn w:val="1"/>
    <w:qFormat/>
    <w:uiPriority w:val="0"/>
    <w:pPr>
      <w:snapToGrid w:val="0"/>
      <w:ind w:firstLine="0"/>
      <w:jc w:val="center"/>
    </w:pPr>
    <w:rPr>
      <w:rFonts w:eastAsia="宋体"/>
      <w:sz w:val="21"/>
      <w:szCs w:val="24"/>
    </w:rPr>
  </w:style>
  <w:style w:type="paragraph" w:customStyle="1" w:styleId="87">
    <w:name w:val="样式 样式 样式 首行缩进:  2 字符 + 居中 + 行距: 固定值 17 磅"/>
    <w:basedOn w:val="1"/>
    <w:qFormat/>
    <w:uiPriority w:val="0"/>
    <w:pPr>
      <w:adjustRightInd w:val="0"/>
      <w:snapToGrid w:val="0"/>
      <w:spacing w:line="340" w:lineRule="exact"/>
      <w:ind w:firstLine="0"/>
      <w:jc w:val="center"/>
    </w:pPr>
    <w:rPr>
      <w:rFonts w:eastAsia="宋体" w:cs="宋体"/>
      <w:color w:val="000000"/>
      <w:sz w:val="21"/>
    </w:rPr>
  </w:style>
  <w:style w:type="paragraph" w:customStyle="1" w:styleId="88">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89">
    <w:name w:val="Table Paragraph"/>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paragraph" w:customStyle="1" w:styleId="90">
    <w:name w:val="表的标题"/>
    <w:basedOn w:val="1"/>
    <w:next w:val="91"/>
    <w:qFormat/>
    <w:uiPriority w:val="0"/>
    <w:pPr>
      <w:adjustRightInd w:val="0"/>
      <w:snapToGrid w:val="0"/>
      <w:spacing w:before="50" w:beforeLines="50"/>
      <w:jc w:val="center"/>
    </w:pPr>
    <w:rPr>
      <w:rFonts w:eastAsia="黑体" w:cs="宋体"/>
      <w:sz w:val="24"/>
      <w:szCs w:val="20"/>
    </w:rPr>
  </w:style>
  <w:style w:type="paragraph" w:customStyle="1" w:styleId="91">
    <w:name w:val="表中正文"/>
    <w:basedOn w:val="1"/>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paragraph" w:customStyle="1" w:styleId="92">
    <w:name w:val="BGZX"/>
    <w:next w:val="1"/>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9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表格内容"/>
    <w:basedOn w:val="95"/>
    <w:qFormat/>
    <w:uiPriority w:val="0"/>
    <w:pPr>
      <w:autoSpaceDE w:val="0"/>
      <w:autoSpaceDN w:val="0"/>
      <w:ind w:firstLine="0"/>
      <w:jc w:val="center"/>
    </w:pPr>
    <w:rPr>
      <w:kern w:val="0"/>
      <w:sz w:val="24"/>
      <w:lang w:bidi="he-IL"/>
    </w:rPr>
  </w:style>
  <w:style w:type="paragraph" w:customStyle="1" w:styleId="95">
    <w:name w:val="内容"/>
    <w:basedOn w:val="1"/>
    <w:qFormat/>
    <w:uiPriority w:val="0"/>
    <w:pPr>
      <w:adjustRightInd w:val="0"/>
      <w:spacing w:before="100" w:beforeLines="50" w:beforeAutospacing="1" w:after="100" w:afterLines="50" w:afterAutospacing="1" w:line="400" w:lineRule="atLeast"/>
      <w:ind w:left="851"/>
      <w:textAlignment w:val="baseline"/>
    </w:pPr>
    <w:rPr>
      <w:kern w:val="0"/>
      <w:sz w:val="24"/>
    </w:rPr>
  </w:style>
  <w:style w:type="paragraph" w:customStyle="1" w:styleId="96">
    <w:name w:val="表格标题"/>
    <w:basedOn w:val="97"/>
    <w:next w:val="1"/>
    <w:qFormat/>
    <w:uiPriority w:val="0"/>
    <w:pPr>
      <w:numPr>
        <w:ilvl w:val="0"/>
        <w:numId w:val="2"/>
      </w:numPr>
      <w:spacing w:line="360" w:lineRule="auto"/>
      <w:ind w:left="0" w:firstLine="0"/>
      <w:jc w:val="center"/>
      <w:outlineLvl w:val="4"/>
    </w:pPr>
    <w:rPr>
      <w:b/>
      <w:kern w:val="0"/>
      <w:sz w:val="24"/>
    </w:rPr>
  </w:style>
  <w:style w:type="paragraph" w:customStyle="1" w:styleId="97">
    <w:name w:val="Text"/>
    <w:qFormat/>
    <w:uiPriority w:val="0"/>
    <w:pPr>
      <w:spacing w:line="360" w:lineRule="auto"/>
    </w:pPr>
    <w:rPr>
      <w:rFonts w:ascii="Times New Roman" w:hAnsi="Times New Roman" w:eastAsia="宋体" w:cs="宋体"/>
      <w:sz w:val="24"/>
      <w:szCs w:val="24"/>
      <w:lang w:val="en-US" w:eastAsia="zh-CN" w:bidi="ar-SA"/>
    </w:rPr>
  </w:style>
  <w:style w:type="paragraph" w:customStyle="1" w:styleId="98">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99">
    <w:name w:val="表格固定文字"/>
    <w:basedOn w:val="1"/>
    <w:qFormat/>
    <w:uiPriority w:val="0"/>
    <w:pPr>
      <w:ind w:firstLine="0"/>
    </w:pPr>
    <w:rPr>
      <w:rFonts w:eastAsia="宋体"/>
      <w:sz w:val="21"/>
      <w:szCs w:val="24"/>
    </w:rPr>
  </w:style>
  <w:style w:type="paragraph" w:customStyle="1" w:styleId="100">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101">
    <w:name w:val="表格名称"/>
    <w:basedOn w:val="1"/>
    <w:next w:val="1"/>
    <w:qFormat/>
    <w:uiPriority w:val="0"/>
    <w:pPr>
      <w:adjustRightInd/>
      <w:snapToGrid/>
      <w:spacing w:before="50" w:beforeLines="50" w:line="240" w:lineRule="auto"/>
      <w:ind w:firstLine="0" w:firstLineChars="0"/>
      <w:jc w:val="center"/>
    </w:pPr>
    <w:rPr>
      <w:rFonts w:cs="宋体"/>
      <w:b/>
      <w:bCs/>
      <w:sz w:val="21"/>
      <w:szCs w:val="21"/>
    </w:rPr>
  </w:style>
  <w:style w:type="paragraph" w:customStyle="1" w:styleId="102">
    <w:name w:val="表格内文字"/>
    <w:basedOn w:val="101"/>
    <w:next w:val="1"/>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103">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104">
    <w:name w:val="金皇-表格内文字"/>
    <w:basedOn w:val="1"/>
    <w:qFormat/>
    <w:uiPriority w:val="0"/>
    <w:pPr>
      <w:tabs>
        <w:tab w:val="left" w:pos="0"/>
      </w:tabs>
      <w:adjustRightInd w:val="0"/>
      <w:snapToGrid w:val="0"/>
      <w:jc w:val="center"/>
    </w:pPr>
    <w:rPr>
      <w:snapToGrid w:val="0"/>
      <w:szCs w:val="21"/>
    </w:rPr>
  </w:style>
  <w:style w:type="paragraph" w:customStyle="1" w:styleId="10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06">
    <w:name w:val="表格表头"/>
    <w:basedOn w:val="76"/>
    <w:qFormat/>
    <w:uiPriority w:val="0"/>
    <w:pPr>
      <w:spacing w:before="160" w:after="160"/>
      <w:jc w:val="center"/>
    </w:pPr>
    <w:rPr>
      <w:rFonts w:ascii="Times New Roman" w:hAnsi="Times New Roman" w:eastAsia="宋体" w:cs="Times New Roman"/>
      <w:b/>
      <w:kern w:val="2"/>
      <w:sz w:val="24"/>
      <w:szCs w:val="24"/>
      <w:lang w:val="en-US" w:eastAsia="zh-CN" w:bidi="ar-SA"/>
    </w:rPr>
  </w:style>
  <w:style w:type="paragraph" w:customStyle="1" w:styleId="107">
    <w:name w:val="7表格(治)"/>
    <w:qFormat/>
    <w:uiPriority w:val="0"/>
    <w:pPr>
      <w:jc w:val="center"/>
    </w:pPr>
    <w:rPr>
      <w:rFonts w:ascii="Calibri" w:hAnsi="Calibri" w:eastAsia="宋体" w:cs="Times New Roman"/>
      <w:sz w:val="21"/>
      <w:lang w:val="en-US" w:eastAsia="zh-CN" w:bidi="ar-SA"/>
    </w:rPr>
  </w:style>
  <w:style w:type="paragraph" w:customStyle="1" w:styleId="108">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109">
    <w:name w:val="正文小四"/>
    <w:basedOn w:val="1"/>
    <w:qFormat/>
    <w:uiPriority w:val="0"/>
    <w:pPr>
      <w:spacing w:line="360" w:lineRule="auto"/>
      <w:ind w:firstLine="360" w:firstLineChars="150"/>
      <w:jc w:val="left"/>
    </w:pPr>
    <w:rPr>
      <w:rFonts w:eastAsia="Century Gothic"/>
      <w:sz w:val="24"/>
    </w:rPr>
  </w:style>
  <w:style w:type="paragraph" w:customStyle="1" w:styleId="110">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111">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11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113">
    <w:name w:val="样式6"/>
    <w:basedOn w:val="35"/>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14">
    <w:name w:val="样式 宋体 两端对齐 首行缩进:  2 字符"/>
    <w:basedOn w:val="1"/>
    <w:qFormat/>
    <w:uiPriority w:val="0"/>
    <w:pPr>
      <w:spacing w:line="360" w:lineRule="auto"/>
      <w:ind w:firstLine="480" w:firstLineChars="200"/>
    </w:pPr>
    <w:rPr>
      <w:rFonts w:ascii="宋体" w:hAnsi="宋体" w:cs="宋体"/>
      <w:sz w:val="24"/>
      <w:szCs w:val="20"/>
    </w:rPr>
  </w:style>
  <w:style w:type="paragraph" w:customStyle="1" w:styleId="115">
    <w:name w:val="金皇-正文"/>
    <w:basedOn w:val="1"/>
    <w:qFormat/>
    <w:uiPriority w:val="0"/>
    <w:pPr>
      <w:spacing w:line="360" w:lineRule="auto"/>
      <w:ind w:firstLine="200" w:firstLineChars="200"/>
    </w:pPr>
    <w:rPr>
      <w:rFonts w:ascii="Times New Roman" w:eastAsia="宋体"/>
      <w:kern w:val="2"/>
      <w:sz w:val="24"/>
      <w:szCs w:val="24"/>
    </w:rPr>
  </w:style>
  <w:style w:type="character" w:customStyle="1" w:styleId="116">
    <w:name w:val="表头 Char"/>
    <w:link w:val="117"/>
    <w:qFormat/>
    <w:uiPriority w:val="0"/>
    <w:rPr>
      <w:rFonts w:eastAsia="楷体_GB2312"/>
    </w:rPr>
  </w:style>
  <w:style w:type="paragraph" w:customStyle="1" w:styleId="117">
    <w:name w:val="表头"/>
    <w:basedOn w:val="1"/>
    <w:link w:val="116"/>
    <w:qFormat/>
    <w:uiPriority w:val="0"/>
    <w:pPr>
      <w:adjustRightInd w:val="0"/>
      <w:spacing w:line="500" w:lineRule="exact"/>
      <w:ind w:firstLine="0"/>
      <w:jc w:val="center"/>
    </w:pPr>
    <w:rPr>
      <w:rFonts w:eastAsia="楷体_GB2312"/>
      <w:kern w:val="0"/>
      <w:sz w:val="20"/>
      <w:szCs w:val="20"/>
    </w:rPr>
  </w:style>
  <w:style w:type="paragraph" w:customStyle="1" w:styleId="118">
    <w:name w:val="5段落"/>
    <w:basedOn w:val="1"/>
    <w:qFormat/>
    <w:uiPriority w:val="0"/>
    <w:pPr>
      <w:spacing w:line="360" w:lineRule="auto"/>
      <w:ind w:firstLine="420" w:firstLineChars="200"/>
    </w:pPr>
  </w:style>
  <w:style w:type="paragraph" w:customStyle="1" w:styleId="119">
    <w:name w:val="6表格"/>
    <w:basedOn w:val="1"/>
    <w:qFormat/>
    <w:uiPriority w:val="0"/>
    <w:pPr>
      <w:jc w:val="center"/>
    </w:pPr>
  </w:style>
  <w:style w:type="table" w:customStyle="1" w:styleId="120">
    <w:name w:val="standard"/>
    <w:basedOn w:val="35"/>
    <w:qFormat/>
    <w:uiPriority w:val="0"/>
    <w:pPr>
      <w:jc w:val="center"/>
    </w:pPr>
    <w:rPr>
      <w:sz w:val="21"/>
    </w:rPr>
    <w:tblPr>
      <w:tblBorders>
        <w:top w:val="single" w:color="auto" w:sz="18" w:space="0"/>
        <w:bottom w:val="single" w:color="auto" w:sz="18" w:space="0"/>
        <w:insideH w:val="single" w:color="auto" w:sz="4" w:space="0"/>
        <w:insideV w:val="single" w:color="auto" w:sz="4" w:space="0"/>
      </w:tblBorders>
    </w:tblPr>
    <w:tcPr>
      <w:vAlign w:val="center"/>
    </w:tcPr>
  </w:style>
  <w:style w:type="character" w:customStyle="1" w:styleId="121">
    <w:name w:val="fontborder"/>
    <w:qFormat/>
    <w:uiPriority w:val="0"/>
    <w:rPr>
      <w:bdr w:val="single" w:color="000000" w:sz="6" w:space="0"/>
    </w:rPr>
  </w:style>
  <w:style w:type="character" w:customStyle="1" w:styleId="122">
    <w:name w:val="fontstrikethrough"/>
    <w:qFormat/>
    <w:uiPriority w:val="0"/>
    <w:rPr>
      <w:strike/>
    </w:rPr>
  </w:style>
  <w:style w:type="paragraph" w:customStyle="1" w:styleId="123">
    <w:name w:val="111正文格式111"/>
    <w:basedOn w:val="124"/>
    <w:qFormat/>
    <w:uiPriority w:val="0"/>
    <w:pPr>
      <w:adjustRightInd w:val="0"/>
      <w:snapToGrid w:val="0"/>
    </w:pPr>
    <w:rPr>
      <w:bCs/>
    </w:rPr>
  </w:style>
  <w:style w:type="paragraph" w:customStyle="1" w:styleId="124">
    <w:name w:val="正文的格式"/>
    <w:basedOn w:val="1"/>
    <w:qFormat/>
    <w:uiPriority w:val="0"/>
    <w:pPr>
      <w:spacing w:line="360" w:lineRule="auto"/>
      <w:ind w:firstLine="200" w:firstLineChars="200"/>
    </w:pPr>
    <w:rPr>
      <w:rFonts w:ascii="Times New Roman" w:hAnsi="Times New Roman"/>
      <w:sz w:val="24"/>
      <w:szCs w:val="24"/>
    </w:rPr>
  </w:style>
  <w:style w:type="paragraph" w:customStyle="1" w:styleId="125">
    <w:name w:val="正文233"/>
    <w:basedOn w:val="1"/>
    <w:qFormat/>
    <w:uiPriority w:val="0"/>
    <w:pPr>
      <w:spacing w:line="360" w:lineRule="auto"/>
      <w:ind w:firstLine="560" w:firstLineChars="200"/>
    </w:pPr>
    <w:rPr>
      <w:rFonts w:cs="Times New Roman"/>
      <w:szCs w:val="21"/>
    </w:rPr>
  </w:style>
  <w:style w:type="paragraph" w:customStyle="1" w:styleId="126">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ascii="Times New Roman" w:eastAsia="黑体" w:cs="宋体"/>
      <w:kern w:val="2"/>
      <w:sz w:val="24"/>
    </w:rPr>
  </w:style>
  <w:style w:type="paragraph" w:customStyle="1" w:styleId="127">
    <w:name w:val="正文_19"/>
    <w:qFormat/>
    <w:uiPriority w:val="0"/>
    <w:pPr>
      <w:widowControl w:val="0"/>
      <w:jc w:val="both"/>
    </w:pPr>
    <w:rPr>
      <w:rFonts w:ascii="等线" w:hAnsi="等线" w:eastAsia="等线" w:cs="Times New Roman"/>
      <w:kern w:val="2"/>
      <w:sz w:val="21"/>
      <w:szCs w:val="22"/>
      <w:lang w:val="en-US" w:eastAsia="zh-CN" w:bidi="ar-SA"/>
    </w:rPr>
  </w:style>
  <w:style w:type="paragraph" w:customStyle="1" w:styleId="128">
    <w:name w:val="正文_18"/>
    <w:qFormat/>
    <w:uiPriority w:val="0"/>
    <w:pPr>
      <w:widowControl w:val="0"/>
      <w:jc w:val="both"/>
    </w:pPr>
    <w:rPr>
      <w:rFonts w:ascii="等线" w:hAnsi="等线" w:eastAsia="等线" w:cs="Times New Roman"/>
      <w:kern w:val="2"/>
      <w:sz w:val="21"/>
      <w:szCs w:val="22"/>
      <w:lang w:val="en-US" w:eastAsia="zh-CN" w:bidi="ar-SA"/>
    </w:rPr>
  </w:style>
  <w:style w:type="paragraph" w:customStyle="1" w:styleId="129">
    <w:name w:val="111正文的格式"/>
    <w:basedOn w:val="1"/>
    <w:qFormat/>
    <w:uiPriority w:val="0"/>
    <w:pPr>
      <w:adjustRightInd w:val="0"/>
      <w:snapToGrid w:val="0"/>
      <w:spacing w:line="360" w:lineRule="auto"/>
      <w:ind w:firstLine="480" w:firstLineChars="200"/>
    </w:pPr>
    <w:rPr>
      <w:color w:val="FF0000"/>
    </w:rPr>
  </w:style>
  <w:style w:type="paragraph" w:customStyle="1" w:styleId="130">
    <w:name w:val="xry正文"/>
    <w:basedOn w:val="1"/>
    <w:qFormat/>
    <w:uiPriority w:val="0"/>
    <w:pPr>
      <w:widowControl w:val="0"/>
      <w:numPr>
        <w:ilvl w:val="0"/>
        <w:numId w:val="3"/>
      </w:numPr>
      <w:spacing w:line="360" w:lineRule="auto"/>
      <w:jc w:val="both"/>
    </w:pPr>
    <w:rPr>
      <w:rFonts w:ascii="Times New Roman" w:hAnsi="Times New Roman"/>
      <w:sz w:val="24"/>
    </w:rPr>
  </w:style>
  <w:style w:type="paragraph" w:customStyle="1" w:styleId="131">
    <w:name w:val="标题3"/>
    <w:next w:val="1"/>
    <w:qFormat/>
    <w:uiPriority w:val="0"/>
    <w:pPr>
      <w:spacing w:before="260" w:after="260" w:line="360" w:lineRule="auto"/>
      <w:outlineLvl w:val="2"/>
    </w:pPr>
    <w:rPr>
      <w:rFonts w:ascii="Times New Roman" w:hAnsi="Times New Roman" w:eastAsia="宋体" w:cs="Times New Roman"/>
      <w:b/>
      <w:bCs/>
      <w:kern w:val="2"/>
      <w:sz w:val="28"/>
      <w:szCs w:val="32"/>
      <w:lang w:val="en-US" w:eastAsia="zh-CN" w:bidi="ar-SA"/>
    </w:rPr>
  </w:style>
  <w:style w:type="paragraph" w:customStyle="1" w:styleId="132">
    <w:name w:val="D正文"/>
    <w:basedOn w:val="1"/>
    <w:qFormat/>
    <w:uiPriority w:val="0"/>
    <w:pPr>
      <w:adjustRightInd w:val="0"/>
      <w:snapToGrid w:val="0"/>
      <w:spacing w:line="360" w:lineRule="auto"/>
      <w:ind w:firstLine="200" w:firstLineChars="200"/>
    </w:pPr>
    <w:rPr>
      <w:rFonts w:cs="宋体"/>
      <w:bCs/>
      <w:sz w:val="24"/>
      <w:szCs w:val="21"/>
    </w:rPr>
  </w:style>
  <w:style w:type="paragraph" w:customStyle="1" w:styleId="133">
    <w:name w:val="_Style 8"/>
    <w:basedOn w:val="1"/>
    <w:qFormat/>
    <w:uiPriority w:val="0"/>
    <w:pPr>
      <w:ind w:firstLine="0"/>
    </w:pPr>
    <w:rPr>
      <w:rFonts w:eastAsia="宋体"/>
      <w:sz w:val="21"/>
      <w:szCs w:val="24"/>
    </w:rPr>
  </w:style>
  <w:style w:type="paragraph" w:customStyle="1" w:styleId="134">
    <w:name w:val="②表格内文字"/>
    <w:basedOn w:val="1"/>
    <w:qFormat/>
    <w:uiPriority w:val="0"/>
    <w:pPr>
      <w:jc w:val="center"/>
    </w:pPr>
    <w:rPr>
      <w:color w:val="000000"/>
      <w:szCs w:val="21"/>
    </w:rPr>
  </w:style>
  <w:style w:type="paragraph" w:customStyle="1" w:styleId="135">
    <w:name w:val="C正文"/>
    <w:next w:val="23"/>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136">
    <w:name w:val="表内容"/>
    <w:next w:val="1"/>
    <w:qFormat/>
    <w:uiPriority w:val="0"/>
    <w:pPr>
      <w:widowControl w:val="0"/>
      <w:ind w:left="-30" w:leftChars="-30" w:right="-30" w:rightChars="-30"/>
      <w:jc w:val="center"/>
    </w:pPr>
    <w:rPr>
      <w:rFonts w:ascii="Times New Roman" w:hAnsi="Times New Roman" w:eastAsia="宋体" w:cs="Times New Roman"/>
      <w:kern w:val="2"/>
      <w:sz w:val="21"/>
      <w:szCs w:val="21"/>
      <w:lang w:val="en-US" w:eastAsia="zh-CN" w:bidi="ar-SA"/>
    </w:rPr>
  </w:style>
  <w:style w:type="paragraph" w:customStyle="1" w:styleId="137">
    <w:name w:val="表内格式"/>
    <w:basedOn w:val="1"/>
    <w:qFormat/>
    <w:uiPriority w:val="0"/>
    <w:pPr>
      <w:jc w:val="center"/>
    </w:pPr>
    <w:rPr>
      <w:sz w:val="18"/>
      <w:szCs w:val="20"/>
    </w:rPr>
  </w:style>
  <w:style w:type="table" w:customStyle="1" w:styleId="138">
    <w:name w:val="Table Normal"/>
    <w:unhideWhenUsed/>
    <w:qFormat/>
    <w:uiPriority w:val="0"/>
    <w:rPr>
      <w:lang w:val="en-US" w:eastAsia="zh-CN" w:bidi="ar-SA"/>
    </w:rPr>
    <w:tblPr>
      <w:tblCellMar>
        <w:top w:w="0" w:type="dxa"/>
        <w:left w:w="0" w:type="dxa"/>
        <w:bottom w:w="0" w:type="dxa"/>
        <w:right w:w="0" w:type="dxa"/>
      </w:tblCellMar>
    </w:tblPr>
  </w:style>
  <w:style w:type="character" w:customStyle="1" w:styleId="139">
    <w:name w:val="font31"/>
    <w:basedOn w:val="37"/>
    <w:qFormat/>
    <w:uiPriority w:val="0"/>
    <w:rPr>
      <w:rFonts w:ascii="宋体" w:hAnsi="宋体" w:eastAsia="宋体" w:cs="宋体"/>
      <w:b/>
      <w:bCs/>
      <w:color w:val="000000"/>
      <w:sz w:val="70"/>
      <w:szCs w:val="70"/>
      <w:u w:val="none"/>
    </w:rPr>
  </w:style>
  <w:style w:type="character" w:customStyle="1" w:styleId="140">
    <w:name w:val="font41"/>
    <w:basedOn w:val="37"/>
    <w:qFormat/>
    <w:uiPriority w:val="0"/>
    <w:rPr>
      <w:rFonts w:ascii="宋体" w:hAnsi="宋体" w:eastAsia="宋体" w:cs="宋体"/>
      <w:color w:val="000000"/>
      <w:sz w:val="70"/>
      <w:szCs w:val="70"/>
      <w:u w:val="none"/>
    </w:rPr>
  </w:style>
  <w:style w:type="paragraph" w:customStyle="1" w:styleId="141">
    <w:name w:val="表正文"/>
    <w:basedOn w:val="1"/>
    <w:qFormat/>
    <w:uiPriority w:val="0"/>
    <w:pPr>
      <w:widowControl/>
      <w:spacing w:line="360" w:lineRule="auto"/>
      <w:ind w:firstLine="200" w:firstLineChars="200"/>
      <w:jc w:val="left"/>
    </w:pPr>
    <w:rPr>
      <w:sz w:val="24"/>
    </w:rPr>
  </w:style>
  <w:style w:type="paragraph" w:customStyle="1" w:styleId="142">
    <w:name w:val="表格式"/>
    <w:basedOn w:val="1"/>
    <w:qFormat/>
    <w:uiPriority w:val="0"/>
    <w:pPr>
      <w:spacing w:line="240" w:lineRule="auto"/>
      <w:ind w:firstLine="0" w:firstLineChars="0"/>
      <w:jc w:val="center"/>
    </w:pPr>
    <w:rPr>
      <w:rFonts w:ascii="Times New Roman" w:hAnsi="Times New Roman" w:eastAsia="宋体" w:cs="Times New Roman"/>
      <w:kern w:val="0"/>
      <w:sz w:val="21"/>
      <w:szCs w:val="21"/>
      <w:lang w:val="en-GB"/>
    </w:rPr>
  </w:style>
  <w:style w:type="paragraph" w:customStyle="1" w:styleId="143">
    <w:name w:val="表中文字"/>
    <w:basedOn w:val="1"/>
    <w:qFormat/>
    <w:uiPriority w:val="0"/>
    <w:pPr>
      <w:jc w:val="center"/>
    </w:pPr>
    <w:rPr>
      <w:rFonts w:ascii="宋体"/>
      <w:spacing w:val="4"/>
      <w:w w:val="90"/>
      <w:sz w:val="24"/>
    </w:rPr>
  </w:style>
  <w:style w:type="paragraph" w:customStyle="1" w:styleId="144">
    <w:name w:val="表格格式"/>
    <w:basedOn w:val="1"/>
    <w:qFormat/>
    <w:uiPriority w:val="0"/>
    <w:pPr>
      <w:jc w:val="center"/>
    </w:pPr>
    <w:rPr>
      <w:szCs w:val="21"/>
    </w:rPr>
  </w:style>
  <w:style w:type="character" w:customStyle="1" w:styleId="145">
    <w:name w:val="font11"/>
    <w:basedOn w:val="37"/>
    <w:qFormat/>
    <w:uiPriority w:val="0"/>
    <w:rPr>
      <w:rFonts w:hint="eastAsia" w:ascii="宋体" w:hAnsi="宋体" w:eastAsia="宋体" w:cs="宋体"/>
      <w:color w:val="D20DFE"/>
      <w:sz w:val="21"/>
      <w:szCs w:val="21"/>
      <w:u w:val="none"/>
    </w:rPr>
  </w:style>
  <w:style w:type="character" w:customStyle="1" w:styleId="146">
    <w:name w:val="font21"/>
    <w:basedOn w:val="37"/>
    <w:qFormat/>
    <w:uiPriority w:val="0"/>
    <w:rPr>
      <w:rFonts w:hint="default" w:ascii="Times New Roman" w:hAnsi="Times New Roman" w:cs="Times New Roman"/>
      <w:color w:val="D20DFE"/>
      <w:sz w:val="21"/>
      <w:szCs w:val="21"/>
      <w:u w:val="none"/>
    </w:rPr>
  </w:style>
  <w:style w:type="paragraph" w:customStyle="1" w:styleId="147">
    <w:name w:val="首行缩进"/>
    <w:basedOn w:val="1"/>
    <w:next w:val="1"/>
    <w:qFormat/>
    <w:uiPriority w:val="0"/>
    <w:pPr>
      <w:spacing w:after="200"/>
      <w:ind w:firstLine="1040" w:firstLineChars="200"/>
      <w:jc w:val="left"/>
    </w:pPr>
    <w:rPr>
      <w:rFonts w:ascii="Tahoma" w:hAnsi="Tahoma" w:eastAsia="微软雅黑"/>
      <w:sz w:val="22"/>
    </w:rPr>
  </w:style>
  <w:style w:type="paragraph" w:styleId="148">
    <w:name w:val="List Paragraph"/>
    <w:basedOn w:val="1"/>
    <w:qFormat/>
    <w:uiPriority w:val="99"/>
    <w:pPr>
      <w:widowControl w:val="0"/>
      <w:adjustRightInd/>
      <w:snapToGrid/>
      <w:ind w:firstLine="420" w:firstLineChars="200"/>
    </w:pPr>
    <w:rPr>
      <w:kern w:val="2"/>
      <w:sz w:val="21"/>
      <w:szCs w:val="20"/>
    </w:rPr>
  </w:style>
  <w:style w:type="paragraph" w:customStyle="1" w:styleId="149">
    <w:name w:val="z表格内文字"/>
    <w:basedOn w:val="1"/>
    <w:qFormat/>
    <w:uiPriority w:val="0"/>
    <w:pPr>
      <w:spacing w:line="240" w:lineRule="auto"/>
      <w:ind w:firstLine="0" w:firstLineChars="0"/>
      <w:jc w:val="center"/>
    </w:pPr>
    <w:rPr>
      <w:color w:val="000000"/>
      <w:sz w:val="21"/>
    </w:rPr>
  </w:style>
  <w:style w:type="paragraph" w:customStyle="1" w:styleId="150">
    <w:name w:val="正本文字"/>
    <w:basedOn w:val="1"/>
    <w:qFormat/>
    <w:uiPriority w:val="0"/>
    <w:pPr>
      <w:adjustRightInd w:val="0"/>
      <w:snapToGrid w:val="0"/>
      <w:spacing w:line="360" w:lineRule="auto"/>
      <w:ind w:firstLine="200" w:firstLineChars="200"/>
      <w:jc w:val="left"/>
    </w:pPr>
    <w:rPr>
      <w:rFonts w:cs="宋体"/>
      <w:kern w:val="18"/>
      <w:sz w:val="24"/>
    </w:rPr>
  </w:style>
  <w:style w:type="paragraph" w:customStyle="1" w:styleId="151">
    <w:name w:val="样式 小四 行距: 1.5 倍行距"/>
    <w:basedOn w:val="1"/>
    <w:qFormat/>
    <w:uiPriority w:val="0"/>
    <w:pPr>
      <w:ind w:firstLine="480" w:firstLineChars="200"/>
    </w:pPr>
    <w:rPr>
      <w:rFonts w:cs="宋体"/>
    </w:rPr>
  </w:style>
  <w:style w:type="paragraph" w:customStyle="1" w:styleId="152">
    <w:name w:val="标题1.1"/>
    <w:basedOn w:val="1"/>
    <w:qFormat/>
    <w:uiPriority w:val="0"/>
    <w:pPr>
      <w:adjustRightInd w:val="0"/>
      <w:snapToGrid w:val="0"/>
      <w:spacing w:line="360" w:lineRule="auto"/>
      <w:jc w:val="left"/>
    </w:pPr>
    <w:rPr>
      <w:rFonts w:eastAsia="黑体"/>
      <w:bCs/>
      <w:color w:val="000000"/>
      <w:sz w:val="24"/>
    </w:rPr>
  </w:style>
  <w:style w:type="paragraph" w:customStyle="1" w:styleId="153">
    <w:name w:val="[正文格式]"/>
    <w:basedOn w:val="1"/>
    <w:qFormat/>
    <w:uiPriority w:val="0"/>
    <w:pPr>
      <w:spacing w:line="420" w:lineRule="atLeast"/>
      <w:ind w:firstLine="200" w:firstLineChars="200"/>
    </w:pPr>
    <w:rPr>
      <w:sz w:val="24"/>
      <w:szCs w:val="20"/>
    </w:rPr>
  </w:style>
  <w:style w:type="table" w:customStyle="1" w:styleId="154">
    <w:name w:val="表格样式1"/>
    <w:basedOn w:val="35"/>
    <w:qFormat/>
    <w:uiPriority w:val="0"/>
    <w:pPr>
      <w:jc w:val="center"/>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155">
    <w:name w:val="Table Text"/>
    <w:basedOn w:val="1"/>
    <w:semiHidden/>
    <w:qFormat/>
    <w:uiPriority w:val="0"/>
    <w:rPr>
      <w:rFonts w:ascii="宋体" w:hAnsi="宋体" w:eastAsia="宋体" w:cs="宋体"/>
      <w:sz w:val="24"/>
      <w:szCs w:val="24"/>
      <w:lang w:val="en-US" w:eastAsia="en-US" w:bidi="ar-SA"/>
    </w:rPr>
  </w:style>
  <w:style w:type="paragraph" w:customStyle="1" w:styleId="156">
    <w:name w:val="报告书正文"/>
    <w:basedOn w:val="1"/>
    <w:qFormat/>
    <w:uiPriority w:val="0"/>
    <w:pPr>
      <w:adjustRightInd w:val="0"/>
      <w:snapToGrid w:val="0"/>
      <w:spacing w:line="360" w:lineRule="auto"/>
      <w:ind w:firstLine="425"/>
      <w:textAlignment w:val="baseline"/>
    </w:pPr>
    <w:rPr>
      <w:rFonts w:ascii="Arial" w:hAnsi="Arial"/>
    </w:rPr>
  </w:style>
  <w:style w:type="paragraph" w:customStyle="1" w:styleId="157">
    <w:name w:val="【正文】"/>
    <w:qFormat/>
    <w:uiPriority w:val="0"/>
    <w:pPr>
      <w:spacing w:line="360" w:lineRule="auto"/>
      <w:ind w:firstLine="200" w:firstLineChars="200"/>
      <w:jc w:val="both"/>
    </w:pPr>
    <w:rPr>
      <w:rFonts w:ascii="Times New Roman" w:hAnsi="Times New Roman" w:eastAsia="宋体" w:cs="Times New Roman"/>
      <w:sz w:val="24"/>
      <w:szCs w:val="24"/>
      <w:lang w:val="zh-CN" w:eastAsia="zh-CN" w:bidi="zh-CN"/>
      <w14:ligatures w14:val="standardContextual"/>
    </w:rPr>
  </w:style>
  <w:style w:type="paragraph" w:customStyle="1" w:styleId="158">
    <w:name w:val="【表头】"/>
    <w:basedOn w:val="1"/>
    <w:qFormat/>
    <w:uiPriority w:val="0"/>
    <w:pPr>
      <w:widowControl w:val="0"/>
      <w:adjustRightInd w:val="0"/>
      <w:snapToGrid w:val="0"/>
      <w:spacing w:beforeLines="50" w:after="0" w:line="240" w:lineRule="auto"/>
      <w:jc w:val="center"/>
    </w:pPr>
    <w:rPr>
      <w:rFonts w:ascii="Times New Roman" w:hAnsi="Times New Roman" w:eastAsia="宋体" w:cs="Times New Roman"/>
      <w:b/>
      <w:kern w:val="2"/>
      <w:szCs w:val="24"/>
      <w14:ligatures w14:val="standardContextual"/>
    </w:rPr>
  </w:style>
  <w:style w:type="table" w:customStyle="1" w:styleId="159">
    <w:name w:val="样式1"/>
    <w:basedOn w:val="35"/>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160">
    <w:name w:val="表头样式"/>
    <w:basedOn w:val="1"/>
    <w:next w:val="1"/>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paragraph" w:customStyle="1" w:styleId="161">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162">
    <w:name w:val="正文样式"/>
    <w:basedOn w:val="163"/>
    <w:qFormat/>
    <w:uiPriority w:val="0"/>
    <w:pPr>
      <w:adjustRightInd w:val="0"/>
      <w:snapToGrid w:val="0"/>
      <w:spacing w:line="360" w:lineRule="auto"/>
      <w:ind w:firstLine="720" w:firstLineChars="200"/>
      <w:jc w:val="both"/>
    </w:pPr>
    <w:rPr>
      <w:rFonts w:cs="Times New Roman"/>
    </w:rPr>
  </w:style>
  <w:style w:type="paragraph" w:customStyle="1" w:styleId="163">
    <w:name w:val="正文样式-zsy"/>
    <w:basedOn w:val="1"/>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164">
    <w:name w:val="我的目录模版"/>
    <w:qFormat/>
    <w:uiPriority w:val="0"/>
    <w:rPr>
      <w:rFonts w:ascii="Times New Roman" w:hAnsi="Times New Roman" w:eastAsia="宋体" w:cs="Times New Roman"/>
      <w:lang w:val="en-US" w:eastAsia="zh-CN" w:bidi="ar-SA"/>
    </w:rPr>
  </w:style>
  <w:style w:type="paragraph" w:customStyle="1" w:styleId="165">
    <w:name w:val="表格题目"/>
    <w:next w:val="79"/>
    <w:qFormat/>
    <w:uiPriority w:val="99"/>
    <w:pPr>
      <w:widowControl w:val="0"/>
      <w:jc w:val="center"/>
    </w:pPr>
    <w:rPr>
      <w:rFonts w:ascii="Times New Roman" w:hAnsi="Times New Roman" w:eastAsia="宋体" w:cs="Times New Roman"/>
      <w:b/>
      <w:bCs/>
      <w:kern w:val="2"/>
      <w:sz w:val="24"/>
      <w:szCs w:val="32"/>
      <w:lang w:val="en-US" w:eastAsia="zh-CN" w:bidi="ar-SA"/>
    </w:rPr>
  </w:style>
  <w:style w:type="paragraph" w:customStyle="1" w:styleId="166">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7" Type="http://schemas.microsoft.com/office/2011/relationships/people" Target="people.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footer" Target="footer4.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emf"/><Relationship Id="rId5" Type="http://schemas.openxmlformats.org/officeDocument/2006/relationships/footer" Target="footer3.xml"/><Relationship Id="rId49" Type="http://schemas.openxmlformats.org/officeDocument/2006/relationships/image" Target="media/image27.png"/><Relationship Id="rId48" Type="http://schemas.openxmlformats.org/officeDocument/2006/relationships/image" Target="media/image26.emf"/><Relationship Id="rId47" Type="http://schemas.openxmlformats.org/officeDocument/2006/relationships/image" Target="media/image25.wmf"/><Relationship Id="rId46" Type="http://schemas.openxmlformats.org/officeDocument/2006/relationships/image" Target="media/image24.wmf"/><Relationship Id="rId45" Type="http://schemas.openxmlformats.org/officeDocument/2006/relationships/image" Target="media/image23.wmf"/><Relationship Id="rId44" Type="http://schemas.openxmlformats.org/officeDocument/2006/relationships/image" Target="media/image22.wmf"/><Relationship Id="rId43" Type="http://schemas.openxmlformats.org/officeDocument/2006/relationships/image" Target="media/image21.jpeg"/><Relationship Id="rId42" Type="http://schemas.openxmlformats.org/officeDocument/2006/relationships/image" Target="media/image20.wmf"/><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oleObject" Target="embeddings/oleObject10.bin"/><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emf"/><Relationship Id="rId32" Type="http://schemas.openxmlformats.org/officeDocument/2006/relationships/oleObject" Target="embeddings/oleObject9.bin"/><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emf"/><Relationship Id="rId28" Type="http://schemas.openxmlformats.org/officeDocument/2006/relationships/oleObject" Target="embeddings/oleObject8.bin"/><Relationship Id="rId27" Type="http://schemas.openxmlformats.org/officeDocument/2006/relationships/image" Target="media/image8.emf"/><Relationship Id="rId26" Type="http://schemas.openxmlformats.org/officeDocument/2006/relationships/oleObject" Target="embeddings/oleObject7.bin"/><Relationship Id="rId25" Type="http://schemas.openxmlformats.org/officeDocument/2006/relationships/image" Target="media/image7.emf"/><Relationship Id="rId24" Type="http://schemas.openxmlformats.org/officeDocument/2006/relationships/oleObject" Target="embeddings/oleObject6.bin"/><Relationship Id="rId23" Type="http://schemas.openxmlformats.org/officeDocument/2006/relationships/image" Target="media/image6.emf"/><Relationship Id="rId22" Type="http://schemas.openxmlformats.org/officeDocument/2006/relationships/oleObject" Target="embeddings/oleObject5.bin"/><Relationship Id="rId21" Type="http://schemas.openxmlformats.org/officeDocument/2006/relationships/image" Target="media/image5.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114</Pages>
  <Words>2221</Words>
  <Characters>2494</Characters>
  <Lines>381</Lines>
  <Paragraphs>107</Paragraphs>
  <TotalTime>6</TotalTime>
  <ScaleCrop>false</ScaleCrop>
  <LinksUpToDate>false</LinksUpToDate>
  <CharactersWithSpaces>2697</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2026-02-06T01:12:00Z</cp:lastPrinted>
  <dcterms:modified xsi:type="dcterms:W3CDTF">2026-04-07T02:20:17Z</dcterms:modified>
  <dc:title>附件2</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BA861C6A7B6D4235ACF525F6BE573FA4_13</vt:lpwstr>
  </property>
  <property fmtid="{D5CDD505-2E9C-101B-9397-08002B2CF9AE}" pid="4" name="commondata">
    <vt:lpwstr>eyJoZGlkIjoiYTk2MzE2OGU5M2EzYmRlMjRjMTVmZjcyZGNjNmY1OGQifQ==</vt:lpwstr>
  </property>
  <property fmtid="{D5CDD505-2E9C-101B-9397-08002B2CF9AE}" pid="5" name="KSOTemplateDocerSaveRecord">
    <vt:lpwstr>eyJoZGlkIjoiZjFmZWIzNDg2MmIzZjExOTIzMmViNTBmYTMwYTk0ZWYiLCJ1c2VySWQiOiIxNjI5ODA5MTcyIn0=</vt:lpwstr>
  </property>
</Properties>
</file>