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tbl>
      <w:tblPr>
        <w:tblStyle w:val="5"/>
        <w:tblW w:w="8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1690"/>
        <w:gridCol w:w="991"/>
        <w:gridCol w:w="1038"/>
        <w:gridCol w:w="1045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600" w:lineRule="exact"/>
              <w:jc w:val="center"/>
              <w:rPr>
                <w:rFonts w:ascii="方正小标宋简体" w:hAnsi="宋体" w:eastAsia="方正小标宋简体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40"/>
                <w:szCs w:val="40"/>
                <w:highlight w:val="none"/>
                <w:u w:val="none"/>
              </w:rPr>
              <w:t>福清市国民经济和社会发展主要预期目标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600" w:lineRule="exact"/>
              <w:jc w:val="center"/>
              <w:rPr>
                <w:rFonts w:ascii="方正小标宋简体" w:eastAsia="方正小标宋简体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ascii="方正小标宋简体" w:hAnsi="宋体" w:eastAsia="方正小标宋简体"/>
                <w:color w:val="auto"/>
                <w:sz w:val="40"/>
                <w:szCs w:val="40"/>
                <w:highlight w:val="none"/>
                <w:u w:val="none"/>
              </w:rPr>
              <w:t>2026</w:t>
            </w:r>
            <w:r>
              <w:rPr>
                <w:rFonts w:hint="eastAsia" w:ascii="方正小标宋简体" w:hAnsi="宋体" w:eastAsia="方正小标宋简体"/>
                <w:color w:val="auto"/>
                <w:sz w:val="40"/>
                <w:szCs w:val="40"/>
                <w:highlight w:val="none"/>
                <w:u w:val="none"/>
              </w:rPr>
              <w:t>年计划安排（草案）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主要经济指标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单位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2025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年预计完成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2026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年计划安排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总量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比增</w:t>
            </w: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总量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比增</w:t>
            </w: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一、地区生产总值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2030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2151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（一）第一产业增加值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156.3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161.3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（二）规模以上工业增加值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11.0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（三）建筑业增加值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247.6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eastAsia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251.7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（四）第三产业增加值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824.1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宋体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899.1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（五）三次产业结构比重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7.7:51.7:40.6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7.5:50.7:41.8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二、节能减排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（一）二氧化硫排放量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吨</w:t>
            </w:r>
          </w:p>
        </w:tc>
        <w:tc>
          <w:tcPr>
            <w:tcW w:w="202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完成福州市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下达任务</w:t>
            </w:r>
          </w:p>
        </w:tc>
        <w:tc>
          <w:tcPr>
            <w:tcW w:w="2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完成福州市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下达任务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（二）化学需氧量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吨</w:t>
            </w:r>
          </w:p>
        </w:tc>
        <w:tc>
          <w:tcPr>
            <w:tcW w:w="202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（三）氨氮排放量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吨</w:t>
            </w:r>
          </w:p>
        </w:tc>
        <w:tc>
          <w:tcPr>
            <w:tcW w:w="202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四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）氮氧化物排放量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吨</w:t>
            </w:r>
          </w:p>
        </w:tc>
        <w:tc>
          <w:tcPr>
            <w:tcW w:w="202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400" w:hanging="400" w:hangingChars="200"/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三、单位地区生产总值二氧化碳排放降低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400" w:hanging="400" w:hangingChars="200"/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控制在福州市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下达指标内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400" w:hanging="400" w:hangingChars="200"/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控制在福州市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下达指标内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四、农业总产值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256.3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266.5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、固定资产投资完成额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六、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地方一般公共预算收入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136.5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140.6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七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、出口总值</w:t>
            </w: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(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海关口径</w:t>
            </w: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415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-27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427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八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、实际利用外资额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万美元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8876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8964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九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、社会消费品零售总额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641.9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673.9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十、全体居民人均可支配收入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50100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53356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（一）农村居民人均可支配收入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</w:rPr>
              <w:t>38630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41141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（二）城镇居民人均可支配收入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</w:rPr>
              <w:t>65100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4.3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69331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6.5</w:t>
            </w:r>
          </w:p>
        </w:tc>
      </w:tr>
    </w:tbl>
    <w:p>
      <w:pPr>
        <w:rPr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417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4B14"/>
    <w:rsid w:val="7FE2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99"/>
    <w:rPr>
      <w:rFonts w:eastAsia="宋体"/>
      <w:sz w:val="18"/>
      <w:szCs w:val="18"/>
    </w:rPr>
  </w:style>
  <w:style w:type="paragraph" w:styleId="3">
    <w:name w:val="Balloon Text"/>
    <w:basedOn w:val="1"/>
    <w:next w:val="1"/>
    <w:qFormat/>
    <w:uiPriority w:val="99"/>
    <w:rPr>
      <w:rFonts w:eastAsia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1I2"/>
    <w:qFormat/>
    <w:uiPriority w:val="99"/>
    <w:pPr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2026-03-11T07:41:00Z</dcterms:created>
  <dc:creator>小文</dc:creator>
  <cp:lastModifiedBy>小文</cp:lastModifiedBy>
  <dcterms:modified xsi:type="dcterms:W3CDTF">2026-03-11T07:42:13Z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9EE689272A924D4C9C0F0C66EDA1D34F</vt:lpwstr>
  </property>
</Properties>
</file>