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ordWrap w:val="0"/>
        <w:spacing w:line="560" w:lineRule="exact"/>
        <w:jc w:val="center"/>
        <w:rPr>
          <w:rFonts w:hint="eastAsia" w:ascii="仿宋_GB2312" w:hAnsi="仿宋_GB2312" w:eastAsia="仿宋_GB2312" w:cs="仿宋_GB2312"/>
          <w:b w:val="0"/>
          <w:bCs/>
          <w:sz w:val="32"/>
          <w:szCs w:val="32"/>
          <w:lang w:val="en-US" w:eastAsia="zh-CN"/>
        </w:rPr>
      </w:pPr>
    </w:p>
    <w:p>
      <w:pPr>
        <w:pStyle w:val="3"/>
        <w:rPr>
          <w:rFonts w:hint="eastAsia"/>
        </w:rPr>
      </w:pPr>
    </w:p>
    <w:p>
      <w:pPr>
        <w:adjustRightInd w:val="0"/>
        <w:snapToGrid w:val="0"/>
        <w:spacing w:line="360" w:lineRule="auto"/>
        <w:ind w:right="-518" w:rightChars="-162"/>
        <w:jc w:val="center"/>
        <w:rPr>
          <w:rFonts w:hint="eastAsia" w:ascii="仿宋" w:hAnsi="仿宋" w:eastAsia="仿宋"/>
          <w:b/>
          <w:sz w:val="56"/>
          <w:szCs w:val="56"/>
        </w:rPr>
      </w:pPr>
    </w:p>
    <w:p>
      <w:pPr>
        <w:adjustRightInd w:val="0"/>
        <w:snapToGrid w:val="0"/>
        <w:spacing w:line="360" w:lineRule="auto"/>
        <w:ind w:right="-518" w:rightChars="-162"/>
        <w:jc w:val="center"/>
        <w:rPr>
          <w:rFonts w:hint="eastAsia" w:ascii="仿宋" w:hAnsi="仿宋" w:eastAsia="仿宋"/>
          <w:b/>
          <w:sz w:val="56"/>
          <w:szCs w:val="56"/>
        </w:rPr>
      </w:pPr>
    </w:p>
    <w:p>
      <w:pPr>
        <w:adjustRightInd w:val="0"/>
        <w:snapToGrid w:val="0"/>
        <w:spacing w:line="360" w:lineRule="auto"/>
        <w:ind w:right="-518" w:rightChars="-162"/>
        <w:jc w:val="center"/>
        <w:rPr>
          <w:rFonts w:hint="eastAsia" w:ascii="仿宋" w:hAnsi="仿宋" w:eastAsia="仿宋"/>
          <w:b/>
          <w:sz w:val="56"/>
          <w:szCs w:val="56"/>
        </w:rPr>
      </w:pPr>
    </w:p>
    <w:p>
      <w:pPr>
        <w:adjustRightInd w:val="0"/>
        <w:snapToGrid w:val="0"/>
        <w:spacing w:line="360" w:lineRule="auto"/>
        <w:ind w:right="-518" w:rightChars="-162"/>
        <w:jc w:val="center"/>
        <w:rPr>
          <w:rFonts w:hint="eastAsia" w:ascii="仿宋" w:hAnsi="仿宋" w:eastAsia="仿宋"/>
          <w:b/>
          <w:sz w:val="56"/>
          <w:szCs w:val="56"/>
        </w:rPr>
      </w:pPr>
      <w:r>
        <w:rPr>
          <w:rFonts w:hint="eastAsia" w:ascii="仿宋" w:hAnsi="仿宋" w:eastAsia="仿宋"/>
          <w:b/>
          <w:sz w:val="56"/>
          <w:szCs w:val="56"/>
        </w:rPr>
        <w:t>福清市“十四五”卫生健康</w:t>
      </w:r>
    </w:p>
    <w:p>
      <w:pPr>
        <w:adjustRightInd w:val="0"/>
        <w:snapToGrid w:val="0"/>
        <w:spacing w:line="360" w:lineRule="auto"/>
        <w:ind w:right="-518" w:rightChars="-162"/>
        <w:jc w:val="center"/>
        <w:rPr>
          <w:rFonts w:hint="eastAsia" w:ascii="仿宋" w:hAnsi="仿宋" w:eastAsia="仿宋"/>
          <w:b/>
          <w:sz w:val="56"/>
          <w:szCs w:val="56"/>
        </w:rPr>
      </w:pPr>
      <w:bookmarkStart w:id="0" w:name="_Toc30396"/>
      <w:bookmarkStart w:id="1" w:name="_Toc15905"/>
      <w:r>
        <w:rPr>
          <w:rFonts w:hint="eastAsia" w:ascii="仿宋" w:hAnsi="仿宋" w:eastAsia="仿宋"/>
          <w:b/>
          <w:sz w:val="56"/>
          <w:szCs w:val="56"/>
        </w:rPr>
        <w:t>发展</w:t>
      </w:r>
      <w:r>
        <w:rPr>
          <w:rFonts w:hint="eastAsia" w:ascii="仿宋" w:hAnsi="仿宋" w:eastAsia="仿宋"/>
          <w:b/>
          <w:sz w:val="56"/>
          <w:szCs w:val="56"/>
          <w:lang w:eastAsia="zh-CN"/>
        </w:rPr>
        <w:t>专项</w:t>
      </w:r>
      <w:r>
        <w:rPr>
          <w:rFonts w:hint="eastAsia" w:ascii="仿宋" w:hAnsi="仿宋" w:eastAsia="仿宋"/>
          <w:b/>
          <w:sz w:val="56"/>
          <w:szCs w:val="56"/>
        </w:rPr>
        <w:t>规划</w:t>
      </w:r>
      <w:bookmarkEnd w:id="0"/>
      <w:bookmarkEnd w:id="1"/>
    </w:p>
    <w:p>
      <w:pPr>
        <w:adjustRightInd w:val="0"/>
        <w:snapToGrid w:val="0"/>
        <w:spacing w:line="360" w:lineRule="auto"/>
        <w:ind w:right="-518" w:rightChars="-162"/>
        <w:jc w:val="center"/>
        <w:rPr>
          <w:rFonts w:ascii="仿宋" w:hAnsi="仿宋" w:eastAsia="仿宋"/>
          <w:b/>
          <w:sz w:val="72"/>
          <w:szCs w:val="72"/>
        </w:rPr>
      </w:pPr>
    </w:p>
    <w:p>
      <w:pPr>
        <w:pStyle w:val="3"/>
      </w:pPr>
    </w:p>
    <w:p>
      <w:pPr>
        <w:adjustRightInd w:val="0"/>
        <w:snapToGrid w:val="0"/>
        <w:spacing w:line="360" w:lineRule="auto"/>
        <w:ind w:right="-518" w:rightChars="-162"/>
        <w:jc w:val="center"/>
        <w:rPr>
          <w:rFonts w:ascii="仿宋" w:hAnsi="仿宋" w:eastAsia="仿宋"/>
          <w:b/>
          <w:sz w:val="72"/>
          <w:szCs w:val="72"/>
        </w:rPr>
      </w:pPr>
    </w:p>
    <w:p>
      <w:pPr>
        <w:spacing w:before="0" w:beforeLines="0" w:after="0" w:afterLines="0" w:line="240" w:lineRule="auto"/>
        <w:ind w:left="0" w:leftChars="0" w:right="0" w:rightChars="0" w:firstLine="0" w:firstLineChars="0"/>
        <w:jc w:val="both"/>
        <w:rPr>
          <w:rFonts w:hint="eastAsia" w:ascii="黑体" w:hAnsi="黑体" w:eastAsia="黑体" w:cs="黑体"/>
          <w:sz w:val="28"/>
          <w:szCs w:val="28"/>
        </w:rPr>
      </w:pPr>
      <w:bookmarkStart w:id="2" w:name="_Toc21991"/>
      <w:bookmarkStart w:id="3" w:name="_Toc6299"/>
    </w:p>
    <w:p>
      <w:pPr>
        <w:pStyle w:val="2"/>
        <w:rPr>
          <w:rFonts w:hint="eastAsia"/>
        </w:rPr>
      </w:pPr>
    </w:p>
    <w:p>
      <w:pPr>
        <w:spacing w:before="0" w:beforeLines="0" w:after="0" w:afterLines="0" w:line="520" w:lineRule="exact"/>
        <w:ind w:left="0" w:leftChars="0" w:right="0" w:rightChars="0" w:firstLine="0" w:firstLineChars="0"/>
        <w:jc w:val="center"/>
        <w:rPr>
          <w:rFonts w:hint="eastAsia" w:ascii="黑体" w:hAnsi="黑体" w:eastAsia="黑体" w:cs="黑体"/>
          <w:sz w:val="28"/>
          <w:szCs w:val="28"/>
        </w:rPr>
      </w:pPr>
      <w:r>
        <w:rPr>
          <w:rFonts w:hint="eastAsia" w:ascii="黑体" w:hAnsi="黑体" w:eastAsia="黑体" w:cs="黑体"/>
          <w:sz w:val="28"/>
          <w:szCs w:val="28"/>
        </w:rPr>
        <w:t>目录</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目  录</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t>3</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前  言</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t>6</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第一篇</w:t>
      </w:r>
      <w:r>
        <w:rPr>
          <w:rFonts w:hint="default" w:ascii="黑体" w:hAnsi="黑体" w:eastAsia="黑体" w:cs="黑体"/>
          <w:b/>
          <w:bCs/>
          <w:kern w:val="2"/>
          <w:sz w:val="28"/>
          <w:szCs w:val="28"/>
          <w:lang w:val="en" w:eastAsia="zh-CN" w:bidi="ar-SA"/>
        </w:rPr>
        <w:t xml:space="preserve">  </w:t>
      </w:r>
      <w:r>
        <w:rPr>
          <w:rFonts w:hint="eastAsia" w:ascii="黑体" w:hAnsi="黑体" w:eastAsia="黑体" w:cs="黑体"/>
          <w:b/>
          <w:bCs/>
          <w:kern w:val="2"/>
          <w:sz w:val="28"/>
          <w:szCs w:val="28"/>
          <w:lang w:val="en-US" w:eastAsia="zh-CN" w:bidi="ar-SA"/>
        </w:rPr>
        <w:t>规划背景</w:t>
      </w:r>
      <w:r>
        <w:rPr>
          <w:rFonts w:hint="eastAsia" w:ascii="黑体" w:hAnsi="黑体" w:eastAsia="黑体" w:cs="黑体"/>
          <w:b/>
          <w:bCs/>
          <w:kern w:val="2"/>
          <w:sz w:val="28"/>
          <w:szCs w:val="28"/>
          <w:lang w:val="en-US" w:eastAsia="zh-CN" w:bidi="ar-SA"/>
        </w:rPr>
        <w:tab/>
      </w:r>
      <w:r>
        <w:rPr>
          <w:rFonts w:hint="eastAsia" w:ascii="黑体" w:hAnsi="黑体" w:eastAsia="黑体" w:cs="黑体"/>
          <w:b/>
          <w:bCs/>
          <w:kern w:val="2"/>
          <w:sz w:val="28"/>
          <w:szCs w:val="28"/>
          <w:lang w:val="en-US" w:eastAsia="zh-CN" w:bidi="ar-SA"/>
        </w:rPr>
        <w:t>7</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第一章  主要成效</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t>7</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黑体" w:hAnsi="黑体" w:eastAsia="黑体" w:cs="黑体"/>
          <w:kern w:val="2"/>
          <w:sz w:val="28"/>
          <w:szCs w:val="28"/>
          <w:lang w:val="en" w:eastAsia="zh-CN" w:bidi="ar-SA"/>
        </w:rPr>
      </w:pPr>
      <w:r>
        <w:rPr>
          <w:rFonts w:hint="eastAsia" w:ascii="黑体" w:hAnsi="黑体" w:eastAsia="黑体" w:cs="黑体"/>
          <w:kern w:val="2"/>
          <w:sz w:val="28"/>
          <w:szCs w:val="28"/>
          <w:lang w:val="en-US" w:eastAsia="zh-CN" w:bidi="ar-SA"/>
        </w:rPr>
        <w:t>第二章  机遇与挑战</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t>1</w:t>
      </w:r>
      <w:r>
        <w:rPr>
          <w:rFonts w:hint="default" w:ascii="黑体" w:hAnsi="黑体" w:eastAsia="黑体" w:cs="黑体"/>
          <w:kern w:val="2"/>
          <w:sz w:val="28"/>
          <w:szCs w:val="28"/>
          <w:lang w:val="en" w:eastAsia="zh-CN" w:bidi="ar-SA"/>
        </w:rPr>
        <w:t>1</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第三章  存在的问题</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t>12</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第二篇  总体要求</w:t>
      </w:r>
      <w:r>
        <w:rPr>
          <w:rFonts w:hint="eastAsia" w:ascii="黑体" w:hAnsi="黑体" w:eastAsia="黑体" w:cs="黑体"/>
          <w:b/>
          <w:bCs/>
          <w:kern w:val="2"/>
          <w:sz w:val="28"/>
          <w:szCs w:val="28"/>
          <w:lang w:val="en-US" w:eastAsia="zh-CN" w:bidi="ar-SA"/>
        </w:rPr>
        <w:tab/>
      </w:r>
      <w:r>
        <w:rPr>
          <w:rFonts w:hint="eastAsia" w:ascii="黑体" w:hAnsi="黑体" w:eastAsia="黑体" w:cs="黑体"/>
          <w:b/>
          <w:bCs/>
          <w:kern w:val="2"/>
          <w:sz w:val="28"/>
          <w:szCs w:val="28"/>
          <w:lang w:val="en-US" w:eastAsia="zh-CN" w:bidi="ar-SA"/>
        </w:rPr>
        <w:t>13</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第一章  指导思想</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t>13</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第二章  基本原则</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t>14</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第三章  发展目标</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t>15</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黑体" w:hAnsi="黑体" w:eastAsia="黑体" w:cs="黑体"/>
          <w:b/>
          <w:bCs/>
          <w:kern w:val="2"/>
          <w:sz w:val="28"/>
          <w:szCs w:val="28"/>
          <w:lang w:val="en" w:eastAsia="zh-CN" w:bidi="ar-SA"/>
        </w:rPr>
      </w:pPr>
      <w:r>
        <w:rPr>
          <w:rFonts w:hint="eastAsia" w:ascii="黑体" w:hAnsi="黑体" w:eastAsia="黑体" w:cs="黑体"/>
          <w:b/>
          <w:bCs/>
          <w:kern w:val="2"/>
          <w:sz w:val="28"/>
          <w:szCs w:val="28"/>
          <w:lang w:val="en-US" w:eastAsia="zh-CN" w:bidi="ar-SA"/>
        </w:rPr>
        <w:t>第三篇  建设任务</w:t>
      </w:r>
      <w:r>
        <w:rPr>
          <w:rFonts w:hint="eastAsia" w:ascii="黑体" w:hAnsi="黑体" w:eastAsia="黑体" w:cs="黑体"/>
          <w:b/>
          <w:bCs/>
          <w:kern w:val="2"/>
          <w:sz w:val="28"/>
          <w:szCs w:val="28"/>
          <w:lang w:val="en-US" w:eastAsia="zh-CN" w:bidi="ar-SA"/>
        </w:rPr>
        <w:tab/>
      </w:r>
      <w:r>
        <w:rPr>
          <w:rFonts w:hint="eastAsia" w:ascii="黑体" w:hAnsi="黑体" w:eastAsia="黑体" w:cs="黑体"/>
          <w:b/>
          <w:bCs/>
          <w:kern w:val="2"/>
          <w:sz w:val="28"/>
          <w:szCs w:val="28"/>
          <w:lang w:val="en-US" w:eastAsia="zh-CN" w:bidi="ar-SA"/>
        </w:rPr>
        <w:t>1</w:t>
      </w:r>
      <w:r>
        <w:rPr>
          <w:rFonts w:hint="default" w:ascii="黑体" w:hAnsi="黑体" w:eastAsia="黑体" w:cs="黑体"/>
          <w:b/>
          <w:bCs/>
          <w:kern w:val="2"/>
          <w:sz w:val="28"/>
          <w:szCs w:val="28"/>
          <w:lang w:val="en" w:eastAsia="zh-CN" w:bidi="ar-SA"/>
        </w:rPr>
        <w:t>8</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黑体" w:hAnsi="黑体" w:eastAsia="黑体" w:cs="黑体"/>
          <w:kern w:val="2"/>
          <w:sz w:val="28"/>
          <w:szCs w:val="28"/>
          <w:lang w:val="en" w:eastAsia="zh-CN" w:bidi="ar-SA"/>
        </w:rPr>
      </w:pPr>
      <w:r>
        <w:rPr>
          <w:rFonts w:hint="eastAsia" w:ascii="黑体" w:hAnsi="黑体" w:eastAsia="黑体" w:cs="黑体"/>
          <w:kern w:val="2"/>
          <w:sz w:val="28"/>
          <w:szCs w:val="28"/>
          <w:lang w:val="en-US" w:eastAsia="zh-CN" w:bidi="ar-SA"/>
        </w:rPr>
        <w:t>第一章  坚持健康优先，促进健康融入所有政策</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t>1</w:t>
      </w:r>
      <w:r>
        <w:rPr>
          <w:rFonts w:hint="default" w:ascii="黑体" w:hAnsi="黑体" w:eastAsia="黑体" w:cs="黑体"/>
          <w:kern w:val="2"/>
          <w:sz w:val="28"/>
          <w:szCs w:val="28"/>
          <w:lang w:val="en" w:eastAsia="zh-CN" w:bidi="ar-SA"/>
        </w:rPr>
        <w:t>8</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楷体_GB2312" w:hAnsi="楷体_GB2312" w:eastAsia="楷体_GB2312" w:cs="楷体_GB2312"/>
          <w:kern w:val="2"/>
          <w:sz w:val="28"/>
          <w:szCs w:val="28"/>
          <w:lang w:val="en" w:eastAsia="zh-CN" w:bidi="ar-SA"/>
        </w:rPr>
      </w:pPr>
      <w:r>
        <w:rPr>
          <w:rFonts w:hint="eastAsia" w:ascii="楷体_GB2312" w:hAnsi="楷体_GB2312" w:eastAsia="楷体_GB2312" w:cs="楷体_GB2312"/>
          <w:kern w:val="2"/>
          <w:sz w:val="28"/>
          <w:szCs w:val="28"/>
          <w:lang w:val="en-US" w:eastAsia="zh-CN" w:bidi="ar-SA"/>
        </w:rPr>
        <w:t>第一节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加快构建“大卫生、大健康”格局</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1</w:t>
      </w:r>
      <w:r>
        <w:rPr>
          <w:rFonts w:hint="default" w:ascii="楷体_GB2312" w:hAnsi="楷体_GB2312" w:eastAsia="楷体_GB2312" w:cs="楷体_GB2312"/>
          <w:kern w:val="2"/>
          <w:sz w:val="28"/>
          <w:szCs w:val="28"/>
          <w:lang w:val="en" w:eastAsia="zh-CN" w:bidi="ar-SA"/>
        </w:rPr>
        <w:t>8</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第二节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全面深化医药卫生体制改革</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18</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第三节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全民参与开展爱国卫生运动</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19</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黑体" w:hAnsi="黑体" w:eastAsia="黑体" w:cs="黑体"/>
          <w:kern w:val="2"/>
          <w:sz w:val="28"/>
          <w:szCs w:val="28"/>
          <w:lang w:val="en" w:eastAsia="zh-CN" w:bidi="ar-SA"/>
        </w:rPr>
      </w:pPr>
      <w:r>
        <w:rPr>
          <w:rFonts w:hint="eastAsia" w:ascii="黑体" w:hAnsi="黑体" w:eastAsia="黑体" w:cs="黑体"/>
          <w:kern w:val="2"/>
          <w:sz w:val="28"/>
          <w:szCs w:val="28"/>
          <w:lang w:val="en-US" w:eastAsia="zh-CN" w:bidi="ar-SA"/>
        </w:rPr>
        <w:t>第二章  坚持预防为主，筑牢公共卫生安全屏障</w:t>
      </w:r>
      <w:r>
        <w:rPr>
          <w:rFonts w:hint="eastAsia" w:ascii="黑体" w:hAnsi="黑体" w:eastAsia="黑体" w:cs="黑体"/>
          <w:kern w:val="2"/>
          <w:sz w:val="28"/>
          <w:szCs w:val="28"/>
          <w:lang w:val="en-US" w:eastAsia="zh-CN" w:bidi="ar-SA"/>
        </w:rPr>
        <w:tab/>
      </w:r>
      <w:r>
        <w:rPr>
          <w:rFonts w:hint="default" w:ascii="黑体" w:hAnsi="黑体" w:eastAsia="黑体" w:cs="黑体"/>
          <w:kern w:val="2"/>
          <w:sz w:val="28"/>
          <w:szCs w:val="28"/>
          <w:lang w:val="en" w:eastAsia="zh-CN" w:bidi="ar-SA"/>
        </w:rPr>
        <w:t>20</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楷体_GB2312" w:hAnsi="楷体_GB2312" w:eastAsia="楷体_GB2312" w:cs="楷体_GB2312"/>
          <w:kern w:val="2"/>
          <w:sz w:val="28"/>
          <w:szCs w:val="28"/>
          <w:lang w:val="en" w:eastAsia="zh-CN" w:bidi="ar-SA"/>
        </w:rPr>
      </w:pPr>
      <w:r>
        <w:rPr>
          <w:rFonts w:hint="eastAsia" w:ascii="楷体_GB2312" w:hAnsi="楷体_GB2312" w:eastAsia="楷体_GB2312" w:cs="楷体_GB2312"/>
          <w:kern w:val="2"/>
          <w:sz w:val="28"/>
          <w:szCs w:val="28"/>
          <w:lang w:val="en-US" w:eastAsia="zh-CN" w:bidi="ar-SA"/>
        </w:rPr>
        <w:t>第一节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推动公共卫生服务体系改革</w:t>
      </w:r>
      <w:r>
        <w:rPr>
          <w:rFonts w:hint="eastAsia" w:ascii="楷体_GB2312" w:hAnsi="楷体_GB2312" w:eastAsia="楷体_GB2312" w:cs="楷体_GB2312"/>
          <w:kern w:val="2"/>
          <w:sz w:val="28"/>
          <w:szCs w:val="28"/>
          <w:lang w:val="en-US" w:eastAsia="zh-CN" w:bidi="ar-SA"/>
        </w:rPr>
        <w:tab/>
      </w:r>
      <w:r>
        <w:rPr>
          <w:rFonts w:hint="default" w:ascii="楷体_GB2312" w:hAnsi="楷体_GB2312" w:eastAsia="楷体_GB2312" w:cs="楷体_GB2312"/>
          <w:kern w:val="2"/>
          <w:sz w:val="28"/>
          <w:szCs w:val="28"/>
          <w:lang w:val="en" w:eastAsia="zh-CN" w:bidi="ar-SA"/>
        </w:rPr>
        <w:t>20</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第二节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加大基本公共卫生服务投入</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21</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楷体_GB2312" w:hAnsi="楷体_GB2312" w:eastAsia="楷体_GB2312" w:cs="楷体_GB2312"/>
          <w:kern w:val="2"/>
          <w:sz w:val="28"/>
          <w:szCs w:val="28"/>
          <w:lang w:val="en" w:eastAsia="zh-CN" w:bidi="ar-SA"/>
        </w:rPr>
      </w:pPr>
      <w:r>
        <w:rPr>
          <w:rFonts w:hint="eastAsia" w:ascii="楷体_GB2312" w:hAnsi="楷体_GB2312" w:eastAsia="楷体_GB2312" w:cs="楷体_GB2312"/>
          <w:kern w:val="2"/>
          <w:sz w:val="28"/>
          <w:szCs w:val="28"/>
          <w:lang w:val="en-US" w:eastAsia="zh-CN" w:bidi="ar-SA"/>
        </w:rPr>
        <w:t>第三节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推进专业公共卫生机构建设</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2</w:t>
      </w:r>
      <w:r>
        <w:rPr>
          <w:rFonts w:hint="default" w:ascii="楷体_GB2312" w:hAnsi="楷体_GB2312" w:eastAsia="楷体_GB2312" w:cs="楷体_GB2312"/>
          <w:kern w:val="2"/>
          <w:sz w:val="28"/>
          <w:szCs w:val="28"/>
          <w:lang w:val="en" w:eastAsia="zh-CN" w:bidi="ar-SA"/>
        </w:rPr>
        <w:t>2</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第四节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多措并举加强医防融合实践</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22</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第五节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提高公共卫生应急处置能力</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23</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第六节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加强队列研究成果转化应用</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24</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第三章  优化资源配置，构建优质医疗服务体系</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t>24</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第一节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深入推进公立医院高质量发展</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24</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第二节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打造多层次医疗卫生服务体系</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25</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第三节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打造基层医疗卫生服务新格局</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26</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第四章  优化待遇环境，实施人才优先发展战略</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t>28</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第一节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完善卫生人才队伍配置</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28</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楷体_GB2312" w:hAnsi="楷体_GB2312" w:eastAsia="楷体_GB2312" w:cs="楷体_GB2312"/>
          <w:kern w:val="2"/>
          <w:sz w:val="28"/>
          <w:szCs w:val="28"/>
          <w:lang w:val="en" w:eastAsia="zh-CN" w:bidi="ar-SA"/>
        </w:rPr>
      </w:pPr>
      <w:r>
        <w:rPr>
          <w:rFonts w:hint="eastAsia" w:ascii="楷体_GB2312" w:hAnsi="楷体_GB2312" w:eastAsia="楷体_GB2312" w:cs="楷体_GB2312"/>
          <w:kern w:val="2"/>
          <w:sz w:val="28"/>
          <w:szCs w:val="28"/>
          <w:lang w:val="en-US" w:eastAsia="zh-CN" w:bidi="ar-SA"/>
        </w:rPr>
        <w:t>第二节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完善薪酬分配激励机制</w:t>
      </w:r>
      <w:r>
        <w:rPr>
          <w:rFonts w:hint="eastAsia" w:ascii="楷体_GB2312" w:hAnsi="楷体_GB2312" w:eastAsia="楷体_GB2312" w:cs="楷体_GB2312"/>
          <w:kern w:val="2"/>
          <w:sz w:val="28"/>
          <w:szCs w:val="28"/>
          <w:lang w:val="en-US" w:eastAsia="zh-CN" w:bidi="ar-SA"/>
        </w:rPr>
        <w:tab/>
      </w:r>
      <w:r>
        <w:rPr>
          <w:rFonts w:hint="default" w:ascii="楷体_GB2312" w:hAnsi="楷体_GB2312" w:eastAsia="楷体_GB2312" w:cs="楷体_GB2312"/>
          <w:kern w:val="2"/>
          <w:sz w:val="28"/>
          <w:szCs w:val="28"/>
          <w:lang w:val="en" w:eastAsia="zh-CN" w:bidi="ar-SA"/>
        </w:rPr>
        <w:t>30</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第三节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加快引进高端医学人才</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30</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第四节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加强基层人才队伍建设</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31</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黑体" w:hAnsi="黑体" w:eastAsia="黑体" w:cs="黑体"/>
          <w:kern w:val="2"/>
          <w:sz w:val="28"/>
          <w:szCs w:val="28"/>
          <w:lang w:val="en" w:eastAsia="zh-CN" w:bidi="ar-SA"/>
        </w:rPr>
      </w:pPr>
      <w:r>
        <w:rPr>
          <w:rFonts w:hint="eastAsia" w:ascii="黑体" w:hAnsi="黑体" w:eastAsia="黑体" w:cs="黑体"/>
          <w:kern w:val="2"/>
          <w:sz w:val="28"/>
          <w:szCs w:val="28"/>
          <w:lang w:val="en-US" w:eastAsia="zh-CN" w:bidi="ar-SA"/>
        </w:rPr>
        <w:t>第五章  关注重点人群，实现全生命周期新保障</w:t>
      </w:r>
      <w:r>
        <w:rPr>
          <w:rFonts w:hint="eastAsia" w:ascii="黑体" w:hAnsi="黑体" w:eastAsia="黑体" w:cs="黑体"/>
          <w:kern w:val="2"/>
          <w:sz w:val="28"/>
          <w:szCs w:val="28"/>
          <w:lang w:val="en-US" w:eastAsia="zh-CN" w:bidi="ar-SA"/>
        </w:rPr>
        <w:tab/>
      </w:r>
      <w:r>
        <w:rPr>
          <w:rFonts w:hint="default" w:ascii="黑体" w:hAnsi="黑体" w:eastAsia="黑体" w:cs="黑体"/>
          <w:kern w:val="2"/>
          <w:sz w:val="28"/>
          <w:szCs w:val="28"/>
          <w:lang w:val="en" w:eastAsia="zh-CN" w:bidi="ar-SA"/>
        </w:rPr>
        <w:t>32</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楷体_GB2312" w:hAnsi="楷体_GB2312" w:eastAsia="楷体_GB2312" w:cs="楷体_GB2312"/>
          <w:kern w:val="2"/>
          <w:sz w:val="28"/>
          <w:szCs w:val="28"/>
          <w:lang w:val="en" w:eastAsia="zh-CN" w:bidi="ar-SA"/>
        </w:rPr>
      </w:pPr>
      <w:r>
        <w:rPr>
          <w:rFonts w:hint="eastAsia" w:ascii="楷体_GB2312" w:hAnsi="楷体_GB2312" w:eastAsia="楷体_GB2312" w:cs="楷体_GB2312"/>
          <w:kern w:val="2"/>
          <w:sz w:val="28"/>
          <w:szCs w:val="28"/>
          <w:lang w:val="en-US" w:eastAsia="zh-CN" w:bidi="ar-SA"/>
        </w:rPr>
        <w:t>第一节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全面贯彻落实生育服务政策</w:t>
      </w:r>
      <w:r>
        <w:rPr>
          <w:rFonts w:hint="eastAsia" w:ascii="楷体_GB2312" w:hAnsi="楷体_GB2312" w:eastAsia="楷体_GB2312" w:cs="楷体_GB2312"/>
          <w:kern w:val="2"/>
          <w:sz w:val="28"/>
          <w:szCs w:val="28"/>
          <w:lang w:val="en-US" w:eastAsia="zh-CN" w:bidi="ar-SA"/>
        </w:rPr>
        <w:tab/>
      </w:r>
      <w:r>
        <w:rPr>
          <w:rFonts w:hint="default" w:ascii="楷体_GB2312" w:hAnsi="楷体_GB2312" w:eastAsia="楷体_GB2312" w:cs="楷体_GB2312"/>
          <w:kern w:val="2"/>
          <w:sz w:val="28"/>
          <w:szCs w:val="28"/>
          <w:lang w:val="en" w:eastAsia="zh-CN" w:bidi="ar-SA"/>
        </w:rPr>
        <w:t>32</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楷体_GB2312" w:hAnsi="楷体_GB2312" w:eastAsia="楷体_GB2312" w:cs="楷体_GB2312"/>
          <w:kern w:val="2"/>
          <w:sz w:val="28"/>
          <w:szCs w:val="28"/>
          <w:lang w:val="en" w:eastAsia="zh-CN" w:bidi="ar-SA"/>
        </w:rPr>
      </w:pPr>
      <w:r>
        <w:rPr>
          <w:rFonts w:hint="eastAsia" w:ascii="楷体_GB2312" w:hAnsi="楷体_GB2312" w:eastAsia="楷体_GB2312" w:cs="楷体_GB2312"/>
          <w:kern w:val="2"/>
          <w:sz w:val="28"/>
          <w:szCs w:val="28"/>
          <w:lang w:val="en-US" w:eastAsia="zh-CN" w:bidi="ar-SA"/>
        </w:rPr>
        <w:t>第二节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加强妇幼健康服务体系建设</w:t>
      </w:r>
      <w:r>
        <w:rPr>
          <w:rFonts w:hint="eastAsia" w:ascii="楷体_GB2312" w:hAnsi="楷体_GB2312" w:eastAsia="楷体_GB2312" w:cs="楷体_GB2312"/>
          <w:kern w:val="2"/>
          <w:sz w:val="28"/>
          <w:szCs w:val="28"/>
          <w:lang w:val="en-US" w:eastAsia="zh-CN" w:bidi="ar-SA"/>
        </w:rPr>
        <w:tab/>
      </w:r>
      <w:r>
        <w:rPr>
          <w:rFonts w:hint="default" w:ascii="楷体_GB2312" w:hAnsi="楷体_GB2312" w:eastAsia="楷体_GB2312" w:cs="楷体_GB2312"/>
          <w:kern w:val="2"/>
          <w:sz w:val="28"/>
          <w:szCs w:val="28"/>
          <w:lang w:val="en" w:eastAsia="zh-CN" w:bidi="ar-SA"/>
        </w:rPr>
        <w:t>33</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第三节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推动老年健康服务体系建设</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34</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楷体_GB2312" w:hAnsi="楷体_GB2312" w:eastAsia="楷体_GB2312" w:cs="楷体_GB2312"/>
          <w:kern w:val="2"/>
          <w:sz w:val="28"/>
          <w:szCs w:val="28"/>
          <w:lang w:val="en" w:eastAsia="zh-CN" w:bidi="ar-SA"/>
        </w:rPr>
      </w:pPr>
      <w:r>
        <w:rPr>
          <w:rFonts w:hint="eastAsia" w:ascii="楷体_GB2312" w:hAnsi="楷体_GB2312" w:eastAsia="楷体_GB2312" w:cs="楷体_GB2312"/>
          <w:kern w:val="2"/>
          <w:sz w:val="28"/>
          <w:szCs w:val="28"/>
          <w:lang w:val="en-US" w:eastAsia="zh-CN" w:bidi="ar-SA"/>
        </w:rPr>
        <w:t>第四节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加强职业健康监督管理工作</w:t>
      </w:r>
      <w:r>
        <w:rPr>
          <w:rFonts w:hint="eastAsia" w:ascii="楷体_GB2312" w:hAnsi="楷体_GB2312" w:eastAsia="楷体_GB2312" w:cs="楷体_GB2312"/>
          <w:kern w:val="2"/>
          <w:sz w:val="28"/>
          <w:szCs w:val="28"/>
          <w:lang w:val="en-US" w:eastAsia="zh-CN" w:bidi="ar-SA"/>
        </w:rPr>
        <w:tab/>
      </w:r>
      <w:r>
        <w:rPr>
          <w:rFonts w:hint="default" w:ascii="楷体_GB2312" w:hAnsi="楷体_GB2312" w:eastAsia="楷体_GB2312" w:cs="楷体_GB2312"/>
          <w:kern w:val="2"/>
          <w:sz w:val="28"/>
          <w:szCs w:val="28"/>
          <w:lang w:val="en" w:eastAsia="zh-CN" w:bidi="ar-SA"/>
        </w:rPr>
        <w:t>36</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第六章  传承创新发展，推进中医药事业现代化</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t>36</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第一节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完善中医药服务体系建设</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36</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第二节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推动中医药守正创新发展</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37</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黑体" w:hAnsi="黑体" w:eastAsia="黑体" w:cs="黑体"/>
          <w:kern w:val="2"/>
          <w:sz w:val="28"/>
          <w:szCs w:val="28"/>
          <w:lang w:val="en" w:eastAsia="zh-CN" w:bidi="ar-SA"/>
        </w:rPr>
      </w:pPr>
      <w:r>
        <w:rPr>
          <w:rFonts w:hint="eastAsia" w:ascii="黑体" w:hAnsi="黑体" w:eastAsia="黑体" w:cs="黑体"/>
          <w:kern w:val="2"/>
          <w:sz w:val="28"/>
          <w:szCs w:val="28"/>
          <w:lang w:val="en-US" w:eastAsia="zh-CN" w:bidi="ar-SA"/>
        </w:rPr>
        <w:t>第七章  坚持信息赋能，加强卫生健康智能服务</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t>3</w:t>
      </w:r>
      <w:r>
        <w:rPr>
          <w:rFonts w:hint="default" w:ascii="黑体" w:hAnsi="黑体" w:eastAsia="黑体" w:cs="黑体"/>
          <w:kern w:val="2"/>
          <w:sz w:val="28"/>
          <w:szCs w:val="28"/>
          <w:lang w:val="en" w:eastAsia="zh-CN" w:bidi="ar-SA"/>
        </w:rPr>
        <w:t>9</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楷体_GB2312" w:hAnsi="楷体_GB2312" w:eastAsia="楷体_GB2312" w:cs="楷体_GB2312"/>
          <w:kern w:val="2"/>
          <w:sz w:val="28"/>
          <w:szCs w:val="28"/>
          <w:lang w:val="en" w:eastAsia="zh-CN" w:bidi="ar-SA"/>
        </w:rPr>
      </w:pPr>
      <w:r>
        <w:rPr>
          <w:rFonts w:hint="eastAsia" w:ascii="楷体_GB2312" w:hAnsi="楷体_GB2312" w:eastAsia="楷体_GB2312" w:cs="楷体_GB2312"/>
          <w:kern w:val="2"/>
          <w:sz w:val="28"/>
          <w:szCs w:val="28"/>
          <w:lang w:val="en-US" w:eastAsia="zh-CN" w:bidi="ar-SA"/>
        </w:rPr>
        <w:t>第一节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建设完善智慧医疗服务模式</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3</w:t>
      </w:r>
      <w:r>
        <w:rPr>
          <w:rFonts w:hint="default" w:ascii="楷体_GB2312" w:hAnsi="楷体_GB2312" w:eastAsia="楷体_GB2312" w:cs="楷体_GB2312"/>
          <w:kern w:val="2"/>
          <w:sz w:val="28"/>
          <w:szCs w:val="28"/>
          <w:lang w:val="en" w:eastAsia="zh-CN" w:bidi="ar-SA"/>
        </w:rPr>
        <w:t>9</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楷体_GB2312" w:hAnsi="楷体_GB2312" w:eastAsia="楷体_GB2312" w:cs="楷体_GB2312"/>
          <w:kern w:val="2"/>
          <w:sz w:val="28"/>
          <w:szCs w:val="28"/>
          <w:lang w:val="en" w:eastAsia="zh-CN" w:bidi="ar-SA"/>
        </w:rPr>
      </w:pPr>
      <w:r>
        <w:rPr>
          <w:rFonts w:hint="eastAsia" w:ascii="楷体_GB2312" w:hAnsi="楷体_GB2312" w:eastAsia="楷体_GB2312" w:cs="楷体_GB2312"/>
          <w:kern w:val="2"/>
          <w:sz w:val="28"/>
          <w:szCs w:val="28"/>
          <w:lang w:val="en-US" w:eastAsia="zh-CN" w:bidi="ar-SA"/>
        </w:rPr>
        <w:t>第二节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推进卫生健康信息协同共享</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3</w:t>
      </w:r>
      <w:r>
        <w:rPr>
          <w:rFonts w:hint="default" w:ascii="楷体_GB2312" w:hAnsi="楷体_GB2312" w:eastAsia="楷体_GB2312" w:cs="楷体_GB2312"/>
          <w:kern w:val="2"/>
          <w:sz w:val="28"/>
          <w:szCs w:val="28"/>
          <w:lang w:val="en" w:eastAsia="zh-CN" w:bidi="ar-SA"/>
        </w:rPr>
        <w:t>9</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楷体_GB2312" w:hAnsi="楷体_GB2312" w:eastAsia="楷体_GB2312" w:cs="楷体_GB2312"/>
          <w:kern w:val="2"/>
          <w:sz w:val="28"/>
          <w:szCs w:val="28"/>
          <w:lang w:val="en" w:eastAsia="zh-CN" w:bidi="ar-SA"/>
        </w:rPr>
      </w:pPr>
      <w:r>
        <w:rPr>
          <w:rFonts w:hint="eastAsia" w:ascii="楷体_GB2312" w:hAnsi="楷体_GB2312" w:eastAsia="楷体_GB2312" w:cs="楷体_GB2312"/>
          <w:kern w:val="2"/>
          <w:sz w:val="28"/>
          <w:szCs w:val="28"/>
          <w:lang w:val="en-US" w:eastAsia="zh-CN" w:bidi="ar-SA"/>
        </w:rPr>
        <w:t>第三节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完善远程医疗服务体系建设</w:t>
      </w:r>
      <w:r>
        <w:rPr>
          <w:rFonts w:hint="eastAsia" w:ascii="楷体_GB2312" w:hAnsi="楷体_GB2312" w:eastAsia="楷体_GB2312" w:cs="楷体_GB2312"/>
          <w:kern w:val="2"/>
          <w:sz w:val="28"/>
          <w:szCs w:val="28"/>
          <w:lang w:val="en-US" w:eastAsia="zh-CN" w:bidi="ar-SA"/>
        </w:rPr>
        <w:tab/>
      </w:r>
      <w:r>
        <w:rPr>
          <w:rFonts w:hint="default" w:ascii="楷体_GB2312" w:hAnsi="楷体_GB2312" w:eastAsia="楷体_GB2312" w:cs="楷体_GB2312"/>
          <w:kern w:val="2"/>
          <w:sz w:val="28"/>
          <w:szCs w:val="28"/>
          <w:lang w:val="en" w:eastAsia="zh-CN" w:bidi="ar-SA"/>
        </w:rPr>
        <w:t>40</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楷体_GB2312" w:hAnsi="楷体_GB2312" w:eastAsia="楷体_GB2312" w:cs="楷体_GB2312"/>
          <w:kern w:val="2"/>
          <w:sz w:val="28"/>
          <w:szCs w:val="28"/>
          <w:lang w:val="en" w:eastAsia="zh-CN" w:bidi="ar-SA"/>
        </w:rPr>
      </w:pPr>
      <w:r>
        <w:rPr>
          <w:rFonts w:hint="eastAsia" w:ascii="楷体_GB2312" w:hAnsi="楷体_GB2312" w:eastAsia="楷体_GB2312" w:cs="楷体_GB2312"/>
          <w:kern w:val="2"/>
          <w:sz w:val="28"/>
          <w:szCs w:val="28"/>
          <w:lang w:val="en-US" w:eastAsia="zh-CN" w:bidi="ar-SA"/>
        </w:rPr>
        <w:t>第四节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全面提升网络安全防护能力</w:t>
      </w:r>
      <w:r>
        <w:rPr>
          <w:rFonts w:hint="eastAsia" w:ascii="楷体_GB2312" w:hAnsi="楷体_GB2312" w:eastAsia="楷体_GB2312" w:cs="楷体_GB2312"/>
          <w:kern w:val="2"/>
          <w:sz w:val="28"/>
          <w:szCs w:val="28"/>
          <w:lang w:val="en-US" w:eastAsia="zh-CN" w:bidi="ar-SA"/>
        </w:rPr>
        <w:tab/>
      </w:r>
      <w:r>
        <w:rPr>
          <w:rFonts w:hint="default" w:ascii="楷体_GB2312" w:hAnsi="楷体_GB2312" w:eastAsia="楷体_GB2312" w:cs="楷体_GB2312"/>
          <w:kern w:val="2"/>
          <w:sz w:val="28"/>
          <w:szCs w:val="28"/>
          <w:lang w:val="en" w:eastAsia="zh-CN" w:bidi="ar-SA"/>
        </w:rPr>
        <w:t>40</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黑体" w:hAnsi="黑体" w:eastAsia="黑体" w:cs="黑体"/>
          <w:kern w:val="2"/>
          <w:sz w:val="28"/>
          <w:szCs w:val="28"/>
          <w:lang w:val="en" w:eastAsia="zh-CN" w:bidi="ar-SA"/>
        </w:rPr>
      </w:pPr>
      <w:r>
        <w:rPr>
          <w:rFonts w:hint="eastAsia" w:ascii="黑体" w:hAnsi="黑体" w:eastAsia="黑体" w:cs="黑体"/>
          <w:kern w:val="2"/>
          <w:sz w:val="28"/>
          <w:szCs w:val="28"/>
          <w:lang w:val="en-US" w:eastAsia="zh-CN" w:bidi="ar-SA"/>
        </w:rPr>
        <w:t>第八章  坚持多元融合，推进健康服务创新发展</w:t>
      </w:r>
      <w:r>
        <w:rPr>
          <w:rFonts w:hint="eastAsia" w:ascii="黑体" w:hAnsi="黑体" w:eastAsia="黑体" w:cs="黑体"/>
          <w:kern w:val="2"/>
          <w:sz w:val="28"/>
          <w:szCs w:val="28"/>
          <w:lang w:val="en-US" w:eastAsia="zh-CN" w:bidi="ar-SA"/>
        </w:rPr>
        <w:tab/>
      </w:r>
      <w:r>
        <w:rPr>
          <w:rFonts w:hint="default" w:ascii="黑体" w:hAnsi="黑体" w:eastAsia="黑体" w:cs="黑体"/>
          <w:kern w:val="2"/>
          <w:sz w:val="28"/>
          <w:szCs w:val="28"/>
          <w:lang w:val="en" w:eastAsia="zh-CN" w:bidi="ar-SA"/>
        </w:rPr>
        <w:t>41</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楷体_GB2312" w:hAnsi="楷体_GB2312" w:eastAsia="楷体_GB2312" w:cs="楷体_GB2312"/>
          <w:kern w:val="2"/>
          <w:sz w:val="28"/>
          <w:szCs w:val="28"/>
          <w:lang w:val="en" w:eastAsia="zh-CN" w:bidi="ar-SA"/>
        </w:rPr>
      </w:pPr>
      <w:r>
        <w:rPr>
          <w:rFonts w:hint="eastAsia" w:ascii="楷体_GB2312" w:hAnsi="楷体_GB2312" w:eastAsia="楷体_GB2312" w:cs="楷体_GB2312"/>
          <w:kern w:val="2"/>
          <w:sz w:val="28"/>
          <w:szCs w:val="28"/>
          <w:lang w:val="en-US" w:eastAsia="zh-CN" w:bidi="ar-SA"/>
        </w:rPr>
        <w:t>第一节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开展全民健康促进运动</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4</w:t>
      </w:r>
      <w:r>
        <w:rPr>
          <w:rFonts w:hint="default" w:ascii="楷体_GB2312" w:hAnsi="楷体_GB2312" w:eastAsia="楷体_GB2312" w:cs="楷体_GB2312"/>
          <w:kern w:val="2"/>
          <w:sz w:val="28"/>
          <w:szCs w:val="28"/>
          <w:lang w:val="en" w:eastAsia="zh-CN" w:bidi="ar-SA"/>
        </w:rPr>
        <w:t>1</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楷体_GB2312" w:hAnsi="楷体_GB2312" w:eastAsia="楷体_GB2312" w:cs="楷体_GB2312"/>
          <w:kern w:val="2"/>
          <w:sz w:val="28"/>
          <w:szCs w:val="28"/>
          <w:lang w:val="en" w:eastAsia="zh-CN" w:bidi="ar-SA"/>
        </w:rPr>
      </w:pPr>
      <w:r>
        <w:rPr>
          <w:rFonts w:hint="eastAsia" w:ascii="楷体_GB2312" w:hAnsi="楷体_GB2312" w:eastAsia="楷体_GB2312" w:cs="楷体_GB2312"/>
          <w:kern w:val="2"/>
          <w:sz w:val="28"/>
          <w:szCs w:val="28"/>
          <w:lang w:val="en-US" w:eastAsia="zh-CN" w:bidi="ar-SA"/>
        </w:rPr>
        <w:t>第二节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促进社会办医规范发展</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4</w:t>
      </w:r>
      <w:r>
        <w:rPr>
          <w:rFonts w:hint="default" w:ascii="楷体_GB2312" w:hAnsi="楷体_GB2312" w:eastAsia="楷体_GB2312" w:cs="楷体_GB2312"/>
          <w:kern w:val="2"/>
          <w:sz w:val="28"/>
          <w:szCs w:val="28"/>
          <w:lang w:val="en" w:eastAsia="zh-CN" w:bidi="ar-SA"/>
        </w:rPr>
        <w:t>2</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第三节</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推动健康产业创新发展</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42</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黑体" w:hAnsi="黑体" w:eastAsia="黑体" w:cs="黑体"/>
          <w:kern w:val="2"/>
          <w:sz w:val="28"/>
          <w:szCs w:val="28"/>
          <w:lang w:val="en" w:eastAsia="zh-CN" w:bidi="ar-SA"/>
        </w:rPr>
      </w:pPr>
      <w:r>
        <w:rPr>
          <w:rFonts w:hint="eastAsia" w:ascii="黑体" w:hAnsi="黑体" w:eastAsia="黑体" w:cs="黑体"/>
          <w:kern w:val="2"/>
          <w:sz w:val="28"/>
          <w:szCs w:val="28"/>
          <w:lang w:val="en-US" w:eastAsia="zh-CN" w:bidi="ar-SA"/>
        </w:rPr>
        <w:t>第九章  加强综合监管，保证医疗卫生行业安全</w:t>
      </w:r>
      <w:r>
        <w:rPr>
          <w:rFonts w:hint="eastAsia" w:ascii="黑体" w:hAnsi="黑体" w:eastAsia="黑体" w:cs="黑体"/>
          <w:kern w:val="2"/>
          <w:sz w:val="28"/>
          <w:szCs w:val="28"/>
          <w:lang w:val="en-US" w:eastAsia="zh-CN" w:bidi="ar-SA"/>
        </w:rPr>
        <w:tab/>
      </w:r>
      <w:r>
        <w:rPr>
          <w:rFonts w:hint="eastAsia" w:ascii="黑体" w:hAnsi="黑体" w:eastAsia="黑体" w:cs="黑体"/>
          <w:kern w:val="2"/>
          <w:sz w:val="28"/>
          <w:szCs w:val="28"/>
          <w:lang w:val="en-US" w:eastAsia="zh-CN" w:bidi="ar-SA"/>
        </w:rPr>
        <w:t>4</w:t>
      </w:r>
      <w:r>
        <w:rPr>
          <w:rFonts w:hint="default" w:ascii="黑体" w:hAnsi="黑体" w:eastAsia="黑体" w:cs="黑体"/>
          <w:kern w:val="2"/>
          <w:sz w:val="28"/>
          <w:szCs w:val="28"/>
          <w:lang w:val="en" w:eastAsia="zh-CN" w:bidi="ar-SA"/>
        </w:rPr>
        <w:t>3</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黑体" w:hAnsi="黑体" w:eastAsia="黑体" w:cs="黑体"/>
          <w:b/>
          <w:bCs/>
          <w:kern w:val="2"/>
          <w:sz w:val="28"/>
          <w:szCs w:val="28"/>
          <w:lang w:val="en" w:eastAsia="zh-CN" w:bidi="ar-SA"/>
        </w:rPr>
      </w:pPr>
      <w:r>
        <w:rPr>
          <w:rFonts w:hint="eastAsia" w:ascii="黑体" w:hAnsi="黑体" w:eastAsia="黑体" w:cs="黑体"/>
          <w:b/>
          <w:bCs/>
          <w:kern w:val="2"/>
          <w:sz w:val="28"/>
          <w:szCs w:val="28"/>
          <w:lang w:val="en-US" w:eastAsia="zh-CN" w:bidi="ar-SA"/>
        </w:rPr>
        <w:t>第四篇</w:t>
      </w:r>
      <w:r>
        <w:rPr>
          <w:rFonts w:hint="eastAsia" w:ascii="黑体" w:hAnsi="黑体" w:eastAsia="黑体" w:cs="黑体"/>
          <w:kern w:val="2"/>
          <w:sz w:val="28"/>
          <w:szCs w:val="28"/>
          <w:lang w:val="en-US" w:eastAsia="zh-CN" w:bidi="ar-SA"/>
        </w:rPr>
        <w:t xml:space="preserve">  </w:t>
      </w:r>
      <w:r>
        <w:rPr>
          <w:rFonts w:hint="eastAsia" w:ascii="黑体" w:hAnsi="黑体" w:eastAsia="黑体" w:cs="黑体"/>
          <w:b/>
          <w:bCs/>
          <w:kern w:val="2"/>
          <w:sz w:val="28"/>
          <w:szCs w:val="28"/>
          <w:lang w:val="en-US" w:eastAsia="zh-CN" w:bidi="ar-SA"/>
        </w:rPr>
        <w:t>实施保障</w:t>
      </w:r>
      <w:r>
        <w:rPr>
          <w:rFonts w:hint="eastAsia" w:ascii="黑体" w:hAnsi="黑体" w:eastAsia="黑体" w:cs="黑体"/>
          <w:b/>
          <w:bCs/>
          <w:kern w:val="2"/>
          <w:sz w:val="28"/>
          <w:szCs w:val="28"/>
          <w:lang w:val="en-US" w:eastAsia="zh-CN" w:bidi="ar-SA"/>
        </w:rPr>
        <w:tab/>
      </w:r>
      <w:r>
        <w:rPr>
          <w:rFonts w:hint="eastAsia" w:ascii="黑体" w:hAnsi="黑体" w:eastAsia="黑体" w:cs="黑体"/>
          <w:b/>
          <w:bCs/>
          <w:kern w:val="2"/>
          <w:sz w:val="28"/>
          <w:szCs w:val="28"/>
          <w:lang w:val="en-US" w:eastAsia="zh-CN" w:bidi="ar-SA"/>
        </w:rPr>
        <w:t>4</w:t>
      </w:r>
      <w:r>
        <w:rPr>
          <w:rFonts w:hint="default" w:ascii="黑体" w:hAnsi="黑体" w:eastAsia="黑体" w:cs="黑体"/>
          <w:b/>
          <w:bCs/>
          <w:kern w:val="2"/>
          <w:sz w:val="28"/>
          <w:szCs w:val="28"/>
          <w:lang w:val="en" w:eastAsia="zh-CN" w:bidi="ar-SA"/>
        </w:rPr>
        <w:t>4</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楷体_GB2312" w:hAnsi="楷体_GB2312" w:eastAsia="楷体_GB2312" w:cs="楷体_GB2312"/>
          <w:kern w:val="2"/>
          <w:sz w:val="28"/>
          <w:szCs w:val="28"/>
          <w:lang w:val="en" w:eastAsia="zh-CN" w:bidi="ar-SA"/>
        </w:rPr>
      </w:pPr>
      <w:r>
        <w:rPr>
          <w:rFonts w:hint="eastAsia" w:ascii="楷体_GB2312" w:hAnsi="楷体_GB2312" w:eastAsia="楷体_GB2312" w:cs="楷体_GB2312"/>
          <w:kern w:val="2"/>
          <w:sz w:val="28"/>
          <w:szCs w:val="28"/>
          <w:lang w:val="en-US" w:eastAsia="zh-CN" w:bidi="ar-SA"/>
        </w:rPr>
        <w:t>第一章</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加强组织领导</w:t>
      </w:r>
      <w:r>
        <w:rPr>
          <w:rFonts w:hint="eastAsia" w:ascii="楷体_GB2312" w:hAnsi="楷体_GB2312" w:eastAsia="楷体_GB2312" w:cs="楷体_GB2312"/>
          <w:kern w:val="2"/>
          <w:sz w:val="28"/>
          <w:szCs w:val="28"/>
          <w:lang w:val="en-US" w:eastAsia="zh-CN" w:bidi="ar-SA"/>
        </w:rPr>
        <w:tab/>
      </w:r>
      <w:r>
        <w:rPr>
          <w:rFonts w:hint="default" w:ascii="楷体_GB2312" w:hAnsi="楷体_GB2312" w:eastAsia="楷体_GB2312" w:cs="楷体_GB2312"/>
          <w:kern w:val="2"/>
          <w:sz w:val="28"/>
          <w:szCs w:val="28"/>
          <w:lang w:val="en" w:eastAsia="zh-CN" w:bidi="ar-SA"/>
        </w:rPr>
        <w:t>44</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楷体_GB2312" w:hAnsi="楷体_GB2312" w:eastAsia="楷体_GB2312" w:cs="楷体_GB2312"/>
          <w:kern w:val="2"/>
          <w:sz w:val="28"/>
          <w:szCs w:val="28"/>
          <w:lang w:val="en" w:eastAsia="zh-CN" w:bidi="ar-SA"/>
        </w:rPr>
      </w:pPr>
      <w:r>
        <w:rPr>
          <w:rFonts w:hint="eastAsia" w:ascii="楷体_GB2312" w:hAnsi="楷体_GB2312" w:eastAsia="楷体_GB2312" w:cs="楷体_GB2312"/>
          <w:kern w:val="2"/>
          <w:sz w:val="28"/>
          <w:szCs w:val="28"/>
          <w:lang w:val="en-US" w:eastAsia="zh-CN" w:bidi="ar-SA"/>
        </w:rPr>
        <w:t>第二章</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保障财政投入</w:t>
      </w:r>
      <w:r>
        <w:rPr>
          <w:rFonts w:hint="eastAsia" w:ascii="楷体_GB2312" w:hAnsi="楷体_GB2312" w:eastAsia="楷体_GB2312" w:cs="楷体_GB2312"/>
          <w:kern w:val="2"/>
          <w:sz w:val="28"/>
          <w:szCs w:val="28"/>
          <w:lang w:val="en-US" w:eastAsia="zh-CN" w:bidi="ar-SA"/>
        </w:rPr>
        <w:tab/>
      </w:r>
      <w:r>
        <w:rPr>
          <w:rFonts w:hint="default" w:ascii="楷体_GB2312" w:hAnsi="楷体_GB2312" w:eastAsia="楷体_GB2312" w:cs="楷体_GB2312"/>
          <w:kern w:val="2"/>
          <w:sz w:val="28"/>
          <w:szCs w:val="28"/>
          <w:lang w:val="en" w:eastAsia="zh-CN" w:bidi="ar-SA"/>
        </w:rPr>
        <w:t>44</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第三章</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加强法治建设</w:t>
      </w:r>
      <w:r>
        <w:rPr>
          <w:rFonts w:hint="eastAsia" w:ascii="楷体_GB2312" w:hAnsi="楷体_GB2312" w:eastAsia="楷体_GB2312" w:cs="楷体_GB2312"/>
          <w:kern w:val="2"/>
          <w:sz w:val="28"/>
          <w:szCs w:val="28"/>
          <w:lang w:val="en-US" w:eastAsia="zh-CN" w:bidi="ar-SA"/>
        </w:rPr>
        <w:tab/>
      </w:r>
      <w:r>
        <w:rPr>
          <w:rFonts w:hint="eastAsia" w:ascii="楷体_GB2312" w:hAnsi="楷体_GB2312" w:eastAsia="楷体_GB2312" w:cs="楷体_GB2312"/>
          <w:kern w:val="2"/>
          <w:sz w:val="28"/>
          <w:szCs w:val="28"/>
          <w:lang w:val="en-US" w:eastAsia="zh-CN" w:bidi="ar-SA"/>
        </w:rPr>
        <w:t>44</w:t>
      </w:r>
    </w:p>
    <w:p>
      <w:pPr>
        <w:pStyle w:val="10"/>
        <w:keepNext w:val="0"/>
        <w:keepLines w:val="0"/>
        <w:pageBreakBefore w:val="0"/>
        <w:widowControl/>
        <w:tabs>
          <w:tab w:val="right" w:leader="dot" w:pos="8306"/>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楷体_GB2312" w:hAnsi="楷体_GB2312" w:eastAsia="楷体_GB2312" w:cs="楷体_GB2312"/>
          <w:kern w:val="2"/>
          <w:sz w:val="28"/>
          <w:szCs w:val="28"/>
          <w:lang w:val="en" w:eastAsia="zh-CN" w:bidi="ar-SA"/>
        </w:rPr>
      </w:pPr>
      <w:r>
        <w:rPr>
          <w:rFonts w:hint="eastAsia" w:ascii="楷体_GB2312" w:hAnsi="楷体_GB2312" w:eastAsia="楷体_GB2312" w:cs="楷体_GB2312"/>
          <w:kern w:val="2"/>
          <w:sz w:val="28"/>
          <w:szCs w:val="28"/>
          <w:lang w:val="en-US" w:eastAsia="zh-CN" w:bidi="ar-SA"/>
        </w:rPr>
        <w:t>第四章</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提供要素保障</w:t>
      </w:r>
      <w:r>
        <w:rPr>
          <w:rFonts w:hint="eastAsia" w:ascii="楷体_GB2312" w:hAnsi="楷体_GB2312" w:eastAsia="楷体_GB2312" w:cs="楷体_GB2312"/>
          <w:kern w:val="2"/>
          <w:sz w:val="28"/>
          <w:szCs w:val="28"/>
          <w:lang w:val="en-US" w:eastAsia="zh-CN" w:bidi="ar-SA"/>
        </w:rPr>
        <w:tab/>
      </w:r>
      <w:r>
        <w:rPr>
          <w:rFonts w:hint="default" w:ascii="楷体_GB2312" w:hAnsi="楷体_GB2312" w:eastAsia="楷体_GB2312" w:cs="楷体_GB2312"/>
          <w:kern w:val="2"/>
          <w:sz w:val="28"/>
          <w:szCs w:val="28"/>
          <w:lang w:val="en" w:eastAsia="zh-CN" w:bidi="ar-SA"/>
        </w:rPr>
        <w:t>45</w:t>
      </w:r>
    </w:p>
    <w:p>
      <w:pPr>
        <w:pStyle w:val="10"/>
        <w:widowControl/>
        <w:tabs>
          <w:tab w:val="right" w:leader="dot" w:pos="8306"/>
        </w:tabs>
        <w:spacing w:line="520" w:lineRule="exact"/>
        <w:jc w:val="left"/>
        <w:outlineLvl w:val="9"/>
        <w:rPr>
          <w:rFonts w:hint="default" w:ascii="楷体_GB2312" w:hAnsi="楷体_GB2312" w:eastAsia="楷体_GB2312" w:cs="楷体_GB2312"/>
          <w:kern w:val="2"/>
          <w:sz w:val="28"/>
          <w:szCs w:val="28"/>
          <w:lang w:val="en" w:eastAsia="zh-CN" w:bidi="ar-SA"/>
        </w:rPr>
        <w:sectPr>
          <w:footerReference r:id="rId3" w:type="default"/>
          <w:pgSz w:w="11906" w:h="16838"/>
          <w:pgMar w:top="2098" w:right="1474" w:bottom="1984" w:left="1587" w:header="851" w:footer="1417" w:gutter="0"/>
          <w:pgBorders>
            <w:top w:val="none" w:sz="0" w:space="0"/>
            <w:left w:val="none" w:sz="0" w:space="0"/>
            <w:bottom w:val="none" w:sz="0" w:space="0"/>
            <w:right w:val="none" w:sz="0" w:space="0"/>
          </w:pgBorders>
          <w:pgNumType w:fmt="numberInDash"/>
          <w:cols w:space="720" w:num="1"/>
          <w:rtlGutter w:val="0"/>
          <w:docGrid w:type="lines" w:linePitch="439" w:charSpace="0"/>
        </w:sectPr>
      </w:pPr>
      <w:r>
        <w:rPr>
          <w:rFonts w:hint="eastAsia" w:ascii="楷体_GB2312" w:hAnsi="楷体_GB2312" w:eastAsia="楷体_GB2312" w:cs="楷体_GB2312"/>
          <w:kern w:val="2"/>
          <w:sz w:val="28"/>
          <w:szCs w:val="28"/>
          <w:lang w:val="en-US" w:eastAsia="zh-CN" w:bidi="ar-SA"/>
        </w:rPr>
        <w:t>第五章</w:t>
      </w:r>
      <w:r>
        <w:rPr>
          <w:rFonts w:hint="eastAsia" w:ascii="黑体" w:hAnsi="黑体" w:eastAsia="黑体" w:cs="黑体"/>
          <w:kern w:val="2"/>
          <w:sz w:val="28"/>
          <w:szCs w:val="28"/>
          <w:lang w:val="en-US" w:eastAsia="zh-CN" w:bidi="ar-SA"/>
        </w:rPr>
        <w:t xml:space="preserve">  </w:t>
      </w:r>
      <w:r>
        <w:rPr>
          <w:rFonts w:hint="eastAsia" w:ascii="楷体_GB2312" w:hAnsi="楷体_GB2312" w:eastAsia="楷体_GB2312" w:cs="楷体_GB2312"/>
          <w:kern w:val="2"/>
          <w:sz w:val="28"/>
          <w:szCs w:val="28"/>
          <w:lang w:val="en-US" w:eastAsia="zh-CN" w:bidi="ar-SA"/>
        </w:rPr>
        <w:t>加强环境营造</w:t>
      </w:r>
      <w:r>
        <w:rPr>
          <w:rFonts w:hint="eastAsia" w:ascii="楷体_GB2312" w:hAnsi="楷体_GB2312" w:eastAsia="楷体_GB2312" w:cs="楷体_GB2312"/>
          <w:kern w:val="2"/>
          <w:sz w:val="28"/>
          <w:szCs w:val="28"/>
          <w:lang w:val="en-US" w:eastAsia="zh-CN" w:bidi="ar-SA"/>
        </w:rPr>
        <w:tab/>
      </w:r>
      <w:r>
        <w:rPr>
          <w:rFonts w:hint="default" w:ascii="楷体_GB2312" w:hAnsi="楷体_GB2312" w:eastAsia="楷体_GB2312" w:cs="楷体_GB2312"/>
          <w:kern w:val="2"/>
          <w:sz w:val="28"/>
          <w:szCs w:val="28"/>
          <w:lang w:val="en" w:eastAsia="zh-CN" w:bidi="ar-SA"/>
        </w:rPr>
        <w:t>45</w:t>
      </w:r>
    </w:p>
    <w:bookmarkEnd w:id="2"/>
    <w:bookmarkEnd w:id="3"/>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right="0" w:rightChars="0" w:firstLine="0" w:firstLineChars="0"/>
        <w:jc w:val="center"/>
        <w:textAlignment w:val="auto"/>
        <w:outlineLvl w:val="0"/>
        <w:rPr>
          <w:rFonts w:hint="eastAsia" w:ascii="黑体" w:hAnsi="黑体" w:eastAsia="黑体" w:cs="黑体"/>
          <w:sz w:val="44"/>
          <w:szCs w:val="44"/>
        </w:rPr>
      </w:pPr>
      <w:bookmarkStart w:id="4" w:name="_Toc10511"/>
      <w:bookmarkStart w:id="5" w:name="_Toc13845"/>
      <w:bookmarkStart w:id="6" w:name="_Toc21902"/>
      <w:bookmarkStart w:id="7" w:name="_Toc11503"/>
      <w:bookmarkStart w:id="8" w:name="_Toc11727"/>
      <w:bookmarkStart w:id="9" w:name="_Toc24950"/>
      <w:bookmarkStart w:id="10" w:name="_Toc7152"/>
      <w:bookmarkStart w:id="11" w:name="_Toc7135"/>
      <w:r>
        <w:rPr>
          <w:rFonts w:hint="eastAsia" w:ascii="黑体" w:hAnsi="黑体" w:eastAsia="黑体" w:cs="黑体"/>
          <w:sz w:val="44"/>
          <w:szCs w:val="44"/>
        </w:rPr>
        <w:t>前  言</w:t>
      </w:r>
      <w:bookmarkEnd w:id="4"/>
      <w:bookmarkEnd w:id="5"/>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“十四五”时期是由全面建成小康社会向基本实现社会主义现代化迈进的关键时期，是迈向第二个百年奋斗目标新征程的开局期，也是</w:t>
      </w:r>
      <w:r>
        <w:rPr>
          <w:rFonts w:hint="eastAsia" w:ascii="仿宋_GB2312" w:hAnsi="仿宋_GB2312" w:eastAsia="仿宋_GB2312" w:cs="仿宋_GB2312"/>
          <w:sz w:val="32"/>
          <w:szCs w:val="32"/>
          <w:lang w:eastAsia="zh-CN"/>
        </w:rPr>
        <w:t>福清</w:t>
      </w:r>
      <w:r>
        <w:rPr>
          <w:rFonts w:hint="eastAsia" w:ascii="仿宋_GB2312" w:hAnsi="仿宋_GB2312" w:eastAsia="仿宋_GB2312" w:cs="仿宋_GB2312"/>
          <w:sz w:val="32"/>
          <w:szCs w:val="32"/>
        </w:rPr>
        <w:t>市沿着习近平总书记指引的方向，以建市30周年为新起点，乘势而上全方位推动高质量发展超越的关键五年。在这重要的历史节点，</w:t>
      </w:r>
      <w:r>
        <w:rPr>
          <w:rFonts w:hint="eastAsia" w:ascii="仿宋_GB2312" w:hAnsi="仿宋_GB2312" w:eastAsia="仿宋_GB2312" w:cs="仿宋_GB2312"/>
          <w:sz w:val="32"/>
          <w:szCs w:val="32"/>
          <w:lang w:val="en-US" w:eastAsia="zh-CN"/>
        </w:rPr>
        <w:t>为贯彻落实党的十九大和十九届历次全会</w:t>
      </w:r>
      <w:r>
        <w:rPr>
          <w:rFonts w:hint="eastAsia" w:ascii="仿宋_GB2312" w:hAnsi="仿宋_GB2312" w:eastAsia="仿宋_GB2312" w:cs="仿宋_GB2312"/>
          <w:sz w:val="32"/>
          <w:szCs w:val="32"/>
        </w:rPr>
        <w:t>及市委十一届九次、十次全会精神，以《</w:t>
      </w:r>
      <w:r>
        <w:rPr>
          <w:rFonts w:hint="eastAsia" w:ascii="仿宋_GB2312" w:hAnsi="仿宋_GB2312" w:eastAsia="仿宋_GB2312" w:cs="仿宋_GB2312"/>
          <w:sz w:val="32"/>
          <w:szCs w:val="32"/>
          <w:lang w:eastAsia="zh-CN"/>
        </w:rPr>
        <w:t>福建省人民政府办公厅关于印发</w:t>
      </w:r>
      <w:r>
        <w:rPr>
          <w:rFonts w:hint="eastAsia" w:ascii="仿宋_GB2312" w:hAnsi="仿宋_GB2312" w:eastAsia="仿宋_GB2312" w:cs="仿宋_GB2312"/>
          <w:sz w:val="32"/>
          <w:szCs w:val="32"/>
        </w:rPr>
        <w:t>福建省“十四五”卫生健康发展专项规划</w:t>
      </w:r>
      <w:r>
        <w:rPr>
          <w:rFonts w:hint="eastAsia" w:ascii="仿宋_GB2312" w:hAnsi="仿宋_GB2312" w:eastAsia="仿宋_GB2312" w:cs="仿宋_GB2312"/>
          <w:sz w:val="32"/>
          <w:szCs w:val="32"/>
          <w:lang w:eastAsia="zh-CN"/>
        </w:rPr>
        <w:t>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闽政办〔2021〕48 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中共福建省委</w:t>
      </w:r>
      <w:r>
        <w:rPr>
          <w:rFonts w:hint="default" w:cs="仿宋_GB2312"/>
          <w:sz w:val="32"/>
          <w:szCs w:val="32"/>
          <w:lang w:val="en"/>
        </w:rPr>
        <w:t xml:space="preserve"> </w:t>
      </w:r>
      <w:r>
        <w:rPr>
          <w:rFonts w:hint="eastAsia" w:ascii="仿宋_GB2312" w:hAnsi="仿宋_GB2312" w:eastAsia="仿宋_GB2312" w:cs="仿宋_GB2312"/>
          <w:sz w:val="32"/>
          <w:szCs w:val="32"/>
        </w:rPr>
        <w:t>福建省人民政府关于进一步深化医药卫生体制改革的意见</w:t>
      </w:r>
      <w:r>
        <w:rPr>
          <w:rFonts w:hint="eastAsia" w:ascii="仿宋_GB2312" w:hAnsi="仿宋_GB2312" w:eastAsia="仿宋_GB2312" w:cs="仿宋_GB2312"/>
          <w:sz w:val="32"/>
          <w:szCs w:val="32"/>
          <w:lang w:eastAsia="zh-CN"/>
        </w:rPr>
        <w:t>》（融委发〔2021〕</w:t>
      </w:r>
      <w:r>
        <w:rPr>
          <w:rFonts w:hint="eastAsia" w:ascii="仿宋_GB2312" w:hAnsi="仿宋_GB2312" w:eastAsia="仿宋_GB2312" w:cs="仿宋_GB2312"/>
          <w:sz w:val="32"/>
          <w:szCs w:val="32"/>
          <w:lang w:val="en-US" w:eastAsia="zh-CN"/>
        </w:rPr>
        <w:t>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福州市深化医药卫生体制改革领导小组关于&lt;印发福州市深化</w:t>
      </w:r>
      <w:r>
        <w:rPr>
          <w:rFonts w:hint="eastAsia" w:ascii="仿宋_GB2312" w:hAnsi="仿宋_GB2312" w:eastAsia="仿宋_GB2312" w:cs="仿宋_GB2312"/>
          <w:sz w:val="32"/>
          <w:szCs w:val="32"/>
        </w:rPr>
        <w:t>医药卫生体制集成改革实施意见</w:t>
      </w:r>
      <w:r>
        <w:rPr>
          <w:rFonts w:hint="eastAsia" w:ascii="仿宋_GB2312" w:hAnsi="仿宋_GB2312" w:eastAsia="仿宋_GB2312" w:cs="仿宋_GB2312"/>
          <w:sz w:val="32"/>
          <w:szCs w:val="32"/>
          <w:lang w:eastAsia="zh-CN"/>
        </w:rPr>
        <w:t>&gt;的通知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（榕医改组〔2021〕1号）、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福州市人民政府办公厅关于印发福州市“十四五”卫生健康事业发展专项规划的通知》（榕政办〔2022〕68号）</w:t>
      </w:r>
      <w:r>
        <w:rPr>
          <w:rFonts w:hint="eastAsia" w:ascii="仿宋_GB2312" w:hAnsi="仿宋_GB2312" w:eastAsia="仿宋_GB2312" w:cs="仿宋_GB2312"/>
          <w:sz w:val="32"/>
          <w:szCs w:val="32"/>
        </w:rPr>
        <w:t>等省、</w:t>
      </w:r>
      <w:r>
        <w:rPr>
          <w:rFonts w:hint="eastAsia" w:cs="仿宋_GB2312"/>
          <w:sz w:val="32"/>
          <w:szCs w:val="32"/>
          <w:lang w:eastAsia="zh-CN"/>
        </w:rPr>
        <w:t>福州</w:t>
      </w:r>
      <w:r>
        <w:rPr>
          <w:rFonts w:hint="eastAsia" w:ascii="仿宋_GB2312" w:hAnsi="仿宋_GB2312" w:eastAsia="仿宋_GB2312" w:cs="仿宋_GB2312"/>
          <w:sz w:val="32"/>
          <w:szCs w:val="32"/>
        </w:rPr>
        <w:t>市有关文件和规划为参考和依据，编制和实施《福清市“十四五”卫生健康发展专项规划》（以下简称为《规划》）。对推动“健康福清”建设，保障居民健康水平，提高福清人民群众幸福感，具有重要意义。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sectPr>
          <w:pgSz w:w="11906" w:h="16838"/>
          <w:pgMar w:top="2098" w:right="1474" w:bottom="1984" w:left="1587" w:header="851" w:footer="1417" w:gutter="0"/>
          <w:pgBorders>
            <w:top w:val="none" w:sz="0" w:space="0"/>
            <w:left w:val="none" w:sz="0" w:space="0"/>
            <w:bottom w:val="none" w:sz="0" w:space="0"/>
            <w:right w:val="none" w:sz="0" w:space="0"/>
          </w:pgBorders>
          <w:pgNumType w:fmt="numberInDash"/>
          <w:cols w:space="720" w:num="1"/>
          <w:rtlGutter w:val="0"/>
          <w:docGrid w:type="lines" w:linePitch="439" w:charSpace="0"/>
        </w:sectPr>
      </w:pPr>
      <w:r>
        <w:rPr>
          <w:rFonts w:hint="eastAsia" w:ascii="仿宋_GB2312" w:hAnsi="仿宋_GB2312" w:eastAsia="仿宋_GB2312" w:cs="仿宋_GB2312"/>
          <w:sz w:val="32"/>
          <w:szCs w:val="32"/>
        </w:rPr>
        <w:t>本《规划》基期为2020年，规划期为2021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2025年。</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0"/>
        <w:rPr>
          <w:rFonts w:hint="eastAsia" w:ascii="黑体" w:hAnsi="黑体" w:eastAsia="黑体" w:cs="黑体"/>
          <w:sz w:val="44"/>
          <w:szCs w:val="44"/>
        </w:rPr>
      </w:pPr>
      <w:r>
        <w:rPr>
          <w:rFonts w:hint="eastAsia" w:ascii="黑体" w:hAnsi="黑体" w:eastAsia="黑体" w:cs="黑体"/>
          <w:sz w:val="44"/>
          <w:szCs w:val="44"/>
        </w:rPr>
        <w:t xml:space="preserve"> 规划背景</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黑体" w:hAnsi="黑体" w:eastAsia="黑体" w:cs="黑体"/>
          <w:sz w:val="36"/>
          <w:szCs w:val="36"/>
        </w:rPr>
      </w:pPr>
      <w:bookmarkStart w:id="12" w:name="_Toc12653"/>
      <w:bookmarkStart w:id="13" w:name="_Toc32673"/>
      <w:bookmarkStart w:id="14" w:name="_Toc25773"/>
      <w:bookmarkStart w:id="15" w:name="_Toc7915"/>
      <w:bookmarkStart w:id="16" w:name="_Toc6952"/>
      <w:bookmarkStart w:id="17" w:name="_Toc22120"/>
      <w:bookmarkStart w:id="18" w:name="_Toc25375"/>
      <w:bookmarkStart w:id="19" w:name="_Toc13978"/>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0" w:firstLineChars="0"/>
        <w:jc w:val="center"/>
        <w:textAlignment w:val="auto"/>
        <w:outlineLvl w:val="1"/>
        <w:rPr>
          <w:rFonts w:hint="eastAsia" w:ascii="仿宋_GB2312" w:hAnsi="仿宋_GB2312" w:eastAsia="仿宋_GB2312" w:cs="仿宋_GB2312"/>
          <w:sz w:val="32"/>
          <w:szCs w:val="32"/>
        </w:rPr>
      </w:pPr>
      <w:r>
        <w:rPr>
          <w:rFonts w:hint="eastAsia" w:ascii="黑体" w:hAnsi="黑体" w:eastAsia="黑体" w:cs="黑体"/>
          <w:sz w:val="36"/>
          <w:szCs w:val="36"/>
        </w:rPr>
        <w:t>第一章  主要成效</w:t>
      </w:r>
      <w:bookmarkEnd w:id="12"/>
      <w:bookmarkEnd w:id="13"/>
      <w:bookmarkEnd w:id="14"/>
      <w:bookmarkEnd w:id="15"/>
      <w:bookmarkEnd w:id="16"/>
      <w:bookmarkEnd w:id="17"/>
      <w:bookmarkEnd w:id="18"/>
      <w:bookmarkEnd w:id="19"/>
      <w:bookmarkStart w:id="20" w:name="_Toc71274282"/>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“十三五”期间，福清市卫生健康事业实现跨越式发展，卫生资源配置不断优化，分级诊疗制度初具雏形，患者满意度不断提升，市民健康水平稳步提升，健康福清建设迈出新步伐。</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居民健康水平持续提高。2020年，福清市人均期望寿命达到82.64岁；“十三五”期间，年平均人口出生率11.1‰，年平均人口自然增长率6.2‰；婴儿死亡率从3.41‰下降到2.11‰、5岁以下儿童死亡率从4.76‰下降到3.26‰，居民健康状况明显改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——医疗卫生资源总量不断扩充。至2020年，全市各级各类医疗机构共有床位数4758张，每千人口拥有病床数3.58张。全市共有注册执业</w:t>
      </w:r>
      <w:r>
        <w:rPr>
          <w:rFonts w:hint="eastAsia" w:cs="仿宋_GB2312"/>
          <w:sz w:val="32"/>
          <w:szCs w:val="32"/>
          <w:lang w:eastAsia="zh-CN"/>
        </w:rPr>
        <w:t>（</w:t>
      </w:r>
      <w:r>
        <w:rPr>
          <w:rFonts w:hint="eastAsia" w:ascii="仿宋_GB2312" w:hAnsi="仿宋_GB2312" w:eastAsia="仿宋_GB2312" w:cs="仿宋_GB2312"/>
          <w:sz w:val="32"/>
          <w:szCs w:val="32"/>
        </w:rPr>
        <w:t>助理</w:t>
      </w:r>
      <w:r>
        <w:rPr>
          <w:rFonts w:hint="eastAsia" w:cs="仿宋_GB2312"/>
          <w:sz w:val="32"/>
          <w:szCs w:val="32"/>
          <w:lang w:eastAsia="zh-CN"/>
        </w:rPr>
        <w:t>）</w:t>
      </w:r>
      <w:r>
        <w:rPr>
          <w:rFonts w:hint="eastAsia" w:ascii="仿宋_GB2312" w:hAnsi="仿宋_GB2312" w:eastAsia="仿宋_GB2312" w:cs="仿宋_GB2312"/>
          <w:sz w:val="32"/>
          <w:szCs w:val="32"/>
        </w:rPr>
        <w:t>医师2708人，每千人口拥有医师2.01人，执业注册护士3322人，每千人口拥有护士2.50人。与2015年底相比，新增床位数1616张，</w:t>
      </w:r>
      <w:r>
        <w:rPr>
          <w:rFonts w:hint="eastAsia" w:cs="仿宋_GB2312"/>
          <w:sz w:val="32"/>
          <w:szCs w:val="32"/>
          <w:lang w:eastAsia="zh-CN"/>
        </w:rPr>
        <w:t>每</w:t>
      </w:r>
      <w:r>
        <w:rPr>
          <w:rFonts w:hint="eastAsia" w:ascii="仿宋_GB2312" w:hAnsi="仿宋_GB2312" w:eastAsia="仿宋_GB2312" w:cs="仿宋_GB2312"/>
          <w:sz w:val="32"/>
          <w:szCs w:val="32"/>
        </w:rPr>
        <w:t>千人口拥有床位数增加1.26张，</w:t>
      </w:r>
      <w:r>
        <w:rPr>
          <w:rFonts w:hint="eastAsia" w:cs="仿宋_GB2312"/>
          <w:sz w:val="32"/>
          <w:szCs w:val="32"/>
          <w:lang w:eastAsia="zh-CN"/>
        </w:rPr>
        <w:t>每</w:t>
      </w:r>
      <w:r>
        <w:rPr>
          <w:rFonts w:hint="eastAsia" w:ascii="仿宋_GB2312" w:hAnsi="仿宋_GB2312" w:eastAsia="仿宋_GB2312" w:cs="仿宋_GB2312"/>
          <w:sz w:val="32"/>
          <w:szCs w:val="32"/>
        </w:rPr>
        <w:t>千人口注册执业</w:t>
      </w:r>
      <w:r>
        <w:rPr>
          <w:rFonts w:hint="eastAsia" w:cs="仿宋_GB2312"/>
          <w:sz w:val="32"/>
          <w:szCs w:val="32"/>
          <w:lang w:eastAsia="zh-CN"/>
        </w:rPr>
        <w:t>（</w:t>
      </w:r>
      <w:r>
        <w:rPr>
          <w:rFonts w:hint="eastAsia" w:ascii="仿宋_GB2312" w:hAnsi="仿宋_GB2312" w:eastAsia="仿宋_GB2312" w:cs="仿宋_GB2312"/>
          <w:sz w:val="32"/>
          <w:szCs w:val="32"/>
        </w:rPr>
        <w:t>助理</w:t>
      </w:r>
      <w:r>
        <w:rPr>
          <w:rFonts w:hint="eastAsia" w:cs="仿宋_GB2312"/>
          <w:sz w:val="32"/>
          <w:szCs w:val="32"/>
          <w:lang w:eastAsia="zh-CN"/>
        </w:rPr>
        <w:t>）</w:t>
      </w:r>
      <w:r>
        <w:rPr>
          <w:rFonts w:hint="eastAsia" w:ascii="仿宋_GB2312" w:hAnsi="仿宋_GB2312" w:eastAsia="仿宋_GB2312" w:cs="仿宋_GB2312"/>
          <w:sz w:val="32"/>
          <w:szCs w:val="32"/>
        </w:rPr>
        <w:t>医师增加0.83人，</w:t>
      </w:r>
      <w:r>
        <w:rPr>
          <w:rFonts w:hint="eastAsia" w:cs="仿宋_GB2312"/>
          <w:sz w:val="32"/>
          <w:szCs w:val="32"/>
          <w:lang w:eastAsia="zh-CN"/>
        </w:rPr>
        <w:t>每</w:t>
      </w:r>
      <w:r>
        <w:rPr>
          <w:rFonts w:hint="eastAsia" w:ascii="仿宋_GB2312" w:hAnsi="仿宋_GB2312" w:eastAsia="仿宋_GB2312" w:cs="仿宋_GB2312"/>
          <w:sz w:val="32"/>
          <w:szCs w:val="32"/>
        </w:rPr>
        <w:t>千人口拥有护士增加1.06人。</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——医疗服务</w:t>
      </w:r>
      <w:r>
        <w:rPr>
          <w:rFonts w:hint="eastAsia" w:ascii="仿宋_GB2312" w:hAnsi="仿宋_GB2312" w:eastAsia="仿宋_GB2312" w:cs="仿宋_GB2312"/>
          <w:sz w:val="32"/>
          <w:szCs w:val="32"/>
          <w:lang w:eastAsia="zh-CN"/>
        </w:rPr>
        <w:t>质量和水平稳步提升。</w:t>
      </w:r>
      <w:r>
        <w:rPr>
          <w:rFonts w:hint="eastAsia" w:ascii="仿宋_GB2312" w:hAnsi="仿宋_GB2312" w:eastAsia="仿宋_GB2312" w:cs="仿宋_GB2312"/>
          <w:sz w:val="32"/>
          <w:szCs w:val="32"/>
        </w:rPr>
        <w:t>“</w:t>
      </w:r>
      <w:bookmarkStart w:id="574" w:name="_GoBack"/>
      <w:bookmarkEnd w:id="574"/>
      <w:r>
        <w:rPr>
          <w:rFonts w:hint="eastAsia" w:ascii="仿宋_GB2312" w:hAnsi="仿宋_GB2312" w:eastAsia="仿宋_GB2312" w:cs="仿宋_GB2312"/>
          <w:sz w:val="32"/>
          <w:szCs w:val="32"/>
        </w:rPr>
        <w:t>十三五”期间，</w:t>
      </w:r>
      <w:r>
        <w:rPr>
          <w:rFonts w:hint="eastAsia" w:cs="仿宋_GB2312"/>
          <w:sz w:val="32"/>
          <w:szCs w:val="32"/>
          <w:lang w:eastAsia="zh-CN"/>
        </w:rPr>
        <w:t>福清市</w:t>
      </w:r>
      <w:r>
        <w:rPr>
          <w:rFonts w:hint="eastAsia" w:ascii="仿宋_GB2312" w:hAnsi="仿宋_GB2312" w:eastAsia="仿宋_GB2312" w:cs="仿宋_GB2312"/>
          <w:sz w:val="32"/>
          <w:szCs w:val="32"/>
        </w:rPr>
        <w:t>持续推进卫健系统“补短板”项目建设，卫健系统实施基础建设项目涉及31家公立医疗机构共112项，总投资约33.1亿元。</w:t>
      </w:r>
      <w:r>
        <w:rPr>
          <w:rFonts w:hint="eastAsia" w:ascii="仿宋_GB2312" w:hAnsi="仿宋_GB2312" w:eastAsia="仿宋_GB2312" w:cs="仿宋_GB2312"/>
          <w:sz w:val="32"/>
          <w:szCs w:val="32"/>
          <w:lang w:eastAsia="zh-CN"/>
        </w:rPr>
        <w:t>加大引才引智力度，</w:t>
      </w:r>
      <w:r>
        <w:rPr>
          <w:rFonts w:hint="eastAsia" w:ascii="仿宋_GB2312" w:hAnsi="仿宋_GB2312" w:eastAsia="仿宋_GB2312" w:cs="仿宋_GB2312"/>
          <w:sz w:val="32"/>
          <w:szCs w:val="32"/>
        </w:rPr>
        <w:t>引进、留住硕士及以上卫生人才182人。全面提升公立医院医疗服务能力，福清市医院提升为三级综合医院，成为福建医科大学首家县级附属医院；福清市妇幼保健院提升为三级妇幼保健院；福清市第三医院提升为“二甲”综合性医院，并成为福州市第二医院福清分院；福清市中医院通过“二甲”中医院评审；渔溪镇中心卫生院和高山镇中心卫生院均已提升为二级综合医院。</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——医药卫生体制改革</w:t>
      </w:r>
      <w:r>
        <w:rPr>
          <w:rFonts w:hint="eastAsia" w:ascii="仿宋_GB2312" w:hAnsi="仿宋_GB2312" w:eastAsia="仿宋_GB2312" w:cs="仿宋_GB2312"/>
          <w:sz w:val="32"/>
          <w:szCs w:val="32"/>
          <w:lang w:eastAsia="zh-CN"/>
        </w:rPr>
        <w:t>成效显著</w:t>
      </w:r>
      <w:r>
        <w:rPr>
          <w:rFonts w:hint="eastAsia" w:ascii="仿宋_GB2312" w:hAnsi="仿宋_GB2312" w:eastAsia="仿宋_GB2312" w:cs="仿宋_GB2312"/>
          <w:sz w:val="32"/>
          <w:szCs w:val="32"/>
        </w:rPr>
        <w:t>。积极推进医疗、医保、医药“三医联动”改革，现代医院管理、分级诊疗、全民医保、药品供应保障、综合监管等五项制度建设取得新突破。全面深化公立医院综合改革，成立了公立医疗机构管理委员会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落实政府办医主体责任，</w:t>
      </w:r>
      <w:r>
        <w:rPr>
          <w:rFonts w:hint="eastAsia" w:ascii="仿宋_GB2312" w:hAnsi="仿宋_GB2312" w:eastAsia="仿宋_GB2312" w:cs="仿宋_GB2312"/>
          <w:sz w:val="32"/>
          <w:szCs w:val="32"/>
          <w:lang w:eastAsia="zh-CN"/>
        </w:rPr>
        <w:t>市财政每年投入</w:t>
      </w:r>
      <w:r>
        <w:rPr>
          <w:rFonts w:hint="eastAsia" w:ascii="仿宋_GB2312" w:hAnsi="仿宋_GB2312" w:eastAsia="仿宋_GB2312" w:cs="仿宋_GB2312"/>
          <w:sz w:val="32"/>
          <w:szCs w:val="32"/>
          <w:lang w:val="en-US" w:eastAsia="zh-CN"/>
        </w:rPr>
        <w:t>6000万</w:t>
      </w:r>
      <w:r>
        <w:rPr>
          <w:rFonts w:hint="eastAsia" w:cs="仿宋_GB2312"/>
          <w:sz w:val="32"/>
          <w:szCs w:val="32"/>
          <w:lang w:val="en-US" w:eastAsia="zh-CN"/>
        </w:rPr>
        <w:t>元</w:t>
      </w:r>
      <w:r>
        <w:rPr>
          <w:rFonts w:hint="eastAsia" w:ascii="仿宋_GB2312" w:hAnsi="仿宋_GB2312" w:eastAsia="仿宋_GB2312" w:cs="仿宋_GB2312"/>
          <w:sz w:val="32"/>
          <w:szCs w:val="32"/>
          <w:lang w:val="en-US" w:eastAsia="zh-CN"/>
        </w:rPr>
        <w:t>用于公立医院六项投入</w:t>
      </w:r>
      <w:r>
        <w:rPr>
          <w:rFonts w:hint="eastAsia" w:ascii="仿宋_GB2312" w:hAnsi="仿宋_GB2312" w:eastAsia="仿宋_GB2312" w:cs="仿宋_GB2312"/>
          <w:sz w:val="32"/>
          <w:szCs w:val="32"/>
        </w:rPr>
        <w:t>。按照习</w:t>
      </w:r>
      <w:r>
        <w:rPr>
          <w:rFonts w:hint="eastAsia" w:cs="仿宋_GB2312"/>
          <w:sz w:val="32"/>
          <w:szCs w:val="32"/>
          <w:lang w:eastAsia="zh-CN"/>
        </w:rPr>
        <w:t>近平</w:t>
      </w:r>
      <w:r>
        <w:rPr>
          <w:rFonts w:hint="eastAsia" w:ascii="仿宋_GB2312" w:hAnsi="仿宋_GB2312" w:eastAsia="仿宋_GB2312" w:cs="仿宋_GB2312"/>
          <w:sz w:val="32"/>
          <w:szCs w:val="32"/>
        </w:rPr>
        <w:t>总书记“两个允许”要求，</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薪酬制度</w:t>
      </w:r>
      <w:r>
        <w:rPr>
          <w:rFonts w:hint="eastAsia" w:ascii="仿宋_GB2312" w:hAnsi="仿宋_GB2312" w:eastAsia="仿宋_GB2312" w:cs="仿宋_GB2312"/>
          <w:sz w:val="32"/>
          <w:szCs w:val="32"/>
          <w:lang w:eastAsia="zh-CN"/>
        </w:rPr>
        <w:t>改革</w:t>
      </w:r>
      <w:r>
        <w:rPr>
          <w:rFonts w:hint="eastAsia" w:ascii="仿宋_GB2312" w:hAnsi="仿宋_GB2312" w:eastAsia="仿宋_GB2312" w:cs="仿宋_GB2312"/>
          <w:sz w:val="32"/>
          <w:szCs w:val="32"/>
        </w:rPr>
        <w:t>，实行院长目标年薪制，创新考核指标体系，改革医院工资总额核定办法</w:t>
      </w:r>
      <w:r>
        <w:rPr>
          <w:rFonts w:hint="eastAsia" w:cs="仿宋_GB2312"/>
          <w:sz w:val="32"/>
          <w:szCs w:val="32"/>
          <w:lang w:eastAsia="zh-CN"/>
        </w:rPr>
        <w:t>。</w:t>
      </w:r>
      <w:r>
        <w:rPr>
          <w:rFonts w:hint="eastAsia" w:ascii="仿宋_GB2312" w:hAnsi="仿宋_GB2312" w:eastAsia="仿宋_GB2312" w:cs="仿宋_GB2312"/>
          <w:sz w:val="32"/>
          <w:szCs w:val="32"/>
          <w:lang w:val="en-US" w:eastAsia="zh-CN"/>
        </w:rPr>
        <w:t>2020年，公立医院医疗服务收入占比为28.83%，较2015年上升7.68%，以医务性收入为主的公立医院薪酬分配制度逐步形成。</w:t>
      </w:r>
      <w:r>
        <w:rPr>
          <w:rFonts w:hint="eastAsia" w:ascii="仿宋_GB2312" w:hAnsi="仿宋_GB2312" w:eastAsia="仿宋_GB2312" w:cs="仿宋_GB2312"/>
          <w:sz w:val="32"/>
          <w:szCs w:val="32"/>
        </w:rPr>
        <w:t>组建2个紧密型医共体，</w:t>
      </w:r>
      <w:r>
        <w:rPr>
          <w:rFonts w:hint="eastAsia" w:ascii="仿宋_GB2312" w:hAnsi="仿宋_GB2312" w:eastAsia="仿宋_GB2312" w:cs="仿宋_GB2312"/>
          <w:sz w:val="32"/>
          <w:szCs w:val="32"/>
          <w:lang w:eastAsia="zh-CN"/>
        </w:rPr>
        <w:t>推动优质资源下沉，</w:t>
      </w:r>
      <w:r>
        <w:rPr>
          <w:rFonts w:hint="eastAsia" w:ascii="仿宋_GB2312" w:hAnsi="仿宋_GB2312" w:eastAsia="仿宋_GB2312" w:cs="仿宋_GB2312"/>
          <w:sz w:val="32"/>
          <w:szCs w:val="32"/>
        </w:rPr>
        <w:t>推动卫生镇、村标准化建设，实施“医保村村通”，打通医保报销“最后一公里”，</w:t>
      </w:r>
      <w:r>
        <w:rPr>
          <w:rFonts w:hint="eastAsia" w:ascii="仿宋_GB2312" w:hAnsi="仿宋_GB2312" w:eastAsia="仿宋_GB2312" w:cs="仿宋_GB2312"/>
          <w:sz w:val="32"/>
          <w:szCs w:val="32"/>
          <w:lang w:eastAsia="zh-CN"/>
        </w:rPr>
        <w:t>基层诊疗量占比逐年提升，至</w:t>
      </w:r>
      <w:r>
        <w:rPr>
          <w:rFonts w:hint="eastAsia" w:ascii="仿宋_GB2312" w:hAnsi="仿宋_GB2312" w:eastAsia="仿宋_GB2312" w:cs="仿宋_GB2312"/>
          <w:sz w:val="32"/>
          <w:szCs w:val="32"/>
          <w:lang w:val="en-US" w:eastAsia="zh-CN"/>
        </w:rPr>
        <w:t>2020年，全市基层诊疗量占比64.74%，较2015年上升了7.84%，</w:t>
      </w:r>
      <w:r>
        <w:rPr>
          <w:rFonts w:hint="eastAsia" w:ascii="仿宋_GB2312" w:hAnsi="仿宋_GB2312" w:eastAsia="仿宋_GB2312" w:cs="仿宋_GB2312"/>
          <w:sz w:val="32"/>
          <w:szCs w:val="32"/>
        </w:rPr>
        <w:t>已基本形成以县级医院为龙头，以乡镇卫生院为基础，以村卫生所室为网底的三级诊疗网络体系。</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情防控能力进一步强化。建立疫情常态防控机制，新冠疫情阶段性防控成果显著。面对突发新冠疫情，我市立即行动，建立上下贯通、左右联动的战时指挥体系，参照“小汤山”模式完成福清市医院新感染病区建设，二级</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公立</w:t>
      </w:r>
      <w:r>
        <w:rPr>
          <w:rFonts w:hint="eastAsia" w:ascii="仿宋_GB2312" w:hAnsi="仿宋_GB2312" w:eastAsia="仿宋_GB2312" w:cs="仿宋_GB2312"/>
          <w:sz w:val="32"/>
          <w:szCs w:val="32"/>
        </w:rPr>
        <w:t>医院</w:t>
      </w:r>
      <w:r>
        <w:rPr>
          <w:rFonts w:hint="eastAsia" w:ascii="仿宋_GB2312" w:hAnsi="仿宋_GB2312" w:eastAsia="仿宋_GB2312" w:cs="仿宋_GB2312"/>
          <w:sz w:val="32"/>
          <w:szCs w:val="32"/>
          <w:lang w:eastAsia="zh-CN"/>
        </w:rPr>
        <w:t>、部分</w:t>
      </w:r>
      <w:r>
        <w:rPr>
          <w:rFonts w:hint="eastAsia" w:ascii="仿宋_GB2312" w:hAnsi="仿宋_GB2312" w:eastAsia="仿宋_GB2312" w:cs="仿宋_GB2312"/>
          <w:sz w:val="32"/>
          <w:szCs w:val="32"/>
        </w:rPr>
        <w:t>卫生院设置</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发热门诊</w:t>
      </w:r>
      <w:r>
        <w:rPr>
          <w:rFonts w:hint="eastAsia" w:ascii="仿宋_GB2312" w:hAnsi="仿宋_GB2312" w:eastAsia="仿宋_GB2312" w:cs="仿宋_GB2312"/>
          <w:sz w:val="32"/>
          <w:szCs w:val="32"/>
          <w:lang w:eastAsia="zh-CN"/>
        </w:rPr>
        <w:t>（诊室）</w:t>
      </w:r>
      <w:r>
        <w:rPr>
          <w:rFonts w:hint="eastAsia" w:ascii="仿宋_GB2312" w:hAnsi="仿宋_GB2312" w:eastAsia="仿宋_GB2312" w:cs="仿宋_GB2312"/>
          <w:sz w:val="32"/>
          <w:szCs w:val="32"/>
        </w:rPr>
        <w:t>，发热患者半小时内即可就诊。建成核酸检测实验室，福清市医院核酸检测基地作为福州市首个核酸检测基地，10份混检</w:t>
      </w:r>
      <w:r>
        <w:rPr>
          <w:rFonts w:hint="eastAsia" w:cs="仿宋_GB2312"/>
          <w:sz w:val="32"/>
          <w:szCs w:val="32"/>
          <w:lang w:eastAsia="zh-CN"/>
        </w:rPr>
        <w:t>量</w:t>
      </w:r>
      <w:r>
        <w:rPr>
          <w:rFonts w:hint="eastAsia" w:ascii="仿宋_GB2312" w:hAnsi="仿宋_GB2312" w:eastAsia="仿宋_GB2312" w:cs="仿宋_GB2312"/>
          <w:sz w:val="32"/>
          <w:szCs w:val="32"/>
        </w:rPr>
        <w:t>达30万例/日，有效预防和控制了可能出现的疫情风险。针对国内外疫情态势变化，全面落实“外防输入、内防反弹”工作。实现确诊患者零死亡</w:t>
      </w:r>
      <w:r>
        <w:rPr>
          <w:rFonts w:hint="eastAsia" w:cs="仿宋_GB2312"/>
          <w:sz w:val="32"/>
          <w:szCs w:val="32"/>
          <w:lang w:eastAsia="zh-CN"/>
        </w:rPr>
        <w:t>、</w:t>
      </w:r>
      <w:r>
        <w:rPr>
          <w:rFonts w:hint="eastAsia" w:ascii="仿宋_GB2312" w:hAnsi="仿宋_GB2312" w:eastAsia="仿宋_GB2312" w:cs="仿宋_GB2312"/>
          <w:sz w:val="32"/>
          <w:szCs w:val="32"/>
        </w:rPr>
        <w:t>医护人员零感染</w:t>
      </w:r>
      <w:r>
        <w:rPr>
          <w:rFonts w:hint="eastAsia" w:cs="仿宋_GB2312"/>
          <w:sz w:val="32"/>
          <w:szCs w:val="32"/>
          <w:lang w:eastAsia="zh-CN"/>
        </w:rPr>
        <w:t>、</w:t>
      </w:r>
      <w:r>
        <w:rPr>
          <w:rFonts w:hint="eastAsia" w:ascii="仿宋_GB2312" w:hAnsi="仿宋_GB2312" w:eastAsia="仿宋_GB2312" w:cs="仿宋_GB2312"/>
          <w:sz w:val="32"/>
          <w:szCs w:val="32"/>
        </w:rPr>
        <w:t>新冠疫苗全民免费接种工作分步骤有效推进。</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中医药服务能力持续增强。坚持中西医协同，中医药深度介入抗疫防治。</w:t>
      </w:r>
      <w:r>
        <w:rPr>
          <w:rFonts w:hint="eastAsia" w:ascii="仿宋_GB2312" w:hAnsi="仿宋_GB2312" w:eastAsia="仿宋_GB2312" w:cs="仿宋_GB2312"/>
          <w:sz w:val="32"/>
          <w:szCs w:val="32"/>
        </w:rPr>
        <w:t>加强中医院建设，</w:t>
      </w:r>
      <w:r>
        <w:rPr>
          <w:rFonts w:hint="eastAsia" w:ascii="仿宋_GB2312" w:hAnsi="仿宋_GB2312" w:eastAsia="仿宋_GB2312" w:cs="仿宋_GB2312"/>
          <w:sz w:val="32"/>
          <w:szCs w:val="32"/>
          <w:lang w:eastAsia="zh-CN"/>
        </w:rPr>
        <w:t>推动中医院迁址改建，</w:t>
      </w:r>
      <w:r>
        <w:rPr>
          <w:rFonts w:hint="eastAsia" w:ascii="仿宋_GB2312" w:hAnsi="仿宋_GB2312" w:eastAsia="仿宋_GB2312" w:cs="仿宋_GB2312"/>
          <w:sz w:val="32"/>
          <w:szCs w:val="32"/>
        </w:rPr>
        <w:t>发展中医特色专科，斥资400万元打造针灸康复科、中医儿科两个福州市级重点专科，建立了严玉清基层名老中医工作室。实施基层中医药提升工程，积极推进以中医馆为主要形式的中医药集中诊疗区建设，17家基层医疗机构建成中医药文化氛围浓厚的“中医馆”。能提供中医药服务的乡镇卫生院和社区卫生服务中心占比达100%，能提供中医药服务的村卫生所占比达87.8%。</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卫生服务体系更加完善。“十三五”期间，基本公共卫生服务投入加大，公共场所卫生、饮用水卫生、学校卫生、职业卫生和放射卫生等卫生健康综合监督执法工作有序开展。将基本公共卫生服务政府补助标准从2016年的45元/人提高至65元/人，规范、有序开展基本公共卫生服务工作，免费为城乡居民提供建立居民健康档案、健康教育、预防接种、儿童健康管理、孕产妇健康管理等15项基本公共卫生服务。</w:t>
      </w:r>
      <w:r>
        <w:rPr>
          <w:rFonts w:hint="eastAsia" w:cs="仿宋_GB2312"/>
          <w:sz w:val="32"/>
          <w:szCs w:val="32"/>
          <w:lang w:eastAsia="zh-CN"/>
        </w:rPr>
        <w:t>截</w:t>
      </w:r>
      <w:r>
        <w:rPr>
          <w:rFonts w:hint="eastAsia" w:ascii="仿宋_GB2312" w:hAnsi="仿宋_GB2312" w:eastAsia="仿宋_GB2312" w:cs="仿宋_GB2312"/>
          <w:sz w:val="32"/>
          <w:szCs w:val="32"/>
        </w:rPr>
        <w:t>至2020年，儿童免疫规划管理、规范接种工作持续推进，预防接种建证率达到99.98%，各种疫苗接种率≥98.6%。持续监测登革热、麻疹、艾滋病等重点传染病，开展狂犬病、结核病、血吸虫病、霍乱等传染病的防治工作。积极推行家庭医生签约服务，全市共建立172个家庭医生团队，已签约485717人，签约率达36.52%，重点人群签约率达67.57%，全市高血压患者规范管理率达68.96%，糖尿病患者规范管理率达70.38%，慢性精神疾病患者管理率达81.98%。</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信息化水平不断提高。按照省卫健委等五部门世行贷款医改促进信息化建设项目要求，稳步推进医疗信息化建设，启动了以结构化电子病历为核心的医院信息系统“填平补齐”建设，全面提升各公立医院信息化服务水平。有序开展基层医疗机构信息化系统改造升级工作，推动分级诊疗信息平台建设，为基层提供双向转诊、远程影像、远程心电、远程会诊等远程医疗服务。加强“互联网+医疗健康”应用，积极推进基于电子健康卡“多码融合”应用，推广使用“八闽健康码”应用，为疫情防控提供强有力支撑。市</w:t>
      </w:r>
      <w:r>
        <w:rPr>
          <w:rFonts w:hint="eastAsia" w:cs="仿宋_GB2312"/>
          <w:sz w:val="32"/>
          <w:szCs w:val="32"/>
          <w:lang w:eastAsia="zh-CN"/>
        </w:rPr>
        <w:t>、</w:t>
      </w:r>
      <w:r>
        <w:rPr>
          <w:rFonts w:hint="eastAsia" w:ascii="仿宋_GB2312" w:hAnsi="仿宋_GB2312" w:eastAsia="仿宋_GB2312" w:cs="仿宋_GB2312"/>
          <w:sz w:val="32"/>
          <w:szCs w:val="32"/>
        </w:rPr>
        <w:t>镇两级公立医疗机构全面对接福州“榕医通”区域卫生便民服务平台，为患者提供在线预约挂号、检查化验结果在线查询、诊疗结算和移动支付等“一站式”服务，群众就医获得感持续提升。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p>
    <w:bookmarkEnd w:id="20"/>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0" w:firstLineChars="0"/>
        <w:jc w:val="center"/>
        <w:textAlignment w:val="auto"/>
        <w:outlineLvl w:val="1"/>
        <w:rPr>
          <w:rFonts w:hint="eastAsia" w:ascii="仿宋_GB2312" w:hAnsi="仿宋_GB2312" w:eastAsia="仿宋_GB2312" w:cs="仿宋_GB2312"/>
          <w:sz w:val="32"/>
          <w:szCs w:val="32"/>
        </w:rPr>
      </w:pPr>
      <w:bookmarkStart w:id="21" w:name="_Toc10045"/>
      <w:bookmarkStart w:id="22" w:name="_Toc24486"/>
      <w:bookmarkStart w:id="23" w:name="_Toc22745"/>
      <w:bookmarkStart w:id="24" w:name="_Toc9216"/>
      <w:bookmarkStart w:id="25" w:name="_Toc26114"/>
      <w:bookmarkStart w:id="26" w:name="_Toc26285"/>
      <w:bookmarkStart w:id="27" w:name="_Toc2740"/>
      <w:bookmarkStart w:id="28" w:name="_Toc22566"/>
      <w:r>
        <w:rPr>
          <w:rFonts w:hint="eastAsia" w:ascii="黑体" w:hAnsi="黑体" w:eastAsia="黑体" w:cs="黑体"/>
          <w:sz w:val="36"/>
          <w:szCs w:val="36"/>
        </w:rPr>
        <w:t>第二章  机遇与挑战</w:t>
      </w:r>
      <w:bookmarkEnd w:id="21"/>
      <w:bookmarkEnd w:id="22"/>
      <w:bookmarkEnd w:id="23"/>
      <w:bookmarkEnd w:id="24"/>
      <w:bookmarkEnd w:id="25"/>
      <w:bookmarkEnd w:id="26"/>
      <w:bookmarkEnd w:id="27"/>
      <w:bookmarkEnd w:id="28"/>
      <w:bookmarkStart w:id="29" w:name="_Toc781"/>
      <w:bookmarkStart w:id="30" w:name="_Toc32122"/>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——面临的机遇。“十三五”建设期间，我市社会经济发展迅速，经济实力进一步加强，2020年</w:t>
      </w:r>
      <w:r>
        <w:rPr>
          <w:rFonts w:hint="eastAsia" w:cs="仿宋_GB2312"/>
          <w:sz w:val="32"/>
          <w:szCs w:val="32"/>
          <w:lang w:eastAsia="zh-CN"/>
        </w:rPr>
        <w:t>，</w:t>
      </w:r>
      <w:r>
        <w:rPr>
          <w:rFonts w:hint="eastAsia" w:ascii="仿宋_GB2312" w:hAnsi="仿宋_GB2312" w:eastAsia="仿宋_GB2312" w:cs="仿宋_GB2312"/>
          <w:sz w:val="32"/>
          <w:szCs w:val="32"/>
        </w:rPr>
        <w:t>全市地区生产总值突破1200亿元，一般公共预算收入突破150亿元</w:t>
      </w:r>
      <w:r>
        <w:rPr>
          <w:rFonts w:hint="eastAsia" w:cs="仿宋_GB2312"/>
          <w:sz w:val="32"/>
          <w:szCs w:val="32"/>
          <w:lang w:eastAsia="zh-CN"/>
        </w:rPr>
        <w:t>，</w:t>
      </w:r>
      <w:r>
        <w:rPr>
          <w:rFonts w:hint="eastAsia" w:ascii="仿宋_GB2312" w:hAnsi="仿宋_GB2312" w:eastAsia="仿宋_GB2312" w:cs="仿宋_GB2312"/>
          <w:sz w:val="32"/>
          <w:szCs w:val="32"/>
        </w:rPr>
        <w:t>稳居福州市县（市）区第一</w:t>
      </w:r>
      <w:r>
        <w:rPr>
          <w:rFonts w:hint="eastAsia" w:cs="仿宋_GB2312"/>
          <w:sz w:val="32"/>
          <w:szCs w:val="32"/>
          <w:lang w:eastAsia="zh-CN"/>
        </w:rPr>
        <w:t>；</w:t>
      </w:r>
      <w:r>
        <w:rPr>
          <w:rFonts w:hint="eastAsia" w:ascii="仿宋_GB2312" w:hAnsi="仿宋_GB2312" w:eastAsia="仿宋_GB2312" w:cs="仿宋_GB2312"/>
          <w:sz w:val="32"/>
          <w:szCs w:val="32"/>
        </w:rPr>
        <w:t>全国县域经济百强县市排名跃升至第15位，接连实现晋位升级、为卫生健康事业发展提供了坚实的经济基础。在福州省会现代化国际城市和福州都市圈建设的新格局中，福清作为省会副中心城市，和福州中心城区、永泰、平潭、莆田等周边地区形成了良好的联动发展。同时，与福州市共同开发利用松下港区、推进元洪投资区与福州滨海新城连片发展的区域建设进程，也为争取中心城区优质医疗卫生资源向福清延伸布局提供了契机。此外，随着5G信息时代的到来，特别是云计算、大数据、互联网+等数字信息技术的快速发展，为创新服务形式、改善服务体验创造了有利条件。</w:t>
      </w:r>
      <w:bookmarkEnd w:id="29"/>
      <w:bookmarkEnd w:id="30"/>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临的挑战。新时代人民日益增长的美好生活需要和不平衡不充分的发展之间的矛盾成为社会主要矛盾，人民的健康需求也随之发生变化，呈现出多层次、多元化、多样化特点。这些因素都对卫生健康机构提供全方位全周期的健康服务带来新的压力。2020年初</w:t>
      </w:r>
      <w:r>
        <w:rPr>
          <w:rFonts w:hint="eastAsia" w:cs="仿宋_GB2312"/>
          <w:sz w:val="32"/>
          <w:szCs w:val="32"/>
          <w:lang w:eastAsia="zh-CN"/>
        </w:rPr>
        <w:t>暴发的新冠肺炎</w:t>
      </w:r>
      <w:r>
        <w:rPr>
          <w:rFonts w:hint="eastAsia" w:ascii="仿宋_GB2312" w:hAnsi="仿宋_GB2312" w:eastAsia="仿宋_GB2312" w:cs="仿宋_GB2312"/>
          <w:sz w:val="32"/>
          <w:szCs w:val="32"/>
        </w:rPr>
        <w:t>疫情给人民健康、国家安全带来重大挑战，</w:t>
      </w:r>
      <w:r>
        <w:rPr>
          <w:rFonts w:hint="eastAsia" w:cs="仿宋_GB2312"/>
          <w:sz w:val="32"/>
          <w:szCs w:val="32"/>
          <w:lang w:eastAsia="zh-CN"/>
        </w:rPr>
        <w:t>让我们</w:t>
      </w:r>
      <w:r>
        <w:rPr>
          <w:rFonts w:hint="eastAsia" w:ascii="仿宋_GB2312" w:hAnsi="仿宋_GB2312" w:eastAsia="仿宋_GB2312" w:cs="仿宋_GB2312"/>
          <w:sz w:val="32"/>
          <w:szCs w:val="32"/>
        </w:rPr>
        <w:t>更加深刻认识到预防和控制重大疾病尤其是传染病，对于促进社会和谐稳定与持续发展的重要作用。此外，</w:t>
      </w:r>
      <w:r>
        <w:rPr>
          <w:rFonts w:hint="eastAsia" w:cs="仿宋_GB2312"/>
          <w:sz w:val="32"/>
          <w:szCs w:val="32"/>
          <w:lang w:eastAsia="zh-CN"/>
        </w:rPr>
        <w:t>我市的</w:t>
      </w:r>
      <w:r>
        <w:rPr>
          <w:rFonts w:hint="eastAsia" w:ascii="仿宋_GB2312" w:hAnsi="仿宋_GB2312" w:eastAsia="仿宋_GB2312" w:cs="仿宋_GB2312"/>
          <w:sz w:val="32"/>
          <w:szCs w:val="32"/>
        </w:rPr>
        <w:t>化工区、核电站位于人流密集、流动性大的区域，一旦发生意外事故，对市民的健康威胁较大。这也要求配套良好的预警机制和应急处理方案，采用高标准、高水平的管理方式，严格保障地区卫生安全。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黑体" w:hAnsi="黑体" w:eastAsia="黑体" w:cs="黑体"/>
          <w:sz w:val="36"/>
          <w:szCs w:val="36"/>
        </w:rPr>
      </w:pPr>
      <w:bookmarkStart w:id="31" w:name="_Toc19427"/>
      <w:bookmarkStart w:id="32" w:name="_Toc9641"/>
      <w:bookmarkStart w:id="33" w:name="_Toc10444"/>
      <w:bookmarkStart w:id="34" w:name="_Toc31849"/>
      <w:bookmarkStart w:id="35" w:name="_Toc12140"/>
      <w:bookmarkStart w:id="36" w:name="_Toc7768"/>
      <w:bookmarkStart w:id="37" w:name="_Toc13037"/>
      <w:bookmarkStart w:id="38" w:name="_Toc7610"/>
      <w:bookmarkStart w:id="39" w:name="_Toc13759"/>
      <w:bookmarkStart w:id="40" w:name="_Toc5145"/>
      <w:bookmarkStart w:id="41" w:name="_Toc3796"/>
      <w:bookmarkStart w:id="42" w:name="_Toc7417"/>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黑体" w:hAnsi="黑体" w:eastAsia="黑体" w:cs="黑体"/>
          <w:sz w:val="36"/>
          <w:szCs w:val="36"/>
        </w:rPr>
      </w:pPr>
      <w:r>
        <w:rPr>
          <w:rFonts w:hint="eastAsia" w:ascii="黑体" w:hAnsi="黑体" w:eastAsia="黑体" w:cs="黑体"/>
          <w:sz w:val="36"/>
          <w:szCs w:val="36"/>
        </w:rPr>
        <w:t>第三章  存在的问题</w:t>
      </w:r>
      <w:bookmarkEnd w:id="31"/>
      <w:bookmarkEnd w:id="32"/>
      <w:bookmarkEnd w:id="33"/>
      <w:bookmarkEnd w:id="34"/>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bookmarkStart w:id="43" w:name="_Toc19575"/>
      <w:bookmarkStart w:id="44" w:name="_Toc18608"/>
      <w:bookmarkStart w:id="45" w:name="_Toc29443"/>
      <w:bookmarkStart w:id="46" w:name="_Toc5392"/>
      <w:r>
        <w:rPr>
          <w:rFonts w:hint="eastAsia" w:ascii="仿宋_GB2312" w:hAnsi="仿宋_GB2312" w:eastAsia="仿宋_GB2312" w:cs="仿宋_GB2312"/>
          <w:sz w:val="32"/>
          <w:szCs w:val="32"/>
        </w:rPr>
        <w:t>“十三五”期间，我市仍存在卫生资源总量不足、医疗服务供给未能满足居民需求；公共卫生服务体系发展相对薄弱，传染病防控力量单薄、救治机构不足；医药卫生体制改革综合配套措施有待完善；信息化建设进展较慢，数据利用不够深入；中医药人才缺乏，基层中医药服务零散、水平低下；健康中国行动推动过程中，人力资源、经费保障、服务体系等方面的保障制度尚未健全等问题。同时，伴随经济社会不断发展、居民卫生健康需求不断增加，新时期的卫生工作也面临更多问题。</w:t>
      </w:r>
      <w:bookmarkEnd w:id="39"/>
      <w:bookmarkEnd w:id="40"/>
      <w:bookmarkEnd w:id="41"/>
      <w:bookmarkEnd w:id="42"/>
      <w:bookmarkEnd w:id="43"/>
      <w:bookmarkEnd w:id="44"/>
      <w:bookmarkEnd w:id="45"/>
      <w:bookmarkEnd w:id="46"/>
    </w:p>
    <w:p>
      <w:pPr>
        <w:spacing w:before="0" w:beforeLines="0" w:afterLines="0" w:line="560" w:lineRule="exact"/>
        <w:ind w:firstLine="0" w:firstLineChars="0"/>
        <w:jc w:val="center"/>
        <w:outlineLvl w:val="9"/>
        <w:rPr>
          <w:rFonts w:ascii="仿宋" w:hAnsi="仿宋" w:eastAsia="仿宋" w:cs="仿宋"/>
          <w:sz w:val="28"/>
          <w:szCs w:val="36"/>
        </w:rPr>
      </w:pPr>
      <w:r>
        <w:rPr>
          <w:rFonts w:hint="eastAsia" w:ascii="黑体" w:hAnsi="黑体" w:eastAsia="黑体" w:cs="黑体"/>
          <w:sz w:val="28"/>
          <w:szCs w:val="36"/>
        </w:rPr>
        <w:t>表1. 福清市“十三五”卫生健康发展核心指标规划目标与实现情况</w:t>
      </w:r>
    </w:p>
    <w:tbl>
      <w:tblPr>
        <w:tblStyle w:val="7"/>
        <w:tblW w:w="8320" w:type="dxa"/>
        <w:jc w:val="center"/>
        <w:tblLayout w:type="fixed"/>
        <w:tblCellMar>
          <w:top w:w="0" w:type="dxa"/>
          <w:left w:w="10" w:type="dxa"/>
          <w:bottom w:w="0" w:type="dxa"/>
          <w:right w:w="10" w:type="dxa"/>
        </w:tblCellMar>
      </w:tblPr>
      <w:tblGrid>
        <w:gridCol w:w="3761"/>
        <w:gridCol w:w="2404"/>
        <w:gridCol w:w="2155"/>
      </w:tblGrid>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tcBorders>
            <w:shd w:val="clear" w:color="auto" w:fill="FFFFFF"/>
            <w:noWrap w:val="0"/>
            <w:vAlign w:val="center"/>
          </w:tcPr>
          <w:p>
            <w:pPr>
              <w:spacing w:beforeLines="0" w:afterLines="0" w:line="560" w:lineRule="exact"/>
              <w:jc w:val="center"/>
              <w:rPr>
                <w:rFonts w:hint="eastAsia" w:ascii="黑体" w:hAnsi="黑体" w:eastAsia="黑体" w:cs="黑体"/>
                <w:color w:val="000000"/>
                <w:sz w:val="21"/>
                <w:szCs w:val="21"/>
                <w:lang w:val="zh-TW" w:eastAsia="zh-TW"/>
              </w:rPr>
            </w:pPr>
            <w:r>
              <w:rPr>
                <w:rFonts w:hint="eastAsia" w:ascii="黑体" w:hAnsi="黑体" w:eastAsia="黑体" w:cs="黑体"/>
                <w:b/>
                <w:bCs/>
                <w:color w:val="000000"/>
                <w:sz w:val="21"/>
                <w:szCs w:val="21"/>
                <w:lang w:val="zh-TW" w:eastAsia="zh-TW"/>
              </w:rPr>
              <w:t>指标项目</w:t>
            </w:r>
          </w:p>
        </w:tc>
        <w:tc>
          <w:tcPr>
            <w:tcW w:w="2404" w:type="dxa"/>
            <w:tcBorders>
              <w:top w:val="single" w:color="auto" w:sz="4" w:space="0"/>
              <w:left w:val="single" w:color="auto" w:sz="4" w:space="0"/>
              <w:bottom w:val="single" w:color="auto" w:sz="4" w:space="0"/>
            </w:tcBorders>
            <w:shd w:val="clear" w:color="auto" w:fill="FFFFFF"/>
            <w:noWrap w:val="0"/>
            <w:vAlign w:val="center"/>
          </w:tcPr>
          <w:p>
            <w:pPr>
              <w:spacing w:beforeLines="0" w:afterLines="0" w:line="560" w:lineRule="exact"/>
              <w:jc w:val="center"/>
              <w:rPr>
                <w:rFonts w:hint="eastAsia" w:ascii="黑体" w:hAnsi="黑体" w:eastAsia="黑体" w:cs="黑体"/>
                <w:color w:val="000000"/>
                <w:sz w:val="21"/>
                <w:szCs w:val="21"/>
                <w:lang w:val="zh-TW" w:eastAsia="zh-TW"/>
              </w:rPr>
            </w:pPr>
            <w:r>
              <w:rPr>
                <w:rFonts w:hint="eastAsia" w:ascii="黑体" w:hAnsi="黑体" w:eastAsia="黑体" w:cs="黑体"/>
                <w:b/>
                <w:bCs/>
                <w:color w:val="000000"/>
                <w:sz w:val="21"/>
                <w:szCs w:val="21"/>
                <w:lang w:val="zh-TW"/>
              </w:rPr>
              <w:t>“十三五”</w:t>
            </w:r>
            <w:r>
              <w:rPr>
                <w:rFonts w:hint="eastAsia" w:ascii="黑体" w:hAnsi="黑体" w:eastAsia="黑体" w:cs="黑体"/>
                <w:b/>
                <w:bCs/>
                <w:color w:val="000000"/>
                <w:sz w:val="21"/>
                <w:szCs w:val="21"/>
                <w:lang w:val="zh-TW" w:eastAsia="zh-TW"/>
              </w:rPr>
              <w:t>规划目标</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560" w:lineRule="exact"/>
              <w:jc w:val="center"/>
              <w:rPr>
                <w:rFonts w:hint="eastAsia" w:ascii="黑体" w:hAnsi="黑体" w:eastAsia="黑体" w:cs="黑体"/>
                <w:color w:val="000000"/>
                <w:sz w:val="21"/>
                <w:szCs w:val="21"/>
                <w:lang w:val="zh-TW"/>
              </w:rPr>
            </w:pPr>
            <w:r>
              <w:rPr>
                <w:rFonts w:hint="eastAsia" w:ascii="黑体" w:hAnsi="黑体" w:eastAsia="黑体" w:cs="黑体"/>
                <w:color w:val="000000"/>
                <w:sz w:val="21"/>
                <w:szCs w:val="21"/>
              </w:rPr>
              <w:t>2020</w:t>
            </w:r>
            <w:r>
              <w:rPr>
                <w:rFonts w:hint="eastAsia" w:ascii="黑体" w:hAnsi="黑体" w:eastAsia="黑体" w:cs="黑体"/>
                <w:b/>
                <w:bCs/>
                <w:color w:val="000000"/>
                <w:sz w:val="21"/>
                <w:szCs w:val="21"/>
                <w:lang w:val="zh-TW" w:eastAsia="zh-TW"/>
              </w:rPr>
              <w:t>年指标值</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sz w:val="21"/>
                <w:szCs w:val="21"/>
                <w:lang w:val="zh-TW" w:eastAsia="zh-TW"/>
              </w:rPr>
            </w:pPr>
            <w:r>
              <w:rPr>
                <w:rFonts w:hint="eastAsia" w:ascii="仿宋_GB2312" w:hAnsi="仿宋_GB2312" w:eastAsia="仿宋_GB2312" w:cs="仿宋_GB2312"/>
                <w:sz w:val="21"/>
                <w:szCs w:val="21"/>
                <w:lang w:val="zh-TW" w:eastAsia="zh-TW"/>
              </w:rPr>
              <w:t>人均期望寿命（岁）</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sz w:val="21"/>
                <w:szCs w:val="21"/>
                <w:lang w:eastAsia="en-US"/>
              </w:rPr>
            </w:pPr>
            <w:r>
              <w:rPr>
                <w:rFonts w:hint="eastAsia" w:ascii="仿宋_GB2312" w:hAnsi="仿宋_GB2312" w:eastAsia="仿宋_GB2312" w:cs="仿宋_GB2312"/>
                <w:sz w:val="21"/>
                <w:szCs w:val="21"/>
              </w:rPr>
              <w:t>80.5</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en-US"/>
              </w:rPr>
              <w:t>8</w:t>
            </w:r>
            <w:r>
              <w:rPr>
                <w:rFonts w:hint="eastAsia" w:ascii="仿宋_GB2312" w:hAnsi="仿宋_GB2312" w:eastAsia="仿宋_GB2312" w:cs="仿宋_GB2312"/>
                <w:sz w:val="21"/>
                <w:szCs w:val="21"/>
              </w:rPr>
              <w:t>2.64</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sz w:val="21"/>
                <w:szCs w:val="21"/>
                <w:lang w:val="zh-TW" w:eastAsia="zh-TW"/>
              </w:rPr>
            </w:pPr>
            <w:r>
              <w:rPr>
                <w:rFonts w:hint="eastAsia" w:ascii="仿宋_GB2312" w:hAnsi="仿宋_GB2312" w:eastAsia="仿宋_GB2312" w:cs="仿宋_GB2312"/>
                <w:sz w:val="21"/>
                <w:szCs w:val="21"/>
                <w:lang w:val="zh-TW" w:eastAsia="zh-TW"/>
              </w:rPr>
              <w:t>孕产妇死亡率（1/10万）</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sz w:val="21"/>
                <w:szCs w:val="21"/>
                <w:lang w:val="zh-TW"/>
              </w:rPr>
            </w:pPr>
            <w:r>
              <w:rPr>
                <w:rFonts w:hint="eastAsia" w:ascii="仿宋_GB2312" w:hAnsi="仿宋_GB2312" w:eastAsia="仿宋_GB2312" w:cs="仿宋_GB2312"/>
                <w:sz w:val="21"/>
                <w:szCs w:val="21"/>
                <w:lang w:eastAsia="en-US"/>
              </w:rPr>
              <w:t>1</w:t>
            </w:r>
            <w:r>
              <w:rPr>
                <w:rFonts w:hint="eastAsia" w:ascii="仿宋_GB2312" w:hAnsi="仿宋_GB2312" w:eastAsia="仿宋_GB2312" w:cs="仿宋_GB2312"/>
                <w:sz w:val="21"/>
                <w:szCs w:val="21"/>
              </w:rPr>
              <w:t>4</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19.15</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婴儿死亡率（</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lang w:val="zh-TW" w:eastAsia="zh-TW"/>
              </w:rPr>
              <w:t>）</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rPr>
            </w:pPr>
            <w:r>
              <w:rPr>
                <w:rFonts w:hint="eastAsia" w:ascii="仿宋_GB2312" w:hAnsi="仿宋_GB2312" w:eastAsia="仿宋_GB2312" w:cs="仿宋_GB2312"/>
                <w:color w:val="000000"/>
                <w:sz w:val="21"/>
                <w:szCs w:val="21"/>
              </w:rPr>
              <w:t>6</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2.11</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5岁以下儿童死亡率（</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lang w:val="zh-TW" w:eastAsia="zh-TW"/>
              </w:rPr>
              <w:t>）</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rPr>
            </w:pPr>
            <w:r>
              <w:rPr>
                <w:rFonts w:hint="eastAsia" w:ascii="仿宋_GB2312" w:hAnsi="仿宋_GB2312" w:eastAsia="仿宋_GB2312" w:cs="仿宋_GB2312"/>
                <w:color w:val="000000"/>
                <w:sz w:val="21"/>
                <w:szCs w:val="21"/>
              </w:rPr>
              <w:t>8</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3.26</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重大慢性病过早死亡率（%）</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9.83</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千人均医院、卫生院床位数（张）</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4.7</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3.58</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千人均执业（助理）医师数（人）</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r>
              <w:rPr>
                <w:rFonts w:hint="eastAsia" w:ascii="仿宋_GB2312" w:hAnsi="仿宋_GB2312" w:eastAsia="仿宋_GB2312" w:cs="仿宋_GB2312"/>
                <w:color w:val="000000"/>
                <w:sz w:val="21"/>
                <w:szCs w:val="21"/>
                <w:lang w:val="en-US" w:eastAsia="zh-CN"/>
              </w:rPr>
              <w:t>1</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千人均注册护士数（人）</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2.4</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2.50</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千人均公共卫生人员数（人）</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0.83</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0.59</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每万人口全科医生数（人）</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年平均人口自然增长率（</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lang w:val="zh-TW" w:eastAsia="zh-TW"/>
              </w:rPr>
              <w:t>）</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lang w:eastAsia="zh-TW"/>
              </w:rPr>
            </w:pPr>
            <w:r>
              <w:rPr>
                <w:rFonts w:hint="eastAsia" w:ascii="仿宋_GB2312" w:hAnsi="仿宋_GB2312" w:eastAsia="仿宋_GB2312" w:cs="仿宋_GB2312"/>
                <w:color w:val="000000"/>
                <w:sz w:val="21"/>
                <w:szCs w:val="21"/>
              </w:rPr>
              <w:t>3.12</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城乡居民参保率（</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lang w:val="zh-TW" w:eastAsia="zh-TW"/>
              </w:rPr>
              <w:t>）</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98.03</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政策范围内住院费用报销比例（</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lang w:val="zh-TW" w:eastAsia="zh-TW"/>
              </w:rPr>
              <w:t>）</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67.38</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住院费用实际报销比例（</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lang w:val="zh-TW" w:eastAsia="zh-TW"/>
              </w:rPr>
              <w:t>）</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53.79</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发现并治疗肺结核患者（</w:t>
            </w:r>
            <w:r>
              <w:rPr>
                <w:rFonts w:hint="eastAsia" w:ascii="仿宋_GB2312" w:hAnsi="仿宋_GB2312" w:eastAsia="仿宋_GB2312" w:cs="仿宋_GB2312"/>
                <w:color w:val="000000"/>
                <w:sz w:val="21"/>
                <w:szCs w:val="21"/>
              </w:rPr>
              <w:t>人</w:t>
            </w:r>
            <w:r>
              <w:rPr>
                <w:rFonts w:hint="eastAsia" w:ascii="仿宋_GB2312" w:hAnsi="仿宋_GB2312" w:eastAsia="仿宋_GB2312" w:cs="仿宋_GB2312"/>
                <w:color w:val="000000"/>
                <w:sz w:val="21"/>
                <w:szCs w:val="21"/>
                <w:lang w:val="zh-TW" w:eastAsia="zh-TW"/>
              </w:rPr>
              <w:t>）</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≤50/10万</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433人(31.8/10万)</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免疫规划疫苗接种率（</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lang w:val="zh-TW" w:eastAsia="zh-TW"/>
              </w:rPr>
              <w:t>）</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95</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高血压患者规范管理率（</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lang w:val="zh-TW" w:eastAsia="zh-TW"/>
              </w:rPr>
              <w:t>）</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68.96</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糖尿病患者规范管理率（</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lang w:val="zh-TW" w:eastAsia="zh-TW"/>
              </w:rPr>
              <w:t>）</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70.38</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重性精神疾病患者管理率（</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lang w:val="zh-TW" w:eastAsia="zh-TW"/>
              </w:rPr>
              <w:t>）</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90</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81.98</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居民健康素养水平（</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lang w:val="zh-TW" w:eastAsia="zh-TW"/>
              </w:rPr>
              <w:t>）</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8.9</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18.9</w:t>
            </w:r>
            <w:r>
              <w:rPr>
                <w:rFonts w:hint="eastAsia" w:cs="仿宋_GB2312"/>
                <w:color w:val="000000"/>
                <w:sz w:val="21"/>
                <w:szCs w:val="21"/>
                <w:lang w:val="en-US" w:eastAsia="zh-CN"/>
              </w:rPr>
              <w:t>0</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经常参加体育锻炼人数（</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lang w:val="zh-TW" w:eastAsia="zh-TW"/>
              </w:rPr>
              <w:t>）</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8.9</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18.9</w:t>
            </w:r>
            <w:r>
              <w:rPr>
                <w:rFonts w:hint="eastAsia" w:cs="仿宋_GB2312"/>
                <w:color w:val="000000"/>
                <w:sz w:val="21"/>
                <w:szCs w:val="21"/>
                <w:lang w:val="en-US" w:eastAsia="zh-CN"/>
              </w:rPr>
              <w:t>0</w:t>
            </w:r>
          </w:p>
        </w:tc>
      </w:tr>
      <w:tr>
        <w:tblPrEx>
          <w:tblCellMar>
            <w:top w:w="0" w:type="dxa"/>
            <w:left w:w="10" w:type="dxa"/>
            <w:bottom w:w="0" w:type="dxa"/>
            <w:right w:w="10" w:type="dxa"/>
          </w:tblCellMar>
        </w:tblPrEx>
        <w:trPr>
          <w:trHeight w:val="668"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城乡居民达到《国民体质测定标准》合格以上的人数比例（%）</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32.17</w:t>
            </w:r>
          </w:p>
        </w:tc>
      </w:tr>
      <w:tr>
        <w:tblPrEx>
          <w:tblCellMar>
            <w:top w:w="0" w:type="dxa"/>
            <w:left w:w="10" w:type="dxa"/>
            <w:bottom w:w="0" w:type="dxa"/>
            <w:right w:w="10" w:type="dxa"/>
          </w:tblCellMar>
        </w:tblPrEx>
        <w:trPr>
          <w:trHeight w:val="466"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空气质量优良天数比率（%）</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≥97</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98.9</w:t>
            </w:r>
            <w:r>
              <w:rPr>
                <w:rFonts w:hint="eastAsia" w:cs="仿宋_GB2312"/>
                <w:color w:val="000000"/>
                <w:sz w:val="21"/>
                <w:szCs w:val="21"/>
                <w:lang w:val="en-US" w:eastAsia="zh-CN"/>
              </w:rPr>
              <w:t>0</w:t>
            </w:r>
          </w:p>
        </w:tc>
      </w:tr>
      <w:tr>
        <w:tblPrEx>
          <w:tblCellMar>
            <w:top w:w="0" w:type="dxa"/>
            <w:left w:w="10" w:type="dxa"/>
            <w:bottom w:w="0" w:type="dxa"/>
            <w:right w:w="10" w:type="dxa"/>
          </w:tblCellMar>
        </w:tblPrEx>
        <w:trPr>
          <w:trHeight w:val="480" w:hRule="atLeast"/>
          <w:jc w:val="center"/>
        </w:trPr>
        <w:tc>
          <w:tcPr>
            <w:tcW w:w="37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地表水质量达到或好于Ⅲ类水体比例（%）</w:t>
            </w:r>
          </w:p>
        </w:tc>
        <w:tc>
          <w:tcPr>
            <w:tcW w:w="2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w:t>
            </w:r>
          </w:p>
        </w:tc>
        <w:tc>
          <w:tcPr>
            <w:tcW w:w="21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75</w:t>
            </w:r>
          </w:p>
        </w:tc>
      </w:tr>
    </w:tbl>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0"/>
        <w:rPr>
          <w:rFonts w:hint="eastAsia" w:ascii="黑体" w:hAnsi="黑体" w:eastAsia="黑体" w:cs="黑体"/>
          <w:sz w:val="44"/>
          <w:szCs w:val="44"/>
        </w:rPr>
      </w:pPr>
      <w:bookmarkStart w:id="47" w:name="_Toc31672"/>
      <w:bookmarkStart w:id="48" w:name="_Toc22092"/>
      <w:bookmarkStart w:id="49" w:name="_Toc2202"/>
      <w:bookmarkStart w:id="50" w:name="_Toc20049"/>
      <w:bookmarkStart w:id="51" w:name="_Toc19332"/>
      <w:bookmarkStart w:id="52" w:name="_Toc29669"/>
      <w:bookmarkStart w:id="53" w:name="_Toc13326"/>
      <w:bookmarkStart w:id="54" w:name="_Toc3265"/>
      <w:bookmarkStart w:id="55" w:name="_Toc6835"/>
      <w:bookmarkStart w:id="56" w:name="_Toc8692"/>
      <w:bookmarkStart w:id="57" w:name="_Toc6274"/>
      <w:bookmarkStart w:id="58" w:name="_Toc21268"/>
      <w:bookmarkStart w:id="59" w:name="_Toc15120"/>
      <w:bookmarkStart w:id="60" w:name="_Toc1906"/>
      <w:bookmarkStart w:id="61" w:name="_Toc21879"/>
      <w:bookmarkStart w:id="62" w:name="_Toc12047"/>
      <w:bookmarkStart w:id="63" w:name="_Toc26189"/>
      <w:bookmarkStart w:id="64" w:name="_Toc31388"/>
      <w:bookmarkStart w:id="65" w:name="_Toc78134996"/>
      <w:bookmarkStart w:id="66" w:name="_Toc12334"/>
      <w:bookmarkStart w:id="67" w:name="_Toc5164"/>
      <w:bookmarkStart w:id="68" w:name="_Toc25788"/>
      <w:bookmarkStart w:id="69" w:name="_Toc1118"/>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0"/>
        <w:rPr>
          <w:rFonts w:hint="eastAsia" w:ascii="黑体" w:hAnsi="黑体" w:eastAsia="黑体" w:cs="黑体"/>
          <w:sz w:val="44"/>
          <w:szCs w:val="44"/>
        </w:rPr>
      </w:pPr>
      <w:r>
        <w:rPr>
          <w:rFonts w:hint="eastAsia" w:ascii="黑体" w:hAnsi="黑体" w:eastAsia="黑体" w:cs="黑体"/>
          <w:sz w:val="44"/>
          <w:szCs w:val="44"/>
        </w:rPr>
        <w:t xml:space="preserve">第二篇  </w:t>
      </w:r>
      <w:bookmarkEnd w:id="47"/>
      <w:bookmarkEnd w:id="48"/>
      <w:bookmarkEnd w:id="49"/>
      <w:r>
        <w:rPr>
          <w:rFonts w:hint="eastAsia" w:ascii="黑体" w:hAnsi="黑体" w:eastAsia="黑体" w:cs="黑体"/>
          <w:sz w:val="44"/>
          <w:szCs w:val="44"/>
        </w:rPr>
        <w:t>总体要求</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黑体" w:hAnsi="黑体" w:eastAsia="黑体" w:cs="黑体"/>
          <w:sz w:val="36"/>
          <w:szCs w:val="36"/>
        </w:rPr>
      </w:pPr>
      <w:bookmarkStart w:id="70" w:name="_Toc1653"/>
      <w:bookmarkStart w:id="71" w:name="_Toc28700"/>
      <w:bookmarkStart w:id="72" w:name="_Toc18340"/>
      <w:bookmarkStart w:id="73" w:name="_Toc29783"/>
      <w:bookmarkStart w:id="74" w:name="_Toc1130"/>
      <w:bookmarkStart w:id="75" w:name="_Toc21457"/>
      <w:bookmarkStart w:id="76" w:name="_Toc27321"/>
      <w:bookmarkStart w:id="77" w:name="_Toc26199"/>
      <w:bookmarkStart w:id="78" w:name="_Toc78134997"/>
      <w:bookmarkStart w:id="79" w:name="_Toc19465"/>
      <w:bookmarkStart w:id="80" w:name="_Toc19892"/>
      <w:bookmarkStart w:id="81" w:name="_Toc32106"/>
      <w:bookmarkStart w:id="82" w:name="_Toc24592"/>
      <w:bookmarkStart w:id="83" w:name="_Toc9468"/>
      <w:bookmarkStart w:id="84" w:name="_Toc22332"/>
      <w:bookmarkStart w:id="85" w:name="_Toc6801"/>
      <w:bookmarkStart w:id="86" w:name="_Toc12021"/>
      <w:bookmarkStart w:id="87" w:name="_Toc25368"/>
      <w:bookmarkStart w:id="88" w:name="_Toc17765"/>
      <w:bookmarkStart w:id="89" w:name="_Toc28254"/>
      <w:bookmarkStart w:id="90" w:name="_Toc31493"/>
      <w:bookmarkStart w:id="91" w:name="_Toc2553"/>
      <w:bookmarkStart w:id="92" w:name="_Toc12295"/>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黑体" w:hAnsi="黑体" w:eastAsia="黑体" w:cs="黑体"/>
          <w:sz w:val="36"/>
          <w:szCs w:val="36"/>
        </w:rPr>
      </w:pPr>
      <w:r>
        <w:rPr>
          <w:rFonts w:hint="eastAsia" w:ascii="黑体" w:hAnsi="黑体" w:eastAsia="黑体" w:cs="黑体"/>
          <w:sz w:val="36"/>
          <w:szCs w:val="36"/>
        </w:rPr>
        <w:t>第一章  指导思想</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以习近平新时代中国特色社会主义思想为指导，全面贯彻党的十九大和十九届</w:t>
      </w:r>
      <w:r>
        <w:rPr>
          <w:rFonts w:hint="eastAsia" w:ascii="仿宋_GB2312" w:hAnsi="仿宋_GB2312" w:eastAsia="仿宋_GB2312" w:cs="仿宋_GB2312"/>
          <w:sz w:val="32"/>
          <w:szCs w:val="32"/>
          <w:lang w:eastAsia="zh-CN"/>
        </w:rPr>
        <w:t>历次</w:t>
      </w:r>
      <w:r>
        <w:rPr>
          <w:rFonts w:hint="eastAsia" w:ascii="仿宋_GB2312" w:hAnsi="仿宋_GB2312" w:eastAsia="仿宋_GB2312" w:cs="仿宋_GB2312"/>
          <w:sz w:val="32"/>
          <w:szCs w:val="32"/>
        </w:rPr>
        <w:t>全会精神，坚持“以基层为重点，以改革创新为动力，预防为主，中西医并重，将健康融入所有政策，人民共建共享”的新时代卫生健康工作方针，全面贯彻落实国家、福建省、福州市有关卫生工作的方针、政策，坚持以人民为中心的思想，牢固树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大卫生、大健康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念，坚持深化医药卫生体制改革，以促健康、转模式、强基层、重保障为着力点，进一步健全基层医疗卫生服务体系，加强公共卫生服务体系建设，将健康融入所有政策，提高全民健康水平，实现健康与经济社会协调发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黑体" w:hAnsi="黑体" w:eastAsia="黑体" w:cs="黑体"/>
          <w:sz w:val="36"/>
          <w:szCs w:val="36"/>
        </w:rPr>
      </w:pPr>
      <w:bookmarkStart w:id="93" w:name="_Toc27836"/>
      <w:bookmarkStart w:id="94" w:name="_Toc18800"/>
      <w:bookmarkStart w:id="95" w:name="_Toc15818"/>
      <w:bookmarkStart w:id="96" w:name="_Toc13431"/>
      <w:bookmarkStart w:id="97" w:name="_Toc23488"/>
      <w:bookmarkStart w:id="98" w:name="_Toc18221"/>
      <w:bookmarkStart w:id="99" w:name="_Toc6411"/>
      <w:bookmarkStart w:id="100" w:name="_Toc16382"/>
      <w:bookmarkStart w:id="101" w:name="_Toc25257"/>
      <w:bookmarkStart w:id="102" w:name="_Toc14007"/>
      <w:bookmarkStart w:id="103" w:name="_Toc17660"/>
      <w:r>
        <w:rPr>
          <w:rFonts w:hint="eastAsia" w:ascii="黑体" w:hAnsi="黑体" w:eastAsia="黑体" w:cs="黑体"/>
          <w:sz w:val="36"/>
          <w:szCs w:val="36"/>
        </w:rPr>
        <w:t>第二章  基本原则</w:t>
      </w:r>
      <w:bookmarkEnd w:id="93"/>
      <w:bookmarkEnd w:id="94"/>
      <w:bookmarkEnd w:id="95"/>
      <w:bookmarkEnd w:id="96"/>
      <w:bookmarkEnd w:id="97"/>
      <w:bookmarkEnd w:id="98"/>
      <w:bookmarkEnd w:id="99"/>
      <w:bookmarkEnd w:id="100"/>
      <w:bookmarkEnd w:id="101"/>
      <w:bookmarkEnd w:id="102"/>
      <w:bookmarkEnd w:id="103"/>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黑体" w:hAnsi="黑体" w:eastAsia="黑体" w:cs="黑体"/>
          <w:sz w:val="32"/>
          <w:szCs w:val="32"/>
        </w:rPr>
      </w:pPr>
      <w:bookmarkStart w:id="104" w:name="_Toc22928"/>
      <w:bookmarkStart w:id="105" w:name="_Toc9541"/>
      <w:bookmarkStart w:id="106" w:name="_Toc24013"/>
      <w:bookmarkStart w:id="107" w:name="_Toc1383"/>
      <w:bookmarkStart w:id="108" w:name="_Toc15693"/>
      <w:bookmarkStart w:id="109" w:name="_Toc18172"/>
      <w:bookmarkStart w:id="110" w:name="_Toc8016"/>
      <w:bookmarkStart w:id="111" w:name="_Toc13198"/>
      <w:bookmarkStart w:id="112" w:name="_Toc6394"/>
      <w:bookmarkStart w:id="113" w:name="_Toc4254"/>
      <w:bookmarkStart w:id="114" w:name="_Toc17248"/>
      <w:r>
        <w:rPr>
          <w:rFonts w:hint="eastAsia" w:ascii="黑体" w:hAnsi="黑体" w:eastAsia="黑体" w:cs="黑体"/>
          <w:sz w:val="32"/>
          <w:szCs w:val="32"/>
        </w:rPr>
        <w:t>一、坚持预防为主，促进防治协同</w:t>
      </w:r>
      <w:bookmarkEnd w:id="104"/>
      <w:bookmarkEnd w:id="105"/>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围绕新时代卫生健康工作方针，重视“未病先防、既病防变、愈后防复”，针对传染病等卫生健康领域重大风险，设立应急预警机制，有效控制卫生费用，保障人群健康水平。</w:t>
      </w:r>
      <w:bookmarkEnd w:id="106"/>
      <w:bookmarkEnd w:id="107"/>
      <w:bookmarkEnd w:id="108"/>
      <w:bookmarkEnd w:id="109"/>
      <w:bookmarkEnd w:id="110"/>
      <w:bookmarkEnd w:id="111"/>
      <w:bookmarkEnd w:id="112"/>
      <w:bookmarkEnd w:id="113"/>
      <w:bookmarkEnd w:id="114"/>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坚持点面结合，统筹全局发展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统筹卫生健康事业发展的各个方面，将其与经济社会发展相结合。在把握卫生健康事业发展宏观战略的同时，关注人民健康保障和促进中的关键问题，确保各项任务、目标顺利完成。</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兼顾基层发展，促进健康公平</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人民健康为中心，把解决好人民群众最关心、最直接、反映最突出的健康问题作为卫生健康工作的出发点和落脚点，强化基层的组织建设，补足短板，进一步优化卫生健康资源配置，使人民可以获得公平可及的卫生健康服务。</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强化法治思维，提高治理水平</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简政放权、放管结合、优化服务的要求，促进政府职能转变，强化领导干部法治思维，依法设置按照法治原则、规范、程序，充分发挥法治在卫生健康事业发展中的保障、服务和促进作用，提升卫生健康领域的综合治理能力和服务管理水平。</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发挥地方特色，促进创新</w:t>
      </w:r>
      <w:r>
        <w:rPr>
          <w:rFonts w:hint="eastAsia" w:ascii="黑体" w:hAnsi="黑体" w:eastAsia="黑体" w:cs="黑体"/>
          <w:sz w:val="32"/>
          <w:szCs w:val="32"/>
          <w:lang w:eastAsia="zh-CN"/>
        </w:rPr>
        <w:t>发展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坚持改革创新，按照高质量发展超越要求，全面推进医疗、医保、医药向“全联、深动”迈进；在完成省、</w:t>
      </w:r>
      <w:r>
        <w:rPr>
          <w:rFonts w:hint="eastAsia" w:cs="仿宋_GB2312"/>
          <w:sz w:val="32"/>
          <w:szCs w:val="32"/>
          <w:lang w:eastAsia="zh-CN"/>
        </w:rPr>
        <w:t>福州</w:t>
      </w:r>
      <w:r>
        <w:rPr>
          <w:rFonts w:hint="eastAsia" w:ascii="仿宋_GB2312" w:hAnsi="仿宋_GB2312" w:eastAsia="仿宋_GB2312" w:cs="仿宋_GB2312"/>
          <w:sz w:val="32"/>
          <w:szCs w:val="32"/>
        </w:rPr>
        <w:t>市发展任务的基础上，围绕地区定位细化任务指标，坚持目标导向和问题导向相统一，持续推进制度创新和服务模式转变，提高人民群众健康需求获得感，形成政府、社会、个人共同推进卫生健康发展的良好格局。</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黑体" w:hAnsi="黑体" w:eastAsia="黑体" w:cs="黑体"/>
          <w:sz w:val="36"/>
          <w:szCs w:val="36"/>
        </w:rPr>
      </w:pPr>
      <w:bookmarkStart w:id="115" w:name="_Toc27350"/>
      <w:bookmarkStart w:id="116" w:name="_Toc18134"/>
      <w:bookmarkStart w:id="117" w:name="_Toc8680"/>
      <w:bookmarkStart w:id="118" w:name="_Toc23854"/>
      <w:bookmarkStart w:id="119" w:name="_Toc30274"/>
      <w:bookmarkStart w:id="120" w:name="_Toc16340"/>
      <w:bookmarkStart w:id="121" w:name="_Toc14448"/>
      <w:bookmarkStart w:id="122" w:name="_Toc974"/>
      <w:bookmarkStart w:id="123" w:name="_Toc11411"/>
      <w:bookmarkStart w:id="124" w:name="_Toc8930"/>
      <w:r>
        <w:rPr>
          <w:rFonts w:hint="eastAsia" w:ascii="黑体" w:hAnsi="黑体" w:eastAsia="黑体" w:cs="黑体"/>
          <w:sz w:val="36"/>
          <w:szCs w:val="36"/>
        </w:rPr>
        <w:t>第三章  发展目标</w:t>
      </w:r>
      <w:bookmarkEnd w:id="115"/>
      <w:bookmarkEnd w:id="116"/>
      <w:bookmarkEnd w:id="117"/>
      <w:bookmarkEnd w:id="118"/>
      <w:bookmarkEnd w:id="119"/>
      <w:bookmarkEnd w:id="120"/>
      <w:bookmarkEnd w:id="121"/>
      <w:bookmarkEnd w:id="122"/>
      <w:bookmarkEnd w:id="123"/>
      <w:bookmarkEnd w:id="124"/>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2025年，福清市卫生健康事业建设发展取得显著成效，公共卫生服务体系更加完善，公立医院综合改革进一步深化，现代医院管理制度取得新发展，构建优质高效的医疗卫生服务体系，建立健全分级诊疗体系，基本建成功能清晰齐全的三级医疗卫生服务网络体系，形成多元化办医格局。健康产业初具规模，人人享有便捷可及、系统连续的基本医疗卫生服务，人民群众获得感不断增强，人民健康水平进一步提高，各项健康指标达到省内同类城市前列，实现卫生健康事业与经济社会共同发展。</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——人民健康水平不断提高。居民健康意识加强，健康行为逐步普及，慢性病、地方常见病得到有效控制，人口素质不断提高。到2025年，人均期望寿命达到80.5岁，孕产妇死亡率控制在</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/10万左右，婴幼儿死亡率控制在4‰</w:t>
      </w:r>
      <w:r>
        <w:rPr>
          <w:rFonts w:hint="eastAsia" w:ascii="仿宋_GB2312" w:hAnsi="仿宋_GB2312" w:eastAsia="仿宋_GB2312" w:cs="仿宋_GB2312"/>
          <w:sz w:val="32"/>
          <w:szCs w:val="32"/>
          <w:lang w:eastAsia="zh-CN"/>
        </w:rPr>
        <w:t>以下</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公共卫生体系更加完善。公共卫生领域突出短板基本补齐，资源配置持续优化，公共卫生服务水平显著提升，重大疾病防控救治、公共卫生安全保障能力更加强大，体系完整、职能明确、协作顺畅、运行高效的公共卫生体系基本建立。 </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——医疗服务体系更加健全。卫生资源总量适度增加、布局结构得到优化，卫生资源利用更趋合理，城乡区域资源配置更趋均衡。到2025年，每千常住人口医疗机构床位数达4.7 张。基本形成适应居民多层次健康需求、上下联动、衔接互补的医疗服务体系。</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医疗服务质量持续提高。推动多种形式医联体建设，各级各类医疗机构功能定位得到有效落实，医疗服务整体效率和质量持续提升，医务人员合法权益有保障，执业环境不断改善，医患关系更加和谐，满意度不断提升，公立医院高质量发展，人民群众获得感进一步增强。 </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——保障持续发展明显改善。政府投入力度不断加大，筹资渠道更加多元，群众医药费用负担进一步减轻，个人卫生支出占卫生总费用比重保持在 25％左右。完善医学人才培养和发展体系。医疗健康信息化、智能化水平不断提高。</w:t>
      </w:r>
    </w:p>
    <w:p>
      <w:pPr>
        <w:spacing w:beforeLines="0" w:afterLines="0" w:line="560" w:lineRule="exact"/>
        <w:ind w:firstLine="556" w:firstLineChars="200"/>
        <w:jc w:val="center"/>
        <w:rPr>
          <w:rFonts w:hint="eastAsia" w:ascii="黑体" w:hAnsi="黑体" w:eastAsia="黑体" w:cs="黑体"/>
          <w:sz w:val="28"/>
          <w:szCs w:val="36"/>
        </w:rPr>
      </w:pPr>
      <w:r>
        <w:rPr>
          <w:rFonts w:hint="eastAsia" w:ascii="黑体" w:hAnsi="黑体" w:eastAsia="黑体" w:cs="黑体"/>
          <w:sz w:val="28"/>
          <w:szCs w:val="36"/>
        </w:rPr>
        <w:t>表2 “十四五”时期卫生健康发展主要指标</w:t>
      </w:r>
    </w:p>
    <w:tbl>
      <w:tblPr>
        <w:tblStyle w:val="7"/>
        <w:tblW w:w="9566" w:type="dxa"/>
        <w:jc w:val="center"/>
        <w:tblLayout w:type="fixed"/>
        <w:tblCellMar>
          <w:top w:w="0" w:type="dxa"/>
          <w:left w:w="108" w:type="dxa"/>
          <w:bottom w:w="0" w:type="dxa"/>
          <w:right w:w="108" w:type="dxa"/>
        </w:tblCellMar>
      </w:tblPr>
      <w:tblGrid>
        <w:gridCol w:w="789"/>
        <w:gridCol w:w="3737"/>
        <w:gridCol w:w="840"/>
        <w:gridCol w:w="1290"/>
        <w:gridCol w:w="1125"/>
        <w:gridCol w:w="1035"/>
        <w:gridCol w:w="750"/>
      </w:tblGrid>
      <w:tr>
        <w:tblPrEx>
          <w:tblCellMar>
            <w:top w:w="0" w:type="dxa"/>
            <w:left w:w="108" w:type="dxa"/>
            <w:bottom w:w="0" w:type="dxa"/>
            <w:right w:w="108" w:type="dxa"/>
          </w:tblCellMar>
        </w:tblPrEx>
        <w:trPr>
          <w:trHeight w:val="685" w:hRule="atLeast"/>
          <w:tblHeader/>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黑体" w:hAnsi="黑体" w:eastAsia="黑体" w:cs="黑体"/>
                <w:b w:val="0"/>
                <w:bCs w:val="0"/>
                <w:color w:val="000000"/>
                <w:sz w:val="21"/>
                <w:szCs w:val="21"/>
                <w:lang w:val="zh-TW" w:eastAsia="zh-TW"/>
              </w:rPr>
            </w:pPr>
            <w:r>
              <w:rPr>
                <w:rFonts w:hint="eastAsia" w:ascii="黑体" w:hAnsi="黑体" w:eastAsia="黑体" w:cs="黑体"/>
                <w:b w:val="0"/>
                <w:bCs w:val="0"/>
                <w:color w:val="000000"/>
                <w:sz w:val="21"/>
                <w:szCs w:val="21"/>
                <w:lang w:val="zh-TW" w:eastAsia="zh-TW"/>
              </w:rPr>
              <w:t>领域</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黑体" w:hAnsi="黑体" w:eastAsia="黑体" w:cs="黑体"/>
                <w:b w:val="0"/>
                <w:bCs w:val="0"/>
                <w:color w:val="000000"/>
                <w:sz w:val="21"/>
                <w:szCs w:val="21"/>
                <w:lang w:val="zh-TW" w:eastAsia="zh-TW"/>
              </w:rPr>
            </w:pPr>
            <w:r>
              <w:rPr>
                <w:rFonts w:hint="eastAsia" w:ascii="黑体" w:hAnsi="黑体" w:eastAsia="黑体" w:cs="黑体"/>
                <w:b w:val="0"/>
                <w:bCs w:val="0"/>
                <w:color w:val="000000"/>
                <w:sz w:val="21"/>
                <w:szCs w:val="21"/>
                <w:lang w:val="zh-TW" w:eastAsia="zh-TW"/>
              </w:rPr>
              <w:t>指标名称</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黑体" w:hAnsi="黑体" w:eastAsia="黑体" w:cs="黑体"/>
                <w:b w:val="0"/>
                <w:bCs w:val="0"/>
                <w:color w:val="000000"/>
                <w:sz w:val="21"/>
                <w:szCs w:val="21"/>
                <w:lang w:val="zh-TW" w:eastAsia="zh-TW"/>
              </w:rPr>
            </w:pPr>
            <w:r>
              <w:rPr>
                <w:rFonts w:hint="eastAsia" w:ascii="黑体" w:hAnsi="黑体" w:eastAsia="黑体" w:cs="黑体"/>
                <w:b w:val="0"/>
                <w:bCs w:val="0"/>
                <w:color w:val="000000"/>
                <w:sz w:val="21"/>
                <w:szCs w:val="21"/>
                <w:lang w:val="zh-TW" w:eastAsia="zh-TW"/>
              </w:rPr>
              <w:t>单位</w:t>
            </w:r>
          </w:p>
        </w:tc>
        <w:tc>
          <w:tcPr>
            <w:tcW w:w="1290" w:type="dxa"/>
            <w:tcBorders>
              <w:top w:val="single" w:color="auto" w:sz="4" w:space="0"/>
              <w:left w:val="nil"/>
              <w:bottom w:val="single" w:color="auto" w:sz="4" w:space="0"/>
              <w:right w:val="single" w:color="auto" w:sz="4" w:space="0"/>
            </w:tcBorders>
            <w:noWrap w:val="0"/>
            <w:vAlign w:val="center"/>
          </w:tcPr>
          <w:p>
            <w:pPr>
              <w:spacing w:beforeLines="0" w:afterLines="0" w:line="340" w:lineRule="exact"/>
              <w:jc w:val="center"/>
              <w:rPr>
                <w:rFonts w:hint="eastAsia" w:ascii="黑体" w:hAnsi="黑体" w:eastAsia="黑体" w:cs="黑体"/>
                <w:b w:val="0"/>
                <w:bCs w:val="0"/>
                <w:color w:val="000000"/>
                <w:sz w:val="21"/>
                <w:szCs w:val="21"/>
                <w:lang w:val="zh-TW" w:eastAsia="zh-TW"/>
              </w:rPr>
            </w:pPr>
            <w:r>
              <w:rPr>
                <w:rFonts w:hint="eastAsia" w:ascii="黑体" w:hAnsi="黑体" w:eastAsia="黑体" w:cs="黑体"/>
                <w:b w:val="0"/>
                <w:bCs w:val="0"/>
                <w:color w:val="000000"/>
                <w:sz w:val="21"/>
                <w:szCs w:val="21"/>
                <w:lang w:val="zh-TW" w:eastAsia="zh-TW"/>
              </w:rPr>
              <w:t>2020年</w:t>
            </w:r>
          </w:p>
        </w:tc>
        <w:tc>
          <w:tcPr>
            <w:tcW w:w="1125" w:type="dxa"/>
            <w:tcBorders>
              <w:top w:val="single" w:color="auto" w:sz="4" w:space="0"/>
              <w:left w:val="nil"/>
              <w:bottom w:val="single" w:color="auto" w:sz="4" w:space="0"/>
              <w:right w:val="single" w:color="000000" w:sz="4" w:space="0"/>
            </w:tcBorders>
            <w:noWrap w:val="0"/>
            <w:vAlign w:val="center"/>
          </w:tcPr>
          <w:p>
            <w:pPr>
              <w:spacing w:beforeLines="0" w:afterLines="0" w:line="340" w:lineRule="exact"/>
              <w:jc w:val="center"/>
              <w:rPr>
                <w:rFonts w:hint="eastAsia" w:ascii="黑体" w:hAnsi="黑体" w:eastAsia="黑体" w:cs="黑体"/>
                <w:b w:val="0"/>
                <w:bCs w:val="0"/>
                <w:color w:val="000000"/>
                <w:sz w:val="21"/>
                <w:szCs w:val="21"/>
                <w:lang w:val="zh-TW" w:eastAsia="zh-TW"/>
              </w:rPr>
            </w:pPr>
            <w:r>
              <w:rPr>
                <w:rFonts w:hint="eastAsia" w:ascii="黑体" w:hAnsi="黑体" w:eastAsia="黑体" w:cs="黑体"/>
                <w:b w:val="0"/>
                <w:bCs w:val="0"/>
                <w:color w:val="000000"/>
                <w:sz w:val="21"/>
                <w:szCs w:val="21"/>
                <w:lang w:val="zh-TW" w:eastAsia="zh-TW"/>
              </w:rPr>
              <w:t>2025年</w:t>
            </w:r>
          </w:p>
          <w:p>
            <w:pPr>
              <w:spacing w:beforeLines="0" w:afterLines="0" w:line="340" w:lineRule="exact"/>
              <w:jc w:val="center"/>
              <w:rPr>
                <w:rFonts w:hint="eastAsia" w:ascii="黑体" w:hAnsi="黑体" w:eastAsia="黑体" w:cs="黑体"/>
                <w:b w:val="0"/>
                <w:bCs w:val="0"/>
                <w:color w:val="000000"/>
                <w:sz w:val="21"/>
                <w:szCs w:val="21"/>
                <w:lang w:val="zh-TW" w:eastAsia="zh-TW"/>
              </w:rPr>
            </w:pPr>
            <w:r>
              <w:rPr>
                <w:rFonts w:hint="eastAsia" w:ascii="黑体" w:hAnsi="黑体" w:eastAsia="黑体" w:cs="黑体"/>
                <w:b w:val="0"/>
                <w:bCs w:val="0"/>
                <w:color w:val="000000"/>
                <w:sz w:val="21"/>
                <w:szCs w:val="21"/>
                <w:lang w:val="zh-TW" w:eastAsia="zh-TW"/>
              </w:rPr>
              <w:t>目标</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黑体" w:hAnsi="黑体" w:eastAsia="黑体" w:cs="黑体"/>
                <w:b w:val="0"/>
                <w:bCs w:val="0"/>
                <w:color w:val="000000"/>
                <w:sz w:val="21"/>
                <w:szCs w:val="21"/>
                <w:lang w:val="zh-TW" w:eastAsia="zh-TW"/>
              </w:rPr>
            </w:pPr>
            <w:r>
              <w:rPr>
                <w:rFonts w:hint="eastAsia" w:ascii="黑体" w:hAnsi="黑体" w:eastAsia="黑体" w:cs="黑体"/>
                <w:b w:val="0"/>
                <w:bCs w:val="0"/>
                <w:color w:val="000000"/>
                <w:sz w:val="21"/>
                <w:szCs w:val="21"/>
                <w:lang w:val="zh-TW" w:eastAsia="zh-TW"/>
              </w:rPr>
              <w:t>指标</w:t>
            </w:r>
          </w:p>
          <w:p>
            <w:pPr>
              <w:spacing w:beforeLines="0" w:afterLines="0" w:line="340" w:lineRule="exact"/>
              <w:jc w:val="center"/>
              <w:rPr>
                <w:rFonts w:hint="eastAsia" w:ascii="黑体" w:hAnsi="黑体" w:eastAsia="黑体" w:cs="黑体"/>
                <w:b w:val="0"/>
                <w:bCs w:val="0"/>
                <w:color w:val="000000"/>
                <w:sz w:val="21"/>
                <w:szCs w:val="21"/>
                <w:lang w:val="zh-TW" w:eastAsia="zh-TW"/>
              </w:rPr>
            </w:pPr>
            <w:r>
              <w:rPr>
                <w:rFonts w:hint="eastAsia" w:ascii="黑体" w:hAnsi="黑体" w:eastAsia="黑体" w:cs="黑体"/>
                <w:b w:val="0"/>
                <w:bCs w:val="0"/>
                <w:color w:val="000000"/>
                <w:sz w:val="21"/>
                <w:szCs w:val="21"/>
                <w:lang w:val="zh-TW" w:eastAsia="zh-TW"/>
              </w:rPr>
              <w:t>性质</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黑体" w:hAnsi="黑体" w:eastAsia="黑体" w:cs="黑体"/>
                <w:b w:val="0"/>
                <w:bCs w:val="0"/>
                <w:color w:val="000000"/>
                <w:sz w:val="21"/>
                <w:szCs w:val="21"/>
                <w:lang w:val="zh-TW"/>
              </w:rPr>
            </w:pPr>
            <w:r>
              <w:rPr>
                <w:rFonts w:hint="eastAsia" w:ascii="黑体" w:hAnsi="黑体" w:eastAsia="黑体" w:cs="黑体"/>
                <w:b w:val="0"/>
                <w:bCs w:val="0"/>
                <w:color w:val="000000"/>
                <w:sz w:val="21"/>
                <w:szCs w:val="21"/>
                <w:lang w:val="zh-TW"/>
              </w:rPr>
              <w:t>备注</w:t>
            </w:r>
          </w:p>
        </w:tc>
      </w:tr>
      <w:tr>
        <w:tblPrEx>
          <w:tblCellMar>
            <w:top w:w="0" w:type="dxa"/>
            <w:left w:w="108" w:type="dxa"/>
            <w:bottom w:w="0" w:type="dxa"/>
            <w:right w:w="108" w:type="dxa"/>
          </w:tblCellMar>
        </w:tblPrEx>
        <w:trPr>
          <w:trHeight w:val="452" w:hRule="atLeast"/>
          <w:jc w:val="center"/>
        </w:trPr>
        <w:tc>
          <w:tcPr>
            <w:tcW w:w="789" w:type="dxa"/>
            <w:vMerge w:val="restart"/>
            <w:tcBorders>
              <w:top w:val="nil"/>
              <w:left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健康</w:t>
            </w:r>
          </w:p>
          <w:p>
            <w:pPr>
              <w:widowControl/>
              <w:adjustRightInd w:val="0"/>
              <w:snapToGrid w:val="0"/>
              <w:spacing w:beforeLines="0" w:afterLines="0"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水平</w:t>
            </w:r>
          </w:p>
        </w:tc>
        <w:tc>
          <w:tcPr>
            <w:tcW w:w="3737"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beforeLines="0" w:afterLines="0"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1.人均期望寿命</w:t>
            </w:r>
          </w:p>
        </w:tc>
        <w:tc>
          <w:tcPr>
            <w:tcW w:w="840" w:type="dxa"/>
            <w:tcBorders>
              <w:top w:val="nil"/>
              <w:left w:val="nil"/>
              <w:bottom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岁</w:t>
            </w:r>
          </w:p>
        </w:tc>
        <w:tc>
          <w:tcPr>
            <w:tcW w:w="1290" w:type="dxa"/>
            <w:tcBorders>
              <w:top w:val="nil"/>
              <w:left w:val="nil"/>
              <w:bottom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82.64</w:t>
            </w:r>
          </w:p>
        </w:tc>
        <w:tc>
          <w:tcPr>
            <w:tcW w:w="1125" w:type="dxa"/>
            <w:tcBorders>
              <w:top w:val="nil"/>
              <w:left w:val="nil"/>
              <w:bottom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8</w:t>
            </w:r>
            <w:r>
              <w:rPr>
                <w:rFonts w:hint="eastAsia" w:ascii="仿宋_GB2312" w:hAnsi="仿宋_GB2312" w:eastAsia="仿宋_GB2312" w:cs="仿宋_GB2312"/>
                <w:kern w:val="0"/>
                <w:sz w:val="21"/>
                <w:szCs w:val="21"/>
                <w:lang w:val="en-US" w:eastAsia="zh-CN"/>
              </w:rPr>
              <w:t>2.85</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预期性</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412" w:hRule="atLeast"/>
          <w:jc w:val="center"/>
        </w:trPr>
        <w:tc>
          <w:tcPr>
            <w:tcW w:w="789" w:type="dxa"/>
            <w:vMerge w:val="continue"/>
            <w:tcBorders>
              <w:left w:val="single" w:color="auto" w:sz="4" w:space="0"/>
              <w:right w:val="single" w:color="auto" w:sz="4" w:space="0"/>
            </w:tcBorders>
            <w:noWrap w:val="0"/>
            <w:vAlign w:val="center"/>
          </w:tcPr>
          <w:p>
            <w:pPr>
              <w:widowControl/>
              <w:adjustRightInd w:val="0"/>
              <w:snapToGrid w:val="0"/>
              <w:spacing w:beforeLines="0" w:afterLines="0" w:line="340" w:lineRule="exact"/>
              <w:rPr>
                <w:rFonts w:hint="eastAsia" w:ascii="仿宋_GB2312" w:hAnsi="仿宋_GB2312" w:eastAsia="仿宋_GB2312" w:cs="仿宋_GB2312"/>
                <w:kern w:val="0"/>
                <w:sz w:val="21"/>
                <w:szCs w:val="21"/>
              </w:rPr>
            </w:pPr>
          </w:p>
        </w:tc>
        <w:tc>
          <w:tcPr>
            <w:tcW w:w="3737"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beforeLines="0" w:afterLines="0"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2.婴儿死亡率</w:t>
            </w:r>
          </w:p>
        </w:tc>
        <w:tc>
          <w:tcPr>
            <w:tcW w:w="840" w:type="dxa"/>
            <w:tcBorders>
              <w:top w:val="nil"/>
              <w:left w:val="nil"/>
              <w:bottom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290" w:type="dxa"/>
            <w:tcBorders>
              <w:top w:val="nil"/>
              <w:left w:val="nil"/>
              <w:bottom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2.11</w:t>
            </w:r>
          </w:p>
        </w:tc>
        <w:tc>
          <w:tcPr>
            <w:tcW w:w="1125" w:type="dxa"/>
            <w:tcBorders>
              <w:top w:val="nil"/>
              <w:left w:val="nil"/>
              <w:bottom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rPr>
              <w:t>4以下</w:t>
            </w:r>
          </w:p>
        </w:tc>
        <w:tc>
          <w:tcPr>
            <w:tcW w:w="1035"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约束性</w:t>
            </w:r>
          </w:p>
        </w:tc>
        <w:tc>
          <w:tcPr>
            <w:tcW w:w="750"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434" w:hRule="atLeast"/>
          <w:jc w:val="center"/>
        </w:trPr>
        <w:tc>
          <w:tcPr>
            <w:tcW w:w="789" w:type="dxa"/>
            <w:vMerge w:val="continue"/>
            <w:tcBorders>
              <w:left w:val="single" w:color="auto" w:sz="4" w:space="0"/>
              <w:right w:val="single" w:color="auto" w:sz="4" w:space="0"/>
            </w:tcBorders>
            <w:noWrap w:val="0"/>
            <w:vAlign w:val="center"/>
          </w:tcPr>
          <w:p>
            <w:pPr>
              <w:widowControl/>
              <w:adjustRightInd w:val="0"/>
              <w:snapToGrid w:val="0"/>
              <w:spacing w:beforeLines="0" w:afterLines="0" w:line="340" w:lineRule="exact"/>
              <w:rPr>
                <w:rFonts w:hint="eastAsia" w:ascii="仿宋_GB2312" w:hAnsi="仿宋_GB2312" w:eastAsia="仿宋_GB2312" w:cs="仿宋_GB2312"/>
                <w:kern w:val="0"/>
                <w:sz w:val="21"/>
                <w:szCs w:val="21"/>
              </w:rPr>
            </w:pPr>
          </w:p>
        </w:tc>
        <w:tc>
          <w:tcPr>
            <w:tcW w:w="3737"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beforeLines="0" w:afterLines="0"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3.孕产妇死亡率</w:t>
            </w:r>
          </w:p>
        </w:tc>
        <w:tc>
          <w:tcPr>
            <w:tcW w:w="840" w:type="dxa"/>
            <w:tcBorders>
              <w:top w:val="nil"/>
              <w:left w:val="nil"/>
              <w:bottom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spacing w:val="-10"/>
                <w:kern w:val="0"/>
                <w:sz w:val="21"/>
                <w:szCs w:val="21"/>
              </w:rPr>
            </w:pPr>
            <w:r>
              <w:rPr>
                <w:rFonts w:hint="eastAsia" w:ascii="仿宋_GB2312" w:hAnsi="仿宋_GB2312" w:eastAsia="仿宋_GB2312" w:cs="仿宋_GB2312"/>
                <w:spacing w:val="-16"/>
                <w:kern w:val="0"/>
                <w:sz w:val="21"/>
                <w:szCs w:val="21"/>
              </w:rPr>
              <w:t>1/10万</w:t>
            </w:r>
          </w:p>
        </w:tc>
        <w:tc>
          <w:tcPr>
            <w:tcW w:w="1290" w:type="dxa"/>
            <w:tcBorders>
              <w:top w:val="nil"/>
              <w:left w:val="nil"/>
              <w:bottom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19.15</w:t>
            </w:r>
          </w:p>
        </w:tc>
        <w:tc>
          <w:tcPr>
            <w:tcW w:w="1125" w:type="dxa"/>
            <w:tcBorders>
              <w:top w:val="nil"/>
              <w:left w:val="nil"/>
              <w:bottom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1</w:t>
            </w:r>
            <w:r>
              <w:rPr>
                <w:rFonts w:hint="eastAsia" w:ascii="仿宋_GB2312" w:hAnsi="仿宋_GB2312" w:eastAsia="仿宋_GB2312" w:cs="仿宋_GB2312"/>
                <w:kern w:val="0"/>
                <w:sz w:val="21"/>
                <w:szCs w:val="21"/>
                <w:lang w:val="en-US" w:eastAsia="zh-CN"/>
              </w:rPr>
              <w:t>0以下</w:t>
            </w:r>
          </w:p>
        </w:tc>
        <w:tc>
          <w:tcPr>
            <w:tcW w:w="1035"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约束性</w:t>
            </w:r>
          </w:p>
        </w:tc>
        <w:tc>
          <w:tcPr>
            <w:tcW w:w="750"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462" w:hRule="atLeast"/>
          <w:jc w:val="center"/>
        </w:trPr>
        <w:tc>
          <w:tcPr>
            <w:tcW w:w="789"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Lines="0" w:afterLines="0" w:line="340" w:lineRule="exact"/>
              <w:rPr>
                <w:rFonts w:hint="eastAsia" w:ascii="仿宋_GB2312" w:hAnsi="仿宋_GB2312" w:eastAsia="仿宋_GB2312" w:cs="仿宋_GB2312"/>
                <w:kern w:val="0"/>
                <w:sz w:val="21"/>
                <w:szCs w:val="21"/>
              </w:rPr>
            </w:pPr>
          </w:p>
        </w:tc>
        <w:tc>
          <w:tcPr>
            <w:tcW w:w="3737"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beforeLines="0" w:afterLines="0"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4.5岁以下儿童死亡率</w:t>
            </w:r>
          </w:p>
        </w:tc>
        <w:tc>
          <w:tcPr>
            <w:tcW w:w="840" w:type="dxa"/>
            <w:tcBorders>
              <w:top w:val="nil"/>
              <w:left w:val="nil"/>
              <w:bottom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spacing w:val="-16"/>
                <w:kern w:val="0"/>
                <w:sz w:val="21"/>
                <w:szCs w:val="21"/>
              </w:rPr>
            </w:pPr>
            <w:r>
              <w:rPr>
                <w:rFonts w:hint="eastAsia" w:ascii="仿宋_GB2312" w:hAnsi="仿宋_GB2312" w:eastAsia="仿宋_GB2312" w:cs="仿宋_GB2312"/>
                <w:kern w:val="0"/>
                <w:sz w:val="21"/>
                <w:szCs w:val="21"/>
              </w:rPr>
              <w:t>‰</w:t>
            </w:r>
          </w:p>
        </w:tc>
        <w:tc>
          <w:tcPr>
            <w:tcW w:w="1290" w:type="dxa"/>
            <w:tcBorders>
              <w:top w:val="nil"/>
              <w:left w:val="nil"/>
              <w:bottom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3.26</w:t>
            </w:r>
          </w:p>
        </w:tc>
        <w:tc>
          <w:tcPr>
            <w:tcW w:w="1125" w:type="dxa"/>
            <w:tcBorders>
              <w:top w:val="nil"/>
              <w:left w:val="nil"/>
              <w:bottom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rPr>
              <w:t>5以下</w:t>
            </w:r>
          </w:p>
        </w:tc>
        <w:tc>
          <w:tcPr>
            <w:tcW w:w="1035"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约束性</w:t>
            </w:r>
          </w:p>
        </w:tc>
        <w:tc>
          <w:tcPr>
            <w:tcW w:w="750"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beforeLines="0" w:afterLines="0" w:line="340" w:lineRule="exact"/>
              <w:jc w:val="center"/>
              <w:rPr>
                <w:rFonts w:hint="eastAsia" w:ascii="仿宋_GB2312" w:hAnsi="仿宋_GB2312" w:eastAsia="仿宋_GB2312" w:cs="仿宋_GB2312"/>
                <w:kern w:val="0"/>
                <w:sz w:val="21"/>
                <w:szCs w:val="21"/>
              </w:rPr>
            </w:pPr>
          </w:p>
        </w:tc>
      </w:tr>
      <w:tr>
        <w:tblPrEx>
          <w:tblCellMar>
            <w:top w:w="0" w:type="dxa"/>
            <w:left w:w="108" w:type="dxa"/>
            <w:bottom w:w="0" w:type="dxa"/>
            <w:right w:w="108" w:type="dxa"/>
          </w:tblCellMar>
        </w:tblPrEx>
        <w:trPr>
          <w:trHeight w:val="412" w:hRule="atLeast"/>
          <w:jc w:val="center"/>
        </w:trPr>
        <w:tc>
          <w:tcPr>
            <w:tcW w:w="789" w:type="dxa"/>
            <w:vMerge w:val="restart"/>
            <w:tcBorders>
              <w:top w:val="nil"/>
              <w:left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资源</w:t>
            </w:r>
          </w:p>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配置</w:t>
            </w:r>
          </w:p>
        </w:tc>
        <w:tc>
          <w:tcPr>
            <w:tcW w:w="3737"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5.每千人口医疗机构床位数</w:t>
            </w:r>
          </w:p>
        </w:tc>
        <w:tc>
          <w:tcPr>
            <w:tcW w:w="84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张</w:t>
            </w:r>
          </w:p>
        </w:tc>
        <w:tc>
          <w:tcPr>
            <w:tcW w:w="129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3.58</w:t>
            </w:r>
          </w:p>
        </w:tc>
        <w:tc>
          <w:tcPr>
            <w:tcW w:w="1125"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4.7</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预期性</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r>
      <w:tr>
        <w:tblPrEx>
          <w:tblCellMar>
            <w:top w:w="0" w:type="dxa"/>
            <w:left w:w="108" w:type="dxa"/>
            <w:bottom w:w="0" w:type="dxa"/>
            <w:right w:w="108" w:type="dxa"/>
          </w:tblCellMar>
        </w:tblPrEx>
        <w:trPr>
          <w:trHeight w:val="500" w:hRule="atLeast"/>
          <w:jc w:val="center"/>
        </w:trPr>
        <w:tc>
          <w:tcPr>
            <w:tcW w:w="789" w:type="dxa"/>
            <w:vMerge w:val="continue"/>
            <w:tcBorders>
              <w:left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c>
          <w:tcPr>
            <w:tcW w:w="3737"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6.每千人口执业（助理）医师数</w:t>
            </w:r>
          </w:p>
        </w:tc>
        <w:tc>
          <w:tcPr>
            <w:tcW w:w="84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人</w:t>
            </w:r>
          </w:p>
        </w:tc>
        <w:tc>
          <w:tcPr>
            <w:tcW w:w="129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r>
              <w:rPr>
                <w:rFonts w:hint="eastAsia" w:ascii="仿宋_GB2312" w:hAnsi="仿宋_GB2312" w:eastAsia="仿宋_GB2312" w:cs="仿宋_GB2312"/>
                <w:color w:val="000000"/>
                <w:sz w:val="21"/>
                <w:szCs w:val="21"/>
                <w:lang w:val="en-US" w:eastAsia="zh-CN"/>
              </w:rPr>
              <w:t>1</w:t>
            </w:r>
          </w:p>
        </w:tc>
        <w:tc>
          <w:tcPr>
            <w:tcW w:w="1125"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2.6</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预期性</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r>
      <w:tr>
        <w:tblPrEx>
          <w:tblCellMar>
            <w:top w:w="0" w:type="dxa"/>
            <w:left w:w="108" w:type="dxa"/>
            <w:bottom w:w="0" w:type="dxa"/>
            <w:right w:w="108" w:type="dxa"/>
          </w:tblCellMar>
        </w:tblPrEx>
        <w:trPr>
          <w:trHeight w:val="432" w:hRule="atLeast"/>
          <w:jc w:val="center"/>
        </w:trPr>
        <w:tc>
          <w:tcPr>
            <w:tcW w:w="789" w:type="dxa"/>
            <w:vMerge w:val="continue"/>
            <w:tcBorders>
              <w:left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c>
          <w:tcPr>
            <w:tcW w:w="3737"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7.每千人口注册护士数</w:t>
            </w:r>
          </w:p>
        </w:tc>
        <w:tc>
          <w:tcPr>
            <w:tcW w:w="84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人</w:t>
            </w:r>
          </w:p>
        </w:tc>
        <w:tc>
          <w:tcPr>
            <w:tcW w:w="129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2.50</w:t>
            </w:r>
          </w:p>
        </w:tc>
        <w:tc>
          <w:tcPr>
            <w:tcW w:w="1125"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3.0</w:t>
            </w:r>
          </w:p>
        </w:tc>
        <w:tc>
          <w:tcPr>
            <w:tcW w:w="1035" w:type="dxa"/>
            <w:tcBorders>
              <w:top w:val="nil"/>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预期性</w:t>
            </w:r>
          </w:p>
        </w:tc>
        <w:tc>
          <w:tcPr>
            <w:tcW w:w="750"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r>
      <w:tr>
        <w:tblPrEx>
          <w:tblCellMar>
            <w:top w:w="0" w:type="dxa"/>
            <w:left w:w="108" w:type="dxa"/>
            <w:bottom w:w="0" w:type="dxa"/>
            <w:right w:w="108" w:type="dxa"/>
          </w:tblCellMar>
        </w:tblPrEx>
        <w:trPr>
          <w:trHeight w:val="440" w:hRule="atLeast"/>
          <w:jc w:val="center"/>
        </w:trPr>
        <w:tc>
          <w:tcPr>
            <w:tcW w:w="789" w:type="dxa"/>
            <w:vMerge w:val="continue"/>
            <w:tcBorders>
              <w:left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c>
          <w:tcPr>
            <w:tcW w:w="3737"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8.每万人口中医执业（助理）医师数</w:t>
            </w:r>
          </w:p>
        </w:tc>
        <w:tc>
          <w:tcPr>
            <w:tcW w:w="84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人</w:t>
            </w:r>
          </w:p>
        </w:tc>
        <w:tc>
          <w:tcPr>
            <w:tcW w:w="129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2.37</w:t>
            </w:r>
          </w:p>
        </w:tc>
        <w:tc>
          <w:tcPr>
            <w:tcW w:w="1125"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3.3</w:t>
            </w:r>
          </w:p>
        </w:tc>
        <w:tc>
          <w:tcPr>
            <w:tcW w:w="1035" w:type="dxa"/>
            <w:tcBorders>
              <w:top w:val="nil"/>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预期性</w:t>
            </w:r>
          </w:p>
        </w:tc>
        <w:tc>
          <w:tcPr>
            <w:tcW w:w="750"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r>
      <w:tr>
        <w:tblPrEx>
          <w:tblCellMar>
            <w:top w:w="0" w:type="dxa"/>
            <w:left w:w="108" w:type="dxa"/>
            <w:bottom w:w="0" w:type="dxa"/>
            <w:right w:w="108" w:type="dxa"/>
          </w:tblCellMar>
        </w:tblPrEx>
        <w:trPr>
          <w:trHeight w:val="367" w:hRule="atLeast"/>
          <w:jc w:val="center"/>
        </w:trPr>
        <w:tc>
          <w:tcPr>
            <w:tcW w:w="789" w:type="dxa"/>
            <w:vMerge w:val="continue"/>
            <w:tcBorders>
              <w:left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c>
          <w:tcPr>
            <w:tcW w:w="3737"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9.每万人口全科医生数</w:t>
            </w:r>
          </w:p>
        </w:tc>
        <w:tc>
          <w:tcPr>
            <w:tcW w:w="84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人</w:t>
            </w:r>
          </w:p>
        </w:tc>
        <w:tc>
          <w:tcPr>
            <w:tcW w:w="129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w:t>
            </w:r>
          </w:p>
        </w:tc>
        <w:tc>
          <w:tcPr>
            <w:tcW w:w="1125"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1035" w:type="dxa"/>
            <w:tcBorders>
              <w:top w:val="nil"/>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预期性</w:t>
            </w:r>
          </w:p>
        </w:tc>
        <w:tc>
          <w:tcPr>
            <w:tcW w:w="750"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r>
      <w:tr>
        <w:tblPrEx>
          <w:tblCellMar>
            <w:top w:w="0" w:type="dxa"/>
            <w:left w:w="108" w:type="dxa"/>
            <w:bottom w:w="0" w:type="dxa"/>
            <w:right w:w="108" w:type="dxa"/>
          </w:tblCellMar>
        </w:tblPrEx>
        <w:trPr>
          <w:trHeight w:val="595" w:hRule="atLeast"/>
          <w:jc w:val="center"/>
        </w:trPr>
        <w:tc>
          <w:tcPr>
            <w:tcW w:w="789" w:type="dxa"/>
            <w:vMerge w:val="restart"/>
            <w:tcBorders>
              <w:top w:val="single" w:color="auto" w:sz="4" w:space="0"/>
              <w:left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健康</w:t>
            </w:r>
          </w:p>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服务</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10.以乡镇为单位适龄儿童免疫规划疫苗接种率</w:t>
            </w:r>
          </w:p>
        </w:tc>
        <w:tc>
          <w:tcPr>
            <w:tcW w:w="84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w:t>
            </w:r>
          </w:p>
        </w:tc>
        <w:tc>
          <w:tcPr>
            <w:tcW w:w="129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95</w:t>
            </w:r>
          </w:p>
        </w:tc>
        <w:tc>
          <w:tcPr>
            <w:tcW w:w="1125"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＞95</w:t>
            </w:r>
          </w:p>
        </w:tc>
        <w:tc>
          <w:tcPr>
            <w:tcW w:w="1035" w:type="dxa"/>
            <w:tcBorders>
              <w:top w:val="nil"/>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约束性</w:t>
            </w:r>
          </w:p>
        </w:tc>
        <w:tc>
          <w:tcPr>
            <w:tcW w:w="750"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r>
      <w:tr>
        <w:tblPrEx>
          <w:tblCellMar>
            <w:top w:w="0" w:type="dxa"/>
            <w:left w:w="108" w:type="dxa"/>
            <w:bottom w:w="0" w:type="dxa"/>
            <w:right w:w="108" w:type="dxa"/>
          </w:tblCellMar>
        </w:tblPrEx>
        <w:trPr>
          <w:trHeight w:val="415" w:hRule="atLeast"/>
          <w:jc w:val="center"/>
        </w:trPr>
        <w:tc>
          <w:tcPr>
            <w:tcW w:w="789" w:type="dxa"/>
            <w:vMerge w:val="continue"/>
            <w:tcBorders>
              <w:left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c>
          <w:tcPr>
            <w:tcW w:w="3737"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11.每</w:t>
            </w:r>
            <w:r>
              <w:rPr>
                <w:rFonts w:hint="eastAsia" w:ascii="仿宋_GB2312" w:hAnsi="仿宋_GB2312" w:eastAsia="仿宋_GB2312" w:cs="仿宋_GB2312"/>
                <w:color w:val="000000"/>
                <w:spacing w:val="-11"/>
                <w:sz w:val="21"/>
                <w:szCs w:val="21"/>
                <w:lang w:val="zh-TW" w:eastAsia="zh-TW"/>
              </w:rPr>
              <w:t>千人口拥有3岁以下婴幼儿托位数</w:t>
            </w:r>
          </w:p>
        </w:tc>
        <w:tc>
          <w:tcPr>
            <w:tcW w:w="84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个</w:t>
            </w:r>
          </w:p>
        </w:tc>
        <w:tc>
          <w:tcPr>
            <w:tcW w:w="129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w:t>
            </w:r>
          </w:p>
        </w:tc>
        <w:tc>
          <w:tcPr>
            <w:tcW w:w="1125"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4.5</w:t>
            </w:r>
          </w:p>
        </w:tc>
        <w:tc>
          <w:tcPr>
            <w:tcW w:w="1035" w:type="dxa"/>
            <w:tcBorders>
              <w:top w:val="nil"/>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预期性</w:t>
            </w:r>
          </w:p>
        </w:tc>
        <w:tc>
          <w:tcPr>
            <w:tcW w:w="750"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r>
      <w:tr>
        <w:tblPrEx>
          <w:tblCellMar>
            <w:top w:w="0" w:type="dxa"/>
            <w:left w:w="108" w:type="dxa"/>
            <w:bottom w:w="0" w:type="dxa"/>
            <w:right w:w="108" w:type="dxa"/>
          </w:tblCellMar>
        </w:tblPrEx>
        <w:trPr>
          <w:trHeight w:val="425" w:hRule="atLeast"/>
          <w:jc w:val="center"/>
        </w:trPr>
        <w:tc>
          <w:tcPr>
            <w:tcW w:w="789" w:type="dxa"/>
            <w:vMerge w:val="continue"/>
            <w:tcBorders>
              <w:left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c>
          <w:tcPr>
            <w:tcW w:w="3737"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12.公民健康素养水平</w:t>
            </w:r>
          </w:p>
        </w:tc>
        <w:tc>
          <w:tcPr>
            <w:tcW w:w="84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w:t>
            </w:r>
          </w:p>
        </w:tc>
        <w:tc>
          <w:tcPr>
            <w:tcW w:w="129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2021年开始</w:t>
            </w:r>
          </w:p>
        </w:tc>
        <w:tc>
          <w:tcPr>
            <w:tcW w:w="1125"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25</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约束性</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r>
      <w:tr>
        <w:tblPrEx>
          <w:tblCellMar>
            <w:top w:w="0" w:type="dxa"/>
            <w:left w:w="108" w:type="dxa"/>
            <w:bottom w:w="0" w:type="dxa"/>
            <w:right w:w="108" w:type="dxa"/>
          </w:tblCellMar>
        </w:tblPrEx>
        <w:trPr>
          <w:trHeight w:val="347" w:hRule="atLeast"/>
          <w:jc w:val="center"/>
        </w:trPr>
        <w:tc>
          <w:tcPr>
            <w:tcW w:w="789" w:type="dxa"/>
            <w:vMerge w:val="continue"/>
            <w:tcBorders>
              <w:left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c>
          <w:tcPr>
            <w:tcW w:w="3737"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13.县域内就诊率</w:t>
            </w:r>
          </w:p>
        </w:tc>
        <w:tc>
          <w:tcPr>
            <w:tcW w:w="84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w:t>
            </w:r>
          </w:p>
        </w:tc>
        <w:tc>
          <w:tcPr>
            <w:tcW w:w="129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w:t>
            </w:r>
          </w:p>
        </w:tc>
        <w:tc>
          <w:tcPr>
            <w:tcW w:w="1125"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90</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预期性</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r>
      <w:tr>
        <w:tblPrEx>
          <w:tblCellMar>
            <w:top w:w="0" w:type="dxa"/>
            <w:left w:w="108" w:type="dxa"/>
            <w:bottom w:w="0" w:type="dxa"/>
            <w:right w:w="108" w:type="dxa"/>
          </w:tblCellMar>
        </w:tblPrEx>
        <w:trPr>
          <w:trHeight w:val="445" w:hRule="atLeast"/>
          <w:jc w:val="center"/>
        </w:trPr>
        <w:tc>
          <w:tcPr>
            <w:tcW w:w="789" w:type="dxa"/>
            <w:vMerge w:val="continue"/>
            <w:tcBorders>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c>
          <w:tcPr>
            <w:tcW w:w="3737" w:type="dxa"/>
            <w:tcBorders>
              <w:top w:val="nil"/>
              <w:left w:val="single" w:color="auto" w:sz="4" w:space="0"/>
              <w:bottom w:val="single" w:color="auto" w:sz="4" w:space="0"/>
              <w:right w:val="single" w:color="auto" w:sz="4" w:space="0"/>
            </w:tcBorders>
            <w:noWrap w:val="0"/>
            <w:vAlign w:val="center"/>
          </w:tcPr>
          <w:p>
            <w:r>
              <w:rPr>
                <w:rFonts w:hint="eastAsia" w:ascii="仿宋_GB2312" w:hAnsi="仿宋_GB2312" w:eastAsia="仿宋_GB2312" w:cs="仿宋_GB2312"/>
                <w:color w:val="000000"/>
                <w:sz w:val="21"/>
                <w:szCs w:val="21"/>
                <w:lang w:val="zh-TW" w:eastAsia="zh-TW"/>
              </w:rPr>
              <w:t>14.政策范围内住院费用报销</w:t>
            </w:r>
          </w:p>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比例</w:t>
            </w:r>
          </w:p>
        </w:tc>
        <w:tc>
          <w:tcPr>
            <w:tcW w:w="84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w:t>
            </w:r>
          </w:p>
        </w:tc>
        <w:tc>
          <w:tcPr>
            <w:tcW w:w="129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67.38</w:t>
            </w:r>
          </w:p>
        </w:tc>
        <w:tc>
          <w:tcPr>
            <w:tcW w:w="1125"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70左右</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预期性</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r>
      <w:tr>
        <w:tblPrEx>
          <w:tblCellMar>
            <w:top w:w="0" w:type="dxa"/>
            <w:left w:w="108" w:type="dxa"/>
            <w:bottom w:w="0" w:type="dxa"/>
            <w:right w:w="108" w:type="dxa"/>
          </w:tblCellMar>
        </w:tblPrEx>
        <w:trPr>
          <w:trHeight w:val="447" w:hRule="atLeast"/>
          <w:jc w:val="center"/>
        </w:trPr>
        <w:tc>
          <w:tcPr>
            <w:tcW w:w="789" w:type="dxa"/>
            <w:vMerge w:val="restart"/>
            <w:tcBorders>
              <w:top w:val="nil"/>
              <w:left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健康</w:t>
            </w:r>
          </w:p>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管理</w:t>
            </w:r>
          </w:p>
        </w:tc>
        <w:tc>
          <w:tcPr>
            <w:tcW w:w="3737"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15.高血压患者规范管理率</w:t>
            </w:r>
          </w:p>
        </w:tc>
        <w:tc>
          <w:tcPr>
            <w:tcW w:w="84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w:t>
            </w:r>
          </w:p>
        </w:tc>
        <w:tc>
          <w:tcPr>
            <w:tcW w:w="129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68.96</w:t>
            </w:r>
          </w:p>
        </w:tc>
        <w:tc>
          <w:tcPr>
            <w:tcW w:w="1125"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zh-TW" w:eastAsia="zh-TW"/>
              </w:rPr>
              <w:t>≥</w:t>
            </w:r>
            <w:r>
              <w:rPr>
                <w:rFonts w:hint="eastAsia" w:ascii="仿宋_GB2312" w:hAnsi="仿宋_GB2312" w:eastAsia="仿宋_GB2312" w:cs="仿宋_GB2312"/>
                <w:color w:val="000000"/>
                <w:sz w:val="21"/>
                <w:szCs w:val="21"/>
              </w:rPr>
              <w:t>75</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预期性</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r>
      <w:tr>
        <w:tblPrEx>
          <w:tblCellMar>
            <w:top w:w="0" w:type="dxa"/>
            <w:left w:w="108" w:type="dxa"/>
            <w:bottom w:w="0" w:type="dxa"/>
            <w:right w:w="108" w:type="dxa"/>
          </w:tblCellMar>
        </w:tblPrEx>
        <w:trPr>
          <w:trHeight w:val="462" w:hRule="atLeast"/>
          <w:jc w:val="center"/>
        </w:trPr>
        <w:tc>
          <w:tcPr>
            <w:tcW w:w="789" w:type="dxa"/>
            <w:vMerge w:val="continue"/>
            <w:tcBorders>
              <w:left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c>
          <w:tcPr>
            <w:tcW w:w="3737"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16.糖尿病患者规范管理率</w:t>
            </w:r>
          </w:p>
        </w:tc>
        <w:tc>
          <w:tcPr>
            <w:tcW w:w="84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w:t>
            </w:r>
          </w:p>
        </w:tc>
        <w:tc>
          <w:tcPr>
            <w:tcW w:w="129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70.38</w:t>
            </w:r>
          </w:p>
        </w:tc>
        <w:tc>
          <w:tcPr>
            <w:tcW w:w="1125"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zh-TW" w:eastAsia="zh-TW"/>
              </w:rPr>
              <w:t>≥</w:t>
            </w:r>
            <w:r>
              <w:rPr>
                <w:rFonts w:hint="eastAsia" w:ascii="仿宋_GB2312" w:hAnsi="仿宋_GB2312" w:eastAsia="仿宋_GB2312" w:cs="仿宋_GB2312"/>
                <w:color w:val="000000"/>
                <w:sz w:val="21"/>
                <w:szCs w:val="21"/>
              </w:rPr>
              <w:t>75</w:t>
            </w:r>
          </w:p>
        </w:tc>
        <w:tc>
          <w:tcPr>
            <w:tcW w:w="1035" w:type="dxa"/>
            <w:tcBorders>
              <w:top w:val="nil"/>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预期性</w:t>
            </w:r>
          </w:p>
        </w:tc>
        <w:tc>
          <w:tcPr>
            <w:tcW w:w="750"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r>
      <w:tr>
        <w:tblPrEx>
          <w:tblCellMar>
            <w:top w:w="0" w:type="dxa"/>
            <w:left w:w="108" w:type="dxa"/>
            <w:bottom w:w="0" w:type="dxa"/>
            <w:right w:w="108" w:type="dxa"/>
          </w:tblCellMar>
        </w:tblPrEx>
        <w:trPr>
          <w:trHeight w:val="530" w:hRule="atLeast"/>
          <w:jc w:val="center"/>
        </w:trPr>
        <w:tc>
          <w:tcPr>
            <w:tcW w:w="789" w:type="dxa"/>
            <w:vMerge w:val="continue"/>
            <w:tcBorders>
              <w:left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c>
          <w:tcPr>
            <w:tcW w:w="37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17.新发尘肺病报告率</w:t>
            </w:r>
          </w:p>
        </w:tc>
        <w:tc>
          <w:tcPr>
            <w:tcW w:w="840" w:type="dxa"/>
            <w:tcBorders>
              <w:top w:val="single" w:color="auto" w:sz="4" w:space="0"/>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w:t>
            </w:r>
          </w:p>
        </w:tc>
        <w:tc>
          <w:tcPr>
            <w:tcW w:w="1290" w:type="dxa"/>
            <w:tcBorders>
              <w:top w:val="single" w:color="auto" w:sz="4" w:space="0"/>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w:t>
            </w:r>
          </w:p>
        </w:tc>
        <w:tc>
          <w:tcPr>
            <w:tcW w:w="1125" w:type="dxa"/>
            <w:tcBorders>
              <w:top w:val="single" w:color="auto" w:sz="4" w:space="0"/>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逐步下降</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预期性</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r>
      <w:tr>
        <w:tblPrEx>
          <w:tblCellMar>
            <w:top w:w="0" w:type="dxa"/>
            <w:left w:w="108" w:type="dxa"/>
            <w:bottom w:w="0" w:type="dxa"/>
            <w:right w:w="108" w:type="dxa"/>
          </w:tblCellMar>
        </w:tblPrEx>
        <w:trPr>
          <w:trHeight w:val="477" w:hRule="atLeast"/>
          <w:jc w:val="center"/>
        </w:trPr>
        <w:tc>
          <w:tcPr>
            <w:tcW w:w="789" w:type="dxa"/>
            <w:vMerge w:val="continue"/>
            <w:tcBorders>
              <w:left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c>
          <w:tcPr>
            <w:tcW w:w="37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18.严重精神障碍患者管理率</w:t>
            </w:r>
          </w:p>
        </w:tc>
        <w:tc>
          <w:tcPr>
            <w:tcW w:w="840" w:type="dxa"/>
            <w:tcBorders>
              <w:top w:val="single" w:color="auto" w:sz="4" w:space="0"/>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w:t>
            </w:r>
          </w:p>
        </w:tc>
        <w:tc>
          <w:tcPr>
            <w:tcW w:w="1290" w:type="dxa"/>
            <w:tcBorders>
              <w:top w:val="single" w:color="auto" w:sz="4" w:space="0"/>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81.98</w:t>
            </w:r>
          </w:p>
        </w:tc>
        <w:tc>
          <w:tcPr>
            <w:tcW w:w="1125" w:type="dxa"/>
            <w:tcBorders>
              <w:top w:val="single" w:color="auto" w:sz="4" w:space="0"/>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zh-TW" w:eastAsia="zh-TW"/>
              </w:rPr>
              <w:t>≥</w:t>
            </w:r>
            <w:r>
              <w:rPr>
                <w:rFonts w:hint="eastAsia" w:ascii="仿宋_GB2312" w:hAnsi="仿宋_GB2312" w:eastAsia="仿宋_GB2312" w:cs="仿宋_GB2312"/>
                <w:color w:val="000000"/>
                <w:sz w:val="21"/>
                <w:szCs w:val="21"/>
              </w:rPr>
              <w:t>83</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约束性</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r>
      <w:tr>
        <w:tblPrEx>
          <w:tblCellMar>
            <w:top w:w="0" w:type="dxa"/>
            <w:left w:w="108" w:type="dxa"/>
            <w:bottom w:w="0" w:type="dxa"/>
            <w:right w:w="108" w:type="dxa"/>
          </w:tblCellMar>
        </w:tblPrEx>
        <w:trPr>
          <w:trHeight w:val="467" w:hRule="atLeast"/>
          <w:jc w:val="center"/>
        </w:trPr>
        <w:tc>
          <w:tcPr>
            <w:tcW w:w="789" w:type="dxa"/>
            <w:vMerge w:val="continue"/>
            <w:tcBorders>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c>
          <w:tcPr>
            <w:tcW w:w="3737"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19.老年人健康管理率</w:t>
            </w:r>
          </w:p>
        </w:tc>
        <w:tc>
          <w:tcPr>
            <w:tcW w:w="84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w:t>
            </w:r>
          </w:p>
        </w:tc>
        <w:tc>
          <w:tcPr>
            <w:tcW w:w="129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71.5</w:t>
            </w:r>
          </w:p>
        </w:tc>
        <w:tc>
          <w:tcPr>
            <w:tcW w:w="1125"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≥72</w:t>
            </w:r>
          </w:p>
        </w:tc>
        <w:tc>
          <w:tcPr>
            <w:tcW w:w="1035" w:type="dxa"/>
            <w:tcBorders>
              <w:top w:val="nil"/>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预期性</w:t>
            </w:r>
          </w:p>
        </w:tc>
        <w:tc>
          <w:tcPr>
            <w:tcW w:w="750"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r>
      <w:tr>
        <w:tblPrEx>
          <w:tblCellMar>
            <w:top w:w="0" w:type="dxa"/>
            <w:left w:w="108" w:type="dxa"/>
            <w:bottom w:w="0" w:type="dxa"/>
            <w:right w:w="108" w:type="dxa"/>
          </w:tblCellMar>
        </w:tblPrEx>
        <w:trPr>
          <w:trHeight w:val="435" w:hRule="atLeast"/>
          <w:jc w:val="center"/>
        </w:trPr>
        <w:tc>
          <w:tcPr>
            <w:tcW w:w="789" w:type="dxa"/>
            <w:vMerge w:val="restart"/>
            <w:tcBorders>
              <w:top w:val="nil"/>
              <w:left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发展</w:t>
            </w:r>
          </w:p>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保障</w:t>
            </w:r>
          </w:p>
        </w:tc>
        <w:tc>
          <w:tcPr>
            <w:tcW w:w="3737"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20.期末总人口规模</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万人</w:t>
            </w:r>
          </w:p>
        </w:tc>
        <w:tc>
          <w:tcPr>
            <w:tcW w:w="129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139</w:t>
            </w:r>
          </w:p>
        </w:tc>
        <w:tc>
          <w:tcPr>
            <w:tcW w:w="1125"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145</w:t>
            </w:r>
          </w:p>
        </w:tc>
        <w:tc>
          <w:tcPr>
            <w:tcW w:w="1035" w:type="dxa"/>
            <w:tcBorders>
              <w:top w:val="nil"/>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预期性</w:t>
            </w:r>
          </w:p>
        </w:tc>
        <w:tc>
          <w:tcPr>
            <w:tcW w:w="750"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r>
      <w:tr>
        <w:tblPrEx>
          <w:tblCellMar>
            <w:top w:w="0" w:type="dxa"/>
            <w:left w:w="108" w:type="dxa"/>
            <w:bottom w:w="0" w:type="dxa"/>
            <w:right w:w="108" w:type="dxa"/>
          </w:tblCellMar>
        </w:tblPrEx>
        <w:trPr>
          <w:trHeight w:val="435" w:hRule="atLeast"/>
          <w:jc w:val="center"/>
        </w:trPr>
        <w:tc>
          <w:tcPr>
            <w:tcW w:w="789" w:type="dxa"/>
            <w:vMerge w:val="continue"/>
            <w:tcBorders>
              <w:left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c>
          <w:tcPr>
            <w:tcW w:w="3737"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21.人口年平均出生率</w:t>
            </w:r>
          </w:p>
        </w:tc>
        <w:tc>
          <w:tcPr>
            <w:tcW w:w="84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w:t>
            </w:r>
          </w:p>
        </w:tc>
        <w:tc>
          <w:tcPr>
            <w:tcW w:w="1290"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11.1</w:t>
            </w:r>
          </w:p>
        </w:tc>
        <w:tc>
          <w:tcPr>
            <w:tcW w:w="1125" w:type="dxa"/>
            <w:tcBorders>
              <w:top w:val="nil"/>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12.2左右</w:t>
            </w:r>
          </w:p>
        </w:tc>
        <w:tc>
          <w:tcPr>
            <w:tcW w:w="1035" w:type="dxa"/>
            <w:tcBorders>
              <w:top w:val="nil"/>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预期性</w:t>
            </w:r>
          </w:p>
        </w:tc>
        <w:tc>
          <w:tcPr>
            <w:tcW w:w="750" w:type="dxa"/>
            <w:tcBorders>
              <w:top w:val="nil"/>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r>
      <w:tr>
        <w:tblPrEx>
          <w:tblCellMar>
            <w:top w:w="0" w:type="dxa"/>
            <w:left w:w="108" w:type="dxa"/>
            <w:bottom w:w="0" w:type="dxa"/>
            <w:right w:w="108" w:type="dxa"/>
          </w:tblCellMar>
        </w:tblPrEx>
        <w:trPr>
          <w:trHeight w:val="500" w:hRule="atLeast"/>
          <w:jc w:val="center"/>
        </w:trPr>
        <w:tc>
          <w:tcPr>
            <w:tcW w:w="789" w:type="dxa"/>
            <w:vMerge w:val="continue"/>
            <w:tcBorders>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c>
          <w:tcPr>
            <w:tcW w:w="373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22.个人卫生支出占卫生总费用</w:t>
            </w:r>
          </w:p>
        </w:tc>
        <w:tc>
          <w:tcPr>
            <w:tcW w:w="840" w:type="dxa"/>
            <w:tcBorders>
              <w:top w:val="single" w:color="auto" w:sz="4" w:space="0"/>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w:t>
            </w:r>
          </w:p>
        </w:tc>
        <w:tc>
          <w:tcPr>
            <w:tcW w:w="1290" w:type="dxa"/>
            <w:tcBorders>
              <w:top w:val="single" w:color="auto" w:sz="4" w:space="0"/>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zh-TW" w:eastAsia="zh-TW"/>
              </w:rPr>
              <w:t>－</w:t>
            </w:r>
          </w:p>
        </w:tc>
        <w:tc>
          <w:tcPr>
            <w:tcW w:w="1125" w:type="dxa"/>
            <w:tcBorders>
              <w:top w:val="single" w:color="auto" w:sz="4" w:space="0"/>
              <w:left w:val="nil"/>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25左右</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jc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color w:val="000000"/>
                <w:sz w:val="21"/>
                <w:szCs w:val="21"/>
                <w:lang w:val="zh-TW" w:eastAsia="zh-TW"/>
              </w:rPr>
              <w:t>预期性</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340" w:lineRule="exact"/>
              <w:rPr>
                <w:rFonts w:hint="eastAsia" w:ascii="仿宋_GB2312" w:hAnsi="仿宋_GB2312" w:eastAsia="仿宋_GB2312" w:cs="仿宋_GB2312"/>
                <w:color w:val="000000"/>
                <w:sz w:val="21"/>
                <w:szCs w:val="21"/>
                <w:lang w:val="zh-TW" w:eastAsia="zh-TW"/>
              </w:rPr>
            </w:pPr>
          </w:p>
        </w:tc>
      </w:tr>
    </w:tbl>
    <w:p>
      <w:pPr>
        <w:spacing w:beforeLines="0" w:afterLines="0" w:line="560" w:lineRule="exact"/>
        <w:jc w:val="center"/>
        <w:outlineLvl w:val="0"/>
        <w:rPr>
          <w:rFonts w:hint="eastAsia" w:ascii="黑体" w:hAnsi="黑体" w:eastAsia="黑体" w:cs="黑体"/>
          <w:sz w:val="44"/>
          <w:szCs w:val="44"/>
        </w:rPr>
      </w:pPr>
      <w:r>
        <w:rPr>
          <w:rFonts w:hint="eastAsia" w:ascii="黑体" w:hAnsi="黑体" w:eastAsia="黑体" w:cs="黑体"/>
          <w:sz w:val="44"/>
          <w:szCs w:val="44"/>
        </w:rPr>
        <w:t>第三篇  建设任务</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黑体" w:hAnsi="黑体" w:eastAsia="黑体" w:cs="黑体"/>
          <w:sz w:val="36"/>
          <w:szCs w:val="36"/>
        </w:rPr>
      </w:pPr>
      <w:bookmarkStart w:id="125" w:name="_Toc15469"/>
      <w:bookmarkStart w:id="126" w:name="_Toc2543"/>
      <w:bookmarkStart w:id="127" w:name="_Toc22596"/>
      <w:bookmarkStart w:id="128" w:name="_Toc9870"/>
      <w:bookmarkStart w:id="129" w:name="_Toc29953"/>
      <w:bookmarkStart w:id="130" w:name="_Toc24107"/>
      <w:bookmarkStart w:id="131" w:name="_Toc24780"/>
      <w:bookmarkStart w:id="132" w:name="_Toc23349"/>
      <w:bookmarkStart w:id="133" w:name="_Toc12234"/>
      <w:bookmarkStart w:id="134" w:name="_Toc19255"/>
      <w:bookmarkStart w:id="135" w:name="_Toc3321"/>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黑体" w:hAnsi="黑体" w:eastAsia="黑体" w:cs="黑体"/>
          <w:sz w:val="36"/>
          <w:szCs w:val="36"/>
        </w:rPr>
      </w:pPr>
      <w:r>
        <w:rPr>
          <w:rFonts w:hint="eastAsia" w:ascii="黑体" w:hAnsi="黑体" w:eastAsia="黑体" w:cs="黑体"/>
          <w:sz w:val="36"/>
          <w:szCs w:val="36"/>
        </w:rPr>
        <w:t>第一章 坚持健康优先，促进健康融入所有政策</w:t>
      </w:r>
      <w:bookmarkEnd w:id="125"/>
      <w:bookmarkEnd w:id="126"/>
      <w:bookmarkEnd w:id="127"/>
      <w:bookmarkEnd w:id="128"/>
      <w:bookmarkEnd w:id="129"/>
      <w:bookmarkEnd w:id="130"/>
      <w:bookmarkEnd w:id="131"/>
      <w:bookmarkEnd w:id="132"/>
      <w:bookmarkEnd w:id="133"/>
      <w:bookmarkEnd w:id="134"/>
      <w:bookmarkEnd w:id="135"/>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136" w:name="_Toc3548"/>
      <w:bookmarkStart w:id="137" w:name="_Toc5469"/>
      <w:bookmarkStart w:id="138" w:name="_Toc26355"/>
      <w:bookmarkStart w:id="139" w:name="_Toc14"/>
      <w:bookmarkStart w:id="140" w:name="_Toc4464"/>
      <w:bookmarkStart w:id="141" w:name="_Toc30082"/>
      <w:bookmarkStart w:id="142" w:name="_Toc16663"/>
      <w:bookmarkStart w:id="143" w:name="_Toc10281"/>
      <w:bookmarkStart w:id="144" w:name="_Toc20528"/>
      <w:r>
        <w:rPr>
          <w:rFonts w:hint="eastAsia" w:ascii="楷体_GB2312" w:hAnsi="楷体" w:eastAsia="楷体_GB2312" w:cs="楷体"/>
          <w:b w:val="0"/>
          <w:bCs w:val="0"/>
          <w:sz w:val="32"/>
          <w:szCs w:val="32"/>
          <w:lang w:val="en-US" w:eastAsia="zh-CN"/>
        </w:rPr>
        <w:t>第一节 加快构建“大卫生、大健康”格局</w:t>
      </w:r>
      <w:bookmarkEnd w:id="136"/>
      <w:bookmarkEnd w:id="137"/>
      <w:bookmarkEnd w:id="138"/>
      <w:bookmarkEnd w:id="139"/>
      <w:bookmarkEnd w:id="140"/>
      <w:bookmarkEnd w:id="141"/>
      <w:bookmarkEnd w:id="142"/>
      <w:bookmarkEnd w:id="143"/>
      <w:bookmarkEnd w:id="144"/>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贯彻“健康中国”战略部署，全面实施“健康福州2030行动”，坚持预防为主，防治结合，大力推进“以治病为中心”向“以人民健康为中心”转变，加强生命全周期管理，提高全民健康水平。切实提高健康教育专业机构、卫生机构及相关部门实施健康服务能力，将健康重要指标纳入各级政府的绩效考核，推动城乡建设发展与居民健康保障紧密融合，各有关部门协同合作，共同促进卫生健康发展建设。通过政府、社会和个人共同推进疾病预防、防治结合、医防融合，促进全社会关注健康、重视健康、改善健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145" w:name="_Toc3986"/>
      <w:bookmarkStart w:id="146" w:name="_Toc23766"/>
      <w:bookmarkStart w:id="147" w:name="_Toc25267"/>
      <w:bookmarkStart w:id="148" w:name="_Toc5400"/>
      <w:bookmarkStart w:id="149" w:name="_Toc18953"/>
      <w:bookmarkStart w:id="150" w:name="_Toc25070"/>
      <w:bookmarkStart w:id="151" w:name="_Toc26966"/>
      <w:bookmarkStart w:id="152" w:name="_Toc32098"/>
      <w:bookmarkStart w:id="153" w:name="_Toc24283"/>
      <w:r>
        <w:rPr>
          <w:rFonts w:hint="eastAsia" w:ascii="楷体_GB2312" w:hAnsi="楷体" w:eastAsia="楷体_GB2312" w:cs="楷体"/>
          <w:b w:val="0"/>
          <w:bCs w:val="0"/>
          <w:sz w:val="32"/>
          <w:szCs w:val="32"/>
          <w:lang w:val="en-US" w:eastAsia="zh-CN"/>
        </w:rPr>
        <w:t>第二节 全面深化医药卫生体制改革</w:t>
      </w:r>
      <w:bookmarkEnd w:id="145"/>
      <w:bookmarkEnd w:id="146"/>
      <w:bookmarkEnd w:id="147"/>
      <w:bookmarkEnd w:id="148"/>
      <w:bookmarkEnd w:id="149"/>
      <w:bookmarkEnd w:id="150"/>
      <w:bookmarkEnd w:id="151"/>
      <w:bookmarkEnd w:id="152"/>
      <w:bookmarkEnd w:id="153"/>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bookmarkStart w:id="154" w:name="_Toc3928"/>
      <w:bookmarkStart w:id="155" w:name="_Toc12730"/>
      <w:bookmarkStart w:id="156" w:name="_Toc12590"/>
      <w:bookmarkStart w:id="157" w:name="_Toc4068"/>
      <w:bookmarkStart w:id="158" w:name="_Toc10934"/>
      <w:r>
        <w:rPr>
          <w:rFonts w:hint="eastAsia" w:ascii="仿宋_GB2312" w:hAnsi="仿宋_GB2312" w:eastAsia="仿宋_GB2312" w:cs="仿宋_GB2312"/>
          <w:sz w:val="32"/>
          <w:szCs w:val="32"/>
          <w:lang w:val="en-US" w:eastAsia="zh-CN"/>
        </w:rPr>
        <w:t>进一步完善医改领导体制和推进机制，实施“三个一”的医改领导体制，由市委</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市政府主要领导分别任医改领导小组组长、第一副组长，对深化医改工作负总责；由一位政府领导统一联系涉及医改领域的卫健、医保、药品、人事、财政等事项。强化政府办医主体责任，科学制定与经济社会发展相协调的区域卫生健康事业发展投入政策，“十四五”时期，加大卫生健康事业发展经费的投入。</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推进公立医院综合改革，健全现代医院管理制度，实行党委领导下的院长负责制，完善公立医院院长目标年薪制、总会计师制度和工资总额核定办法。深化基层医改各项政策措施，推进多种形式医联体建设，推进优质资源下沉共享，畅通医务人员双向交流渠道，畅通患者双向转诊渠道，畅通远程医疗服务渠道，促进医疗服务同质化，提升基层医疗服务能力，加快形成“基层首诊、双向转诊、急慢分治、上下联动”的分级诊疗模式。</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化医保支付方式改革，全面推行按病种、按床日、按人头等多元复合式收付费方式改革，探索推行按疾病诊断相关分组（DRG）、区域点数法总额预算和病种分值付费方式（DIP）等新型医保支付方式改革。全面落实国家和省</w:t>
      </w:r>
      <w:r>
        <w:rPr>
          <w:rFonts w:hint="eastAsia" w:cs="仿宋_GB2312"/>
          <w:sz w:val="32"/>
          <w:szCs w:val="32"/>
          <w:lang w:val="en-US" w:eastAsia="zh-CN"/>
        </w:rPr>
        <w:t>、福州</w:t>
      </w:r>
      <w:r>
        <w:rPr>
          <w:rFonts w:hint="eastAsia" w:ascii="仿宋_GB2312" w:hAnsi="仿宋_GB2312" w:eastAsia="仿宋_GB2312" w:cs="仿宋_GB2312"/>
          <w:sz w:val="32"/>
          <w:szCs w:val="32"/>
          <w:lang w:val="en-US" w:eastAsia="zh-CN"/>
        </w:rPr>
        <w:t>市药品、医用耗材带量集中采购和使用政策，推动医疗机构优先配备使用国家基本药物和集中采购药物、耗材。</w:t>
      </w:r>
      <w:bookmarkEnd w:id="154"/>
      <w:bookmarkEnd w:id="155"/>
      <w:bookmarkEnd w:id="156"/>
      <w:bookmarkEnd w:id="157"/>
    </w:p>
    <w:bookmarkEnd w:id="158"/>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159" w:name="_Toc26983"/>
      <w:bookmarkStart w:id="160" w:name="_Toc54"/>
      <w:bookmarkStart w:id="161" w:name="_Toc10683"/>
      <w:bookmarkStart w:id="162" w:name="_Toc28487"/>
      <w:bookmarkStart w:id="163" w:name="_Toc25356"/>
      <w:bookmarkStart w:id="164" w:name="_Toc21992"/>
      <w:bookmarkStart w:id="165" w:name="_Toc740"/>
      <w:r>
        <w:rPr>
          <w:rFonts w:hint="eastAsia" w:ascii="楷体_GB2312" w:hAnsi="楷体" w:eastAsia="楷体_GB2312" w:cs="楷体"/>
          <w:b w:val="0"/>
          <w:bCs w:val="0"/>
          <w:sz w:val="32"/>
          <w:szCs w:val="32"/>
          <w:lang w:val="en-US" w:eastAsia="zh-CN"/>
        </w:rPr>
        <w:t>第三节 全民参与开展爱国卫生</w:t>
      </w:r>
      <w:bookmarkEnd w:id="159"/>
      <w:bookmarkEnd w:id="160"/>
      <w:bookmarkEnd w:id="161"/>
      <w:bookmarkEnd w:id="162"/>
      <w:r>
        <w:rPr>
          <w:rFonts w:hint="eastAsia" w:ascii="楷体_GB2312" w:hAnsi="楷体" w:eastAsia="楷体_GB2312" w:cs="楷体"/>
          <w:b w:val="0"/>
          <w:bCs w:val="0"/>
          <w:sz w:val="32"/>
          <w:szCs w:val="32"/>
          <w:lang w:val="en-US" w:eastAsia="zh-CN"/>
        </w:rPr>
        <w:t>运动</w:t>
      </w:r>
      <w:bookmarkEnd w:id="163"/>
      <w:bookmarkEnd w:id="164"/>
      <w:bookmarkEnd w:id="165"/>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bookmarkStart w:id="166" w:name="_Toc14184"/>
      <w:bookmarkStart w:id="167" w:name="_Toc15796"/>
      <w:bookmarkStart w:id="168" w:name="_Toc1322"/>
      <w:r>
        <w:rPr>
          <w:rFonts w:hint="eastAsia" w:ascii="仿宋_GB2312" w:hAnsi="仿宋_GB2312" w:eastAsia="仿宋_GB2312" w:cs="仿宋_GB2312"/>
          <w:sz w:val="32"/>
          <w:szCs w:val="32"/>
          <w:lang w:val="en-US" w:eastAsia="zh-CN"/>
        </w:rPr>
        <w:t>将爱国卫生工作纳入精神文明创建考评体系，推进城乡环境整治与社会健康管理相结合。深入开展城乡环境卫生整洁行动，切实保障饮用水安全，科学预防控制病媒生物，努力创造促进健康的良好环境。积极推进社会卫生综合治理，丰富新时期爱国卫生运动内涵，提高爱国卫生工作效果。加强爱国卫生运动机构建设，</w:t>
      </w:r>
      <w:r>
        <w:rPr>
          <w:rFonts w:hint="eastAsia" w:cs="仿宋_GB2312"/>
          <w:sz w:val="32"/>
          <w:szCs w:val="32"/>
          <w:lang w:val="en-US" w:eastAsia="zh-CN"/>
        </w:rPr>
        <w:t>镇（</w:t>
      </w:r>
      <w:r>
        <w:rPr>
          <w:rFonts w:hint="eastAsia" w:ascii="仿宋_GB2312" w:hAnsi="仿宋_GB2312" w:eastAsia="仿宋_GB2312" w:cs="仿宋_GB2312"/>
          <w:sz w:val="32"/>
          <w:szCs w:val="32"/>
          <w:lang w:val="en-US" w:eastAsia="zh-CN"/>
        </w:rPr>
        <w:t>街</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、村</w:t>
      </w:r>
      <w:r>
        <w:rPr>
          <w:rFonts w:hint="eastAsia" w:cs="仿宋_GB2312"/>
          <w:sz w:val="32"/>
          <w:szCs w:val="32"/>
          <w:lang w:val="en-US" w:eastAsia="zh-CN"/>
        </w:rPr>
        <w:t>（社区）</w:t>
      </w:r>
      <w:r>
        <w:rPr>
          <w:rFonts w:hint="eastAsia" w:ascii="仿宋_GB2312" w:hAnsi="仿宋_GB2312" w:eastAsia="仿宋_GB2312" w:cs="仿宋_GB2312"/>
          <w:sz w:val="32"/>
          <w:szCs w:val="32"/>
          <w:lang w:val="en-US" w:eastAsia="zh-CN"/>
        </w:rPr>
        <w:t>、机关、企事业单位要明确专兼职爱国卫生工作人员，推动爱国卫生各项工作落实到城乡基层。</w:t>
      </w:r>
      <w:bookmarkEnd w:id="166"/>
      <w:bookmarkEnd w:id="167"/>
      <w:bookmarkEnd w:id="168"/>
      <w:r>
        <w:rPr>
          <w:rFonts w:hint="eastAsia" w:ascii="仿宋_GB2312" w:hAnsi="仿宋_GB2312" w:eastAsia="仿宋_GB2312" w:cs="仿宋_GB2312"/>
          <w:sz w:val="32"/>
          <w:szCs w:val="32"/>
          <w:lang w:val="en-US" w:eastAsia="zh-CN"/>
        </w:rPr>
        <w:t>充分利用互联网、移动客户端等各类媒体，宣传爱国卫生运动，提升宣传效果，凝聚全社会共识，引导群众关心关注、积极参与，主动接受社会和群众监督。</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黑体" w:hAnsi="黑体" w:eastAsia="黑体" w:cs="黑体"/>
          <w:sz w:val="36"/>
          <w:szCs w:val="36"/>
          <w:lang w:eastAsia="zh-CN"/>
        </w:rPr>
      </w:pPr>
      <w:bookmarkStart w:id="169" w:name="_Toc30246"/>
      <w:bookmarkStart w:id="170" w:name="_Toc29512"/>
      <w:bookmarkStart w:id="171" w:name="_Toc22535"/>
      <w:bookmarkStart w:id="172" w:name="_Toc16872"/>
      <w:bookmarkStart w:id="173" w:name="_Toc15550"/>
      <w:bookmarkStart w:id="174" w:name="_Toc30310"/>
      <w:bookmarkStart w:id="175" w:name="_Toc31531"/>
      <w:bookmarkStart w:id="176" w:name="_Toc7541"/>
      <w:bookmarkStart w:id="177" w:name="_Toc10004"/>
      <w:bookmarkStart w:id="178" w:name="_Toc7616"/>
      <w:r>
        <w:rPr>
          <w:rFonts w:hint="eastAsia" w:ascii="黑体" w:hAnsi="黑体" w:eastAsia="黑体" w:cs="黑体"/>
          <w:sz w:val="36"/>
          <w:szCs w:val="36"/>
        </w:rPr>
        <w:t xml:space="preserve">第二章 </w:t>
      </w:r>
      <w:r>
        <w:rPr>
          <w:rFonts w:hint="eastAsia" w:ascii="黑体" w:hAnsi="黑体" w:eastAsia="黑体" w:cs="黑体"/>
          <w:sz w:val="36"/>
          <w:szCs w:val="36"/>
          <w:lang w:eastAsia="zh-CN"/>
        </w:rPr>
        <w:t>坚持预防为主，</w:t>
      </w:r>
      <w:bookmarkEnd w:id="169"/>
      <w:bookmarkEnd w:id="170"/>
      <w:r>
        <w:rPr>
          <w:rFonts w:hint="eastAsia" w:ascii="黑体" w:hAnsi="黑体" w:eastAsia="黑体" w:cs="黑体"/>
          <w:sz w:val="36"/>
          <w:szCs w:val="36"/>
          <w:lang w:eastAsia="zh-CN"/>
        </w:rPr>
        <w:t>筑牢公共卫生安全屏障</w:t>
      </w:r>
      <w:bookmarkEnd w:id="171"/>
      <w:bookmarkEnd w:id="172"/>
      <w:bookmarkEnd w:id="173"/>
      <w:bookmarkEnd w:id="174"/>
      <w:bookmarkEnd w:id="175"/>
      <w:bookmarkEnd w:id="176"/>
      <w:bookmarkEnd w:id="177"/>
      <w:bookmarkEnd w:id="178"/>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179" w:name="_Toc3407"/>
      <w:bookmarkStart w:id="180" w:name="_Toc4244"/>
      <w:bookmarkStart w:id="181" w:name="_Toc23094"/>
      <w:bookmarkStart w:id="182" w:name="_Toc26119"/>
      <w:bookmarkStart w:id="183" w:name="_Toc26891"/>
      <w:bookmarkStart w:id="184" w:name="_Toc4013"/>
      <w:bookmarkStart w:id="185" w:name="_Toc25905"/>
      <w:bookmarkStart w:id="186" w:name="_Toc15025"/>
      <w:bookmarkStart w:id="187" w:name="_Toc27053"/>
      <w:r>
        <w:rPr>
          <w:rFonts w:hint="eastAsia" w:ascii="楷体_GB2312" w:hAnsi="楷体" w:eastAsia="楷体_GB2312" w:cs="楷体"/>
          <w:b w:val="0"/>
          <w:bCs w:val="0"/>
          <w:sz w:val="32"/>
          <w:szCs w:val="32"/>
          <w:lang w:val="en-US" w:eastAsia="zh-CN"/>
        </w:rPr>
        <w:t>第一节 推动公共卫生服务体系改革</w:t>
      </w:r>
      <w:bookmarkEnd w:id="179"/>
      <w:bookmarkEnd w:id="180"/>
      <w:bookmarkEnd w:id="181"/>
      <w:bookmarkEnd w:id="182"/>
      <w:bookmarkEnd w:id="183"/>
      <w:bookmarkEnd w:id="184"/>
      <w:bookmarkEnd w:id="185"/>
      <w:bookmarkEnd w:id="186"/>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疾病预防控制能力，健全公共卫生运行机制保障，市政府承担突发公共卫生事件属地管理主体责任，健全重大突发公共卫生事件应急响应、风险研判、处置决策与联防联控机制。落实公共卫生运行经费保障，加强医疗卫生机构应急防控救治与运行保障能力建设，建立健全分级分层分流的重大疫情救治体系。根据上级疾病预防控制机构改革工作要求，完善疾病预防控制中心职能设置和体系建设，强化上级疾控机构对下级疾控机构的业务领导和分工协同。探索建立与疾控工作相适应的薪酬制度和绩效评价制度。建立以疾控中心为龙头、县级医疗单位为依托、乡镇卫生院（社区卫生服务中心）为枢纽、村卫生室（卫生服务站）为网底的县、乡、村三级疾病防治网络，在疾控中心指导下开展疾病预防控制工作。发挥全科医生基层健康“守门人”的角色，全面提升全科医生基层公共卫生和基本医疗服务能力，做好居民健康管理工作。建立公共卫生危害源头治理机制，加强动物疫病防控，完善生态环境、野生动物保护等体制机制</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制定农业、餐饮污染综合治理制度。建立公共卫生决策咨询制度，强化公共卫生人才队伍保障，实施公共卫生专家人才特殊补助政策，探索设立首席公共卫生专家特设岗位，组建突发公共卫生事件应急专家委员会，为全市重大疫情和公共卫生事件应急处理提供决策参考。夯实公共卫生资源储备，对于物资储备的种类、数量和结构要科学分配，建立统一的应急供应体系，完善物资供应工作机制和信息共享系统。</w:t>
      </w:r>
      <w:bookmarkEnd w:id="187"/>
    </w:p>
    <w:p>
      <w:pPr>
        <w:pStyle w:val="3"/>
        <w:spacing w:beforeLines="0" w:afterLines="0" w:line="560" w:lineRule="exact"/>
        <w:rPr>
          <w:rFonts w:hint="eastAsia"/>
          <w:sz w:val="32"/>
          <w:szCs w:val="32"/>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522" w:type="dxa"/>
            <w:noWrap w:val="0"/>
            <w:vAlign w:val="top"/>
          </w:tcPr>
          <w:p>
            <w:pPr>
              <w:tabs>
                <w:tab w:val="left" w:pos="1440"/>
              </w:tabs>
              <w:spacing w:beforeLines="0" w:afterLines="0" w:line="560" w:lineRule="exact"/>
              <w:jc w:val="center"/>
              <w:rPr>
                <w:rFonts w:ascii="仿宋" w:hAnsi="仿宋" w:eastAsia="仿宋" w:cs="仿宋"/>
                <w:bCs/>
                <w:sz w:val="21"/>
                <w:szCs w:val="21"/>
              </w:rPr>
            </w:pPr>
            <w:r>
              <w:rPr>
                <w:rFonts w:hint="eastAsia" w:ascii="黑体" w:hAnsi="黑体" w:eastAsia="黑体" w:cs="黑体"/>
                <w:bCs/>
                <w:sz w:val="21"/>
                <w:szCs w:val="21"/>
              </w:rPr>
              <w:t>专栏1：公共卫生事件应对能力体系建设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tabs>
                <w:tab w:val="left" w:pos="1440"/>
              </w:tabs>
              <w:spacing w:beforeLines="0" w:afterLines="0" w:line="340" w:lineRule="exact"/>
              <w:ind w:firstLine="416"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突发核和辐射事件卫生应急救援能力建设：按照《核电厂职业照射监测规范》</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lang w:val="en-US" w:eastAsia="zh-CN"/>
              </w:rPr>
              <w:t>GBZ232—2010）</w:t>
            </w:r>
            <w:r>
              <w:rPr>
                <w:rFonts w:hint="eastAsia" w:ascii="仿宋_GB2312" w:hAnsi="仿宋_GB2312" w:eastAsia="仿宋_GB2312" w:cs="仿宋_GB2312"/>
                <w:bCs/>
                <w:sz w:val="21"/>
                <w:szCs w:val="21"/>
              </w:rPr>
              <w:t>等国家职业卫生标准开展核工业安全监测，完善核辐射事故卫生应急的预案和技术方案，建设突发核和辐射事故卫生应急救援基地。</w:t>
            </w:r>
          </w:p>
          <w:p>
            <w:pPr>
              <w:widowControl/>
              <w:spacing w:beforeLines="0" w:afterLines="0" w:line="340" w:lineRule="exact"/>
              <w:ind w:firstLine="416" w:firstLineChars="200"/>
              <w:jc w:val="left"/>
              <w:rPr>
                <w:rFonts w:ascii="仿宋" w:hAnsi="仿宋" w:eastAsia="仿宋" w:cs="仿宋"/>
                <w:bCs/>
                <w:sz w:val="24"/>
              </w:rPr>
            </w:pPr>
            <w:r>
              <w:rPr>
                <w:rFonts w:hint="eastAsia" w:ascii="仿宋_GB2312" w:hAnsi="仿宋_GB2312" w:eastAsia="仿宋_GB2312" w:cs="仿宋_GB2312"/>
                <w:bCs/>
                <w:sz w:val="21"/>
                <w:szCs w:val="21"/>
              </w:rPr>
              <w:t>妇幼公共卫生网络建设：加强</w:t>
            </w:r>
            <w:r>
              <w:rPr>
                <w:rFonts w:hint="eastAsia" w:cs="仿宋_GB2312"/>
                <w:bCs/>
                <w:sz w:val="21"/>
                <w:szCs w:val="21"/>
                <w:lang w:eastAsia="zh-CN"/>
              </w:rPr>
              <w:t>福清</w:t>
            </w:r>
            <w:r>
              <w:rPr>
                <w:rFonts w:hint="eastAsia" w:ascii="仿宋_GB2312" w:hAnsi="仿宋_GB2312" w:eastAsia="仿宋_GB2312" w:cs="仿宋_GB2312"/>
                <w:bCs/>
                <w:sz w:val="21"/>
                <w:szCs w:val="21"/>
              </w:rPr>
              <w:t>市</w:t>
            </w:r>
            <w:r>
              <w:rPr>
                <w:rFonts w:hint="eastAsia" w:cs="仿宋_GB2312"/>
                <w:bCs/>
                <w:sz w:val="21"/>
                <w:szCs w:val="21"/>
                <w:lang w:eastAsia="zh-CN"/>
              </w:rPr>
              <w:t>、</w:t>
            </w:r>
            <w:r>
              <w:rPr>
                <w:rFonts w:hint="eastAsia" w:ascii="仿宋_GB2312" w:hAnsi="仿宋_GB2312" w:eastAsia="仿宋_GB2312" w:cs="仿宋_GB2312"/>
                <w:bCs/>
                <w:sz w:val="21"/>
                <w:szCs w:val="21"/>
              </w:rPr>
              <w:t>乡两级妇幼信息人员信息化建设。提供妇幼公共卫生服务项目，引导适龄妇女儿童参与服务；加强婴幼儿照护托育工程建设（人口与家庭发展科），争创福建省生育全程优质服务县。</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188" w:name="_Toc30722"/>
      <w:bookmarkStart w:id="189" w:name="_Toc24035"/>
      <w:bookmarkStart w:id="190" w:name="_Toc6955"/>
      <w:bookmarkStart w:id="191" w:name="_Toc25141"/>
      <w:bookmarkStart w:id="192" w:name="_Toc8244"/>
      <w:bookmarkStart w:id="193" w:name="_Toc27668"/>
      <w:bookmarkStart w:id="194" w:name="_Toc17721"/>
      <w:bookmarkStart w:id="195" w:name="_Toc18813"/>
      <w:bookmarkStart w:id="196" w:name="_Toc19964"/>
      <w:r>
        <w:rPr>
          <w:rFonts w:hint="eastAsia" w:ascii="楷体_GB2312" w:hAnsi="楷体" w:eastAsia="楷体_GB2312" w:cs="楷体"/>
          <w:b w:val="0"/>
          <w:bCs w:val="0"/>
          <w:sz w:val="32"/>
          <w:szCs w:val="32"/>
          <w:lang w:val="en-US" w:eastAsia="zh-CN"/>
        </w:rPr>
        <w:t>第二节 加大基本公共卫生服务投入</w:t>
      </w:r>
      <w:bookmarkEnd w:id="188"/>
      <w:bookmarkEnd w:id="189"/>
      <w:bookmarkEnd w:id="190"/>
      <w:bookmarkEnd w:id="191"/>
      <w:bookmarkEnd w:id="192"/>
      <w:bookmarkEnd w:id="193"/>
      <w:bookmarkEnd w:id="194"/>
      <w:bookmarkEnd w:id="195"/>
      <w:bookmarkEnd w:id="196"/>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稳步提</w:t>
      </w:r>
      <w:r>
        <w:rPr>
          <w:rFonts w:hint="eastAsia" w:cs="仿宋_GB2312"/>
          <w:sz w:val="32"/>
          <w:szCs w:val="32"/>
          <w:lang w:val="en-US" w:eastAsia="zh-CN"/>
        </w:rPr>
        <w:t>高</w:t>
      </w:r>
      <w:r>
        <w:rPr>
          <w:rFonts w:hint="eastAsia" w:ascii="仿宋_GB2312" w:hAnsi="仿宋_GB2312" w:eastAsia="仿宋_GB2312" w:cs="仿宋_GB2312"/>
          <w:sz w:val="32"/>
          <w:szCs w:val="32"/>
          <w:lang w:val="en-US" w:eastAsia="zh-CN"/>
        </w:rPr>
        <w:t>基本公共卫生服务经费补助标准，将基本公共卫生服务工作纳入政府绩效考核评价指标，注重绩效考核结果应用，促使基本公共卫生服务项目发挥实效，推进基本公共卫生服务均等化。推广城乡妇女“两癌”检查，提高人群覆盖率。加大基本公共卫生服务工作宣传力度，通过电视、广播、网站等媒体以及宣传栏、公示栏公示等形式，向城乡居民宣传实施基本公共卫生服务项目的重要性和服务内容，积极引导群众自觉参与免费健康管理，提高自我保健意识。到2025年，适龄儿童免疫规划疫苗接种率超过95%，高血压、糖尿病患者规范管理率超过75%，严重精神障碍患者管理率在83%以上。</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tabs>
                <w:tab w:val="left" w:pos="1440"/>
              </w:tabs>
              <w:spacing w:beforeLines="0" w:afterLines="0" w:line="560" w:lineRule="exact"/>
              <w:jc w:val="center"/>
              <w:rPr>
                <w:rFonts w:hint="eastAsia" w:ascii="仿宋" w:hAnsi="仿宋" w:eastAsia="仿宋" w:cs="仿宋"/>
                <w:bCs/>
                <w:sz w:val="21"/>
                <w:szCs w:val="21"/>
              </w:rPr>
            </w:pPr>
            <w:r>
              <w:rPr>
                <w:rFonts w:hint="eastAsia" w:ascii="黑体" w:hAnsi="黑体" w:eastAsia="黑体" w:cs="黑体"/>
                <w:bCs/>
                <w:sz w:val="21"/>
                <w:szCs w:val="21"/>
              </w:rPr>
              <w:t>专栏2：基本公共卫生项目普及建设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widowControl/>
              <w:spacing w:beforeLines="0" w:afterLines="0" w:line="340" w:lineRule="exact"/>
              <w:ind w:firstLine="416" w:firstLineChars="200"/>
              <w:jc w:val="left"/>
              <w:rPr>
                <w:rFonts w:hint="eastAsia" w:ascii="仿宋" w:hAnsi="仿宋" w:eastAsia="仿宋" w:cs="仿宋"/>
                <w:bCs/>
                <w:sz w:val="21"/>
                <w:szCs w:val="21"/>
              </w:rPr>
            </w:pPr>
            <w:r>
              <w:rPr>
                <w:rFonts w:hint="eastAsia" w:ascii="仿宋_GB2312" w:hAnsi="仿宋_GB2312" w:eastAsia="仿宋_GB2312" w:cs="仿宋_GB2312"/>
                <w:bCs/>
                <w:sz w:val="21"/>
                <w:szCs w:val="21"/>
              </w:rPr>
              <w:t>基本公共卫生知识宣传项目建设：指导基层医疗卫生机构结合实际，做好国家基本公共卫生服务项目的宣传发动，普及农村妇女“两癌”检查项目，基本避孕服务项目，增补叶酸预防神经管缺陷项目，国家免费孕前优生健康检查项目，健康素养促进项目，老年健康与医养结合服务管理，人口监测项目，卫生健康项目监督管理等工作内容，配合有关部门开展公民健康素养促进行动。</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197" w:name="_Toc19786"/>
      <w:bookmarkStart w:id="198" w:name="_Toc26118"/>
      <w:bookmarkStart w:id="199" w:name="_Toc29955"/>
      <w:bookmarkStart w:id="200" w:name="_Toc1615"/>
      <w:bookmarkStart w:id="201" w:name="_Toc4920"/>
      <w:bookmarkStart w:id="202" w:name="_Toc3670"/>
      <w:bookmarkStart w:id="203" w:name="_Toc4857"/>
      <w:bookmarkStart w:id="204" w:name="_Toc184"/>
      <w:bookmarkStart w:id="205" w:name="_Toc1051"/>
      <w:r>
        <w:rPr>
          <w:rFonts w:hint="eastAsia" w:ascii="楷体_GB2312" w:hAnsi="楷体" w:eastAsia="楷体_GB2312" w:cs="楷体"/>
          <w:b w:val="0"/>
          <w:bCs w:val="0"/>
          <w:sz w:val="32"/>
          <w:szCs w:val="32"/>
          <w:lang w:val="en-US" w:eastAsia="zh-CN"/>
        </w:rPr>
        <w:t>第三节 推进专业公共卫生机构建设</w:t>
      </w:r>
      <w:bookmarkEnd w:id="197"/>
      <w:bookmarkEnd w:id="198"/>
      <w:bookmarkEnd w:id="199"/>
      <w:bookmarkEnd w:id="200"/>
      <w:bookmarkEnd w:id="201"/>
      <w:bookmarkEnd w:id="202"/>
      <w:bookmarkEnd w:id="203"/>
      <w:bookmarkEnd w:id="204"/>
      <w:bookmarkEnd w:id="205"/>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推进疾病预防控制机构标准化建设。按照《</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"http://www.baidu.com/link?url=UAi4WY1kRLrNXigugf1vf1aXr24iQOYcAsbfa-fD4qkd1mChwfQ5Q1v8HqN4CegZ1ejyXMamzBTAISXPfAOx38liqfwTfUy-bWpfltXR0wPCusYZznSmYymD0NWzKaty" \t "https://www.baidu.com/_blank"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疾病预防控制中心建设标准</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建标127—2009）等规定要求，加快市疾病预防控制中心项目建设，升级提标实验室建设，加强高端装备配置和关键技术储备，完善业务用车、应急用车和特种专业技术用车的配置，满足流行病学调查、现场采样监测、标本运输和应急处置等业务需要。</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应急医疗卫生救治队伍和培训基地建设。按照《卫生部办公厅关于印发&lt;地市级突发公共卫生事件应急指挥与决策系统建设技术指南&gt;的通知》（卫办应急发〔2010〕59号）等相关文件要求，建设福清市公共卫生应急调度中心综合楼。推动卫生应急基础设施、仪器设备、教学平台和实验室建设等软硬件双向建设，成立应急指挥中心、应急培训基地、应急演练场所、物资储备库、实验科研平台等场所建设。根据本市化工行业和核电站情况，建立核、化卫生应急救援体系，提升应对突发化学、核事件卫生事件应急救援能力。</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206" w:name="_Toc28888"/>
      <w:bookmarkStart w:id="207" w:name="_Toc27663"/>
      <w:bookmarkStart w:id="208" w:name="_Toc22401"/>
      <w:bookmarkStart w:id="209" w:name="_Toc22799"/>
      <w:bookmarkStart w:id="210" w:name="_Toc22289"/>
      <w:bookmarkStart w:id="211" w:name="_Toc11254"/>
      <w:bookmarkStart w:id="212" w:name="_Toc1523"/>
      <w:bookmarkStart w:id="213" w:name="_Toc9884"/>
      <w:bookmarkStart w:id="214" w:name="_Toc11808"/>
      <w:r>
        <w:rPr>
          <w:rFonts w:hint="eastAsia" w:ascii="楷体_GB2312" w:hAnsi="楷体" w:eastAsia="楷体_GB2312" w:cs="楷体"/>
          <w:b w:val="0"/>
          <w:bCs w:val="0"/>
          <w:sz w:val="32"/>
          <w:szCs w:val="32"/>
          <w:lang w:val="en-US" w:eastAsia="zh-CN"/>
        </w:rPr>
        <w:t>第四节 多措并举加强医防融合实践</w:t>
      </w:r>
      <w:bookmarkEnd w:id="206"/>
      <w:bookmarkEnd w:id="207"/>
      <w:bookmarkEnd w:id="208"/>
      <w:bookmarkEnd w:id="209"/>
      <w:bookmarkEnd w:id="210"/>
      <w:bookmarkEnd w:id="211"/>
      <w:bookmarkEnd w:id="212"/>
      <w:bookmarkEnd w:id="213"/>
      <w:bookmarkEnd w:id="214"/>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医院和疾控机构协作，强化医院的公共卫生职能，推动公立医院设立公共卫生科室，建立医疗机构公共卫生职责清单和评价机制，加强疾病控制、临床诊疗、健康促进的有效衔接，完善全周期的医疗卫生服务功能。强化疾病预防控制机构技术指导、人员培训、督导评价等职能，督促各级医疗机构落实疾病预防控制职责，建立健全疾控机构和城乡社区联动工作机制，提升基层业务水平，重点推动疾控机构与医疗机构在慢性病综合防治方面业务融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215" w:name="_Toc24037"/>
      <w:bookmarkStart w:id="216" w:name="_Toc28777"/>
      <w:bookmarkStart w:id="217" w:name="_Toc2471"/>
      <w:bookmarkStart w:id="218" w:name="_Toc18679"/>
      <w:bookmarkStart w:id="219" w:name="_Toc11693"/>
      <w:bookmarkStart w:id="220" w:name="_Toc15834"/>
      <w:bookmarkStart w:id="221" w:name="_Toc4228"/>
      <w:bookmarkStart w:id="222" w:name="_Toc1580"/>
      <w:r>
        <w:rPr>
          <w:rFonts w:hint="eastAsia" w:ascii="楷体_GB2312" w:hAnsi="楷体" w:eastAsia="楷体_GB2312" w:cs="楷体"/>
          <w:b w:val="0"/>
          <w:bCs w:val="0"/>
          <w:sz w:val="32"/>
          <w:szCs w:val="32"/>
          <w:lang w:val="en-US" w:eastAsia="zh-CN"/>
        </w:rPr>
        <w:t>第五节 提高公共卫生</w:t>
      </w:r>
      <w:bookmarkEnd w:id="215"/>
      <w:r>
        <w:rPr>
          <w:rFonts w:hint="eastAsia" w:ascii="楷体_GB2312" w:hAnsi="楷体" w:eastAsia="楷体_GB2312" w:cs="楷体"/>
          <w:b w:val="0"/>
          <w:bCs w:val="0"/>
          <w:sz w:val="32"/>
          <w:szCs w:val="32"/>
          <w:lang w:val="en-US" w:eastAsia="zh-CN"/>
        </w:rPr>
        <w:t>应急处置能力</w:t>
      </w:r>
      <w:bookmarkEnd w:id="216"/>
      <w:bookmarkEnd w:id="217"/>
      <w:bookmarkEnd w:id="218"/>
      <w:bookmarkEnd w:id="219"/>
      <w:bookmarkEnd w:id="220"/>
      <w:bookmarkEnd w:id="221"/>
      <w:bookmarkEnd w:id="222"/>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健康福建行动为准则、疫情防控为目标，切实发挥和落实福清市公共卫生应急指挥中心功能和定位，健全公共卫生应急机制，加强卫生应急处置体系建设，健全突发公共卫生事件应对预案体系，建立集中、统一、高效的突发公共卫生事件领导与决策指挥体系。成立突发公共卫生应急处置委员会，由市政府主要领导任总指挥，市政府分管领导任常务副总指挥。完善传染病疫情、突发公共卫生事件监测、预警和信息直报系统，加强疾控机构、医疗机构和基层医疗卫生机构等不同主体之间协同监测、信息共享、会商分析制度，实现机构间知识协同、衔接有序，确保信息获得的及时和准确。明确预警程序、等级和方式，提高早期监测预警、实时分析、集中研判能力，培养卫生应急管理与应急指挥决策能力。健全以哨点医疗机构为单位的不明原因疾病和异常健康事件综合监测网络和症状监测网络，强化急性呼吸道感染和肠道感染病例监测、自然疫源性疾病、食源性疾病等疾病“症候群”哨点监测，提高风险识别效率。发挥社区首诊和家庭医生制度在基层医疗卫生机构中的作用，建立24小时疫情汇报机制，提高突发公共卫生事件防控能力。探索建立福清市公共卫生临床中心，将“平战结合”的思维融入公立医院感染科运行管理。依托福清市医院城市核酸检测基地，同步开展人员培训，不断优化设备配置，形成快速反应的调集机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223" w:name="_Toc16387"/>
      <w:bookmarkStart w:id="224" w:name="_Toc9932"/>
      <w:bookmarkStart w:id="225" w:name="_Toc24359"/>
      <w:bookmarkStart w:id="226" w:name="_Toc25542"/>
      <w:bookmarkStart w:id="227" w:name="_Toc1878"/>
      <w:bookmarkStart w:id="228" w:name="_Toc21454"/>
      <w:bookmarkStart w:id="229" w:name="_Toc10309"/>
      <w:bookmarkStart w:id="230" w:name="_Toc8553"/>
      <w:r>
        <w:rPr>
          <w:rFonts w:hint="eastAsia" w:ascii="楷体_GB2312" w:hAnsi="楷体" w:eastAsia="楷体_GB2312" w:cs="楷体"/>
          <w:b w:val="0"/>
          <w:bCs w:val="0"/>
          <w:sz w:val="32"/>
          <w:szCs w:val="32"/>
          <w:lang w:val="en-US" w:eastAsia="zh-CN"/>
        </w:rPr>
        <w:t>第六节 加强队列研究成果转化</w:t>
      </w:r>
      <w:bookmarkEnd w:id="223"/>
      <w:bookmarkEnd w:id="224"/>
      <w:bookmarkEnd w:id="225"/>
      <w:bookmarkEnd w:id="226"/>
      <w:bookmarkEnd w:id="227"/>
      <w:bookmarkEnd w:id="228"/>
      <w:bookmarkEnd w:id="229"/>
      <w:r>
        <w:rPr>
          <w:rFonts w:hint="eastAsia" w:ascii="楷体_GB2312" w:hAnsi="楷体" w:eastAsia="楷体_GB2312" w:cs="楷体"/>
          <w:b w:val="0"/>
          <w:bCs w:val="0"/>
          <w:sz w:val="32"/>
          <w:szCs w:val="32"/>
          <w:lang w:val="en-US" w:eastAsia="zh-CN"/>
        </w:rPr>
        <w:t>应用</w:t>
      </w:r>
      <w:bookmarkEnd w:id="230"/>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继续大力支持福建医科大学队列研究福清基地建设，构建涵盖不同生命周期的具有多维度指标的特色队列，系统化地了解本地健康水平，开展地方健康危险因素评估。通过开展健康促进与疾病的精准</w:t>
      </w:r>
      <w:r>
        <w:rPr>
          <w:rFonts w:hint="eastAsia" w:cs="仿宋_GB2312"/>
          <w:sz w:val="32"/>
          <w:szCs w:val="32"/>
          <w:lang w:val="en-US" w:eastAsia="zh-CN"/>
        </w:rPr>
        <w:t>防治研究</w:t>
      </w:r>
      <w:r>
        <w:rPr>
          <w:rFonts w:hint="eastAsia" w:ascii="仿宋_GB2312" w:hAnsi="仿宋_GB2312" w:eastAsia="仿宋_GB2312" w:cs="仿宋_GB2312"/>
          <w:sz w:val="32"/>
          <w:szCs w:val="32"/>
          <w:lang w:val="en-US" w:eastAsia="zh-CN"/>
        </w:rPr>
        <w:t>，维护生殖健康，助</w:t>
      </w:r>
      <w:r>
        <w:rPr>
          <w:rFonts w:hint="eastAsia" w:cs="仿宋_GB2312"/>
          <w:sz w:val="32"/>
          <w:szCs w:val="32"/>
          <w:lang w:val="en-US" w:eastAsia="zh-CN"/>
        </w:rPr>
        <w:t>力</w:t>
      </w:r>
      <w:r>
        <w:rPr>
          <w:rFonts w:hint="eastAsia" w:ascii="仿宋_GB2312" w:hAnsi="仿宋_GB2312" w:eastAsia="仿宋_GB2312" w:cs="仿宋_GB2312"/>
          <w:sz w:val="32"/>
          <w:szCs w:val="32"/>
          <w:lang w:val="en-US" w:eastAsia="zh-CN"/>
        </w:rPr>
        <w:t>儿童、青少年健康成长发育，完善成年人健康管理。加强研究成果转化应用，为人才发展提供科研平台，促进科研成果产出，为公共卫生政策制定提供支持，形成医防融合的特色“福清模式”，以期促进我省率先实现“健康福建”目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黑体" w:hAnsi="黑体" w:eastAsia="黑体" w:cs="黑体"/>
          <w:sz w:val="36"/>
          <w:szCs w:val="36"/>
          <w:lang w:eastAsia="zh-CN"/>
        </w:rPr>
      </w:pPr>
      <w:bookmarkStart w:id="231" w:name="_Toc7865"/>
      <w:bookmarkStart w:id="232" w:name="_Toc17053"/>
      <w:bookmarkStart w:id="233" w:name="_Toc17752"/>
      <w:bookmarkStart w:id="234" w:name="_Toc23829"/>
      <w:bookmarkStart w:id="235" w:name="_Toc1406"/>
      <w:bookmarkStart w:id="236" w:name="_Toc24323"/>
      <w:bookmarkStart w:id="237" w:name="_Toc5927"/>
      <w:bookmarkStart w:id="238" w:name="_Toc23444"/>
      <w:bookmarkStart w:id="239" w:name="_Toc22881"/>
      <w:bookmarkStart w:id="240" w:name="_Toc20028"/>
      <w:r>
        <w:rPr>
          <w:rFonts w:hint="eastAsia" w:ascii="黑体" w:hAnsi="黑体" w:eastAsia="黑体" w:cs="黑体"/>
          <w:sz w:val="36"/>
          <w:szCs w:val="36"/>
        </w:rPr>
        <w:t xml:space="preserve">第三章 </w:t>
      </w:r>
      <w:r>
        <w:rPr>
          <w:rFonts w:hint="eastAsia" w:ascii="黑体" w:hAnsi="黑体" w:eastAsia="黑体" w:cs="黑体"/>
          <w:sz w:val="36"/>
          <w:szCs w:val="36"/>
          <w:lang w:eastAsia="zh-CN"/>
        </w:rPr>
        <w:t>优化资源配置</w:t>
      </w:r>
      <w:r>
        <w:rPr>
          <w:rFonts w:hint="eastAsia" w:ascii="黑体" w:hAnsi="黑体" w:eastAsia="黑体" w:cs="黑体"/>
          <w:sz w:val="36"/>
          <w:szCs w:val="36"/>
        </w:rPr>
        <w:t>，</w:t>
      </w:r>
      <w:bookmarkEnd w:id="231"/>
      <w:bookmarkEnd w:id="232"/>
      <w:r>
        <w:rPr>
          <w:rFonts w:hint="eastAsia" w:ascii="黑体" w:hAnsi="黑体" w:eastAsia="黑体" w:cs="黑体"/>
          <w:sz w:val="36"/>
          <w:szCs w:val="36"/>
          <w:lang w:eastAsia="zh-CN"/>
        </w:rPr>
        <w:t>构建优质医疗服务体系</w:t>
      </w:r>
      <w:bookmarkEnd w:id="233"/>
      <w:bookmarkEnd w:id="234"/>
      <w:bookmarkEnd w:id="235"/>
      <w:bookmarkEnd w:id="236"/>
      <w:bookmarkEnd w:id="237"/>
      <w:bookmarkEnd w:id="238"/>
      <w:bookmarkEnd w:id="239"/>
      <w:bookmarkEnd w:id="240"/>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241" w:name="_Toc25000"/>
      <w:bookmarkStart w:id="242" w:name="_Toc19246"/>
      <w:bookmarkStart w:id="243" w:name="_Toc29465"/>
      <w:bookmarkStart w:id="244" w:name="_Toc17369"/>
      <w:bookmarkStart w:id="245" w:name="_Toc509"/>
      <w:bookmarkStart w:id="246" w:name="_Toc29699"/>
      <w:bookmarkStart w:id="247" w:name="_Toc23953"/>
      <w:bookmarkStart w:id="248" w:name="_Toc6338"/>
      <w:bookmarkStart w:id="249" w:name="_Toc30092"/>
      <w:bookmarkStart w:id="250" w:name="_Toc25782"/>
      <w:r>
        <w:rPr>
          <w:rFonts w:hint="eastAsia" w:ascii="楷体_GB2312" w:hAnsi="楷体" w:eastAsia="楷体_GB2312" w:cs="楷体"/>
          <w:b w:val="0"/>
          <w:bCs w:val="0"/>
          <w:sz w:val="32"/>
          <w:szCs w:val="32"/>
          <w:lang w:val="en-US" w:eastAsia="zh-CN"/>
        </w:rPr>
        <w:t xml:space="preserve">第一节 </w:t>
      </w:r>
      <w:bookmarkEnd w:id="241"/>
      <w:r>
        <w:rPr>
          <w:rFonts w:hint="eastAsia" w:ascii="楷体_GB2312" w:hAnsi="楷体" w:eastAsia="楷体_GB2312" w:cs="楷体"/>
          <w:b w:val="0"/>
          <w:bCs w:val="0"/>
          <w:sz w:val="32"/>
          <w:szCs w:val="32"/>
          <w:lang w:val="en-US" w:eastAsia="zh-CN"/>
        </w:rPr>
        <w:t>深入推进公立医院高质量发展</w:t>
      </w:r>
      <w:bookmarkEnd w:id="242"/>
      <w:bookmarkEnd w:id="243"/>
      <w:bookmarkEnd w:id="244"/>
      <w:bookmarkEnd w:id="245"/>
      <w:bookmarkEnd w:id="246"/>
      <w:bookmarkEnd w:id="247"/>
      <w:bookmarkEnd w:id="248"/>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满足人民群众就医需求为导向，提升县域内常见病、多发病的诊疗能力，加强临床专科服务能力建设。进一步健全诊疗科目，补齐薄弱专科，强化核心专科，加强胸痛、卒中、创伤、危重孕产妇救治、危重儿童和新生儿救治等急诊急救五大中心建设，完善管理制度和流程，落实诊疗规范。推动福清市医院做强心血管内科等9个福建省县级医院临床重点专科建设或培育项目，保持领先不掉队，大力发展核医学科、高压氧治疗中心、呼吸中心等专科；支持福清市中医院针灸推拿科争创省级农村特色专科建设项目；推进福清市妇幼保健院妇产科、儿科等福州市级重点专科建设；加强福清市第二医院、福清市第三医院薄弱专科建设，力争到2025年达到县医院服务能力基本标准90%以上要求。</w:t>
      </w:r>
    </w:p>
    <w:tbl>
      <w:tblPr>
        <w:tblStyle w:val="7"/>
        <w:tblW w:w="85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8522"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line="560" w:lineRule="exact"/>
              <w:jc w:val="center"/>
              <w:rPr>
                <w:rStyle w:val="13"/>
                <w:rFonts w:ascii="仿宋" w:hAnsi="仿宋" w:eastAsia="仿宋"/>
                <w:sz w:val="21"/>
                <w:szCs w:val="21"/>
              </w:rPr>
            </w:pPr>
            <w:r>
              <w:rPr>
                <w:rStyle w:val="13"/>
                <w:rFonts w:hint="eastAsia" w:ascii="黑体" w:hAnsi="黑体" w:eastAsia="黑体" w:cs="黑体"/>
                <w:sz w:val="21"/>
                <w:szCs w:val="21"/>
              </w:rPr>
              <w:t>专栏3：卫生服务体系建设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8522" w:type="dxa"/>
            <w:tcBorders>
              <w:top w:val="single" w:color="000000" w:sz="4" w:space="0"/>
              <w:left w:val="single" w:color="000000" w:sz="4" w:space="0"/>
              <w:bottom w:val="single" w:color="000000" w:sz="4" w:space="0"/>
              <w:right w:val="single" w:color="000000" w:sz="4" w:space="0"/>
            </w:tcBorders>
            <w:noWrap w:val="0"/>
            <w:vAlign w:val="top"/>
          </w:tcPr>
          <w:p>
            <w:pPr>
              <w:spacing w:beforeLines="0" w:afterLines="0" w:line="340" w:lineRule="exact"/>
              <w:ind w:firstLine="416" w:firstLineChars="200"/>
              <w:rPr>
                <w:rStyle w:val="13"/>
                <w:rFonts w:hint="eastAsia" w:ascii="仿宋_GB2312" w:hAnsi="仿宋_GB2312" w:eastAsia="仿宋_GB2312" w:cs="仿宋_GB2312"/>
                <w:sz w:val="21"/>
                <w:szCs w:val="21"/>
              </w:rPr>
            </w:pPr>
            <w:r>
              <w:rPr>
                <w:rStyle w:val="13"/>
                <w:rFonts w:hint="eastAsia" w:ascii="仿宋_GB2312" w:hAnsi="仿宋_GB2312" w:eastAsia="仿宋_GB2312" w:cs="仿宋_GB2312"/>
                <w:sz w:val="21"/>
                <w:szCs w:val="21"/>
              </w:rPr>
              <w:t>县级公立医院提升建设：在福清市医院建设1-2个福州市级或省级重点专科。推进福清市医院和福清市妇幼保健院创建三级甲等医院，福清市第二医院创建二级甲等医院。</w:t>
            </w:r>
          </w:p>
          <w:p>
            <w:pPr>
              <w:spacing w:beforeLines="0" w:afterLines="0" w:line="340" w:lineRule="exact"/>
              <w:ind w:firstLine="416" w:firstLineChars="200"/>
              <w:rPr>
                <w:rStyle w:val="13"/>
                <w:rFonts w:ascii="仿宋" w:hAnsi="仿宋" w:eastAsia="仿宋"/>
                <w:sz w:val="21"/>
                <w:szCs w:val="21"/>
              </w:rPr>
            </w:pPr>
            <w:r>
              <w:rPr>
                <w:rStyle w:val="13"/>
                <w:rFonts w:hint="eastAsia" w:ascii="仿宋_GB2312" w:hAnsi="仿宋_GB2312" w:eastAsia="仿宋_GB2312" w:cs="仿宋_GB2312"/>
                <w:sz w:val="21"/>
                <w:szCs w:val="21"/>
              </w:rPr>
              <w:t>整合型医疗服务体系建设：强化政府主导，以公立医院为主体、基层医疗卫生机构为节点，联结社会资本办医力量，提供连续性整合型医疗卫生服务。</w:t>
            </w:r>
          </w:p>
        </w:tc>
      </w:tr>
      <w:bookmarkEnd w:id="249"/>
      <w:bookmarkEnd w:id="250"/>
    </w:tbl>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251" w:name="_Toc27346"/>
      <w:bookmarkStart w:id="252" w:name="_Toc29448"/>
      <w:bookmarkStart w:id="253" w:name="_Toc32150"/>
      <w:bookmarkStart w:id="254" w:name="_Toc1490"/>
      <w:bookmarkStart w:id="255" w:name="_Toc5915"/>
      <w:bookmarkStart w:id="256" w:name="_Toc15130"/>
      <w:bookmarkStart w:id="257" w:name="_Toc2796"/>
      <w:bookmarkStart w:id="258" w:name="_Toc8952"/>
      <w:r>
        <w:rPr>
          <w:rFonts w:hint="eastAsia" w:ascii="楷体_GB2312" w:hAnsi="楷体" w:eastAsia="楷体_GB2312" w:cs="楷体"/>
          <w:b w:val="0"/>
          <w:bCs w:val="0"/>
          <w:sz w:val="32"/>
          <w:szCs w:val="32"/>
          <w:lang w:val="en-US" w:eastAsia="zh-CN"/>
        </w:rPr>
        <w:t>第二节 打造多层次医疗卫生服务体系</w:t>
      </w:r>
      <w:bookmarkEnd w:id="251"/>
      <w:bookmarkEnd w:id="252"/>
      <w:bookmarkEnd w:id="253"/>
      <w:bookmarkEnd w:id="254"/>
      <w:bookmarkEnd w:id="255"/>
      <w:bookmarkEnd w:id="256"/>
      <w:bookmarkEnd w:id="257"/>
      <w:bookmarkEnd w:id="258"/>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化医疗资源配置，提升医疗资源配置的合理性、公平性和有效性。依托福清市医院，构建肿瘤防治、慢病管理、微创介入、麻醉疼痛诊疗、重症监护等临床服务五大中心，形成与县域内其他医疗卫生机构的有效联动，开展肿瘤、慢性病的预防、治疗和康复工作，提高医疗服务连续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因地制宜开展多种形式医联体建设，适时调整紧密型医共体组建模式。推动市中医院、妇幼保健院、皮防院等各类专科联盟建设，支持基层相应专科发展。推动</w:t>
      </w:r>
      <w:r>
        <w:rPr>
          <w:rFonts w:hint="eastAsia" w:cs="仿宋_GB2312"/>
          <w:sz w:val="32"/>
          <w:szCs w:val="32"/>
          <w:lang w:val="en-US" w:eastAsia="zh-CN"/>
        </w:rPr>
        <w:t>福清</w:t>
      </w:r>
      <w:r>
        <w:rPr>
          <w:rFonts w:hint="eastAsia" w:ascii="仿宋_GB2312" w:hAnsi="仿宋_GB2312" w:eastAsia="仿宋_GB2312" w:cs="仿宋_GB2312"/>
          <w:sz w:val="32"/>
          <w:szCs w:val="32"/>
          <w:lang w:val="en-US" w:eastAsia="zh-CN"/>
        </w:rPr>
        <w:t>市</w:t>
      </w:r>
      <w:r>
        <w:rPr>
          <w:rFonts w:hint="eastAsia" w:cs="仿宋_GB2312"/>
          <w:sz w:val="32"/>
          <w:szCs w:val="32"/>
          <w:lang w:val="en-US" w:eastAsia="zh-CN"/>
        </w:rPr>
        <w:t>第</w:t>
      </w:r>
      <w:r>
        <w:rPr>
          <w:rFonts w:hint="eastAsia" w:ascii="仿宋_GB2312" w:hAnsi="仿宋_GB2312" w:eastAsia="仿宋_GB2312" w:cs="仿宋_GB2312"/>
          <w:sz w:val="32"/>
          <w:szCs w:val="32"/>
          <w:lang w:val="en-US" w:eastAsia="zh-CN"/>
        </w:rPr>
        <w:t>二</w:t>
      </w:r>
      <w:r>
        <w:rPr>
          <w:rFonts w:hint="eastAsia" w:cs="仿宋_GB2312"/>
          <w:sz w:val="32"/>
          <w:szCs w:val="32"/>
          <w:lang w:val="en-US" w:eastAsia="zh-CN"/>
        </w:rPr>
        <w:t>医院</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福清</w:t>
      </w:r>
      <w:r>
        <w:rPr>
          <w:rFonts w:hint="eastAsia" w:ascii="仿宋_GB2312" w:hAnsi="仿宋_GB2312" w:eastAsia="仿宋_GB2312" w:cs="仿宋_GB2312"/>
          <w:sz w:val="32"/>
          <w:szCs w:val="32"/>
          <w:lang w:val="en-US" w:eastAsia="zh-CN"/>
        </w:rPr>
        <w:t>市</w:t>
      </w:r>
      <w:r>
        <w:rPr>
          <w:rFonts w:hint="eastAsia" w:cs="仿宋_GB2312"/>
          <w:sz w:val="32"/>
          <w:szCs w:val="32"/>
          <w:lang w:val="en-US" w:eastAsia="zh-CN"/>
        </w:rPr>
        <w:t>第</w:t>
      </w:r>
      <w:r>
        <w:rPr>
          <w:rFonts w:hint="eastAsia" w:ascii="仿宋_GB2312" w:hAnsi="仿宋_GB2312" w:eastAsia="仿宋_GB2312" w:cs="仿宋_GB2312"/>
          <w:sz w:val="32"/>
          <w:szCs w:val="32"/>
          <w:lang w:val="en-US" w:eastAsia="zh-CN"/>
        </w:rPr>
        <w:t>三医院作为县域医疗中心建设，着力提升常见病、多发病、急诊急救、慢性病、较为复杂疑难危重病的诊疗水平，继续提高县域就诊率。加大资金投入和政策扶持，按照“1+5+X”模式组建县域医联体，以福清市医院为龙头，将高山、渔溪、海口、三山、东张5家中心卫生院打造成为县域医疗分中心，形成30分钟常见病就诊和急救圈，带动辐射周边其他乡镇卫生院的发展提升，实现分层级带动发展。力争到2025年，高山、渔溪中心卫生院服务能力达到县级综合医院服务能力基本标准，海口、三山、东张中心卫生院服务能力达到乡镇卫生院服务能力推荐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积极推进</w:t>
      </w:r>
      <w:r>
        <w:rPr>
          <w:rFonts w:hint="eastAsia" w:cs="仿宋_GB2312"/>
          <w:sz w:val="32"/>
          <w:szCs w:val="32"/>
          <w:lang w:val="en-US" w:eastAsia="zh-CN"/>
        </w:rPr>
        <w:t>中印尼</w:t>
      </w:r>
      <w:r>
        <w:rPr>
          <w:rFonts w:hint="eastAsia" w:ascii="仿宋_GB2312" w:hAnsi="仿宋_GB2312" w:eastAsia="仿宋_GB2312" w:cs="仿宋_GB2312"/>
          <w:sz w:val="32"/>
          <w:szCs w:val="32"/>
          <w:lang w:val="en-US" w:eastAsia="zh-CN"/>
        </w:rPr>
        <w:t>“两国双园”、江阴港城区2家二级医院新院建设，快速提升各园区医疗服务保障能力，打造良好的营商环境。进一步强化村级医疗卫生机构软硬件建设，分年度开展村卫生所标准化建设。</w:t>
      </w:r>
      <w:bookmarkStart w:id="259" w:name="_Toc19966"/>
      <w:bookmarkStart w:id="260" w:name="_Toc10651"/>
      <w:bookmarkStart w:id="261" w:name="_Toc20897"/>
      <w:bookmarkStart w:id="262" w:name="_Toc17674"/>
      <w:bookmarkStart w:id="263" w:name="_Toc8920"/>
      <w:bookmarkStart w:id="264" w:name="_Toc21263"/>
      <w:bookmarkStart w:id="265" w:name="_Toc17633"/>
      <w:bookmarkStart w:id="266" w:name="_Toc28881"/>
      <w:bookmarkStart w:id="267" w:name="_Toc2248"/>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r>
        <w:rPr>
          <w:rFonts w:hint="eastAsia" w:ascii="楷体_GB2312" w:hAnsi="楷体" w:eastAsia="楷体_GB2312" w:cs="楷体"/>
          <w:b w:val="0"/>
          <w:bCs w:val="0"/>
          <w:sz w:val="32"/>
          <w:szCs w:val="32"/>
          <w:lang w:val="en-US" w:eastAsia="zh-CN"/>
        </w:rPr>
        <w:t>第三节 打造基层医疗卫生服务新格局</w:t>
      </w:r>
      <w:bookmarkEnd w:id="259"/>
      <w:bookmarkEnd w:id="260"/>
      <w:bookmarkEnd w:id="261"/>
      <w:bookmarkEnd w:id="262"/>
      <w:bookmarkEnd w:id="263"/>
      <w:bookmarkEnd w:id="264"/>
      <w:bookmarkEnd w:id="265"/>
      <w:bookmarkEnd w:id="266"/>
      <w:bookmarkEnd w:id="267"/>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基层医疗设施建设。继续加强基层卫生服务机构基础设施、基本设备“双达标”建设，落实业务用房面积未达标的社区卫生服务中心建设用地或提供业务用房。制定实施基层医疗卫生机构“一院一策”发展计划，重点推进社区医院和中心卫生院建设，鼓励有条件的社区卫生服务中心，对照社区医院和二级医院建设标准，力争到2025年，社区卫生服务中心达到社区医院的比例达20%以上。以乡镇卫生院服务能力标准和社区卫生服务中心服务能力标准为指导，开展基层医疗卫生服务机构能力提升建设，提高基层医疗卫生机构的疫情防控能力。加速推进高山镇中心卫生院病房综合楼及医技综合楼新建项目、海口镇中心卫生院住院楼二装项目、江阴医院新建项目、江镜镇卫生院异地新建项目、渔溪镇中心卫生院项目、海口镇中心卫生院门诊综合楼项目等卫生院项目建设。</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基层医疗卫生机构特色科室建设。结合各基层医疗卫生机构特色，发展妇幼保健、康复、精神卫生等专科，着重推广适宜中医药卫生技术，将中医药“治未病”的思想与基层医疗机构“预防为主”相合，全面强化基层医疗卫生机构常见病、多发病诊疗、预防保健、疫情防控、家庭发展等基本医疗和基本公共卫生功能。做好对基层医疗卫生机构医务人员基本药物制度的培训工作，鼓励县级公立医院和上级医院对基层医疗卫生机构进行对口帮扶、人才输送及技术指导，规范医院人员就诊流程和临床操作，改变医务人员传统用药习惯，推动临床基本药物的合理使用，强化工作人员的沟通技巧，提高群众就医获得感。</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高家庭医生签约服务质量。在现有基础上进一步加强签约团队建设，完善全科医生培养制度，引导县级医院开展专科医生指导和充实基层家庭医生团队，以家庭医生为纽带，开放预约诊疗、住院床位资源、转诊绿色通道，提升履约服务能力。扩大家庭医生签约服务覆盖范围，优先为高血压、糖尿病、严重精神障碍患者等重点人群提供服务。家庭医生团队施行预约制服务，遵循“安全有效”的原则，为居家养老老年人提供康复护理、家庭病床服务、中医药服务等上门服务。基层医疗卫生机构成熟一家，</w:t>
      </w:r>
      <w:r>
        <w:rPr>
          <w:rFonts w:hint="eastAsia" w:cs="仿宋_GB2312"/>
          <w:sz w:val="32"/>
          <w:szCs w:val="32"/>
          <w:lang w:val="en-US" w:eastAsia="zh-CN"/>
        </w:rPr>
        <w:t>发</w:t>
      </w:r>
      <w:r>
        <w:rPr>
          <w:rFonts w:hint="eastAsia" w:ascii="仿宋_GB2312" w:hAnsi="仿宋_GB2312" w:eastAsia="仿宋_GB2312" w:cs="仿宋_GB2312"/>
          <w:sz w:val="32"/>
          <w:szCs w:val="32"/>
          <w:lang w:val="en-US" w:eastAsia="zh-CN"/>
        </w:rPr>
        <w:t>展一家。制定服务规范，全面开展签约服务年度质量考核，建立较稳定的考核指标，建立全科医生与签约居民的激励和约束机制，提升群众对基层卫生工作的满意度。充分利用信息网络手段，为居民提供网上服务，鼓励签约居民网络联系自己的家庭医生进行线上保健咨询、小病诊治、配送药物等服务，接受慢性病按期随访、用药指导、健康教育等健康管理，提高工作和服务效率，促进基层医疗卫生服务适应社会智能化和信息化发展的需要。到2025年，力争实现全市预防接种门诊数字化建设。</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beforeLines="0" w:afterLines="0" w:line="560" w:lineRule="exact"/>
              <w:jc w:val="center"/>
              <w:rPr>
                <w:rFonts w:ascii="仿宋" w:hAnsi="仿宋" w:eastAsia="仿宋" w:cs="仿宋"/>
                <w:sz w:val="21"/>
                <w:szCs w:val="21"/>
              </w:rPr>
            </w:pPr>
            <w:r>
              <w:rPr>
                <w:rFonts w:hint="eastAsia" w:ascii="黑体" w:hAnsi="黑体" w:eastAsia="黑体" w:cs="黑体"/>
                <w:sz w:val="21"/>
                <w:szCs w:val="21"/>
              </w:rPr>
              <w:t>专栏4：基层卫生服务体系建设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beforeLines="0" w:afterLines="0" w:line="340" w:lineRule="exact"/>
              <w:ind w:firstLine="416"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乡镇卫生院、社区卫生服务中心能力建设：在有条件的基层医疗卫生机构设置发热哨点诊室和留观室，添置传染病防控有关设施设备；加强中、西医学科建设，解决居民日常医疗卫生需求。</w:t>
            </w:r>
          </w:p>
          <w:p>
            <w:pPr>
              <w:spacing w:beforeLines="0" w:afterLines="0" w:line="340" w:lineRule="exact"/>
              <w:ind w:firstLine="416" w:firstLineChars="200"/>
              <w:rPr>
                <w:rFonts w:ascii="仿宋" w:hAnsi="仿宋" w:eastAsia="仿宋" w:cs="仿宋"/>
                <w:sz w:val="21"/>
                <w:szCs w:val="21"/>
              </w:rPr>
            </w:pPr>
            <w:r>
              <w:rPr>
                <w:rFonts w:hint="eastAsia" w:ascii="仿宋_GB2312" w:hAnsi="仿宋_GB2312" w:eastAsia="仿宋_GB2312" w:cs="仿宋_GB2312"/>
                <w:sz w:val="21"/>
                <w:szCs w:val="21"/>
              </w:rPr>
              <w:t>家庭医生签约工作项目建设：扩大家庭医生签约服务包内容，提供家庭医生线上工作平台，促进分级诊疗推进。</w:t>
            </w:r>
          </w:p>
        </w:tc>
      </w:tr>
    </w:tbl>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黑体" w:hAnsi="黑体" w:eastAsia="黑体" w:cs="黑体"/>
          <w:sz w:val="36"/>
          <w:szCs w:val="36"/>
        </w:rPr>
      </w:pPr>
      <w:bookmarkStart w:id="268" w:name="_Toc25499"/>
      <w:bookmarkStart w:id="269" w:name="_Toc19413"/>
      <w:bookmarkStart w:id="270" w:name="_Toc4431"/>
      <w:bookmarkStart w:id="271" w:name="_Toc25343"/>
      <w:bookmarkStart w:id="272" w:name="_Toc14012"/>
      <w:bookmarkStart w:id="273" w:name="_Toc22600"/>
      <w:bookmarkStart w:id="274" w:name="_Toc16981"/>
      <w:bookmarkStart w:id="275" w:name="_Toc12585"/>
      <w:bookmarkStart w:id="276" w:name="_Toc19207"/>
      <w:bookmarkStart w:id="277" w:name="_Toc9214"/>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黑体" w:hAnsi="黑体" w:eastAsia="黑体" w:cs="黑体"/>
          <w:sz w:val="36"/>
          <w:szCs w:val="36"/>
        </w:rPr>
      </w:pPr>
      <w:r>
        <w:rPr>
          <w:rFonts w:hint="eastAsia" w:ascii="黑体" w:hAnsi="黑体" w:eastAsia="黑体" w:cs="黑体"/>
          <w:sz w:val="36"/>
          <w:szCs w:val="36"/>
        </w:rPr>
        <w:t>第四章 优化待遇环境，实施人才优先发展战略</w:t>
      </w:r>
      <w:bookmarkEnd w:id="268"/>
      <w:bookmarkEnd w:id="269"/>
      <w:bookmarkEnd w:id="270"/>
      <w:bookmarkEnd w:id="271"/>
      <w:bookmarkEnd w:id="272"/>
      <w:bookmarkEnd w:id="273"/>
      <w:bookmarkEnd w:id="274"/>
      <w:bookmarkEnd w:id="275"/>
      <w:bookmarkEnd w:id="276"/>
      <w:bookmarkEnd w:id="277"/>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278" w:name="_Toc6221"/>
      <w:bookmarkStart w:id="279" w:name="_Toc23736"/>
      <w:bookmarkStart w:id="280" w:name="_Toc26150"/>
      <w:bookmarkStart w:id="281" w:name="_Toc6932"/>
      <w:bookmarkStart w:id="282" w:name="_Toc15554"/>
      <w:bookmarkStart w:id="283" w:name="_Toc6532"/>
      <w:bookmarkStart w:id="284" w:name="_Toc8732"/>
      <w:bookmarkStart w:id="285" w:name="_Toc23738"/>
      <w:r>
        <w:rPr>
          <w:rFonts w:hint="eastAsia" w:ascii="楷体_GB2312" w:hAnsi="楷体" w:eastAsia="楷体_GB2312" w:cs="楷体"/>
          <w:b w:val="0"/>
          <w:bCs w:val="0"/>
          <w:sz w:val="32"/>
          <w:szCs w:val="32"/>
          <w:lang w:val="en-US" w:eastAsia="zh-CN"/>
        </w:rPr>
        <w:t>第一节 完善卫生人才队伍配置</w:t>
      </w:r>
      <w:bookmarkEnd w:id="278"/>
      <w:bookmarkEnd w:id="279"/>
      <w:bookmarkEnd w:id="280"/>
      <w:bookmarkEnd w:id="281"/>
      <w:bookmarkEnd w:id="282"/>
      <w:bookmarkEnd w:id="283"/>
      <w:bookmarkEnd w:id="284"/>
      <w:bookmarkEnd w:id="285"/>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理制定落实公立医疗卫生机构人员编制标准并建立动态核增调整机制，实行公立医疗机构人员控制数管理，根据各单位规模、类别、核定床位数、服务人口等因素按填平补齐原则合理核定人员控制数，达到二级医院标准的卫生院或社区医院按照县级医院标准核定人员控制数规模和专技岗位设置比例。</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县域医共体建设，合理调整和确定定向培养招生规划，加强专科技术和通科知识学习，提高医共体人才的质量与能力。重点加强县域内常见病、多发病相关专业，以及传染病、精神病、急诊急救、重症医学、肾脏内科（血液透析）、妇产科、儿科、中医、康复等临床专科人才培养，重视急诊科、感染科、儿科、老年医学科、安宁疗护科和精神科等紧缺医学人才、生殖健康咨询师、护理员、科普宣传员等技能型健康服务人才及药师和中医药健康服务、卫生应急、卫生信息化复合人才的招聘和培养，满足本地人才需求。通过引进高学历医学毕业生等高层次青年卫技人才，为卫技人才队伍输入新鲜血液，增加人才队伍活力。</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中医药人才引进及培养，引进高级中医药技术人才，以名中医带动名院和名科发展。鼓励中医药人才前往省内外知名医院进修学习，发挥中医药防治疫病作用。统筹调配并动态调整疾控机构人员编制，优化疾控中心专业技术岗位结构。着力提升公共卫生从业人员的专业素质与能力，培养具有较强学术背景、丰富专业知识和实践能力的高层次应用型公共卫生复合型人才。建立大型队列研究的人才梯队</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重点做好预防医学、现场流行病学、实验室检测等复合型人才的招聘与培养</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提高公共卫生服务能力。</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286" w:name="_Toc1578"/>
      <w:bookmarkStart w:id="287" w:name="_Toc14652"/>
      <w:bookmarkStart w:id="288" w:name="_Toc14369"/>
      <w:bookmarkStart w:id="289" w:name="_Toc14568"/>
      <w:r>
        <w:rPr>
          <w:rFonts w:hint="eastAsia" w:ascii="楷体_GB2312" w:hAnsi="楷体" w:eastAsia="楷体_GB2312" w:cs="楷体"/>
          <w:b w:val="0"/>
          <w:bCs w:val="0"/>
          <w:sz w:val="32"/>
          <w:szCs w:val="32"/>
          <w:lang w:val="en-US" w:eastAsia="zh-CN"/>
        </w:rPr>
        <w:t>第二节 完善薪酬分配激励机制</w:t>
      </w:r>
      <w:bookmarkEnd w:id="286"/>
      <w:bookmarkEnd w:id="287"/>
      <w:bookmarkEnd w:id="288"/>
      <w:bookmarkEnd w:id="289"/>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贯彻落实“两个允许”要求，完善公立医院薪酬总量核定办法、人员薪酬水平合理增长机制和内部分配制度。强化落实基层医疗卫生机构收入分配与绩效激励政策，科学建立绩效工资总量与业务量保持协调增长机制，医疗业务净收入和考核后获得的基本公共卫生服务补助资金及支出结余由基层医疗卫生机构统筹用于在岗人员规定的绩效工资总额增量和临聘人员薪酬、机构运转等经常性支出。县级公立医院和基层医疗卫生机构要优化内部绩效考核薪酬分配方案，向医德高尚、医技精湛的医务人员和重点岗位、急危险重岗位倾斜，避免平均主义，切实体现多劳多得、优绩优酬。在实施公立医院院长目标年薪制基础上，适时推行医院党委书记、总会计师、院领导班子目标年薪制，并逐步扩大目标年薪制实施范围。保障医疗卫生人员的合法权益，积极改善医疗卫生人员的执业环境，合理调节不同学科和专业的薪酬待遇水平，实施紧缺急需卫技人员岗位补助</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提高全科、儿科、公共卫生、精神卫生、老年医学等紧缺专业人才岗位吸引力。</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290" w:name="_Toc28235"/>
      <w:bookmarkStart w:id="291" w:name="_Toc9902"/>
      <w:bookmarkStart w:id="292" w:name="_Toc24276"/>
      <w:bookmarkStart w:id="293" w:name="_Toc13926"/>
      <w:bookmarkStart w:id="294" w:name="_Toc4559"/>
      <w:bookmarkStart w:id="295" w:name="_Toc18568"/>
      <w:bookmarkStart w:id="296" w:name="_Toc19039"/>
      <w:bookmarkStart w:id="297" w:name="_Toc15706"/>
      <w:bookmarkStart w:id="298" w:name="_Toc7975"/>
      <w:r>
        <w:rPr>
          <w:rFonts w:hint="eastAsia" w:ascii="楷体_GB2312" w:hAnsi="楷体" w:eastAsia="楷体_GB2312" w:cs="楷体"/>
          <w:b w:val="0"/>
          <w:bCs w:val="0"/>
          <w:sz w:val="32"/>
          <w:szCs w:val="32"/>
          <w:lang w:val="en-US" w:eastAsia="zh-CN"/>
        </w:rPr>
        <w:t xml:space="preserve">第三节 </w:t>
      </w:r>
      <w:bookmarkEnd w:id="290"/>
      <w:r>
        <w:rPr>
          <w:rFonts w:hint="eastAsia" w:ascii="楷体_GB2312" w:hAnsi="楷体" w:eastAsia="楷体_GB2312" w:cs="楷体"/>
          <w:b w:val="0"/>
          <w:bCs w:val="0"/>
          <w:sz w:val="32"/>
          <w:szCs w:val="32"/>
          <w:lang w:val="en-US" w:eastAsia="zh-CN"/>
        </w:rPr>
        <w:t>加快引进高端医学人才</w:t>
      </w:r>
      <w:bookmarkEnd w:id="291"/>
      <w:bookmarkEnd w:id="292"/>
      <w:bookmarkEnd w:id="293"/>
      <w:bookmarkEnd w:id="294"/>
      <w:bookmarkEnd w:id="295"/>
      <w:bookmarkEnd w:id="296"/>
      <w:bookmarkEnd w:id="297"/>
      <w:bookmarkEnd w:id="298"/>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我市居民健康需求与医疗卫生人力资源需求，对标社会发展规划和发展水平，建立柔性引才机制，加强高端人才和紧缺人才队伍建设，有计划、有目的地柔性引进高层次卫技人才或优秀技术团队，培养学科带头人，建设学术梯队，发挥其领军效应，带动各重点学科领域高速、可持续发展。积极落实省高层次人才队伍建设“四个一批”项目；鼓励支持县级公立医院建立“人才基金池”制度。对省级高层次卫生专技人才、地市级高层次卫生专技人才、医学类硕博士和本市培育的高层次人才制定不同的优惠力度，对薪酬待遇、科研启动费、奖惩措施、考核办法等条款给予明确的规定。充分考虑行业特点和实际情况合理设立晋升制度，打消引进人才对职称评定的顾虑。同时，破除唯论文论的评定机制，更多发挥县级卫生人才在基层带教的作用，引导他们将精力更多地投入到实际临床工作中去。</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beforeLines="0" w:afterLines="0" w:line="560" w:lineRule="exact"/>
              <w:jc w:val="center"/>
              <w:rPr>
                <w:rFonts w:ascii="仿宋" w:hAnsi="仿宋" w:eastAsia="仿宋" w:cs="仿宋"/>
                <w:sz w:val="21"/>
                <w:szCs w:val="21"/>
              </w:rPr>
            </w:pPr>
            <w:r>
              <w:rPr>
                <w:rFonts w:hint="eastAsia" w:ascii="黑体" w:hAnsi="黑体" w:eastAsia="黑体" w:cs="黑体"/>
                <w:sz w:val="21"/>
                <w:szCs w:val="21"/>
              </w:rPr>
              <w:t>专栏5：卫生健康人才队伍建设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beforeLines="0" w:afterLines="0" w:line="340" w:lineRule="exact"/>
              <w:ind w:firstLine="416"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高层次人才引进计划：优化引才育才机制，推动实施“名医工程”，积极引进一批高层次卫生人才，充分发挥其对重点学科的建设作用。</w:t>
            </w:r>
          </w:p>
          <w:p>
            <w:pPr>
              <w:spacing w:beforeLines="0" w:afterLines="0" w:line="340" w:lineRule="exact"/>
              <w:ind w:firstLine="416" w:firstLineChars="200"/>
              <w:rPr>
                <w:rFonts w:ascii="仿宋" w:hAnsi="仿宋" w:eastAsia="仿宋" w:cs="仿宋"/>
                <w:sz w:val="21"/>
                <w:szCs w:val="21"/>
              </w:rPr>
            </w:pPr>
            <w:r>
              <w:rPr>
                <w:rFonts w:hint="eastAsia" w:ascii="仿宋_GB2312" w:hAnsi="仿宋_GB2312" w:eastAsia="仿宋_GB2312" w:cs="仿宋_GB2312"/>
                <w:sz w:val="21"/>
                <w:szCs w:val="21"/>
              </w:rPr>
              <w:t>基层医疗卫生人才培养计划：重点培养、招聘一批全科医生及紧缺专业人才，设置薪酬激励办法，增加岗位吸引力，完善基层医疗卫生人才队伍。</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299" w:name="_Toc3774"/>
      <w:bookmarkStart w:id="300" w:name="_Toc30406"/>
      <w:bookmarkStart w:id="301" w:name="_Toc14730"/>
      <w:bookmarkStart w:id="302" w:name="_Toc19618"/>
      <w:bookmarkStart w:id="303" w:name="_Toc29965"/>
      <w:bookmarkStart w:id="304" w:name="_Toc23565"/>
      <w:bookmarkStart w:id="305" w:name="_Toc8408"/>
      <w:bookmarkStart w:id="306" w:name="_Toc17228"/>
      <w:bookmarkStart w:id="307" w:name="_Toc6686"/>
      <w:r>
        <w:rPr>
          <w:rFonts w:hint="eastAsia" w:ascii="楷体_GB2312" w:hAnsi="楷体" w:eastAsia="楷体_GB2312" w:cs="楷体"/>
          <w:b w:val="0"/>
          <w:bCs w:val="0"/>
          <w:sz w:val="32"/>
          <w:szCs w:val="32"/>
          <w:lang w:val="en-US" w:eastAsia="zh-CN"/>
        </w:rPr>
        <w:t>第四节 加强基层人才队伍建设</w:t>
      </w:r>
      <w:bookmarkEnd w:id="299"/>
      <w:bookmarkEnd w:id="300"/>
      <w:bookmarkEnd w:id="301"/>
      <w:bookmarkEnd w:id="302"/>
      <w:bookmarkEnd w:id="303"/>
      <w:bookmarkEnd w:id="304"/>
      <w:bookmarkEnd w:id="305"/>
      <w:bookmarkEnd w:id="306"/>
      <w:bookmarkEnd w:id="307"/>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bookmarkStart w:id="308" w:name="_Toc2181"/>
      <w:r>
        <w:rPr>
          <w:rFonts w:hint="eastAsia" w:ascii="仿宋_GB2312" w:hAnsi="仿宋_GB2312" w:eastAsia="仿宋_GB2312" w:cs="仿宋_GB2312"/>
          <w:sz w:val="32"/>
          <w:szCs w:val="32"/>
          <w:lang w:val="en-US" w:eastAsia="zh-CN"/>
        </w:rPr>
        <w:t>多渠道提升基层卫生人才水平，稳定基层人员队伍。建立基层人才培养补助资金，用于卫技人员业务技术与技能培训、管理人员医改政策与管理能力培训，切实提高基层服务能力与管理水平。加强基层医疗卫生人才培养培训，加强以互联网为主体的继续医学教育，进一步推广开放式健康医疗教育体系、线上线下相结合的互联网教学模式。继续实施基层医学人才定向培养项目和基层医疗卫生机构全科特岗医师计划，多渠道提升基层卫生人才队伍层次，建立对口帮扶制度，设置激励机制，强化履约管理，引导医学人才前往乡镇就业，补充基层人才队伍，保障基层医疗卫生机构良好运行。加强以全科医生为主的“11个一批”基层卫生人才培养，设立岗位补助、职称评聘优先等优惠的人才政策，提高全科医生岗位吸引力，并不断扩大全科医生培养规模。推进全科助理医生规培基地建设，力争到2025年实现每万人口拥有3名全科医生。</w:t>
      </w:r>
      <w:bookmarkStart w:id="309" w:name="_Toc16000"/>
      <w:bookmarkStart w:id="310" w:name="_Toc19357"/>
      <w:bookmarkStart w:id="311" w:name="_Toc5358"/>
      <w:bookmarkStart w:id="312" w:name="_Toc10436"/>
      <w:bookmarkStart w:id="313" w:name="_Toc20639"/>
      <w:bookmarkStart w:id="314" w:name="_Toc2561"/>
      <w:bookmarkStart w:id="315" w:name="_Toc4541"/>
      <w:bookmarkStart w:id="316" w:name="_Toc1320"/>
      <w:bookmarkStart w:id="317" w:name="_Toc22834"/>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黑体" w:hAnsi="黑体" w:eastAsia="黑体" w:cs="黑体"/>
          <w:sz w:val="36"/>
          <w:szCs w:val="36"/>
          <w:lang w:eastAsia="zh-CN"/>
        </w:rPr>
      </w:pPr>
      <w:r>
        <w:rPr>
          <w:rFonts w:hint="eastAsia" w:ascii="黑体" w:hAnsi="黑体" w:eastAsia="黑体" w:cs="黑体"/>
          <w:sz w:val="36"/>
          <w:szCs w:val="36"/>
          <w:lang w:eastAsia="zh-CN"/>
        </w:rPr>
        <w:t>第五章 关注重点人群，实现全生命周期新保障</w:t>
      </w:r>
      <w:bookmarkEnd w:id="308"/>
      <w:bookmarkEnd w:id="309"/>
      <w:bookmarkEnd w:id="310"/>
      <w:bookmarkEnd w:id="311"/>
      <w:bookmarkEnd w:id="312"/>
      <w:bookmarkEnd w:id="313"/>
      <w:bookmarkEnd w:id="314"/>
      <w:bookmarkEnd w:id="315"/>
      <w:bookmarkEnd w:id="316"/>
      <w:bookmarkEnd w:id="317"/>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318" w:name="_Toc17624"/>
      <w:bookmarkStart w:id="319" w:name="_Toc22496"/>
      <w:bookmarkStart w:id="320" w:name="_Toc26887"/>
      <w:bookmarkStart w:id="321" w:name="_Toc17178"/>
      <w:r>
        <w:rPr>
          <w:rFonts w:hint="eastAsia" w:ascii="楷体_GB2312" w:hAnsi="楷体" w:eastAsia="楷体_GB2312" w:cs="楷体"/>
          <w:b w:val="0"/>
          <w:bCs w:val="0"/>
          <w:sz w:val="32"/>
          <w:szCs w:val="32"/>
          <w:lang w:val="en-US" w:eastAsia="zh-CN"/>
        </w:rPr>
        <w:t>第一节 全面贯彻落实生育服务政策</w:t>
      </w:r>
      <w:bookmarkEnd w:id="318"/>
      <w:bookmarkEnd w:id="319"/>
      <w:bookmarkEnd w:id="320"/>
      <w:bookmarkEnd w:id="321"/>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bookmarkStart w:id="322" w:name="_Toc31253"/>
      <w:bookmarkStart w:id="323" w:name="_Toc20345"/>
      <w:bookmarkStart w:id="324" w:name="_Toc19140"/>
      <w:bookmarkStart w:id="325" w:name="_Toc27520"/>
      <w:bookmarkStart w:id="326" w:name="_Toc10181"/>
      <w:bookmarkStart w:id="327" w:name="_Toc15741"/>
      <w:bookmarkStart w:id="328" w:name="_Toc29824"/>
      <w:r>
        <w:rPr>
          <w:rFonts w:hint="eastAsia" w:ascii="仿宋_GB2312" w:hAnsi="仿宋_GB2312" w:eastAsia="仿宋_GB2312" w:cs="仿宋_GB2312"/>
          <w:sz w:val="32"/>
          <w:szCs w:val="32"/>
          <w:lang w:val="en-US" w:eastAsia="zh-CN"/>
        </w:rPr>
        <w:t>贯彻实施国家调整的生育政策及配套支持措施，不断完善支持家庭生育的经济社会政策和公共服务体系，促进人口长期均衡发展。健全覆盖全人群、全生命周期的人口监测体系，监测生育形势和人口变动趋势，加强人口形势分析及成果运用。推进生育生殖健康全过程服务，促进生殖健康服务融入妇女健康管理全过程。保障计划生育家庭合法权益，继续实行现行各项奖励扶助制度和优惠政策，建立健全计划生育特殊家庭全方位帮扶保障制度。对符合条件的计划生育特殊家庭成员，落实基本养老、基本医疗保障、“双岗”联系人、就医绿色通道等措施制度</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建立生活照料、养老照护等服务机制，优先安排入住公办养老机构、提供低收费托养服务，不断提升计划生育家庭发展能力。</w:t>
      </w:r>
      <w:bookmarkEnd w:id="322"/>
      <w:bookmarkEnd w:id="323"/>
      <w:bookmarkEnd w:id="324"/>
      <w:bookmarkEnd w:id="325"/>
      <w:bookmarkEnd w:id="326"/>
      <w:bookmarkEnd w:id="327"/>
      <w:bookmarkEnd w:id="328"/>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329" w:name="_Toc13399"/>
      <w:bookmarkStart w:id="330" w:name="_Toc6802"/>
      <w:bookmarkStart w:id="331" w:name="_Toc28800"/>
      <w:bookmarkStart w:id="332" w:name="_Toc28610"/>
      <w:bookmarkStart w:id="333" w:name="_Toc31035"/>
      <w:bookmarkStart w:id="334" w:name="_Toc17484"/>
      <w:bookmarkStart w:id="335" w:name="_Toc13867"/>
      <w:bookmarkStart w:id="336" w:name="_Toc22307"/>
      <w:r>
        <w:rPr>
          <w:rFonts w:hint="eastAsia" w:ascii="楷体_GB2312" w:hAnsi="楷体" w:eastAsia="楷体_GB2312" w:cs="楷体"/>
          <w:b w:val="0"/>
          <w:bCs w:val="0"/>
          <w:sz w:val="32"/>
          <w:szCs w:val="32"/>
          <w:lang w:val="en-US" w:eastAsia="zh-CN"/>
        </w:rPr>
        <w:t>第二节 加强妇幼健康服务体系建设</w:t>
      </w:r>
      <w:bookmarkEnd w:id="329"/>
      <w:bookmarkEnd w:id="330"/>
      <w:bookmarkEnd w:id="331"/>
      <w:bookmarkEnd w:id="332"/>
      <w:bookmarkEnd w:id="333"/>
      <w:bookmarkEnd w:id="334"/>
      <w:bookmarkEnd w:id="335"/>
      <w:bookmarkEnd w:id="336"/>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bookmarkStart w:id="337" w:name="_Toc22950"/>
      <w:bookmarkStart w:id="338" w:name="_Toc8082"/>
      <w:bookmarkStart w:id="339" w:name="_Toc19761"/>
      <w:bookmarkStart w:id="340" w:name="_Toc17308"/>
      <w:bookmarkStart w:id="341" w:name="_Toc9838"/>
      <w:r>
        <w:rPr>
          <w:rFonts w:hint="eastAsia" w:ascii="仿宋_GB2312" w:hAnsi="仿宋_GB2312" w:eastAsia="仿宋_GB2312" w:cs="仿宋_GB2312"/>
          <w:sz w:val="32"/>
          <w:szCs w:val="32"/>
          <w:lang w:val="en-US" w:eastAsia="zh-CN"/>
        </w:rPr>
        <w:t>提升妇幼健康服务能力。扎实推进福清市妇幼保健院标准化建设和规范化管理，开展妇幼特色项目，满足群众多元化的妇幼健康需求。推进福清市医院、福清市妇幼保健院创建产前筛查诊断机构。推进福清市妇幼保健院创建省级儿童早期发展示范基地。全面开展妇幼健康工作绩效考核</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福清市妇幼保健院按照省绩效考核指标体系</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基层医疗卫生机构按照县级妇幼卫生工作考核体系</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定期组织考核</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引导妇幼健康工作规范发展。</w:t>
      </w:r>
      <w:bookmarkEnd w:id="337"/>
      <w:bookmarkEnd w:id="338"/>
      <w:bookmarkEnd w:id="339"/>
      <w:bookmarkEnd w:id="340"/>
      <w:bookmarkEnd w:id="341"/>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bookmarkStart w:id="342" w:name="_Toc8361"/>
      <w:bookmarkStart w:id="343" w:name="_Toc5797"/>
      <w:r>
        <w:rPr>
          <w:rFonts w:hint="eastAsia" w:ascii="仿宋_GB2312" w:hAnsi="仿宋_GB2312" w:eastAsia="仿宋_GB2312" w:cs="仿宋_GB2312"/>
          <w:sz w:val="32"/>
          <w:szCs w:val="32"/>
          <w:lang w:val="en-US" w:eastAsia="zh-CN"/>
        </w:rPr>
        <w:t>深入开展妇幼健康促进行动。健全出生缺陷综合防治网络，落实三级预防措施，全面推行新生儿疾病免费筛查项目，降低严重出生缺陷发生率。加强妇女和儿童健康管理，落实免费孕前优生健康检查、增补叶酸、产前筛查、“两癌”检查等妇幼公共卫生服务项目。以妇女常见病筛查为重点，结合公共卫生服务项目和计划生育技术服务，加强适龄妇女生殖健康检查，提高妇女常见病筛查率，推广适龄女性宫颈癌疫苗接种。加强女性青春期、孕产期、更年期心理健康咨询、指导。推进女性更年期保健工作，防治女性更年期疾病。</w:t>
      </w:r>
      <w:bookmarkEnd w:id="342"/>
      <w:bookmarkEnd w:id="343"/>
      <w:r>
        <w:rPr>
          <w:rFonts w:hint="eastAsia" w:ascii="仿宋_GB2312" w:hAnsi="仿宋_GB2312" w:eastAsia="仿宋_GB2312" w:cs="仿宋_GB2312"/>
          <w:sz w:val="32"/>
          <w:szCs w:val="32"/>
          <w:lang w:val="en-US" w:eastAsia="zh-CN"/>
        </w:rPr>
        <w:t>积极推进出生医学证明“出生一件事”联办。</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bookmarkStart w:id="344" w:name="_Toc21524"/>
      <w:bookmarkStart w:id="345" w:name="_Toc1146"/>
      <w:bookmarkStart w:id="346" w:name="_Toc14605"/>
      <w:r>
        <w:rPr>
          <w:rFonts w:hint="eastAsia" w:ascii="仿宋_GB2312" w:hAnsi="仿宋_GB2312" w:eastAsia="仿宋_GB2312" w:cs="仿宋_GB2312"/>
          <w:sz w:val="32"/>
          <w:szCs w:val="32"/>
          <w:lang w:val="en-US" w:eastAsia="zh-CN"/>
        </w:rPr>
        <w:t>提高婴幼儿照护服务水平。加大母婴设施建设力度，支持公共空间和公共设施适儿化改造。积极扩大普惠性托育服务供给，支持企事业单位等社会力量举办托育服务机构，支持公办机构发展普惠托育服务，支持工业（产业）园区、用人单位等利用自有土地或设施新建、改扩建托育服务设施，普惠托位要向社会开放提供，鼓励依托社区、幼儿园、妇幼保健机构等新建和改扩建嵌入式、分布式、连锁化、专业化的托育服务设施，探索发展家庭育儿共享平台、家庭托育点等托育服务新模式新业态。以福清市尚学堂托育服务有限公司试点为基础，发挥示范引领、带动辐射作用，不断提高我市婴幼儿照护服务整体水平，满足广大家庭幼有善育的服务需求。</w:t>
      </w:r>
      <w:r>
        <w:rPr>
          <w:rFonts w:hint="eastAsia" w:cs="仿宋_GB2312"/>
          <w:sz w:val="32"/>
          <w:szCs w:val="32"/>
          <w:lang w:val="en-US" w:eastAsia="zh-CN"/>
        </w:rPr>
        <w:t>力争</w:t>
      </w:r>
      <w:r>
        <w:rPr>
          <w:rFonts w:hint="eastAsia" w:ascii="仿宋_GB2312" w:hAnsi="仿宋_GB2312" w:eastAsia="仿宋_GB2312" w:cs="仿宋_GB2312"/>
          <w:sz w:val="32"/>
          <w:szCs w:val="32"/>
          <w:lang w:val="en-US" w:eastAsia="zh-CN"/>
        </w:rPr>
        <w:t>到2025年，每千人口拥有3岁以下婴幼儿托位数4.5个。</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切实提升危急重症救治能力建设。贯彻落实母婴安全5项制度，健全完善危重症孕产妇、新生儿和儿童医疗救治体系，提升临床救治能力</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保障母婴安全，降低孕产妇、新生儿死亡率。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beforeLines="0" w:afterLines="0" w:line="560" w:lineRule="exact"/>
              <w:jc w:val="center"/>
              <w:rPr>
                <w:rFonts w:ascii="仿宋" w:hAnsi="仿宋" w:eastAsia="黑体" w:cs="仿宋"/>
                <w:sz w:val="21"/>
                <w:szCs w:val="21"/>
              </w:rPr>
            </w:pPr>
            <w:r>
              <w:rPr>
                <w:rFonts w:hint="eastAsia" w:ascii="黑体" w:hAnsi="黑体" w:eastAsia="黑体" w:cs="黑体"/>
                <w:sz w:val="21"/>
                <w:szCs w:val="21"/>
              </w:rPr>
              <w:t>专栏6：妇幼健康服务体系建设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beforeLines="0" w:afterLines="0" w:line="340" w:lineRule="exact"/>
              <w:ind w:firstLine="416"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普惠性托育服务建设：设置明确的标准和规范，鼓励符合条件的托育机构提供高质量的健康管理、照护托养等服务。</w:t>
            </w:r>
          </w:p>
          <w:p>
            <w:pPr>
              <w:spacing w:beforeLines="0" w:afterLines="0" w:line="340" w:lineRule="exact"/>
              <w:ind w:firstLine="416"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妇幼公共卫生网络建设：</w:t>
            </w:r>
            <w:r>
              <w:rPr>
                <w:rFonts w:hint="eastAsia" w:ascii="仿宋_GB2312" w:hAnsi="仿宋_GB2312" w:eastAsia="仿宋_GB2312" w:cs="仿宋_GB2312"/>
                <w:bCs/>
                <w:sz w:val="21"/>
                <w:szCs w:val="21"/>
              </w:rPr>
              <w:t>加强市</w:t>
            </w:r>
            <w:r>
              <w:rPr>
                <w:rFonts w:hint="eastAsia" w:cs="仿宋_GB2312"/>
                <w:bCs/>
                <w:sz w:val="21"/>
                <w:szCs w:val="21"/>
                <w:lang w:eastAsia="zh-CN"/>
              </w:rPr>
              <w:t>、</w:t>
            </w:r>
            <w:r>
              <w:rPr>
                <w:rFonts w:hint="eastAsia" w:ascii="仿宋_GB2312" w:hAnsi="仿宋_GB2312" w:eastAsia="仿宋_GB2312" w:cs="仿宋_GB2312"/>
                <w:bCs/>
                <w:sz w:val="21"/>
                <w:szCs w:val="21"/>
              </w:rPr>
              <w:t>镇两级妇幼信息人员信息化建设</w:t>
            </w:r>
            <w:r>
              <w:rPr>
                <w:rFonts w:hint="eastAsia" w:ascii="仿宋_GB2312" w:hAnsi="仿宋_GB2312" w:eastAsia="仿宋_GB2312" w:cs="仿宋_GB2312"/>
                <w:sz w:val="21"/>
                <w:szCs w:val="21"/>
              </w:rPr>
              <w:t>，提供妇幼公共卫生服务项目，引导适龄妇女儿童参与服务。</w:t>
            </w:r>
          </w:p>
          <w:p>
            <w:pPr>
              <w:spacing w:beforeLines="0" w:afterLines="0" w:line="340" w:lineRule="exact"/>
              <w:ind w:firstLine="416" w:firstLineChars="200"/>
              <w:rPr>
                <w:rFonts w:ascii="仿宋" w:hAnsi="仿宋" w:eastAsia="仿宋" w:cs="仿宋"/>
                <w:sz w:val="21"/>
                <w:szCs w:val="21"/>
              </w:rPr>
            </w:pPr>
            <w:r>
              <w:rPr>
                <w:rFonts w:hint="eastAsia" w:ascii="仿宋_GB2312" w:hAnsi="仿宋_GB2312" w:eastAsia="仿宋_GB2312" w:cs="仿宋_GB2312"/>
                <w:sz w:val="21"/>
                <w:szCs w:val="21"/>
              </w:rPr>
              <w:t>妇幼健康服务优质建设：争创省级儿童早期发展示范基地，争创福建省生育全程优质服务县。</w:t>
            </w:r>
          </w:p>
        </w:tc>
      </w:tr>
      <w:bookmarkEnd w:id="344"/>
      <w:bookmarkEnd w:id="345"/>
      <w:bookmarkEnd w:id="346"/>
    </w:tbl>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347" w:name="_Toc346"/>
      <w:bookmarkStart w:id="348" w:name="_Toc17146"/>
      <w:bookmarkStart w:id="349" w:name="_Toc10971"/>
      <w:bookmarkStart w:id="350" w:name="_Toc3789"/>
      <w:bookmarkStart w:id="351" w:name="_Toc3608"/>
      <w:bookmarkStart w:id="352" w:name="_Toc32371"/>
      <w:bookmarkStart w:id="353" w:name="_Toc17905"/>
      <w:bookmarkStart w:id="354" w:name="_Toc30602"/>
      <w:r>
        <w:rPr>
          <w:rFonts w:hint="eastAsia" w:ascii="楷体_GB2312" w:hAnsi="楷体" w:eastAsia="楷体_GB2312" w:cs="楷体"/>
          <w:b w:val="0"/>
          <w:bCs w:val="0"/>
          <w:sz w:val="32"/>
          <w:szCs w:val="32"/>
          <w:lang w:val="en-US" w:eastAsia="zh-CN"/>
        </w:rPr>
        <w:t>第三节 推动老年健康服务体系建设</w:t>
      </w:r>
      <w:bookmarkEnd w:id="347"/>
      <w:bookmarkEnd w:id="348"/>
      <w:bookmarkEnd w:id="349"/>
      <w:bookmarkEnd w:id="350"/>
      <w:bookmarkEnd w:id="351"/>
      <w:bookmarkEnd w:id="352"/>
      <w:bookmarkEnd w:id="353"/>
      <w:bookmarkEnd w:id="354"/>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提升老年健康管理水平。依托疾控机构、医疗机构、基层医疗卫生机构，开展集慢性病预防、风险评估、跟踪随访、干预指导于一体的健康管理服务，降低65周岁及以上人群老年期痴呆患病率增速；实施失能预防项目，降低老年人失能发生率。做细做实老年人家庭医生签约服务，将失能老年人作为家庭医生签约服务重点人群，</w:t>
      </w:r>
      <w:r>
        <w:rPr>
          <w:rFonts w:hint="eastAsia" w:cs="仿宋_GB2312"/>
          <w:sz w:val="32"/>
          <w:szCs w:val="32"/>
          <w:lang w:val="en-US" w:eastAsia="zh-CN"/>
        </w:rPr>
        <w:t>力争</w:t>
      </w:r>
      <w:r>
        <w:rPr>
          <w:rFonts w:hint="eastAsia" w:ascii="仿宋_GB2312" w:hAnsi="仿宋_GB2312" w:eastAsia="仿宋_GB2312" w:cs="仿宋_GB2312"/>
          <w:sz w:val="32"/>
          <w:szCs w:val="32"/>
          <w:lang w:val="en-US" w:eastAsia="zh-CN"/>
        </w:rPr>
        <w:t>到2025年，全市65周岁以上老年人健康管理率超过72%。完善老年医疗卫生资源布局，全市二级及以上综合医院设立老年医学科的比例达到100%，鼓励支持基层医疗卫生机构转型升级为社区医院，设置老年医学科，增强老年人常见病多发病诊疗服务。开展老年友善医疗卫生机构创建活动，全市80％以上的综合医院、护理院和基层医疗卫生机构成为老年友善医疗卫生机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动医养结合深入发展。进一步整合医养资源，鼓励不同等级、类型的医疗、养老机构开展多种形式合作。加大扶持力度，鼓励公立医疗卫生机构在完成自身医疗卫生工作任务前提下，有余力的，可按“平等自愿、合作共赢”的原则与养老服务机构签订合作协议。鼓励公立医疗机构增加养老服务内容。鼓励我市在居家、社区和机构等医养结合服务模式方面积极创新突破，探索适合我市市情的可借鉴、可复制的医养结合经验。完成打造1家以上高端养老项目与公立医院医养结合试点，在福建中富养老有限公司静馨嘉园康养社区内建设福清市医院观溪静馨分院，打造具有福清特色的医养结合品牌。新增建成1家医养康养相结合的精细化护理型养老机构，在福清市医院附近建设福清市金桥康养长者照护之家护理院。</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安宁疗护试点。推动有条件的医疗卫生机构在肿瘤科、老年医学科等相关科室开展安宁疗护服务，开设安宁疗护病区或床位，为疾病终末期患者提供疼痛及其他症状控制、舒适照护等服务。支持社区卫生服务中心、医养结合机构开展安宁疗护服务，探索建立机构、社区和居家安宁疗护相结合的工作机制，形成高效的机构与机构、居家与机构转诊机制。在福清市医院试点工作基础上，为全市安宁疗护试点工作提供技术支持，到2022年，全市实现安宁疗护服务在二级及以上综合医疗卫生机构全覆盖。</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beforeLines="0" w:afterLines="0" w:line="560" w:lineRule="exact"/>
              <w:jc w:val="center"/>
              <w:rPr>
                <w:rFonts w:ascii="仿宋" w:hAnsi="仿宋" w:eastAsia="黑体" w:cs="仿宋"/>
                <w:sz w:val="21"/>
                <w:szCs w:val="21"/>
              </w:rPr>
            </w:pPr>
            <w:r>
              <w:rPr>
                <w:rFonts w:hint="eastAsia" w:ascii="黑体" w:hAnsi="黑体" w:eastAsia="黑体" w:cs="黑体"/>
                <w:sz w:val="21"/>
                <w:szCs w:val="21"/>
              </w:rPr>
              <w:t>专栏7：老年健康服务体系建设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beforeLines="0" w:afterLines="0" w:line="340" w:lineRule="exact"/>
              <w:ind w:firstLine="416"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老年人健康保障项目建设：提升老年健康管理服务，推动医养结合深入发展，开展安宁疗护试点。</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355" w:name="_Toc9066"/>
      <w:bookmarkStart w:id="356" w:name="_Toc7692"/>
      <w:bookmarkStart w:id="357" w:name="_Toc24648"/>
      <w:bookmarkStart w:id="358" w:name="_Toc24939"/>
      <w:r>
        <w:rPr>
          <w:rFonts w:hint="eastAsia" w:ascii="楷体_GB2312" w:hAnsi="楷体" w:eastAsia="楷体_GB2312" w:cs="楷体"/>
          <w:b w:val="0"/>
          <w:bCs w:val="0"/>
          <w:sz w:val="32"/>
          <w:szCs w:val="32"/>
          <w:lang w:val="en-US" w:eastAsia="zh-CN"/>
        </w:rPr>
        <w:t>第四节 加强职业健康监督管理</w:t>
      </w:r>
      <w:bookmarkEnd w:id="355"/>
      <w:bookmarkEnd w:id="356"/>
      <w:bookmarkEnd w:id="357"/>
      <w:r>
        <w:rPr>
          <w:rFonts w:hint="eastAsia" w:ascii="楷体_GB2312" w:hAnsi="楷体" w:eastAsia="楷体_GB2312" w:cs="楷体"/>
          <w:b w:val="0"/>
          <w:bCs w:val="0"/>
          <w:sz w:val="32"/>
          <w:szCs w:val="32"/>
          <w:lang w:val="en-US" w:eastAsia="zh-CN"/>
        </w:rPr>
        <w:t>工作</w:t>
      </w:r>
      <w:bookmarkEnd w:id="358"/>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bookmarkStart w:id="359" w:name="_Toc10962"/>
      <w:bookmarkStart w:id="360" w:name="_Toc12118"/>
      <w:r>
        <w:rPr>
          <w:rFonts w:hint="eastAsia" w:ascii="仿宋_GB2312" w:hAnsi="仿宋_GB2312" w:eastAsia="仿宋_GB2312" w:cs="仿宋_GB2312"/>
          <w:sz w:val="32"/>
          <w:szCs w:val="32"/>
          <w:lang w:val="en-US" w:eastAsia="zh-CN"/>
        </w:rPr>
        <w:t>提升职业病防治技术能力。加强职业病防治技术支撑体系建设，加强技术支撑机构基础设施、技术装备、人才队伍和职业健康信息化建设，实现我市至少有两家职业健康检查机构，进一步整合各医疗卫生机构的资源和力量，实现覆盖辖区内常见的职业病危害因素职业健康检查。鼓励引导社会力量参与职业健康检查、职业病诊断、职业卫生检测评价服务。</w:t>
      </w:r>
      <w:bookmarkEnd w:id="359"/>
      <w:bookmarkEnd w:id="360"/>
      <w:bookmarkStart w:id="361" w:name="_Toc19862"/>
      <w:bookmarkStart w:id="362" w:name="_Toc24552"/>
      <w:r>
        <w:rPr>
          <w:rFonts w:hint="eastAsia" w:ascii="仿宋_GB2312" w:hAnsi="仿宋_GB2312" w:eastAsia="仿宋_GB2312" w:cs="仿宋_GB2312"/>
          <w:sz w:val="32"/>
          <w:szCs w:val="32"/>
          <w:lang w:val="en-US" w:eastAsia="zh-CN"/>
        </w:rPr>
        <w:t>广泛开展职业病防治法治宣传教育、健康教育和科普宣传，加强政策解读，落实职业健康保护行动，提升劳动者职业健康意识。</w:t>
      </w:r>
      <w:bookmarkEnd w:id="361"/>
      <w:bookmarkEnd w:id="362"/>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黑体" w:hAnsi="黑体" w:eastAsia="黑体" w:cs="黑体"/>
          <w:sz w:val="36"/>
          <w:szCs w:val="36"/>
        </w:rPr>
      </w:pPr>
      <w:bookmarkStart w:id="363" w:name="_Toc27113"/>
      <w:bookmarkStart w:id="364" w:name="_Toc2367"/>
      <w:bookmarkStart w:id="365" w:name="_Toc9462"/>
      <w:bookmarkStart w:id="366" w:name="_Toc3671"/>
      <w:bookmarkStart w:id="367" w:name="_Toc11834"/>
      <w:bookmarkStart w:id="368" w:name="_Toc16117"/>
      <w:bookmarkStart w:id="369" w:name="_Toc28830"/>
      <w:bookmarkStart w:id="370" w:name="_Toc14839"/>
      <w:bookmarkStart w:id="371" w:name="_Toc31356"/>
      <w:bookmarkStart w:id="372" w:name="_Toc24825"/>
      <w:r>
        <w:rPr>
          <w:rFonts w:hint="eastAsia" w:ascii="黑体" w:hAnsi="黑体" w:eastAsia="黑体" w:cs="黑体"/>
          <w:sz w:val="36"/>
          <w:szCs w:val="36"/>
        </w:rPr>
        <w:t xml:space="preserve">第六章 </w:t>
      </w:r>
      <w:r>
        <w:rPr>
          <w:rFonts w:hint="eastAsia" w:ascii="黑体" w:hAnsi="黑体" w:eastAsia="黑体" w:cs="黑体"/>
          <w:sz w:val="36"/>
          <w:szCs w:val="36"/>
          <w:lang w:eastAsia="zh-CN"/>
        </w:rPr>
        <w:t>传承创新发展，推进中医药事业现代化</w:t>
      </w:r>
      <w:bookmarkEnd w:id="363"/>
      <w:bookmarkEnd w:id="364"/>
      <w:bookmarkEnd w:id="365"/>
      <w:bookmarkEnd w:id="366"/>
      <w:bookmarkEnd w:id="367"/>
      <w:bookmarkEnd w:id="368"/>
      <w:bookmarkEnd w:id="369"/>
      <w:bookmarkEnd w:id="370"/>
      <w:bookmarkEnd w:id="371"/>
      <w:bookmarkEnd w:id="372"/>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373" w:name="_Toc19511"/>
      <w:bookmarkStart w:id="374" w:name="_Toc4798"/>
      <w:bookmarkStart w:id="375" w:name="_Toc31163"/>
      <w:bookmarkStart w:id="376" w:name="_Toc29973"/>
      <w:bookmarkStart w:id="377" w:name="_Toc31395"/>
      <w:bookmarkStart w:id="378" w:name="_Toc15480"/>
      <w:bookmarkStart w:id="379" w:name="_Toc24216"/>
      <w:r>
        <w:rPr>
          <w:rFonts w:hint="eastAsia" w:ascii="楷体_GB2312" w:hAnsi="楷体" w:eastAsia="楷体_GB2312" w:cs="楷体"/>
          <w:b w:val="0"/>
          <w:bCs w:val="0"/>
          <w:sz w:val="32"/>
          <w:szCs w:val="32"/>
          <w:lang w:val="en-US" w:eastAsia="zh-CN"/>
        </w:rPr>
        <w:t>第一节 完善中医药服务体系建设</w:t>
      </w:r>
      <w:bookmarkEnd w:id="373"/>
      <w:bookmarkEnd w:id="374"/>
      <w:bookmarkEnd w:id="375"/>
      <w:bookmarkEnd w:id="376"/>
      <w:bookmarkEnd w:id="377"/>
      <w:bookmarkEnd w:id="378"/>
      <w:bookmarkEnd w:id="379"/>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加强中医医院建设。大力扶持市中医院基础设施、优势学科、人才队伍等建设。一是预留发展空间</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将市疾病预防控制中心旧址整体划拨给市中医院，按三级中医医院（600</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800张床位）的规模重新调整中医院规划和总平，并按照一次规划，分步实施原则，逐步推进基础设施建设；二是以福清市中医院为主体，以基层医疗机构为网点建立智慧共享中药房，为全市医疗机构提供中药饮片采购、审方、调配、代煎、配送等一站式服务；三是推动市中医院与福建中医药大学及省人民医院开展紧密合作，争取成为福建中医药大学的附属医院以及省人民医院福清分院。借力上级医院的技术、人才和管理等优势，带动福清市中医院服务能力提升。到2025年，市中医院力争达到三级中医院基本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筑牢基层中医药服务阵地。推进以福清市中医院为龙头单位的中医医疗联合体建设，加强城乡中医药对口支援，通过技术帮扶、专家驻点、远程会诊、集中培训等形式，推动成员单位中医药服务能力提升。</w:t>
      </w:r>
      <w:r>
        <w:rPr>
          <w:rFonts w:hint="eastAsia" w:cs="仿宋_GB2312"/>
          <w:sz w:val="32"/>
          <w:szCs w:val="32"/>
          <w:lang w:val="en-US" w:eastAsia="zh-CN"/>
        </w:rPr>
        <w:t>力争</w:t>
      </w:r>
      <w:r>
        <w:rPr>
          <w:rFonts w:hint="eastAsia" w:ascii="仿宋_GB2312" w:hAnsi="仿宋_GB2312" w:eastAsia="仿宋_GB2312" w:cs="仿宋_GB2312"/>
          <w:sz w:val="32"/>
          <w:szCs w:val="32"/>
          <w:lang w:val="en-US" w:eastAsia="zh-CN"/>
        </w:rPr>
        <w:t>到2025年，全市所有卫生院、社区卫生服务中心建立中医馆。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展多样化中医药服务。支持社会力量兴办优质中医医疗机构，提供传统中医药服务，鼓励社会办中医医疗机构申报福州市级中医重点专科建设项目。对仅提供传统中医药服务的中医门诊部取消具体数量和地点限制。鼓励中医医术确有专长人员开设中医备案诊所，让民间中医焕发生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380" w:name="_Toc2876"/>
      <w:bookmarkStart w:id="381" w:name="_Toc20766"/>
      <w:bookmarkStart w:id="382" w:name="_Toc20303"/>
      <w:bookmarkStart w:id="383" w:name="_Toc13657"/>
      <w:bookmarkStart w:id="384" w:name="_Toc12488"/>
      <w:bookmarkStart w:id="385" w:name="_Toc23873"/>
      <w:bookmarkStart w:id="386" w:name="_Toc32016"/>
      <w:r>
        <w:rPr>
          <w:rFonts w:hint="eastAsia" w:ascii="楷体_GB2312" w:hAnsi="楷体" w:eastAsia="楷体_GB2312" w:cs="楷体"/>
          <w:b w:val="0"/>
          <w:bCs w:val="0"/>
          <w:sz w:val="32"/>
          <w:szCs w:val="32"/>
          <w:lang w:val="en-US" w:eastAsia="zh-CN"/>
        </w:rPr>
        <w:t>第二节 推动中医药守正创新</w:t>
      </w:r>
      <w:bookmarkEnd w:id="380"/>
      <w:bookmarkEnd w:id="381"/>
      <w:bookmarkEnd w:id="382"/>
      <w:bookmarkEnd w:id="383"/>
      <w:bookmarkEnd w:id="384"/>
      <w:bookmarkEnd w:id="385"/>
      <w:r>
        <w:rPr>
          <w:rFonts w:hint="eastAsia" w:ascii="楷体_GB2312" w:hAnsi="楷体" w:eastAsia="楷体_GB2312" w:cs="楷体"/>
          <w:b w:val="0"/>
          <w:bCs w:val="0"/>
          <w:sz w:val="32"/>
          <w:szCs w:val="32"/>
          <w:lang w:val="en-US" w:eastAsia="zh-CN"/>
        </w:rPr>
        <w:t>发展</w:t>
      </w:r>
      <w:bookmarkEnd w:id="386"/>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中医优势特色学科建设。巩固提升福清市中医院针灸康复科、儿科等福州市级中医重点专科建设，大力发展中医特色专科。其他县级医院结合本院实际，重点加强康复理疗、肛肠科、老年病科等中医特色专科专病建设，彰显中医药在疾病治疗中的独特作用。到2025年，力争市中医院创建一个省级重点专病（中西医结合糖尿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中医治未病健康升级工程。加强市中医院治未病科规范化建设和科学管理，提升基层医疗机构中医预防保健服务能力，鼓励家庭医生提供中医治未病签约服务，力争到2025年实现中医药应用在家庭医生团队服务中的全覆盖。大力普及中医养生保健知识和太极拳、健身气功（如八段锦）等养生保健方法，促进中医治未病健康工程升级。在重点人群和慢性病患者中推广中医治未病干预方案。</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推动中医药康复服务能力提升。进一步提升福清市中医院康复医学科服务能力，加强基层医疗机构中医康复适宜技术培训，发挥中医在</w:t>
      </w:r>
      <w:r>
        <w:rPr>
          <w:rFonts w:hint="eastAsia" w:cs="仿宋_GB2312"/>
          <w:sz w:val="32"/>
          <w:szCs w:val="32"/>
          <w:lang w:val="en-US" w:eastAsia="zh-CN"/>
        </w:rPr>
        <w:t>村（社区）</w:t>
      </w:r>
      <w:r>
        <w:rPr>
          <w:rFonts w:hint="eastAsia" w:ascii="仿宋_GB2312" w:hAnsi="仿宋_GB2312" w:eastAsia="仿宋_GB2312" w:cs="仿宋_GB2312"/>
          <w:sz w:val="32"/>
          <w:szCs w:val="32"/>
          <w:lang w:val="en-US" w:eastAsia="zh-CN"/>
        </w:rPr>
        <w:t>康复中的作用。促进中医药特色康复、传统体育运动与现代康复的技术融合。</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p>
    <w:tbl>
      <w:tblPr>
        <w:tblStyle w:val="7"/>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540" w:type="dxa"/>
            <w:noWrap w:val="0"/>
            <w:vAlign w:val="top"/>
          </w:tcPr>
          <w:p>
            <w:pPr>
              <w:spacing w:beforeLines="0" w:afterLines="0" w:line="560" w:lineRule="exact"/>
              <w:jc w:val="center"/>
              <w:rPr>
                <w:rFonts w:ascii="仿宋" w:hAnsi="仿宋" w:eastAsia="仿宋" w:cs="仿宋"/>
                <w:sz w:val="21"/>
                <w:szCs w:val="21"/>
              </w:rPr>
            </w:pPr>
            <w:r>
              <w:rPr>
                <w:rFonts w:hint="eastAsia" w:ascii="黑体" w:hAnsi="黑体" w:eastAsia="黑体" w:cs="黑体"/>
                <w:sz w:val="21"/>
                <w:szCs w:val="21"/>
              </w:rPr>
              <w:t>专栏8：中医药服务体系建设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540" w:type="dxa"/>
            <w:noWrap w:val="0"/>
            <w:vAlign w:val="center"/>
          </w:tcPr>
          <w:p>
            <w:pPr>
              <w:spacing w:beforeLines="0" w:afterLines="0" w:line="340" w:lineRule="exact"/>
              <w:ind w:firstLine="416"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推进中医药传承创新工程：继承和发扬地方特色中医药诊疗技术；继续派出中青年中医师跟随省市名老中医学习，培养中医临床骨干，建设中医药省级重点专科。</w:t>
            </w:r>
          </w:p>
        </w:tc>
      </w:tr>
    </w:tbl>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黑体" w:hAnsi="黑体" w:eastAsia="黑体" w:cs="黑体"/>
          <w:sz w:val="36"/>
          <w:szCs w:val="36"/>
          <w:lang w:eastAsia="zh-CN"/>
        </w:rPr>
      </w:pPr>
      <w:bookmarkStart w:id="387" w:name="_Toc23366"/>
      <w:bookmarkStart w:id="388" w:name="_Toc1651"/>
      <w:bookmarkStart w:id="389" w:name="_Toc23160"/>
      <w:bookmarkStart w:id="390" w:name="_Toc358"/>
      <w:bookmarkStart w:id="391" w:name="_Toc19560"/>
      <w:bookmarkStart w:id="392" w:name="_Toc6193"/>
      <w:bookmarkStart w:id="393" w:name="_Toc591"/>
      <w:bookmarkStart w:id="394" w:name="_Toc29152"/>
      <w:bookmarkStart w:id="395" w:name="_Toc5972"/>
      <w:bookmarkStart w:id="396" w:name="_Toc25187"/>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黑体" w:hAnsi="黑体" w:eastAsia="黑体" w:cs="黑体"/>
          <w:sz w:val="36"/>
          <w:szCs w:val="36"/>
          <w:lang w:eastAsia="zh-CN"/>
        </w:rPr>
      </w:pPr>
      <w:r>
        <w:rPr>
          <w:rFonts w:hint="eastAsia" w:ascii="黑体" w:hAnsi="黑体" w:eastAsia="黑体" w:cs="黑体"/>
          <w:sz w:val="36"/>
          <w:szCs w:val="36"/>
          <w:lang w:eastAsia="zh-CN"/>
        </w:rPr>
        <w:t>第七章 坚持信息赋能，加强卫生健康智能服务</w:t>
      </w:r>
      <w:bookmarkEnd w:id="387"/>
      <w:bookmarkEnd w:id="388"/>
      <w:bookmarkEnd w:id="389"/>
      <w:bookmarkEnd w:id="390"/>
      <w:bookmarkEnd w:id="391"/>
      <w:bookmarkEnd w:id="392"/>
      <w:bookmarkEnd w:id="393"/>
      <w:bookmarkEnd w:id="394"/>
      <w:bookmarkEnd w:id="395"/>
      <w:bookmarkEnd w:id="396"/>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397" w:name="_Toc15459"/>
      <w:bookmarkStart w:id="398" w:name="_Toc18135"/>
      <w:bookmarkStart w:id="399" w:name="_Toc8221"/>
      <w:bookmarkStart w:id="400" w:name="_Toc19437"/>
      <w:bookmarkStart w:id="401" w:name="_Toc1100"/>
      <w:bookmarkStart w:id="402" w:name="_Toc11639"/>
      <w:bookmarkStart w:id="403" w:name="_Toc13018"/>
      <w:bookmarkStart w:id="404" w:name="_Toc2872"/>
      <w:r>
        <w:rPr>
          <w:rFonts w:hint="eastAsia" w:ascii="楷体_GB2312" w:hAnsi="楷体" w:eastAsia="楷体_GB2312" w:cs="楷体"/>
          <w:b w:val="0"/>
          <w:bCs w:val="0"/>
          <w:sz w:val="32"/>
          <w:szCs w:val="32"/>
          <w:lang w:val="en-US" w:eastAsia="zh-CN"/>
        </w:rPr>
        <w:t>第一节 建设完善智慧医疗服务模式</w:t>
      </w:r>
      <w:bookmarkEnd w:id="397"/>
      <w:bookmarkEnd w:id="398"/>
      <w:bookmarkEnd w:id="399"/>
      <w:bookmarkEnd w:id="400"/>
      <w:bookmarkEnd w:id="401"/>
      <w:bookmarkEnd w:id="402"/>
      <w:bookmarkEnd w:id="403"/>
      <w:bookmarkEnd w:id="404"/>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以电子病历系统应用水平分级评价、医院信息互联互通标准化成熟度评价等为抓手，加快推进医院信息化建设，力争到</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十四</w:t>
      </w:r>
      <w:r>
        <w:rPr>
          <w:rFonts w:hint="eastAsia" w:cs="仿宋_GB2312"/>
          <w:sz w:val="32"/>
          <w:szCs w:val="32"/>
          <w:lang w:val="en-US" w:eastAsia="zh-CN"/>
        </w:rPr>
        <w:t>五”</w:t>
      </w:r>
      <w:r>
        <w:rPr>
          <w:rFonts w:hint="eastAsia" w:ascii="仿宋_GB2312" w:hAnsi="仿宋_GB2312" w:eastAsia="仿宋_GB2312" w:cs="仿宋_GB2312"/>
          <w:sz w:val="32"/>
          <w:szCs w:val="32"/>
          <w:lang w:val="en-US" w:eastAsia="zh-CN"/>
        </w:rPr>
        <w:t>期末，全市三级医院电子病历系统应用水平达到5级水平，二级医院电子病历系统应用水平达到4级水平；三级综合性医院信息互联互通标准化成熟度测评达到4级水平，三级专科医院、二级综合性医院信息互联互通标准化成熟度测评达到3级水平。加快推进智慧医院建设，开展“互联网+”医疗便民惠民活动，完善预约诊疗、智能导医分诊、诊间结算、移动支付等线上服务，持续提升患者就医体验。加快互联网医院建设，优化互联网诊疗流程，为患者提供部分常见病和慢性病在线复诊服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405" w:name="_Toc624"/>
      <w:bookmarkStart w:id="406" w:name="_Toc30392"/>
      <w:bookmarkStart w:id="407" w:name="_Toc17111"/>
      <w:bookmarkStart w:id="408" w:name="_Toc29627"/>
      <w:bookmarkStart w:id="409" w:name="_Toc32530"/>
      <w:bookmarkStart w:id="410" w:name="_Toc2386"/>
      <w:bookmarkStart w:id="411" w:name="_Toc6868"/>
      <w:bookmarkStart w:id="412" w:name="_Toc7911"/>
      <w:bookmarkStart w:id="413" w:name="_Toc31588"/>
      <w:r>
        <w:rPr>
          <w:rFonts w:hint="eastAsia" w:ascii="楷体_GB2312" w:hAnsi="楷体" w:eastAsia="楷体_GB2312" w:cs="楷体"/>
          <w:b w:val="0"/>
          <w:bCs w:val="0"/>
          <w:sz w:val="32"/>
          <w:szCs w:val="32"/>
          <w:lang w:val="en-US" w:eastAsia="zh-CN"/>
        </w:rPr>
        <w:t>第二节 推进</w:t>
      </w:r>
      <w:bookmarkEnd w:id="405"/>
      <w:r>
        <w:rPr>
          <w:rFonts w:hint="eastAsia" w:ascii="楷体_GB2312" w:hAnsi="楷体" w:eastAsia="楷体_GB2312" w:cs="楷体"/>
          <w:b w:val="0"/>
          <w:bCs w:val="0"/>
          <w:sz w:val="32"/>
          <w:szCs w:val="32"/>
          <w:lang w:val="en-US" w:eastAsia="zh-CN"/>
        </w:rPr>
        <w:t>卫生健康信息协同共享</w:t>
      </w:r>
      <w:bookmarkEnd w:id="406"/>
      <w:bookmarkEnd w:id="407"/>
      <w:bookmarkEnd w:id="408"/>
      <w:bookmarkEnd w:id="409"/>
      <w:bookmarkEnd w:id="410"/>
      <w:bookmarkEnd w:id="411"/>
      <w:bookmarkEnd w:id="412"/>
      <w:bookmarkEnd w:id="413"/>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健康医疗大数据应用，强化卫生健康、医疗保障、药品监管等部门信息共享和业务协同，实现“三医联动”一张网。加强县市数据平台对接，依托福州市全民人口健康信息平台，推动电子病历、检查检验结果、医学影像资料等数据信息共建共享互认。推动电子健康卡、医保电子凭证、电子社保卡等“多码融合”应用，逐步实现县域内“一人一码、一码就医”。推动医学影像中心、心电诊断中心、病理诊断中心、消毒供应中心、临床检验中心等“五大中心”建设，实现医疗技术服务一体化应用和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楷体_GB2312" w:hAnsi="楷体" w:eastAsia="楷体_GB2312" w:cs="楷体"/>
          <w:b w:val="0"/>
          <w:bCs w:val="0"/>
          <w:sz w:val="32"/>
          <w:szCs w:val="32"/>
          <w:lang w:val="en-US" w:eastAsia="zh-CN"/>
        </w:rPr>
      </w:pPr>
      <w:bookmarkStart w:id="414" w:name="_Toc4819"/>
      <w:bookmarkStart w:id="415" w:name="_Toc23583"/>
      <w:bookmarkStart w:id="416" w:name="_Toc6938"/>
      <w:bookmarkStart w:id="417" w:name="_Toc15990"/>
      <w:bookmarkStart w:id="418" w:name="_Toc9690"/>
      <w:bookmarkStart w:id="419" w:name="_Toc16091"/>
      <w:bookmarkStart w:id="420" w:name="_Toc32240"/>
      <w:bookmarkStart w:id="421" w:name="_Toc30853"/>
      <w:r>
        <w:rPr>
          <w:rFonts w:hint="eastAsia" w:ascii="楷体_GB2312" w:hAnsi="楷体" w:eastAsia="楷体_GB2312" w:cs="楷体"/>
          <w:b w:val="0"/>
          <w:bCs w:val="0"/>
          <w:sz w:val="32"/>
          <w:szCs w:val="32"/>
          <w:lang w:val="en-US" w:eastAsia="zh-CN"/>
        </w:rPr>
        <w:t>第三节 完善远程医疗服务体系建设</w:t>
      </w:r>
      <w:bookmarkEnd w:id="414"/>
      <w:bookmarkEnd w:id="415"/>
      <w:bookmarkEnd w:id="416"/>
      <w:bookmarkEnd w:id="417"/>
      <w:bookmarkEnd w:id="418"/>
      <w:bookmarkEnd w:id="419"/>
      <w:bookmarkEnd w:id="420"/>
      <w:bookmarkEnd w:id="421"/>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按照省</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市统一部署，积极推进世界银行贷款医改促进项目，优化升级基层医疗卫生信息系统，积极扩展医共体信息化平台建设，推动县域双向转诊、远程心电、远程影像、实验检验、基卫结构化电子病历等实质性运作，推进县域内检查检验结果互认，构建以远程影像、远程心电、远程会诊等中心为主要应用的基层远程医疗服务体系。探索建立县域基层卫生信息服务和管理系统平台，为基本公共卫生、医防联动、便民服务、医共体建设、分级诊疗等改革提供信息化支撑。</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楷体_GB2312" w:hAnsi="楷体" w:eastAsia="楷体_GB2312" w:cs="楷体"/>
          <w:b w:val="0"/>
          <w:bCs w:val="0"/>
          <w:sz w:val="32"/>
          <w:szCs w:val="32"/>
          <w:lang w:val="en-US" w:eastAsia="zh-CN"/>
        </w:rPr>
      </w:pPr>
      <w:bookmarkStart w:id="422" w:name="_Toc2378"/>
      <w:bookmarkStart w:id="423" w:name="_Toc11022"/>
      <w:bookmarkStart w:id="424" w:name="_Toc20148"/>
      <w:bookmarkStart w:id="425" w:name="_Toc16011"/>
      <w:bookmarkStart w:id="426" w:name="_Toc30220"/>
      <w:bookmarkStart w:id="427" w:name="_Toc2359"/>
      <w:bookmarkStart w:id="428" w:name="_Toc7555"/>
      <w:bookmarkStart w:id="429" w:name="_Toc18365"/>
      <w:r>
        <w:rPr>
          <w:rFonts w:hint="eastAsia" w:ascii="楷体_GB2312" w:hAnsi="楷体" w:eastAsia="楷体_GB2312" w:cs="楷体"/>
          <w:b w:val="0"/>
          <w:bCs w:val="0"/>
          <w:sz w:val="32"/>
          <w:szCs w:val="32"/>
          <w:lang w:val="en-US" w:eastAsia="zh-CN"/>
        </w:rPr>
        <w:t>全面提升网络安全防护能力</w:t>
      </w:r>
      <w:bookmarkEnd w:id="422"/>
      <w:bookmarkEnd w:id="423"/>
      <w:bookmarkEnd w:id="424"/>
      <w:bookmarkEnd w:id="425"/>
      <w:bookmarkEnd w:id="426"/>
      <w:bookmarkEnd w:id="427"/>
      <w:bookmarkEnd w:id="428"/>
      <w:bookmarkEnd w:id="429"/>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落实网络安全等级保护和关键信息基础设施安全保护制度，强化信息安全保障体系建设，提升关键信息基础设施和重要信息系统的安全防护能力。三级医院及医共体牵头医院重要信息系统全部达到安全等级三级，二级医院重要信息系统达到安全等级二级及以上。加快推进涉密信息系统分级保护和非涉密信息系统等级保护的建设和评测。建立医疗数据全过程、可追溯机制，切实加强容灾备份、加密认证、准确恢复等安全保障措施，制定网络安全事件应急预案并开展演练，确保网络安全和个人信息安全。</w:t>
      </w:r>
    </w:p>
    <w:tbl>
      <w:tblPr>
        <w:tblStyle w:val="7"/>
        <w:tblpPr w:leftFromText="180" w:rightFromText="180" w:vertAnchor="text" w:horzAnchor="page" w:tblpX="1773" w:tblpY="797"/>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522" w:type="dxa"/>
            <w:noWrap w:val="0"/>
            <w:vAlign w:val="center"/>
          </w:tcPr>
          <w:p>
            <w:pPr>
              <w:spacing w:beforeLines="0" w:afterLines="0" w:line="560" w:lineRule="exact"/>
              <w:jc w:val="center"/>
              <w:rPr>
                <w:rFonts w:ascii="仿宋" w:hAnsi="仿宋" w:eastAsia="仿宋" w:cs="仿宋"/>
                <w:sz w:val="24"/>
              </w:rPr>
            </w:pPr>
            <w:bookmarkStart w:id="430" w:name="_Toc24071"/>
            <w:bookmarkStart w:id="431" w:name="_Toc3947"/>
            <w:bookmarkStart w:id="432" w:name="_Toc26461"/>
            <w:bookmarkStart w:id="433" w:name="_Toc32286"/>
            <w:bookmarkStart w:id="434" w:name="_Toc12474"/>
            <w:bookmarkStart w:id="435" w:name="_Toc4468"/>
            <w:bookmarkStart w:id="436" w:name="_Toc1971"/>
            <w:bookmarkStart w:id="437" w:name="_Toc15310"/>
            <w:bookmarkStart w:id="438" w:name="_Toc18198"/>
            <w:bookmarkStart w:id="439" w:name="_Toc9229"/>
            <w:r>
              <w:rPr>
                <w:rFonts w:hint="eastAsia" w:ascii="黑体" w:hAnsi="黑体" w:eastAsia="黑体" w:cs="黑体"/>
                <w:sz w:val="21"/>
                <w:szCs w:val="21"/>
              </w:rPr>
              <w:t>专栏9：全民健康信息化建设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center"/>
          </w:tcPr>
          <w:p>
            <w:pPr>
              <w:spacing w:beforeLines="0" w:afterLines="0" w:line="340" w:lineRule="exact"/>
              <w:ind w:firstLine="416"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加快推进智慧医院建设：构建分级诊疗信息服务体系，支撑县域医疗卫生信息一体化。完善智能辅助诊断、远程医疗服务、互联网医院等智慧应用的基础支撑，加快推进智慧医院建设。</w:t>
            </w:r>
          </w:p>
          <w:p>
            <w:pPr>
              <w:spacing w:beforeLines="0" w:afterLines="0" w:line="340" w:lineRule="exact"/>
              <w:ind w:firstLine="416" w:firstLineChars="200"/>
              <w:rPr>
                <w:rFonts w:hint="eastAsia" w:ascii="仿宋_GB2312" w:hAnsi="仿宋_GB2312" w:eastAsia="仿宋_GB2312" w:cs="仿宋_GB2312"/>
                <w:sz w:val="24"/>
              </w:rPr>
            </w:pPr>
            <w:r>
              <w:rPr>
                <w:rFonts w:hint="eastAsia" w:ascii="仿宋_GB2312" w:hAnsi="仿宋_GB2312" w:eastAsia="仿宋_GB2312" w:cs="仿宋_GB2312"/>
                <w:sz w:val="21"/>
                <w:szCs w:val="21"/>
              </w:rPr>
              <w:t>“互联网+”健康应用：深度开发方便、易用的手机智能应用，充分应用健康码，为居民通过信息化平台满足自身卫生需求提供帮助。</w:t>
            </w:r>
          </w:p>
        </w:tc>
      </w:tr>
    </w:tbl>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黑体" w:hAnsi="黑体" w:eastAsia="黑体" w:cs="黑体"/>
          <w:sz w:val="36"/>
          <w:szCs w:val="36"/>
          <w:lang w:eastAsia="zh-CN"/>
        </w:rPr>
      </w:pPr>
      <w:r>
        <w:rPr>
          <w:rFonts w:hint="eastAsia" w:ascii="黑体" w:hAnsi="黑体" w:eastAsia="黑体" w:cs="黑体"/>
          <w:sz w:val="36"/>
          <w:szCs w:val="36"/>
          <w:lang w:eastAsia="zh-CN"/>
        </w:rPr>
        <w:t>第八章 坚持多元融合，推进健康服务创新发展</w:t>
      </w:r>
      <w:bookmarkEnd w:id="430"/>
      <w:bookmarkEnd w:id="431"/>
      <w:bookmarkEnd w:id="432"/>
      <w:bookmarkEnd w:id="433"/>
      <w:bookmarkEnd w:id="434"/>
      <w:bookmarkEnd w:id="435"/>
      <w:bookmarkEnd w:id="436"/>
      <w:bookmarkEnd w:id="437"/>
      <w:bookmarkEnd w:id="438"/>
      <w:bookmarkEnd w:id="439"/>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楷体_GB2312" w:hAnsi="楷体" w:eastAsia="楷体_GB2312" w:cs="楷体"/>
          <w:b w:val="0"/>
          <w:bCs w:val="0"/>
          <w:sz w:val="32"/>
          <w:szCs w:val="32"/>
          <w:lang w:eastAsia="zh-CN"/>
        </w:rPr>
      </w:pPr>
      <w:bookmarkStart w:id="440" w:name="_Toc24706"/>
      <w:bookmarkStart w:id="441" w:name="_Toc22572"/>
      <w:bookmarkStart w:id="442" w:name="_Toc15644"/>
      <w:bookmarkStart w:id="443" w:name="_Toc24856"/>
      <w:bookmarkStart w:id="444" w:name="_Toc13432"/>
      <w:bookmarkStart w:id="445" w:name="_Toc32496"/>
      <w:bookmarkStart w:id="446" w:name="_Toc6754"/>
      <w:bookmarkStart w:id="447" w:name="_Toc19367"/>
      <w:r>
        <w:rPr>
          <w:rFonts w:hint="eastAsia" w:ascii="楷体_GB2312" w:hAnsi="楷体" w:eastAsia="楷体_GB2312" w:cs="楷体"/>
          <w:b w:val="0"/>
          <w:bCs w:val="0"/>
          <w:sz w:val="32"/>
          <w:szCs w:val="32"/>
        </w:rPr>
        <w:t xml:space="preserve">第一节 </w:t>
      </w:r>
      <w:bookmarkEnd w:id="440"/>
      <w:r>
        <w:rPr>
          <w:rFonts w:hint="eastAsia" w:ascii="楷体_GB2312" w:hAnsi="楷体" w:eastAsia="楷体_GB2312" w:cs="楷体"/>
          <w:b w:val="0"/>
          <w:bCs w:val="0"/>
          <w:sz w:val="32"/>
          <w:szCs w:val="32"/>
          <w:lang w:eastAsia="zh-CN"/>
        </w:rPr>
        <w:t>开展全民健康促进运动</w:t>
      </w:r>
      <w:bookmarkEnd w:id="441"/>
      <w:bookmarkEnd w:id="442"/>
      <w:bookmarkEnd w:id="443"/>
      <w:bookmarkEnd w:id="444"/>
      <w:bookmarkEnd w:id="445"/>
      <w:bookmarkEnd w:id="446"/>
      <w:bookmarkEnd w:id="447"/>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健康福建行动方案，结合福清市经济社会发展实际情况，推动健康福清建设，完成健康促进县、健康促进医院创建工作，积极促进全面健康。宣传卫生健康基本知识和理念，倡导健康生活方式和行为，引导居民掌握基本健康技能，提高居民健康素养。通过微信公众号、自媒体等新媒体形式，以儿童、青少年、老年人等重点人群作为健康教育重点干预对象，提高居民对健康行为、食品安全、健康保健等健康知识的了解和认识。加大校园卫生健康工作管理及卫生基础保障条件建设，提高全市学校卫生健康安全工作水平和学生健康素养。更新改造市区体育健身活动场馆，完善基础设施配套，全面提升服务功能，着力推动全民健身活动发展，引领群众体育健康发展。加强对公共场所控烟的监督执法，为居民提供戒烟服务，推进无烟机关、无烟环境建设。加强限酒健康教育，合理控制酒类广告，对酒精使用造成相关疾病的个人及其家庭提供干预治疗。针对慢性病患者及易患人群，在“临床处方”基础上，增加“健康促进处方”，提高居民慢性病防治素养和健康知识水平。</w:t>
      </w:r>
      <w:bookmarkStart w:id="448" w:name="_Toc23964"/>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楷体_GB2312" w:hAnsi="楷体" w:eastAsia="楷体_GB2312" w:cs="楷体"/>
          <w:b w:val="0"/>
          <w:bCs w:val="0"/>
          <w:sz w:val="32"/>
          <w:szCs w:val="32"/>
          <w:lang w:eastAsia="zh-CN"/>
        </w:rPr>
      </w:pPr>
      <w:bookmarkStart w:id="449" w:name="_Toc9681"/>
      <w:bookmarkStart w:id="450" w:name="_Toc32739"/>
      <w:bookmarkStart w:id="451" w:name="_Toc3095"/>
      <w:bookmarkStart w:id="452" w:name="_Toc24650"/>
      <w:bookmarkStart w:id="453" w:name="_Toc41"/>
      <w:bookmarkStart w:id="454" w:name="_Toc27360"/>
      <w:bookmarkStart w:id="455" w:name="_Toc11726"/>
      <w:r>
        <w:rPr>
          <w:rFonts w:hint="eastAsia" w:ascii="楷体_GB2312" w:hAnsi="楷体" w:eastAsia="楷体_GB2312" w:cs="楷体"/>
          <w:b w:val="0"/>
          <w:bCs w:val="0"/>
          <w:sz w:val="32"/>
          <w:szCs w:val="32"/>
        </w:rPr>
        <w:t xml:space="preserve">第二节 </w:t>
      </w:r>
      <w:bookmarkEnd w:id="448"/>
      <w:r>
        <w:rPr>
          <w:rFonts w:hint="eastAsia" w:ascii="楷体_GB2312" w:hAnsi="楷体" w:eastAsia="楷体_GB2312" w:cs="楷体"/>
          <w:b w:val="0"/>
          <w:bCs w:val="0"/>
          <w:sz w:val="32"/>
          <w:szCs w:val="32"/>
          <w:lang w:eastAsia="zh-CN"/>
        </w:rPr>
        <w:t>促进社会办医规范发展</w:t>
      </w:r>
      <w:bookmarkEnd w:id="449"/>
      <w:bookmarkEnd w:id="450"/>
      <w:bookmarkEnd w:id="451"/>
      <w:bookmarkEnd w:id="452"/>
      <w:bookmarkEnd w:id="453"/>
      <w:bookmarkEnd w:id="454"/>
      <w:bookmarkEnd w:id="455"/>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鼓励社会资本兴办医疗机构，将社会资本办医纳入各类规划范围，对社会办医区域总量和空间布局不作规划限制，落实税费优惠、财政奖励补助等支持性政策。持续深化医药卫生领域“放管服”改革，</w:t>
      </w:r>
      <w:r>
        <w:rPr>
          <w:rFonts w:hint="eastAsia" w:ascii="仿宋_GB2312" w:hAnsi="仿宋_GB2312" w:eastAsia="仿宋_GB2312" w:cs="仿宋_GB2312"/>
          <w:sz w:val="32"/>
          <w:szCs w:val="32"/>
          <w:lang w:val="en-US" w:eastAsia="zh-Hans"/>
        </w:rPr>
        <w:t>持续优化准入程序，</w:t>
      </w:r>
      <w:r>
        <w:rPr>
          <w:rFonts w:hint="eastAsia" w:ascii="仿宋_GB2312" w:hAnsi="仿宋_GB2312" w:eastAsia="仿宋_GB2312" w:cs="仿宋_GB2312"/>
          <w:sz w:val="32"/>
          <w:szCs w:val="32"/>
          <w:lang w:val="en-US" w:eastAsia="zh-CN"/>
        </w:rPr>
        <w:t>全面实施诊所备案管理，</w:t>
      </w:r>
      <w:r>
        <w:rPr>
          <w:rFonts w:hint="eastAsia" w:ascii="仿宋_GB2312" w:hAnsi="仿宋_GB2312" w:eastAsia="仿宋_GB2312" w:cs="仿宋_GB2312"/>
          <w:sz w:val="32"/>
          <w:szCs w:val="32"/>
          <w:lang w:val="en-US" w:eastAsia="zh-Hans"/>
        </w:rPr>
        <w:t>继续推进社会办医跨部门联动审批，</w:t>
      </w:r>
      <w:r>
        <w:rPr>
          <w:rFonts w:hint="eastAsia" w:ascii="仿宋_GB2312" w:hAnsi="仿宋_GB2312" w:eastAsia="仿宋_GB2312" w:cs="仿宋_GB2312"/>
          <w:sz w:val="32"/>
          <w:szCs w:val="32"/>
          <w:lang w:val="en-US" w:eastAsia="zh-CN"/>
        </w:rPr>
        <w:t>进一步优化社会资本办医等健康产业营商环境。将社会办医纳入医疗服务和质量管理控制及评价体系，加强医疗执业活动监督管理，促进行业自律和健康可持续发展。探索开展行业信用评价，建立医疗机构及从业人员信用管理制度，促进社会办医健康发展。以市场需求为导向，引导社会资本办医向“专、精、优”方向发展。推动福清南方医院、海西口腔医院、行知中西结合医院等医院建成并投入使用。建立健全多元化的健康保险体系，鼓励企业和个人参加商业保险及多种形式的补充保险，解决基本医疗保险之外的就医健康需求。到2025年，力争非公立医疗机构床位数和服务量达到总量的26%左右，全市</w:t>
      </w:r>
      <w:r>
        <w:rPr>
          <w:rFonts w:hint="eastAsia" w:cs="仿宋_GB2312"/>
          <w:sz w:val="32"/>
          <w:szCs w:val="32"/>
          <w:lang w:val="en-US" w:eastAsia="zh-CN"/>
        </w:rPr>
        <w:t>每</w:t>
      </w:r>
      <w:r>
        <w:rPr>
          <w:rFonts w:hint="eastAsia" w:ascii="仿宋_GB2312" w:hAnsi="仿宋_GB2312" w:eastAsia="仿宋_GB2312" w:cs="仿宋_GB2312"/>
          <w:sz w:val="32"/>
          <w:szCs w:val="32"/>
          <w:lang w:val="en-US" w:eastAsia="zh-CN"/>
        </w:rPr>
        <w:t>千常住人口医疗机构床位达到4.7张。</w:t>
      </w:r>
      <w:bookmarkStart w:id="456" w:name="_Toc17421"/>
      <w:bookmarkStart w:id="457" w:name="_Toc9047"/>
      <w:bookmarkStart w:id="458" w:name="_Toc936"/>
      <w:bookmarkStart w:id="459" w:name="_Toc8047"/>
      <w:bookmarkStart w:id="460" w:name="_Toc26508"/>
      <w:bookmarkStart w:id="461" w:name="_Toc22254"/>
      <w:bookmarkStart w:id="462" w:name="_Toc375"/>
      <w:bookmarkStart w:id="463" w:name="_Toc18995"/>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楷体_GB2312" w:hAnsi="楷体" w:eastAsia="楷体_GB2312" w:cs="楷体"/>
          <w:b w:val="0"/>
          <w:bCs w:val="0"/>
          <w:sz w:val="32"/>
          <w:szCs w:val="32"/>
        </w:rPr>
      </w:pPr>
      <w:r>
        <w:rPr>
          <w:rFonts w:hint="eastAsia" w:ascii="楷体_GB2312" w:hAnsi="楷体" w:eastAsia="楷体_GB2312" w:cs="楷体"/>
          <w:b w:val="0"/>
          <w:bCs w:val="0"/>
          <w:sz w:val="32"/>
          <w:szCs w:val="32"/>
        </w:rPr>
        <w:t>第三节 推动健康产业</w:t>
      </w:r>
      <w:bookmarkEnd w:id="456"/>
      <w:bookmarkEnd w:id="457"/>
      <w:bookmarkEnd w:id="458"/>
      <w:bookmarkEnd w:id="459"/>
      <w:bookmarkEnd w:id="460"/>
      <w:bookmarkEnd w:id="461"/>
      <w:bookmarkEnd w:id="462"/>
      <w:r>
        <w:rPr>
          <w:rFonts w:hint="eastAsia" w:ascii="楷体_GB2312" w:hAnsi="楷体" w:eastAsia="楷体_GB2312" w:cs="楷体"/>
          <w:b w:val="0"/>
          <w:bCs w:val="0"/>
          <w:sz w:val="32"/>
          <w:szCs w:val="32"/>
          <w:lang w:eastAsia="zh-CN"/>
        </w:rPr>
        <w:t>创新发展</w:t>
      </w:r>
      <w:bookmarkEnd w:id="463"/>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一步推动医药产业创新发展和产业链延伸，完善创新药、改良型新药、仿制药、原料药及中间体研发的医药产业链，提高药物制剂产业核心竞争力和医药产品附加值，促进产学研一体化、产业化不断加强。支持健身休闲产业、体育旅游、体育传媒、体育会展等业态发展。推动中医药传承创新、发展中医药产品研发，为市民提供经济便捷的中医药养生保健、医疗康复、健康管理、心理咨询等中医药服务。</w:t>
      </w:r>
      <w:bookmarkStart w:id="464" w:name="_Toc11890"/>
      <w:bookmarkStart w:id="465" w:name="_Toc16098"/>
      <w:bookmarkStart w:id="466" w:name="_Toc5007"/>
      <w:bookmarkStart w:id="467" w:name="_Toc7229"/>
      <w:bookmarkStart w:id="468" w:name="_Toc4826"/>
      <w:bookmarkStart w:id="469" w:name="_Toc10354"/>
      <w:bookmarkStart w:id="470" w:name="_Toc14637"/>
      <w:bookmarkStart w:id="471" w:name="_Toc14409"/>
      <w:bookmarkStart w:id="472" w:name="_Toc17289"/>
      <w:bookmarkStart w:id="473" w:name="_Toc19144"/>
    </w:p>
    <w:p>
      <w:pPr>
        <w:keepNext w:val="0"/>
        <w:keepLines w:val="0"/>
        <w:pageBreakBefore w:val="0"/>
        <w:widowControl w:val="0"/>
        <w:numPr>
          <w:ilvl w:val="0"/>
          <w:numId w:val="4"/>
        </w:numPr>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1"/>
        <w:rPr>
          <w:rFonts w:hint="eastAsia" w:ascii="黑体" w:hAnsi="黑体" w:eastAsia="黑体" w:cs="黑体"/>
          <w:sz w:val="36"/>
          <w:szCs w:val="36"/>
          <w:lang w:eastAsia="zh-CN"/>
        </w:rPr>
      </w:pPr>
      <w:r>
        <w:rPr>
          <w:rFonts w:hint="eastAsia" w:ascii="黑体" w:hAnsi="黑体" w:eastAsia="黑体" w:cs="黑体"/>
          <w:sz w:val="36"/>
          <w:szCs w:val="36"/>
          <w:lang w:eastAsia="zh-CN"/>
        </w:rPr>
        <w:t>加强综合监管，保证医疗卫生行业安全</w:t>
      </w:r>
      <w:bookmarkEnd w:id="464"/>
      <w:bookmarkEnd w:id="465"/>
      <w:bookmarkEnd w:id="466"/>
      <w:bookmarkEnd w:id="467"/>
      <w:bookmarkEnd w:id="468"/>
      <w:bookmarkEnd w:id="469"/>
      <w:bookmarkEnd w:id="470"/>
      <w:bookmarkEnd w:id="471"/>
      <w:bookmarkEnd w:id="472"/>
      <w:bookmarkEnd w:id="473"/>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bookmarkStart w:id="474" w:name="_Toc13967"/>
      <w:bookmarkStart w:id="475" w:name="_Toc4951"/>
      <w:bookmarkStart w:id="476" w:name="_Toc31423"/>
      <w:bookmarkStart w:id="477" w:name="_Toc22603"/>
      <w:bookmarkStart w:id="478" w:name="_Toc17362"/>
      <w:r>
        <w:rPr>
          <w:rFonts w:hint="eastAsia" w:ascii="仿宋_GB2312" w:hAnsi="仿宋_GB2312" w:eastAsia="仿宋_GB2312" w:cs="仿宋_GB2312"/>
          <w:sz w:val="32"/>
          <w:szCs w:val="32"/>
          <w:lang w:val="en-US" w:eastAsia="zh-CN"/>
        </w:rPr>
        <w:t>加强医疗、医药、医保等监管联动，建立多部门综合监管机制。搭建医疗机构、医务人员、医疗行为信息监管平台，提升医疗综合监管信息化水平，实施全流程监管。建立健全健康产业新业态、新模式监管制度，实施依法执业基础上的包容审慎监管。强化医疗卫生机构自我管理主体责任，建立大型医用设备检查适宜性点评制度，将临床路径管理纳入临床科室、治疗组以及医生个人考核内容，规范医疗行为，促进合理医疗检查。严格信息安全防范，强化患者隐私保护。加强医药卫生领域廉洁文化建设，健全医务人员医德考评制度，强化“九不准”等制度执行，在各级医疗机构开展无“红包”医院创建活动。按“源头治理”与“末端控制”相结合原则，常态化开展重点领域专项整治，聚焦医药耗材购销领域和医疗行业不正之风治理、医疗乱象整治、打击骗保等，整顿行业运行不良秩序，巩固风清气正的医药卫生行业氛围。</w:t>
      </w:r>
      <w:bookmarkEnd w:id="474"/>
      <w:bookmarkEnd w:id="475"/>
      <w:bookmarkEnd w:id="476"/>
      <w:bookmarkEnd w:id="477"/>
      <w:bookmarkEnd w:id="478"/>
    </w:p>
    <w:p>
      <w:pPr>
        <w:spacing w:beforeLines="0" w:afterLines="0" w:line="560" w:lineRule="exact"/>
        <w:jc w:val="center"/>
        <w:outlineLvl w:val="0"/>
        <w:rPr>
          <w:rFonts w:hint="eastAsia" w:ascii="黑体" w:hAnsi="黑体" w:eastAsia="黑体" w:cs="黑体"/>
          <w:sz w:val="44"/>
          <w:szCs w:val="44"/>
        </w:rPr>
      </w:pPr>
      <w:bookmarkStart w:id="479" w:name="_Toc18254"/>
      <w:bookmarkStart w:id="480" w:name="_Toc31710"/>
      <w:bookmarkStart w:id="481" w:name="_Toc14600"/>
      <w:bookmarkStart w:id="482" w:name="_Toc19824"/>
      <w:bookmarkStart w:id="483" w:name="_Toc8057"/>
      <w:bookmarkStart w:id="484" w:name="_Toc6525"/>
      <w:bookmarkStart w:id="485" w:name="_Toc2190"/>
      <w:bookmarkStart w:id="486" w:name="_Toc2842"/>
      <w:bookmarkStart w:id="487" w:name="_Toc1911"/>
      <w:bookmarkStart w:id="488" w:name="_Toc19444"/>
      <w:bookmarkStart w:id="489" w:name="_Toc11093"/>
      <w:bookmarkStart w:id="490" w:name="_Toc4918"/>
      <w:bookmarkStart w:id="491" w:name="_Toc25334"/>
      <w:bookmarkStart w:id="492" w:name="_Toc12841"/>
      <w:bookmarkStart w:id="493" w:name="_Toc14318"/>
      <w:bookmarkStart w:id="494" w:name="_Toc19466"/>
      <w:bookmarkStart w:id="495" w:name="_Toc31469"/>
      <w:bookmarkStart w:id="496" w:name="_Toc2016"/>
      <w:bookmarkStart w:id="497" w:name="_Toc78135048"/>
      <w:bookmarkStart w:id="498" w:name="_Toc25138"/>
      <w:bookmarkStart w:id="499" w:name="_Toc5256"/>
      <w:bookmarkStart w:id="500" w:name="_Toc4255"/>
      <w:bookmarkStart w:id="501" w:name="_Toc27694"/>
    </w:p>
    <w:p>
      <w:pPr>
        <w:spacing w:beforeLines="0" w:afterLines="0" w:line="560" w:lineRule="exact"/>
        <w:jc w:val="center"/>
        <w:outlineLvl w:val="0"/>
        <w:rPr>
          <w:rFonts w:hint="eastAsia" w:ascii="黑体" w:hAnsi="黑体" w:eastAsia="黑体" w:cs="黑体"/>
          <w:sz w:val="44"/>
          <w:szCs w:val="44"/>
        </w:rPr>
      </w:pPr>
    </w:p>
    <w:p>
      <w:pPr>
        <w:spacing w:beforeLines="0" w:afterLines="0" w:line="560" w:lineRule="exact"/>
        <w:jc w:val="center"/>
        <w:outlineLvl w:val="0"/>
        <w:rPr>
          <w:rFonts w:hint="eastAsia" w:ascii="黑体" w:hAnsi="黑体" w:eastAsia="黑体" w:cs="黑体"/>
          <w:sz w:val="44"/>
          <w:szCs w:val="44"/>
        </w:rPr>
      </w:pPr>
      <w:r>
        <w:rPr>
          <w:rFonts w:hint="eastAsia" w:ascii="黑体" w:hAnsi="黑体" w:eastAsia="黑体" w:cs="黑体"/>
          <w:sz w:val="44"/>
          <w:szCs w:val="44"/>
        </w:rPr>
        <w:t>第四篇  实施</w:t>
      </w:r>
      <w:bookmarkEnd w:id="479"/>
      <w:bookmarkEnd w:id="480"/>
      <w:bookmarkEnd w:id="481"/>
      <w:r>
        <w:rPr>
          <w:rFonts w:hint="eastAsia" w:ascii="黑体" w:hAnsi="黑体" w:eastAsia="黑体" w:cs="黑体"/>
          <w:sz w:val="44"/>
          <w:szCs w:val="44"/>
        </w:rPr>
        <w:t>保障</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sz w:val="36"/>
          <w:szCs w:val="36"/>
          <w:lang w:eastAsia="zh-CN"/>
        </w:rPr>
      </w:pPr>
      <w:bookmarkStart w:id="502" w:name="_Toc12793"/>
      <w:bookmarkStart w:id="503" w:name="_Toc78135049"/>
      <w:bookmarkStart w:id="504" w:name="_Toc2121"/>
      <w:bookmarkStart w:id="505" w:name="_Toc5958"/>
      <w:bookmarkStart w:id="506" w:name="_Toc3559"/>
      <w:bookmarkStart w:id="507" w:name="_Toc213"/>
      <w:bookmarkStart w:id="508" w:name="_Toc2271"/>
      <w:bookmarkStart w:id="509" w:name="_Toc10274"/>
      <w:bookmarkStart w:id="510" w:name="_Toc12582"/>
      <w:bookmarkStart w:id="511" w:name="_Toc23803"/>
      <w:bookmarkStart w:id="512" w:name="_Toc11288"/>
      <w:bookmarkStart w:id="513" w:name="_Toc27311"/>
      <w:bookmarkStart w:id="514" w:name="_Toc20079"/>
      <w:bookmarkStart w:id="515" w:name="_Toc17651"/>
      <w:bookmarkStart w:id="516" w:name="_Toc22573"/>
      <w:bookmarkStart w:id="517" w:name="_Toc2987"/>
      <w:bookmarkStart w:id="518" w:name="_Toc22882"/>
      <w:bookmarkStart w:id="519" w:name="_Toc27926"/>
      <w:bookmarkStart w:id="520" w:name="_Toc10673"/>
      <w:bookmarkStart w:id="521" w:name="_Toc8109"/>
      <w:bookmarkStart w:id="522" w:name="_Toc21937"/>
      <w:bookmarkStart w:id="523" w:name="_Toc12984"/>
      <w:bookmarkStart w:id="524" w:name="_Toc32055"/>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sz w:val="36"/>
          <w:szCs w:val="36"/>
          <w:lang w:eastAsia="zh-CN"/>
        </w:rPr>
      </w:pPr>
      <w:r>
        <w:rPr>
          <w:rFonts w:hint="eastAsia" w:ascii="黑体" w:hAnsi="黑体" w:eastAsia="黑体" w:cs="黑体"/>
          <w:b w:val="0"/>
          <w:bCs w:val="0"/>
          <w:sz w:val="36"/>
          <w:szCs w:val="36"/>
          <w:lang w:eastAsia="zh-CN"/>
        </w:rPr>
        <w:t>第一章 加强组织领导</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党对卫生健康工作的领导方针，把人民健康放在首位，提高对卫生健康工作的认识，制定完善卫生事业发展相关规划和有关政策措施，保障卫生事业健康发展。以卫生部门为主体，明确各部门职责分工，引导调控社会资源，推动医药、医保、医疗管理体系同步联动改革，统筹协调共同推进卫生健康工作高效开展，制定和完善相应绩效评价考核体系和具体考核办法，保障规划目标和任务的完成。</w:t>
      </w:r>
      <w:bookmarkStart w:id="525" w:name="_Toc13791"/>
      <w:bookmarkStart w:id="526" w:name="_Toc11651"/>
      <w:bookmarkStart w:id="527" w:name="_Toc18201"/>
      <w:bookmarkStart w:id="528" w:name="_Toc2970"/>
      <w:bookmarkStart w:id="529" w:name="_Toc11400"/>
      <w:bookmarkStart w:id="530" w:name="_Toc26075"/>
      <w:bookmarkStart w:id="531" w:name="_Toc19543"/>
      <w:bookmarkStart w:id="532" w:name="_Toc9532"/>
      <w:bookmarkStart w:id="533" w:name="_Toc8612"/>
      <w:bookmarkStart w:id="534" w:name="_Toc2201"/>
      <w:bookmarkStart w:id="535" w:name="_Toc13948"/>
      <w:bookmarkStart w:id="536" w:name="_Toc29087"/>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第二章 保障财政投入</w:t>
      </w:r>
      <w:bookmarkEnd w:id="525"/>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明确政府是卫生财政投入主体，根据人口形势、主要卫生问题和卫生需求现状，完善医疗卫生服务投入机制，以基本医疗和公共卫生服务为重点，明确财政投入原则和规模，明确基本经费和各项专项经费，调整卫生资源配置，提高卫生服务可及性，促进社会协调发展。</w:t>
      </w:r>
      <w:bookmarkStart w:id="537" w:name="_Toc30941"/>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lang w:eastAsia="zh-CN"/>
        </w:rPr>
      </w:pPr>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sz w:val="36"/>
          <w:szCs w:val="36"/>
          <w:lang w:eastAsia="zh-CN"/>
        </w:rPr>
      </w:pPr>
      <w:r>
        <w:rPr>
          <w:rFonts w:hint="eastAsia" w:ascii="黑体" w:hAnsi="黑体" w:eastAsia="黑体" w:cs="黑体"/>
          <w:b w:val="0"/>
          <w:bCs w:val="0"/>
          <w:sz w:val="36"/>
          <w:szCs w:val="36"/>
          <w:lang w:eastAsia="zh-CN"/>
        </w:rPr>
        <w:t>第三章 加强法治建设</w:t>
      </w:r>
      <w:bookmarkEnd w:id="526"/>
      <w:bookmarkEnd w:id="527"/>
      <w:bookmarkEnd w:id="528"/>
      <w:bookmarkEnd w:id="529"/>
      <w:bookmarkEnd w:id="530"/>
      <w:bookmarkEnd w:id="531"/>
      <w:bookmarkEnd w:id="532"/>
      <w:bookmarkEnd w:id="533"/>
      <w:bookmarkEnd w:id="534"/>
      <w:bookmarkEnd w:id="535"/>
      <w:bookmarkEnd w:id="536"/>
      <w:bookmarkEnd w:id="537"/>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实施卫生健康促进法，认真学习卫生健康重大公共政策、行业规范和技术标准，全面推进依法行政工作，强化依法管理、依法执业、依法维权，做好卫生健康信访调解、行政复议、行政应诉等工作，建立健全矛盾纠纷预防和化解机制。依法保障医护人员合法权益和卫生健康管理秩序。</w:t>
      </w:r>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sz w:val="36"/>
          <w:szCs w:val="36"/>
          <w:lang w:eastAsia="zh-CN"/>
        </w:rPr>
      </w:pPr>
      <w:bookmarkStart w:id="538" w:name="_Toc17451"/>
      <w:bookmarkStart w:id="539" w:name="_Toc3645"/>
      <w:bookmarkStart w:id="540" w:name="_Toc21434"/>
      <w:bookmarkStart w:id="541" w:name="_Toc19415"/>
      <w:bookmarkStart w:id="542" w:name="_Toc5612"/>
      <w:bookmarkStart w:id="543" w:name="_Toc7671"/>
      <w:bookmarkStart w:id="544" w:name="_Toc10891"/>
      <w:bookmarkStart w:id="545" w:name="_Toc2338"/>
      <w:bookmarkStart w:id="546" w:name="_Toc20548"/>
      <w:bookmarkStart w:id="547" w:name="_Toc23956"/>
      <w:bookmarkStart w:id="548" w:name="_Toc17859"/>
      <w:bookmarkStart w:id="549" w:name="_Toc6229"/>
      <w:r>
        <w:rPr>
          <w:rFonts w:hint="eastAsia" w:ascii="黑体" w:hAnsi="黑体" w:eastAsia="黑体" w:cs="黑体"/>
          <w:b w:val="0"/>
          <w:bCs w:val="0"/>
          <w:sz w:val="36"/>
          <w:szCs w:val="36"/>
          <w:lang w:eastAsia="zh-CN"/>
        </w:rPr>
        <w:t>第四章 提供要素保障</w:t>
      </w:r>
      <w:bookmarkEnd w:id="538"/>
      <w:bookmarkEnd w:id="539"/>
      <w:bookmarkEnd w:id="540"/>
      <w:bookmarkEnd w:id="541"/>
      <w:bookmarkEnd w:id="542"/>
      <w:bookmarkEnd w:id="543"/>
      <w:bookmarkEnd w:id="544"/>
      <w:bookmarkEnd w:id="545"/>
      <w:bookmarkEnd w:id="546"/>
      <w:bookmarkEnd w:id="547"/>
      <w:bookmarkEnd w:id="548"/>
      <w:bookmarkEnd w:id="549"/>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val="0"/>
        <w:snapToGrid w:val="0"/>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bookmarkStart w:id="550" w:name="_Toc16579"/>
      <w:bookmarkStart w:id="551" w:name="_Toc12046"/>
      <w:bookmarkStart w:id="552" w:name="_Toc8573"/>
      <w:bookmarkStart w:id="553" w:name="_Toc12663"/>
      <w:bookmarkStart w:id="554" w:name="_Toc31010"/>
      <w:bookmarkStart w:id="555" w:name="_Toc30607"/>
      <w:bookmarkStart w:id="556" w:name="_Toc23941"/>
      <w:bookmarkStart w:id="557" w:name="_Toc28521"/>
      <w:bookmarkStart w:id="558" w:name="_Toc4024"/>
      <w:bookmarkStart w:id="559" w:name="_Toc4976"/>
      <w:bookmarkStart w:id="560" w:name="_Toc2991"/>
      <w:bookmarkStart w:id="561" w:name="_Toc17459"/>
      <w:r>
        <w:rPr>
          <w:rFonts w:hint="eastAsia" w:ascii="仿宋_GB2312" w:hAnsi="仿宋_GB2312" w:eastAsia="仿宋_GB2312" w:cs="仿宋_GB2312"/>
          <w:sz w:val="32"/>
          <w:szCs w:val="32"/>
          <w:lang w:val="en-US" w:eastAsia="zh-CN"/>
        </w:rPr>
        <w:t>做好卫生健康医疗资金保障和技术支持工作，明确卫生事业发展目标，吸引各类社会力量共同参与建设，提高资金利用效益，促进卫生适宜技术推广，重点向薄弱地区、薄弱领域和环节倾斜资源，保障群众基本健康需求，切实提高地区卫生健康发展水平。</w:t>
      </w:r>
      <w:bookmarkEnd w:id="550"/>
      <w:bookmarkEnd w:id="551"/>
      <w:bookmarkEnd w:id="552"/>
      <w:bookmarkEnd w:id="553"/>
      <w:bookmarkEnd w:id="554"/>
      <w:bookmarkEnd w:id="555"/>
      <w:bookmarkEnd w:id="556"/>
      <w:bookmarkEnd w:id="557"/>
      <w:bookmarkEnd w:id="558"/>
      <w:bookmarkEnd w:id="559"/>
      <w:bookmarkEnd w:id="560"/>
      <w:bookmarkEnd w:id="561"/>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val="0"/>
        <w:snapToGrid w:val="0"/>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黑体" w:hAnsi="黑体" w:eastAsia="黑体" w:cs="黑体"/>
          <w:b w:val="0"/>
          <w:bCs w:val="0"/>
          <w:sz w:val="36"/>
          <w:szCs w:val="36"/>
          <w:lang w:eastAsia="zh-CN"/>
        </w:rPr>
      </w:pPr>
      <w:bookmarkStart w:id="562" w:name="_Toc19901"/>
      <w:bookmarkStart w:id="563" w:name="_Toc25120"/>
      <w:bookmarkStart w:id="564" w:name="_Toc27798"/>
      <w:bookmarkStart w:id="565" w:name="_Toc25586"/>
      <w:bookmarkStart w:id="566" w:name="_Toc15141"/>
      <w:bookmarkStart w:id="567" w:name="_Toc19547"/>
      <w:bookmarkStart w:id="568" w:name="_Toc277"/>
      <w:bookmarkStart w:id="569" w:name="_Toc9663"/>
      <w:bookmarkStart w:id="570" w:name="_Toc845"/>
      <w:bookmarkStart w:id="571" w:name="_Toc777"/>
      <w:bookmarkStart w:id="572" w:name="_Toc28942"/>
      <w:bookmarkStart w:id="573" w:name="_Toc27466"/>
      <w:r>
        <w:rPr>
          <w:rFonts w:hint="eastAsia" w:ascii="黑体" w:hAnsi="黑体" w:eastAsia="黑体" w:cs="黑体"/>
          <w:b w:val="0"/>
          <w:bCs w:val="0"/>
          <w:sz w:val="36"/>
          <w:szCs w:val="36"/>
          <w:lang w:eastAsia="zh-CN"/>
        </w:rPr>
        <w:t>第五章 加强环境营造</w:t>
      </w:r>
      <w:bookmarkEnd w:id="562"/>
      <w:bookmarkEnd w:id="563"/>
      <w:bookmarkEnd w:id="564"/>
      <w:bookmarkEnd w:id="565"/>
      <w:bookmarkEnd w:id="566"/>
      <w:bookmarkEnd w:id="567"/>
      <w:bookmarkEnd w:id="568"/>
      <w:bookmarkEnd w:id="569"/>
      <w:bookmarkEnd w:id="570"/>
      <w:bookmarkEnd w:id="571"/>
      <w:bookmarkEnd w:id="572"/>
      <w:bookmarkEnd w:id="573"/>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行政部门、公立医院各级宣传部门要以习近平新时代中国特色社会主义思想为指导，开展卫生健康宣传工作，营造尊医重卫的社会氛围，促进医疗行业稳定发展，为提高医疗服务水平、增进医患信任、增强人民群众获得感、提升人民群众健康水平营造良好环境。</w:t>
      </w:r>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cs="仿宋_GB2312"/>
          <w:sz w:val="32"/>
          <w:szCs w:val="32"/>
          <w:lang w:val="en" w:eastAsia="zh-CN"/>
        </w:rPr>
      </w:pPr>
      <w:r>
        <w:rPr>
          <w:rFonts w:hint="eastAsia" w:cs="仿宋_GB2312"/>
          <w:sz w:val="32"/>
          <w:szCs w:val="32"/>
          <w:lang w:val="en" w:eastAsia="zh-CN"/>
        </w:rPr>
        <w:t>附件：“十四五”期间福清市医疗卫生机构基础设施建设项</w:t>
      </w:r>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Lines="0" w:afterLines="0" w:line="560" w:lineRule="exact"/>
        <w:ind w:left="0" w:leftChars="0" w:right="0" w:rightChars="0" w:firstLine="1590" w:firstLineChars="500"/>
        <w:jc w:val="both"/>
        <w:textAlignment w:val="auto"/>
        <w:outlineLvl w:val="9"/>
        <w:rPr>
          <w:rFonts w:hint="eastAsia" w:cs="仿宋_GB2312"/>
          <w:sz w:val="32"/>
          <w:szCs w:val="32"/>
          <w:lang w:val="en" w:eastAsia="zh-CN"/>
        </w:rPr>
      </w:pPr>
      <w:r>
        <w:rPr>
          <w:rFonts w:hint="eastAsia" w:cs="仿宋_GB2312"/>
          <w:sz w:val="32"/>
          <w:szCs w:val="32"/>
          <w:lang w:val="en" w:eastAsia="zh-CN"/>
        </w:rPr>
        <w:t>目表</w:t>
      </w:r>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cs="仿宋_GB2312"/>
          <w:sz w:val="32"/>
          <w:szCs w:val="32"/>
          <w:lang w:val="en" w:eastAsia="zh-CN"/>
        </w:rPr>
      </w:pPr>
    </w:p>
    <w:p>
      <w:pPr>
        <w:keepNext w:val="0"/>
        <w:keepLines w:val="0"/>
        <w:pageBreakBefore w:val="0"/>
        <w:widowControl w:val="0"/>
        <w:pBdr>
          <w:bottom w:val="single" w:color="FFFFFF" w:sz="4" w:space="25"/>
        </w:pBdr>
        <w:tabs>
          <w:tab w:val="left" w:pos="1440"/>
        </w:tabs>
        <w:kinsoku/>
        <w:wordWrap/>
        <w:overflowPunct/>
        <w:topLinePunct w:val="0"/>
        <w:autoSpaceDE/>
        <w:autoSpaceDN/>
        <w:bidi w:val="0"/>
        <w:adjustRightInd/>
        <w:snapToGrid/>
        <w:spacing w:beforeLines="0" w:afterLines="0" w:line="560" w:lineRule="exact"/>
        <w:ind w:left="0" w:leftChars="0" w:right="0" w:rightChars="0" w:firstLine="636" w:firstLineChars="200"/>
        <w:jc w:val="both"/>
        <w:textAlignment w:val="auto"/>
        <w:outlineLvl w:val="9"/>
        <w:rPr>
          <w:rFonts w:hint="eastAsia" w:cs="仿宋_GB2312"/>
          <w:sz w:val="32"/>
          <w:szCs w:val="32"/>
          <w:lang w:val="en" w:eastAsia="zh-CN"/>
        </w:rPr>
      </w:pPr>
    </w:p>
    <w:p>
      <w:pPr>
        <w:spacing w:beforeLines="0" w:afterLines="0" w:line="560" w:lineRule="exact"/>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w:t>
      </w:r>
      <w:r>
        <w:rPr>
          <w:rFonts w:hint="eastAsia" w:ascii="黑体" w:hAnsi="黑体" w:eastAsia="黑体" w:cs="黑体"/>
          <w:color w:val="auto"/>
          <w:sz w:val="32"/>
          <w:szCs w:val="32"/>
          <w:lang w:eastAsia="zh-CN"/>
        </w:rPr>
        <w:t>件</w:t>
      </w:r>
    </w:p>
    <w:p>
      <w:pPr>
        <w:spacing w:beforeLines="0" w:afterLines="0" w:line="560" w:lineRule="exact"/>
        <w:jc w:val="center"/>
        <w:rPr>
          <w:rFonts w:hint="eastAsia" w:ascii="黑体" w:hAnsi="黑体" w:eastAsia="黑体" w:cs="黑体"/>
          <w:color w:val="FF0000"/>
          <w:sz w:val="24"/>
          <w:szCs w:val="24"/>
        </w:rPr>
      </w:pPr>
      <w:r>
        <w:rPr>
          <w:rFonts w:hint="eastAsia" w:ascii="黑体" w:hAnsi="黑体" w:eastAsia="黑体" w:cs="黑体"/>
          <w:color w:val="auto"/>
          <w:sz w:val="32"/>
          <w:szCs w:val="32"/>
        </w:rPr>
        <w:t>“十四五”期间福清市医疗卫生机构基础设施建设项目表</w:t>
      </w:r>
    </w:p>
    <w:tbl>
      <w:tblPr>
        <w:tblStyle w:val="7"/>
        <w:tblW w:w="8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18"/>
        <w:gridCol w:w="3405"/>
        <w:gridCol w:w="1200"/>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47" w:type="dxa"/>
            <w:noWrap w:val="0"/>
            <w:vAlign w:val="center"/>
          </w:tcPr>
          <w:p>
            <w:pPr>
              <w:spacing w:beforeLines="0" w:afterLines="0" w:line="3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序号</w:t>
            </w:r>
          </w:p>
        </w:tc>
        <w:tc>
          <w:tcPr>
            <w:tcW w:w="1518" w:type="dxa"/>
            <w:noWrap w:val="0"/>
            <w:vAlign w:val="center"/>
          </w:tcPr>
          <w:p>
            <w:pPr>
              <w:spacing w:beforeLines="0" w:afterLines="0" w:line="3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项目</w:t>
            </w:r>
          </w:p>
        </w:tc>
        <w:tc>
          <w:tcPr>
            <w:tcW w:w="3405" w:type="dxa"/>
            <w:noWrap w:val="0"/>
            <w:vAlign w:val="center"/>
          </w:tcPr>
          <w:p>
            <w:pPr>
              <w:spacing w:beforeLines="0" w:afterLines="0" w:line="3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建设内容及规模</w:t>
            </w:r>
          </w:p>
        </w:tc>
        <w:tc>
          <w:tcPr>
            <w:tcW w:w="1200" w:type="dxa"/>
            <w:noWrap w:val="0"/>
            <w:vAlign w:val="center"/>
          </w:tcPr>
          <w:p>
            <w:pPr>
              <w:spacing w:beforeLines="0" w:afterLines="0" w:line="3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lang w:eastAsia="zh-CN"/>
              </w:rPr>
              <w:t>预计</w:t>
            </w:r>
            <w:r>
              <w:rPr>
                <w:rFonts w:hint="eastAsia" w:ascii="黑体" w:hAnsi="黑体" w:eastAsia="黑体" w:cs="黑体"/>
                <w:color w:val="auto"/>
                <w:sz w:val="21"/>
                <w:szCs w:val="21"/>
              </w:rPr>
              <w:t>总投资（万元）</w:t>
            </w:r>
          </w:p>
        </w:tc>
        <w:tc>
          <w:tcPr>
            <w:tcW w:w="2204" w:type="dxa"/>
            <w:noWrap w:val="0"/>
            <w:vAlign w:val="center"/>
          </w:tcPr>
          <w:p>
            <w:pPr>
              <w:spacing w:beforeLines="0" w:afterLines="0" w:line="3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截止202</w:t>
            </w:r>
            <w:r>
              <w:rPr>
                <w:rFonts w:hint="eastAsia" w:ascii="黑体" w:hAnsi="黑体" w:eastAsia="黑体" w:cs="黑体"/>
                <w:color w:val="auto"/>
                <w:sz w:val="21"/>
                <w:szCs w:val="21"/>
                <w:lang w:val="en-US" w:eastAsia="zh-CN"/>
              </w:rPr>
              <w:t>2</w:t>
            </w:r>
            <w:r>
              <w:rPr>
                <w:rFonts w:hint="eastAsia" w:ascii="黑体" w:hAnsi="黑体" w:eastAsia="黑体" w:cs="黑体"/>
                <w:color w:val="auto"/>
                <w:sz w:val="21"/>
                <w:szCs w:val="21"/>
              </w:rPr>
              <w:t>年</w:t>
            </w: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rPr>
              <w:t>月</w:t>
            </w:r>
          </w:p>
          <w:p>
            <w:pPr>
              <w:spacing w:beforeLines="0" w:afterLines="0" w:line="3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647"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1518"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福清市医院二期项目</w:t>
            </w:r>
          </w:p>
        </w:tc>
        <w:tc>
          <w:tcPr>
            <w:tcW w:w="3405" w:type="dxa"/>
            <w:noWrap w:val="0"/>
            <w:vAlign w:val="center"/>
          </w:tcPr>
          <w:p>
            <w:pPr>
              <w:spacing w:beforeLines="0" w:afterLines="0" w:line="3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主要建设内容为医技住院大楼、传染楼、值班教学综合楼。医技住院大楼设置1000张床位；传染楼设置200张床位，共建设1200张床位</w:t>
            </w:r>
          </w:p>
        </w:tc>
        <w:tc>
          <w:tcPr>
            <w:tcW w:w="1200"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96263.73</w:t>
            </w:r>
          </w:p>
        </w:tc>
        <w:tc>
          <w:tcPr>
            <w:tcW w:w="2204" w:type="dxa"/>
            <w:noWrap w:val="0"/>
            <w:vAlign w:val="center"/>
          </w:tcPr>
          <w:p>
            <w:pPr>
              <w:spacing w:beforeLines="0" w:afterLines="0" w:line="34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主体结构已封顶，砌体工程基本完成，正在进行室内装修，外墙面施工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647"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1518"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福清市第二医院新建</w:t>
            </w:r>
          </w:p>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w:t>
            </w:r>
          </w:p>
        </w:tc>
        <w:tc>
          <w:tcPr>
            <w:tcW w:w="3405" w:type="dxa"/>
            <w:noWrap w:val="0"/>
            <w:vAlign w:val="center"/>
          </w:tcPr>
          <w:p>
            <w:pPr>
              <w:spacing w:beforeLines="0" w:afterLines="0" w:line="3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福清市第二医院床位数为500床。总建筑面积</w:t>
            </w:r>
            <w:r>
              <w:rPr>
                <w:rFonts w:hint="eastAsia" w:ascii="仿宋_GB2312" w:hAnsi="仿宋_GB2312" w:eastAsia="仿宋_GB2312" w:cs="仿宋_GB2312"/>
                <w:color w:val="auto"/>
                <w:sz w:val="21"/>
                <w:szCs w:val="21"/>
                <w:lang w:val="en-US" w:eastAsia="zh-CN"/>
              </w:rPr>
              <w:t>93954</w:t>
            </w:r>
            <w:r>
              <w:rPr>
                <w:rFonts w:hint="eastAsia" w:cs="仿宋_GB2312"/>
                <w:color w:val="auto"/>
                <w:sz w:val="21"/>
                <w:szCs w:val="21"/>
                <w:lang w:eastAsia="zh-CN"/>
              </w:rPr>
              <w:t>平方米</w:t>
            </w:r>
            <w:r>
              <w:rPr>
                <w:rFonts w:hint="eastAsia" w:ascii="仿宋_GB2312" w:hAnsi="仿宋_GB2312" w:eastAsia="仿宋_GB2312" w:cs="仿宋_GB2312"/>
                <w:color w:val="auto"/>
                <w:sz w:val="21"/>
                <w:szCs w:val="21"/>
              </w:rPr>
              <w:t>，其中地上建筑面积</w:t>
            </w:r>
            <w:r>
              <w:rPr>
                <w:rFonts w:hint="eastAsia" w:ascii="仿宋_GB2312" w:hAnsi="仿宋_GB2312" w:eastAsia="仿宋_GB2312" w:cs="仿宋_GB2312"/>
                <w:color w:val="auto"/>
                <w:sz w:val="21"/>
                <w:szCs w:val="21"/>
                <w:lang w:val="en-US" w:eastAsia="zh-CN"/>
              </w:rPr>
              <w:t>70542</w:t>
            </w:r>
            <w:r>
              <w:rPr>
                <w:rFonts w:hint="eastAsia" w:cs="仿宋_GB2312"/>
                <w:color w:val="auto"/>
                <w:sz w:val="21"/>
                <w:szCs w:val="21"/>
                <w:lang w:eastAsia="zh-CN"/>
              </w:rPr>
              <w:t>平方米</w:t>
            </w:r>
            <w:r>
              <w:rPr>
                <w:rFonts w:hint="eastAsia" w:ascii="仿宋_GB2312" w:hAnsi="仿宋_GB2312" w:eastAsia="仿宋_GB2312" w:cs="仿宋_GB2312"/>
                <w:color w:val="auto"/>
                <w:sz w:val="21"/>
                <w:szCs w:val="21"/>
              </w:rPr>
              <w:t>，地下建筑面积</w:t>
            </w:r>
            <w:r>
              <w:rPr>
                <w:rFonts w:hint="eastAsia" w:ascii="仿宋_GB2312" w:hAnsi="仿宋_GB2312" w:eastAsia="仿宋_GB2312" w:cs="仿宋_GB2312"/>
                <w:color w:val="auto"/>
                <w:sz w:val="21"/>
                <w:szCs w:val="21"/>
                <w:lang w:val="en-US" w:eastAsia="zh-CN"/>
              </w:rPr>
              <w:t>23412</w:t>
            </w:r>
            <w:r>
              <w:rPr>
                <w:rFonts w:hint="eastAsia" w:cs="仿宋_GB2312"/>
                <w:color w:val="auto"/>
                <w:sz w:val="21"/>
                <w:szCs w:val="21"/>
                <w:lang w:eastAsia="zh-CN"/>
              </w:rPr>
              <w:t>平方米</w:t>
            </w:r>
            <w:r>
              <w:rPr>
                <w:rFonts w:hint="eastAsia" w:ascii="仿宋_GB2312" w:hAnsi="仿宋_GB2312" w:eastAsia="仿宋_GB2312" w:cs="仿宋_GB2312"/>
                <w:color w:val="auto"/>
                <w:sz w:val="21"/>
                <w:szCs w:val="21"/>
              </w:rPr>
              <w:t>。主要建设内容包括门急诊楼、医技楼、住院楼、公共卫生中心、预防保健、感染楼、地下室及室外配套工程</w:t>
            </w:r>
          </w:p>
        </w:tc>
        <w:tc>
          <w:tcPr>
            <w:tcW w:w="1200" w:type="dxa"/>
            <w:noWrap w:val="0"/>
            <w:vAlign w:val="center"/>
          </w:tcPr>
          <w:p>
            <w:pPr>
              <w:spacing w:beforeLines="0" w:afterLines="0" w:line="3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77116.6</w:t>
            </w:r>
          </w:p>
        </w:tc>
        <w:tc>
          <w:tcPr>
            <w:tcW w:w="2204" w:type="dxa"/>
            <w:noWrap w:val="0"/>
            <w:vAlign w:val="center"/>
          </w:tcPr>
          <w:p>
            <w:pPr>
              <w:spacing w:beforeLines="0" w:afterLines="0" w:line="340" w:lineRule="exact"/>
              <w:jc w:val="left"/>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正在完善方案与总平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647"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1518"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福清市第三医院扩建</w:t>
            </w:r>
          </w:p>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w:t>
            </w:r>
          </w:p>
        </w:tc>
        <w:tc>
          <w:tcPr>
            <w:tcW w:w="3405" w:type="dxa"/>
            <w:noWrap w:val="0"/>
            <w:vAlign w:val="center"/>
          </w:tcPr>
          <w:p>
            <w:pPr>
              <w:spacing w:beforeLines="0" w:afterLines="0" w:line="3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拟扩征院区周边12.42亩土地（拆迁面积5326</w:t>
            </w:r>
            <w:r>
              <w:rPr>
                <w:rFonts w:hint="eastAsia" w:cs="仿宋_GB2312"/>
                <w:color w:val="auto"/>
                <w:sz w:val="21"/>
                <w:szCs w:val="21"/>
                <w:lang w:eastAsia="zh-CN"/>
              </w:rPr>
              <w:t>平方米</w:t>
            </w:r>
            <w:r>
              <w:rPr>
                <w:rFonts w:hint="eastAsia" w:ascii="仿宋_GB2312" w:hAnsi="仿宋_GB2312" w:eastAsia="仿宋_GB2312" w:cs="仿宋_GB2312"/>
                <w:color w:val="auto"/>
                <w:sz w:val="21"/>
                <w:szCs w:val="21"/>
              </w:rPr>
              <w:t>，含市粮种站约1200</w:t>
            </w:r>
            <w:r>
              <w:rPr>
                <w:rFonts w:hint="eastAsia" w:cs="仿宋_GB2312"/>
                <w:color w:val="auto"/>
                <w:sz w:val="21"/>
                <w:szCs w:val="21"/>
                <w:lang w:eastAsia="zh-CN"/>
              </w:rPr>
              <w:t>平方米</w:t>
            </w:r>
            <w:r>
              <w:rPr>
                <w:rFonts w:hint="eastAsia" w:ascii="仿宋_GB2312" w:hAnsi="仿宋_GB2312" w:eastAsia="仿宋_GB2312" w:cs="仿宋_GB2312"/>
                <w:color w:val="auto"/>
                <w:sz w:val="21"/>
                <w:szCs w:val="21"/>
              </w:rPr>
              <w:t>）建设一栋急诊综合大楼，总建筑面积21610平方米，总投资约17001.66万元</w:t>
            </w:r>
          </w:p>
        </w:tc>
        <w:tc>
          <w:tcPr>
            <w:tcW w:w="1200" w:type="dxa"/>
            <w:noWrap w:val="0"/>
            <w:vAlign w:val="center"/>
          </w:tcPr>
          <w:p>
            <w:pPr>
              <w:spacing w:beforeLines="0" w:afterLines="0" w:line="3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22568.95</w:t>
            </w:r>
          </w:p>
        </w:tc>
        <w:tc>
          <w:tcPr>
            <w:tcW w:w="2204" w:type="dxa"/>
            <w:noWrap w:val="0"/>
            <w:vAlign w:val="center"/>
          </w:tcPr>
          <w:p>
            <w:pPr>
              <w:spacing w:beforeLines="0" w:afterLines="0" w:line="340" w:lineRule="exact"/>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目前基础施工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647"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1518"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福清市疾病预防控制中心项目</w:t>
            </w:r>
          </w:p>
        </w:tc>
        <w:tc>
          <w:tcPr>
            <w:tcW w:w="3405" w:type="dxa"/>
            <w:noWrap w:val="0"/>
            <w:vAlign w:val="center"/>
          </w:tcPr>
          <w:p>
            <w:pPr>
              <w:spacing w:beforeLines="0" w:afterLines="0" w:line="3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位于龙江街道龙江南路霞楼段隧道口，拟建设疾病防控中心大楼一栋（8层），业务用房一栋（4层），实验用房一栋（4层），总建筑面积15098.6平方米，其中计容面积12000平方米，不计容面积3100平方米。估算总投资为13611.22万元，其中工程费用11065.44</w:t>
            </w:r>
          </w:p>
          <w:p>
            <w:pPr>
              <w:spacing w:beforeLines="0" w:afterLines="0" w:line="3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万元</w:t>
            </w:r>
          </w:p>
        </w:tc>
        <w:tc>
          <w:tcPr>
            <w:tcW w:w="1200"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13611.22</w:t>
            </w:r>
          </w:p>
        </w:tc>
        <w:tc>
          <w:tcPr>
            <w:tcW w:w="2204" w:type="dxa"/>
            <w:noWrap w:val="0"/>
            <w:vAlign w:val="center"/>
          </w:tcPr>
          <w:p>
            <w:pPr>
              <w:spacing w:beforeLines="0" w:afterLines="0" w:line="340" w:lineRule="exact"/>
              <w:jc w:val="lef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主体部分基本完成，正在开展室内装修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647"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w:t>
            </w:r>
          </w:p>
        </w:tc>
        <w:tc>
          <w:tcPr>
            <w:tcW w:w="1518"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福清市中医院住院大楼装修和外立面改造工程</w:t>
            </w:r>
          </w:p>
        </w:tc>
        <w:tc>
          <w:tcPr>
            <w:tcW w:w="3405" w:type="dxa"/>
            <w:noWrap w:val="0"/>
            <w:vAlign w:val="center"/>
          </w:tcPr>
          <w:p>
            <w:pPr>
              <w:spacing w:beforeLines="0" w:afterLines="0" w:line="3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中医院住院大楼装修工程，总装修面积15479平方米，总投资6840.6万元，中医院外立面改造工程，总面积18300平方米，总投资3152万元 </w:t>
            </w:r>
          </w:p>
        </w:tc>
        <w:tc>
          <w:tcPr>
            <w:tcW w:w="1200"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9992.6</w:t>
            </w:r>
          </w:p>
        </w:tc>
        <w:tc>
          <w:tcPr>
            <w:tcW w:w="2204" w:type="dxa"/>
            <w:noWrap w:val="0"/>
            <w:vAlign w:val="center"/>
          </w:tcPr>
          <w:p>
            <w:pPr>
              <w:spacing w:beforeLines="0" w:afterLines="0" w:line="34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正在进行室内装修施工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647"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6</w:t>
            </w:r>
          </w:p>
        </w:tc>
        <w:tc>
          <w:tcPr>
            <w:tcW w:w="1518"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高山镇中心卫生院医技综合楼新建项目</w:t>
            </w:r>
          </w:p>
        </w:tc>
        <w:tc>
          <w:tcPr>
            <w:tcW w:w="3405" w:type="dxa"/>
            <w:noWrap w:val="0"/>
            <w:vAlign w:val="center"/>
          </w:tcPr>
          <w:p>
            <w:pPr>
              <w:spacing w:beforeLines="0" w:afterLines="0" w:line="3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总建筑面积约18000平方米，总投资约11265.81万元</w:t>
            </w:r>
          </w:p>
        </w:tc>
        <w:tc>
          <w:tcPr>
            <w:tcW w:w="1200" w:type="dxa"/>
            <w:noWrap w:val="0"/>
            <w:vAlign w:val="center"/>
          </w:tcPr>
          <w:p>
            <w:pPr>
              <w:spacing w:beforeLines="0" w:afterLines="0" w:line="3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12141.31</w:t>
            </w:r>
          </w:p>
        </w:tc>
        <w:tc>
          <w:tcPr>
            <w:tcW w:w="2204" w:type="dxa"/>
            <w:noWrap w:val="0"/>
            <w:vAlign w:val="center"/>
          </w:tcPr>
          <w:p>
            <w:pPr>
              <w:spacing w:beforeLines="0" w:afterLines="0" w:line="340" w:lineRule="exact"/>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正在进行地下室施工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647"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w:t>
            </w:r>
          </w:p>
        </w:tc>
        <w:tc>
          <w:tcPr>
            <w:tcW w:w="1518"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江阴医院新建项目</w:t>
            </w:r>
          </w:p>
        </w:tc>
        <w:tc>
          <w:tcPr>
            <w:tcW w:w="3405" w:type="dxa"/>
            <w:noWrap w:val="0"/>
            <w:vAlign w:val="center"/>
          </w:tcPr>
          <w:p>
            <w:pPr>
              <w:spacing w:beforeLines="0" w:afterLines="0" w:line="3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拟在岭口南路南侧征地约76亩异地新建面积约25000平方米的江阴医院，总投资约3亿元，由市财政、江阴镇政府、江阴港城经济区管委会拨款</w:t>
            </w:r>
          </w:p>
        </w:tc>
        <w:tc>
          <w:tcPr>
            <w:tcW w:w="1200"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30000</w:t>
            </w:r>
          </w:p>
        </w:tc>
        <w:tc>
          <w:tcPr>
            <w:tcW w:w="2204" w:type="dxa"/>
            <w:noWrap w:val="0"/>
            <w:vAlign w:val="center"/>
          </w:tcPr>
          <w:p>
            <w:pPr>
              <w:spacing w:beforeLines="0" w:afterLines="0" w:line="340" w:lineRule="exact"/>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正在开展工</w:t>
            </w:r>
            <w:r>
              <w:rPr>
                <w:rFonts w:hint="eastAsia" w:ascii="仿宋_GB2312" w:hAnsi="仿宋_GB2312" w:eastAsia="仿宋_GB2312" w:cs="仿宋_GB2312"/>
                <w:color w:val="auto"/>
                <w:sz w:val="21"/>
                <w:szCs w:val="21"/>
                <w:lang w:eastAsia="zh-CN"/>
              </w:rPr>
              <w:t>程</w:t>
            </w:r>
            <w:r>
              <w:rPr>
                <w:rFonts w:hint="eastAsia" w:ascii="仿宋_GB2312" w:hAnsi="仿宋_GB2312" w:eastAsia="仿宋_GB2312" w:cs="仿宋_GB2312"/>
                <w:color w:val="auto"/>
                <w:sz w:val="21"/>
                <w:szCs w:val="21"/>
              </w:rPr>
              <w:t>可</w:t>
            </w:r>
            <w:r>
              <w:rPr>
                <w:rFonts w:hint="eastAsia" w:ascii="仿宋_GB2312" w:hAnsi="仿宋_GB2312" w:eastAsia="仿宋_GB2312" w:cs="仿宋_GB2312"/>
                <w:color w:val="auto"/>
                <w:sz w:val="21"/>
                <w:szCs w:val="21"/>
                <w:lang w:eastAsia="zh-CN"/>
              </w:rPr>
              <w:t>行性研究</w:t>
            </w:r>
            <w:r>
              <w:rPr>
                <w:rFonts w:hint="eastAsia" w:ascii="仿宋_GB2312" w:hAnsi="仿宋_GB2312" w:eastAsia="仿宋_GB2312" w:cs="仿宋_GB2312"/>
                <w:color w:val="auto"/>
                <w:sz w:val="21"/>
                <w:szCs w:val="21"/>
              </w:rPr>
              <w:t>工作及方案设计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647"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p>
        </w:tc>
        <w:tc>
          <w:tcPr>
            <w:tcW w:w="1518"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江镜镇卫生院异地新建项目</w:t>
            </w:r>
          </w:p>
        </w:tc>
        <w:tc>
          <w:tcPr>
            <w:tcW w:w="3405" w:type="dxa"/>
            <w:noWrap w:val="0"/>
            <w:vAlign w:val="center"/>
          </w:tcPr>
          <w:p>
            <w:pPr>
              <w:spacing w:beforeLines="0" w:afterLines="0" w:line="3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拟在南宵村择址约20亩新建江镜镇卫生院，总投资约7060万元，其中，5060万元拟由市财政投入，2000万元由江镜镇自筹（企业家林明文意向捐资）</w:t>
            </w:r>
          </w:p>
        </w:tc>
        <w:tc>
          <w:tcPr>
            <w:tcW w:w="1200"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7060</w:t>
            </w:r>
          </w:p>
        </w:tc>
        <w:tc>
          <w:tcPr>
            <w:tcW w:w="2204" w:type="dxa"/>
            <w:noWrap w:val="0"/>
            <w:vAlign w:val="center"/>
          </w:tcPr>
          <w:p>
            <w:pPr>
              <w:spacing w:beforeLines="0" w:afterLines="0" w:line="340" w:lineRule="exact"/>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正在开展预算</w:t>
            </w:r>
          </w:p>
          <w:p>
            <w:pPr>
              <w:spacing w:beforeLines="0" w:afterLines="0" w:line="340" w:lineRule="exact"/>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647" w:type="dxa"/>
            <w:noWrap w:val="0"/>
            <w:vAlign w:val="center"/>
          </w:tcPr>
          <w:p>
            <w:pPr>
              <w:widowControl/>
              <w:spacing w:beforeLines="0" w:afterLines="0" w:line="340" w:lineRule="exact"/>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w:t>
            </w:r>
          </w:p>
        </w:tc>
        <w:tc>
          <w:tcPr>
            <w:tcW w:w="1518"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元洪医院</w:t>
            </w:r>
          </w:p>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w:t>
            </w:r>
          </w:p>
        </w:tc>
        <w:tc>
          <w:tcPr>
            <w:tcW w:w="3405" w:type="dxa"/>
            <w:noWrap w:val="0"/>
            <w:vAlign w:val="center"/>
          </w:tcPr>
          <w:p>
            <w:pPr>
              <w:spacing w:beforeLines="0" w:afterLines="0" w:line="3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医院定位为二级综合医院，整合城头镇卫生院，计划建筑面积16000平方米以上（含地下室），预计由福清功能区负责统筹投资15000万元，规划床位200张</w:t>
            </w:r>
          </w:p>
        </w:tc>
        <w:tc>
          <w:tcPr>
            <w:tcW w:w="1200"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15000</w:t>
            </w:r>
          </w:p>
        </w:tc>
        <w:tc>
          <w:tcPr>
            <w:tcW w:w="2204" w:type="dxa"/>
            <w:noWrap w:val="0"/>
            <w:vAlign w:val="center"/>
          </w:tcPr>
          <w:p>
            <w:pPr>
              <w:spacing w:beforeLines="0" w:afterLines="0" w:line="340" w:lineRule="exact"/>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项目立项完成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647" w:type="dxa"/>
            <w:noWrap w:val="0"/>
            <w:vAlign w:val="center"/>
          </w:tcPr>
          <w:p>
            <w:pPr>
              <w:spacing w:beforeLines="0" w:afterLines="0" w:line="3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w:t>
            </w:r>
          </w:p>
        </w:tc>
        <w:tc>
          <w:tcPr>
            <w:tcW w:w="1518"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渔溪镇中心卫生院门急诊大楼及发热门诊项目</w:t>
            </w:r>
          </w:p>
        </w:tc>
        <w:tc>
          <w:tcPr>
            <w:tcW w:w="3405" w:type="dxa"/>
            <w:noWrap w:val="0"/>
            <w:vAlign w:val="center"/>
          </w:tcPr>
          <w:p>
            <w:pPr>
              <w:spacing w:beforeLines="0" w:afterLines="0" w:line="3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总建筑面积13000平方米，总投资约10000万元</w:t>
            </w:r>
          </w:p>
        </w:tc>
        <w:tc>
          <w:tcPr>
            <w:tcW w:w="1200"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10000</w:t>
            </w:r>
          </w:p>
        </w:tc>
        <w:tc>
          <w:tcPr>
            <w:tcW w:w="2204" w:type="dxa"/>
            <w:noWrap w:val="0"/>
            <w:vAlign w:val="center"/>
          </w:tcPr>
          <w:p>
            <w:pPr>
              <w:spacing w:beforeLines="0" w:afterLines="0" w:line="340" w:lineRule="exact"/>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开展征地工作及工</w:t>
            </w:r>
            <w:r>
              <w:rPr>
                <w:rFonts w:hint="eastAsia" w:ascii="仿宋_GB2312" w:hAnsi="仿宋_GB2312" w:eastAsia="仿宋_GB2312" w:cs="仿宋_GB2312"/>
                <w:color w:val="auto"/>
                <w:sz w:val="21"/>
                <w:szCs w:val="21"/>
                <w:lang w:eastAsia="zh-CN"/>
              </w:rPr>
              <w:t>程</w:t>
            </w:r>
            <w:r>
              <w:rPr>
                <w:rFonts w:hint="eastAsia" w:ascii="仿宋_GB2312" w:hAnsi="仿宋_GB2312" w:eastAsia="仿宋_GB2312" w:cs="仿宋_GB2312"/>
                <w:color w:val="auto"/>
                <w:sz w:val="21"/>
                <w:szCs w:val="21"/>
              </w:rPr>
              <w:t>可</w:t>
            </w:r>
            <w:r>
              <w:rPr>
                <w:rFonts w:hint="eastAsia" w:ascii="仿宋_GB2312" w:hAnsi="仿宋_GB2312" w:eastAsia="仿宋_GB2312" w:cs="仿宋_GB2312"/>
                <w:color w:val="auto"/>
                <w:sz w:val="21"/>
                <w:szCs w:val="21"/>
                <w:lang w:eastAsia="zh-CN"/>
              </w:rPr>
              <w:t>行性研究</w:t>
            </w:r>
            <w:r>
              <w:rPr>
                <w:rFonts w:hint="eastAsia" w:ascii="仿宋_GB2312" w:hAnsi="仿宋_GB2312" w:eastAsia="仿宋_GB2312" w:cs="仿宋_GB2312"/>
                <w:color w:val="auto"/>
                <w:sz w:val="21"/>
                <w:szCs w:val="21"/>
                <w:lang w:val="en-US" w:eastAsia="zh-CN"/>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647" w:type="dxa"/>
            <w:noWrap w:val="0"/>
            <w:vAlign w:val="center"/>
          </w:tcPr>
          <w:p>
            <w:pPr>
              <w:spacing w:beforeLines="0" w:afterLines="0" w:line="34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w:t>
            </w:r>
          </w:p>
        </w:tc>
        <w:tc>
          <w:tcPr>
            <w:tcW w:w="1518"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海口镇中心卫生院门诊综合楼项目</w:t>
            </w:r>
          </w:p>
        </w:tc>
        <w:tc>
          <w:tcPr>
            <w:tcW w:w="3405" w:type="dxa"/>
            <w:noWrap w:val="0"/>
            <w:vAlign w:val="center"/>
          </w:tcPr>
          <w:p>
            <w:pPr>
              <w:spacing w:beforeLines="0" w:afterLines="0" w:line="3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总建筑面积10475平方米，总投资约4895.74万元</w:t>
            </w:r>
          </w:p>
        </w:tc>
        <w:tc>
          <w:tcPr>
            <w:tcW w:w="1200" w:type="dxa"/>
            <w:noWrap w:val="0"/>
            <w:vAlign w:val="center"/>
          </w:tcPr>
          <w:p>
            <w:pPr>
              <w:spacing w:beforeLines="0" w:afterLines="0" w:line="3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4895.74</w:t>
            </w:r>
          </w:p>
        </w:tc>
        <w:tc>
          <w:tcPr>
            <w:tcW w:w="2204" w:type="dxa"/>
            <w:noWrap w:val="0"/>
            <w:vAlign w:val="center"/>
          </w:tcPr>
          <w:p>
            <w:pPr>
              <w:spacing w:beforeLines="0" w:afterLines="0" w:line="340" w:lineRule="exact"/>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施工图绘制已完成，</w:t>
            </w:r>
            <w:r>
              <w:rPr>
                <w:rFonts w:hint="eastAsia" w:ascii="仿宋_GB2312" w:hAnsi="仿宋_GB2312" w:eastAsia="仿宋_GB2312" w:cs="仿宋_GB2312"/>
                <w:color w:val="auto"/>
                <w:sz w:val="21"/>
                <w:szCs w:val="21"/>
                <w:lang w:eastAsia="zh-CN"/>
              </w:rPr>
              <w:t>正在</w:t>
            </w:r>
            <w:r>
              <w:rPr>
                <w:rFonts w:hint="eastAsia" w:ascii="仿宋_GB2312" w:hAnsi="仿宋_GB2312" w:eastAsia="仿宋_GB2312" w:cs="仿宋_GB2312"/>
                <w:color w:val="auto"/>
                <w:sz w:val="21"/>
                <w:szCs w:val="21"/>
              </w:rPr>
              <w:t>图审</w:t>
            </w:r>
          </w:p>
        </w:tc>
      </w:tr>
    </w:tbl>
    <w:p>
      <w:pPr>
        <w:spacing w:beforeLines="0" w:afterLines="0" w:line="560" w:lineRule="exact"/>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rPr>
          <w:rFonts w:hint="eastAsia" w:ascii="仿宋_GB2312" w:hAnsi="仿宋_GB2312" w:eastAsia="仿宋_GB2312" w:cs="仿宋_GB2312"/>
          <w:color w:val="auto"/>
          <w:sz w:val="21"/>
          <w:szCs w:val="21"/>
        </w:rPr>
      </w:pPr>
    </w:p>
    <w:p>
      <w:pPr>
        <w:spacing w:line="520" w:lineRule="exact"/>
        <w:outlineLvl w:val="9"/>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-8993505</wp:posOffset>
                </wp:positionV>
                <wp:extent cx="57150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08.15pt;height:0pt;width:450pt;z-index:251659264;mso-width-relative:page;mso-height-relative:page;" filled="f" stroked="t" coordsize="21600,21600" o:gfxdata="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ySpqtYAAAAMAQAADwAA&#10;AAAAAAABACAAAAAiAAAAZHJzL2Rvd25yZXYueG1sUEsBAhQAFAAAAAgAh07iQBArCMnfAQAApAMA&#10;AA4AAAAAAAAAAQAgAAAAJQEAAGRycy9lMm9Eb2MueG1sUEsFBgAAAAAGAAYAWQEAAHYFAAAAAA==&#10;">
                <v:fill on="f" focussize="0,0"/>
                <v:stroke color="#000000" joinstyle="round"/>
                <v:imagedata o:title=""/>
                <o:lock v:ext="edit" aspectratio="f"/>
              </v:line>
            </w:pict>
          </mc:Fallback>
        </mc:AlternateContent>
      </w:r>
    </w:p>
    <w:sectPr>
      <w:headerReference r:id="rId4" w:type="default"/>
      <w:footerReference r:id="rId6" w:type="default"/>
      <w:headerReference r:id="rId5" w:type="even"/>
      <w:footerReference r:id="rId7" w:type="even"/>
      <w:pgSz w:w="11906" w:h="16838"/>
      <w:pgMar w:top="2098" w:right="1474" w:bottom="1984" w:left="1587" w:header="851" w:footer="1417" w:gutter="0"/>
      <w:pgBorders>
        <w:top w:val="none" w:sz="0" w:space="0"/>
        <w:left w:val="none" w:sz="0" w:space="0"/>
        <w:bottom w:val="none" w:sz="0" w:space="0"/>
        <w:right w:val="none" w:sz="0" w:space="0"/>
      </w:pgBorders>
      <w:pgNumType w:fmt="numberInDash"/>
      <w:cols w:space="720" w:num="1"/>
      <w:rtlGutter w:val="0"/>
      <w:docGrid w:type="linesAndChars" w:linePitch="579" w:charSpace="-6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SVju0AAAAAUBAAAPAAAAAAAAAAEAIAAAACIAAABkcnMvZG93bnJldi54bWxQSwECFAAUAAAA&#10;CACHTuJAx6b9GL0BAABiAwAADgAAAAAAAAABACAAAAAfAQAAZHJzL2Uyb0RvYy54bWxQSwUGAAAA&#10;AAYABgBZAQAATg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wordWrap w:val="0"/>
                            <w:ind w:right="11"/>
                            <w:jc w:val="right"/>
                          </w:pPr>
                          <w:r>
                            <w:rPr>
                              <w:rFonts w:hint="eastAsia" w:ascii="宋体" w:hAnsi="宋体" w:eastAsia="宋体"/>
                              <w:sz w:val="28"/>
                            </w:rPr>
                            <w:fldChar w:fldCharType="begin"/>
                          </w:r>
                          <w:r>
                            <w:rPr>
                              <w:rStyle w:val="9"/>
                              <w:rFonts w:hint="eastAsia" w:ascii="宋体" w:hAnsi="宋体" w:eastAsia="宋体"/>
                              <w:sz w:val="28"/>
                            </w:rPr>
                            <w:instrText xml:space="preserve"> PAGE </w:instrText>
                          </w:r>
                          <w:r>
                            <w:rPr>
                              <w:rFonts w:hint="eastAsia" w:ascii="宋体" w:hAnsi="宋体" w:eastAsia="宋体"/>
                              <w:sz w:val="28"/>
                            </w:rPr>
                            <w:fldChar w:fldCharType="separate"/>
                          </w:r>
                          <w:r>
                            <w:rPr>
                              <w:rStyle w:val="9"/>
                              <w:rFonts w:hint="eastAsia" w:ascii="宋体" w:hAnsi="宋体" w:eastAsia="宋体"/>
                              <w:sz w:val="28"/>
                            </w:rPr>
                            <w:t>1</w:t>
                          </w:r>
                          <w:r>
                            <w:rPr>
                              <w:rFonts w:hint="eastAsia" w:ascii="宋体" w:hAnsi="宋体" w:eastAsia="宋体"/>
                              <w:sz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5"/>
                      <w:wordWrap w:val="0"/>
                      <w:ind w:right="11"/>
                      <w:jc w:val="right"/>
                    </w:pPr>
                    <w:r>
                      <w:rPr>
                        <w:rFonts w:hint="eastAsia" w:ascii="宋体" w:hAnsi="宋体" w:eastAsia="宋体"/>
                        <w:sz w:val="28"/>
                      </w:rPr>
                      <w:fldChar w:fldCharType="begin"/>
                    </w:r>
                    <w:r>
                      <w:rPr>
                        <w:rStyle w:val="9"/>
                        <w:rFonts w:hint="eastAsia" w:ascii="宋体" w:hAnsi="宋体" w:eastAsia="宋体"/>
                        <w:sz w:val="28"/>
                      </w:rPr>
                      <w:instrText xml:space="preserve"> PAGE </w:instrText>
                    </w:r>
                    <w:r>
                      <w:rPr>
                        <w:rFonts w:hint="eastAsia" w:ascii="宋体" w:hAnsi="宋体" w:eastAsia="宋体"/>
                        <w:sz w:val="28"/>
                      </w:rPr>
                      <w:fldChar w:fldCharType="separate"/>
                    </w:r>
                    <w:r>
                      <w:rPr>
                        <w:rStyle w:val="9"/>
                        <w:rFonts w:hint="eastAsia" w:ascii="宋体" w:hAnsi="宋体" w:eastAsia="宋体"/>
                        <w:sz w:val="28"/>
                      </w:rPr>
                      <w:t>1</w:t>
                    </w:r>
                    <w:r>
                      <w:rPr>
                        <w:rFonts w:hint="eastAsia" w:ascii="宋体" w:hAnsi="宋体" w:eastAsia="宋体"/>
                        <w:sz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val="0"/>
      <w:autoSpaceDE w:val="0"/>
      <w:autoSpaceDN w:val="0"/>
      <w:adjustRightInd w:val="0"/>
      <w:snapToGrid/>
      <w:spacing w:before="0" w:beforeLines="0" w:beforeAutospacing="0" w:after="0" w:afterLines="0" w:afterAutospacing="0" w:line="240" w:lineRule="atLeast"/>
      <w:ind w:left="0" w:leftChars="0" w:right="0" w:firstLine="280" w:firstLineChars="100"/>
      <w:jc w:val="left"/>
      <w:textAlignment w:val="baseline"/>
      <w:outlineLvl w:val="9"/>
      <w:rPr>
        <w:rFonts w:hint="eastAsia" w:ascii="楷体_GB2312" w:eastAsia="楷体_GB2312"/>
        <w:sz w:val="28"/>
      </w:rPr>
    </w:pPr>
    <w:r>
      <w:rPr>
        <w:rStyle w:val="9"/>
        <w:rFonts w:hint="eastAsia" w:ascii="楷体_GB2312" w:eastAsia="楷体_GB2312"/>
        <w:sz w:val="28"/>
      </w:rPr>
      <w:t>—</w:t>
    </w:r>
    <w:r>
      <w:rPr>
        <w:rFonts w:hint="eastAsia" w:ascii="宋体" w:hAnsi="宋体" w:eastAsia="宋体"/>
        <w:sz w:val="28"/>
      </w:rPr>
      <w:fldChar w:fldCharType="begin"/>
    </w:r>
    <w:r>
      <w:rPr>
        <w:rStyle w:val="9"/>
        <w:rFonts w:hint="eastAsia" w:ascii="宋体" w:hAnsi="宋体" w:eastAsia="宋体"/>
        <w:sz w:val="28"/>
      </w:rPr>
      <w:instrText xml:space="preserve"> PAGE </w:instrText>
    </w:r>
    <w:r>
      <w:rPr>
        <w:rFonts w:hint="eastAsia" w:ascii="宋体" w:hAnsi="宋体" w:eastAsia="宋体"/>
        <w:sz w:val="28"/>
      </w:rPr>
      <w:fldChar w:fldCharType="separate"/>
    </w:r>
    <w:r>
      <w:rPr>
        <w:rStyle w:val="9"/>
        <w:rFonts w:hint="eastAsia" w:ascii="宋体" w:hAnsi="宋体" w:eastAsia="宋体"/>
        <w:sz w:val="28"/>
      </w:rPr>
      <w:t>2</w:t>
    </w:r>
    <w:r>
      <w:rPr>
        <w:rFonts w:hint="eastAsia" w:ascii="宋体" w:hAnsi="宋体" w:eastAsia="宋体"/>
        <w:sz w:val="28"/>
      </w:rPr>
      <w:fldChar w:fldCharType="end"/>
    </w:r>
    <w:r>
      <w:rPr>
        <w:rStyle w:val="9"/>
        <w:rFonts w:hint="eastAsia" w:ascii="楷体_GB2312" w:eastAsia="楷体_GB2312"/>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E2E75"/>
    <w:multiLevelType w:val="singleLevel"/>
    <w:tmpl w:val="9FFE2E75"/>
    <w:lvl w:ilvl="0" w:tentative="0">
      <w:start w:val="9"/>
      <w:numFmt w:val="chineseCounting"/>
      <w:suff w:val="space"/>
      <w:lvlText w:val="第%1章"/>
      <w:lvlJc w:val="left"/>
      <w:rPr>
        <w:rFonts w:hint="eastAsia"/>
      </w:rPr>
    </w:lvl>
  </w:abstractNum>
  <w:abstractNum w:abstractNumId="1">
    <w:nsid w:val="FE9B5815"/>
    <w:multiLevelType w:val="singleLevel"/>
    <w:tmpl w:val="FE9B5815"/>
    <w:lvl w:ilvl="0" w:tentative="0">
      <w:start w:val="2"/>
      <w:numFmt w:val="chineseCounting"/>
      <w:suff w:val="nothing"/>
      <w:lvlText w:val="%1、"/>
      <w:lvlJc w:val="left"/>
      <w:rPr>
        <w:rFonts w:hint="eastAsia"/>
      </w:rPr>
    </w:lvl>
  </w:abstractNum>
  <w:abstractNum w:abstractNumId="2">
    <w:nsid w:val="0BE5F9C0"/>
    <w:multiLevelType w:val="singleLevel"/>
    <w:tmpl w:val="0BE5F9C0"/>
    <w:lvl w:ilvl="0" w:tentative="0">
      <w:start w:val="1"/>
      <w:numFmt w:val="chineseCounting"/>
      <w:suff w:val="space"/>
      <w:lvlText w:val="第%1篇"/>
      <w:lvlJc w:val="left"/>
      <w:rPr>
        <w:rFonts w:hint="eastAsia"/>
      </w:rPr>
    </w:lvl>
  </w:abstractNum>
  <w:abstractNum w:abstractNumId="3">
    <w:nsid w:val="2269CD35"/>
    <w:multiLevelType w:val="singleLevel"/>
    <w:tmpl w:val="2269CD35"/>
    <w:lvl w:ilvl="0" w:tentative="0">
      <w:start w:val="4"/>
      <w:numFmt w:val="chineseCounting"/>
      <w:suff w:val="space"/>
      <w:lvlText w:val="第%1节"/>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YzMxY2Q1ODcyMDNmZTVhOTk0ZWQ1YTMyYmFiMGUifQ=="/>
  </w:docVars>
  <w:rsids>
    <w:rsidRoot w:val="F6FDC27D"/>
    <w:rsid w:val="2A0C1FB8"/>
    <w:rsid w:val="49FA6C91"/>
    <w:rsid w:val="5BA26E73"/>
    <w:rsid w:val="6580116B"/>
    <w:rsid w:val="67FFB0FA"/>
    <w:rsid w:val="78AF0776"/>
    <w:rsid w:val="F6FDC2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仿宋_GB2312" w:hAnsi="仿宋_GB2312" w:eastAsia="仿宋_GB2312" w:cs="Times New Roman"/>
      <w:spacing w:val="0"/>
      <w:kern w:val="2"/>
      <w:sz w:val="32"/>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Verdana" w:hAnsi="Verdana"/>
      <w:szCs w:val="20"/>
    </w:rPr>
  </w:style>
  <w:style w:type="paragraph" w:styleId="3">
    <w:name w:val="Body Text"/>
    <w:basedOn w:val="1"/>
    <w:qFormat/>
    <w:uiPriority w:val="1"/>
    <w:rPr>
      <w:rFonts w:ascii="方正小标宋简体" w:hAnsi="方正小标宋简体" w:eastAsia="方正小标宋简体" w:cs="方正小标宋简体"/>
      <w:sz w:val="72"/>
      <w:szCs w:val="72"/>
      <w:lang w:val="zh-CN" w:eastAsia="zh-CN" w:bidi="zh-CN"/>
    </w:rPr>
  </w:style>
  <w:style w:type="paragraph" w:styleId="4">
    <w:name w:val="Balloon Text"/>
    <w:basedOn w:val="1"/>
    <w:next w:val="1"/>
    <w:semiHidden/>
    <w:qFormat/>
    <w:uiPriority w:val="0"/>
    <w:rPr>
      <w:sz w:val="18"/>
      <w:szCs w:val="18"/>
    </w:rPr>
  </w:style>
  <w:style w:type="paragraph" w:styleId="5">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9">
    <w:name w:val="page number"/>
    <w:basedOn w:val="8"/>
    <w:qFormat/>
    <w:uiPriority w:val="0"/>
  </w:style>
  <w:style w:type="paragraph" w:customStyle="1" w:styleId="10">
    <w:name w:val="WPSOffice手动目录 1"/>
    <w:qFormat/>
    <w:uiPriority w:val="0"/>
    <w:pPr>
      <w:ind w:leftChars="0"/>
    </w:pPr>
    <w:rPr>
      <w:rFonts w:ascii="Times New Roman" w:hAnsi="Times New Roman" w:eastAsia="宋体" w:cs="Times New Roman"/>
      <w:sz w:val="20"/>
      <w:szCs w:val="20"/>
    </w:rPr>
  </w:style>
  <w:style w:type="paragraph" w:customStyle="1" w:styleId="11">
    <w:name w:val="WPSOffice手动目录 2"/>
    <w:qFormat/>
    <w:uiPriority w:val="0"/>
    <w:pPr>
      <w:ind w:leftChars="200"/>
    </w:pPr>
    <w:rPr>
      <w:rFonts w:ascii="Times New Roman" w:hAnsi="Times New Roman" w:eastAsia="宋体" w:cs="Times New Roman"/>
      <w:sz w:val="20"/>
      <w:szCs w:val="20"/>
    </w:rPr>
  </w:style>
  <w:style w:type="paragraph" w:customStyle="1" w:styleId="12">
    <w:name w:val="WPSOffice手动目录 3"/>
    <w:qFormat/>
    <w:uiPriority w:val="0"/>
    <w:pPr>
      <w:ind w:leftChars="400"/>
    </w:pPr>
    <w:rPr>
      <w:rFonts w:ascii="Times New Roman" w:hAnsi="Times New Roman" w:eastAsia="宋体" w:cs="Times New Roman"/>
      <w:sz w:val="20"/>
      <w:szCs w:val="20"/>
    </w:rPr>
  </w:style>
  <w:style w:type="character" w:customStyle="1" w:styleId="13">
    <w:name w:val="NormalCharacter"/>
    <w:semiHidden/>
    <w:qFormat/>
    <w:uiPriority w:val="0"/>
  </w:style>
  <w:style w:type="paragraph" w:customStyle="1" w:styleId="14">
    <w:name w:val="No Spacing"/>
    <w:qFormat/>
    <w:uiPriority w:val="99"/>
    <w:pPr>
      <w:widowControl w:val="0"/>
    </w:pPr>
    <w:rPr>
      <w:rFonts w:ascii="MingLiU_HKSCS" w:hAnsi="MingLiU_HKSCS" w:eastAsia="MingLiU_HKSCS" w:cs="MingLiU_HKSCS"/>
      <w:color w:val="000000"/>
      <w:kern w:val="0"/>
      <w:sz w:val="24"/>
      <w:szCs w:val="24"/>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22695</Words>
  <Characters>23531</Characters>
  <Lines>0</Lines>
  <Paragraphs>0</Paragraphs>
  <TotalTime>0</TotalTime>
  <ScaleCrop>false</ScaleCrop>
  <LinksUpToDate>false</LinksUpToDate>
  <CharactersWithSpaces>23769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2022-07-01T17:44:00Z</dcterms:created>
  <dc:creator>林秀兰</dc:creator>
  <cp:lastModifiedBy>WPS_1662001951</cp:lastModifiedBy>
  <dcterms:modified xsi:type="dcterms:W3CDTF">2025-07-08T02:15:34Z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50C37A9BCC3A4B379BBD669414240F02</vt:lpwstr>
  </property>
</Properties>
</file>