
<file path=[Content_Types].xml><?xml version="1.0" encoding="utf-8"?>
<Types xmlns="http://schemas.openxmlformats.org/package/2006/content-types">
  <Default Extension="xml" ContentType="application/xml"/>
  <Default Extension="pptx" ContentType="application/vnd.openxmlformats-officedocument.presentationml.presentation"/>
  <Default Extension="sldx" ContentType="application/vnd.openxmlformats-officedocument.presentationml.slide"/>
  <Default Extension="jpeg" ContentType="image/jpeg"/>
  <Default Extension="JPG" ContentType="image/.jp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ind w:firstLine="0" w:firstLineChars="0"/>
        <w:jc w:val="center"/>
        <w:rPr>
          <w:sz w:val="36"/>
          <w:szCs w:val="36"/>
        </w:rPr>
      </w:pPr>
      <w:bookmarkStart w:id="59" w:name="_GoBack"/>
      <w:bookmarkEnd w:id="59"/>
      <w:r>
        <w:drawing>
          <wp:inline distT="0" distB="0" distL="0" distR="0">
            <wp:extent cx="5760085" cy="8070215"/>
            <wp:effectExtent l="0" t="0" r="0" b="698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5760085" cy="8070215"/>
                    </a:xfrm>
                    <a:prstGeom prst="rect">
                      <a:avLst/>
                    </a:prstGeom>
                  </pic:spPr>
                </pic:pic>
              </a:graphicData>
            </a:graphic>
          </wp:inline>
        </w:drawing>
      </w:r>
    </w:p>
    <w:p>
      <w:pPr>
        <w:pStyle w:val="2"/>
      </w:pPr>
      <w:r>
        <w:br w:type="page"/>
      </w:r>
    </w:p>
    <w:p>
      <w:pPr>
        <w:adjustRightInd w:val="0"/>
        <w:snapToGrid w:val="0"/>
        <w:spacing w:line="288" w:lineRule="auto"/>
        <w:ind w:firstLine="0" w:firstLineChars="0"/>
        <w:jc w:val="center"/>
        <w:rPr>
          <w:sz w:val="36"/>
          <w:szCs w:val="36"/>
        </w:rPr>
        <w:sectPr>
          <w:headerReference r:id="rId7" w:type="first"/>
          <w:footerReference r:id="rId10" w:type="first"/>
          <w:headerReference r:id="rId5" w:type="default"/>
          <w:footerReference r:id="rId8" w:type="default"/>
          <w:headerReference r:id="rId6" w:type="even"/>
          <w:footerReference r:id="rId9" w:type="even"/>
          <w:pgSz w:w="11905" w:h="16838"/>
          <w:pgMar w:top="1417" w:right="1417" w:bottom="1417" w:left="1417" w:header="851" w:footer="850" w:gutter="0"/>
          <w:pgNumType w:start="3"/>
          <w:cols w:space="720" w:num="1"/>
          <w:docGrid w:linePitch="312" w:charSpace="0"/>
        </w:sectPr>
      </w:pPr>
    </w:p>
    <w:p>
      <w:pPr>
        <w:pStyle w:val="3"/>
        <w:spacing w:before="120" w:after="120"/>
      </w:pPr>
      <w:r>
        <w:t>一、建设项目基本情况</w:t>
      </w:r>
    </w:p>
    <w:tbl>
      <w:tblPr>
        <w:tblStyle w:val="29"/>
        <w:tblW w:w="500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04"/>
        <w:gridCol w:w="2997"/>
        <w:gridCol w:w="1188"/>
        <w:gridCol w:w="36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建设项目名称</w:t>
            </w:r>
          </w:p>
        </w:tc>
        <w:tc>
          <w:tcPr>
            <w:tcW w:w="4285" w:type="pct"/>
            <w:gridSpan w:val="3"/>
            <w:vAlign w:val="center"/>
          </w:tcPr>
          <w:p>
            <w:pPr>
              <w:pStyle w:val="52"/>
            </w:pPr>
            <w:bookmarkStart w:id="0" w:name="OLE_LINK17"/>
            <w:r>
              <w:rPr>
                <w:rFonts w:hint="eastAsia"/>
                <w:shd w:val="clear" w:color="auto" w:fill="FFFFFF"/>
              </w:rPr>
              <w:t>福建福清莆仙食品有限公司年加工米粉1600吨</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项目代码</w:t>
            </w:r>
          </w:p>
        </w:tc>
        <w:tc>
          <w:tcPr>
            <w:tcW w:w="4285" w:type="pct"/>
            <w:gridSpan w:val="3"/>
            <w:vAlign w:val="center"/>
          </w:tcPr>
          <w:p>
            <w:pPr>
              <w:pStyle w:val="52"/>
            </w:pPr>
            <w:r>
              <w:t>2505-350181-04-01-290647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建设单位</w:t>
            </w:r>
          </w:p>
          <w:p>
            <w:pPr>
              <w:pStyle w:val="52"/>
            </w:pPr>
            <w:r>
              <w:t>联系人</w:t>
            </w:r>
          </w:p>
        </w:tc>
        <w:tc>
          <w:tcPr>
            <w:tcW w:w="1642" w:type="pct"/>
            <w:shd w:val="clear" w:color="auto" w:fill="auto"/>
            <w:vAlign w:val="center"/>
          </w:tcPr>
          <w:p>
            <w:pPr>
              <w:pStyle w:val="52"/>
            </w:pPr>
          </w:p>
        </w:tc>
        <w:tc>
          <w:tcPr>
            <w:tcW w:w="651" w:type="pct"/>
            <w:shd w:val="clear" w:color="auto" w:fill="auto"/>
            <w:vAlign w:val="center"/>
          </w:tcPr>
          <w:p>
            <w:pPr>
              <w:pStyle w:val="52"/>
            </w:pPr>
            <w:r>
              <w:t>联系方式</w:t>
            </w:r>
          </w:p>
        </w:tc>
        <w:tc>
          <w:tcPr>
            <w:tcW w:w="1991" w:type="pct"/>
            <w:shd w:val="clear" w:color="auto" w:fill="auto"/>
            <w:vAlign w:val="center"/>
          </w:tcPr>
          <w:p>
            <w:pPr>
              <w:pStyle w:val="5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建设地点</w:t>
            </w:r>
          </w:p>
        </w:tc>
        <w:tc>
          <w:tcPr>
            <w:tcW w:w="4285" w:type="pct"/>
            <w:gridSpan w:val="3"/>
            <w:vAlign w:val="center"/>
          </w:tcPr>
          <w:p>
            <w:pPr>
              <w:pStyle w:val="52"/>
            </w:pPr>
            <w:r>
              <w:rPr>
                <w:rFonts w:hint="eastAsia"/>
              </w:rPr>
              <w:t>福州元洪投资区（租赁福清市鸿昌食品有限公司1号车间1层）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5" w:hRule="atLeast"/>
          <w:jc w:val="center"/>
        </w:trPr>
        <w:tc>
          <w:tcPr>
            <w:tcW w:w="714" w:type="pct"/>
            <w:tcMar>
              <w:top w:w="16" w:type="dxa"/>
              <w:left w:w="16" w:type="dxa"/>
              <w:right w:w="16" w:type="dxa"/>
            </w:tcMar>
            <w:vAlign w:val="center"/>
          </w:tcPr>
          <w:p>
            <w:pPr>
              <w:pStyle w:val="52"/>
            </w:pPr>
            <w:r>
              <w:t>地理坐标</w:t>
            </w:r>
          </w:p>
        </w:tc>
        <w:tc>
          <w:tcPr>
            <w:tcW w:w="4285" w:type="pct"/>
            <w:gridSpan w:val="3"/>
            <w:vAlign w:val="center"/>
          </w:tcPr>
          <w:p>
            <w:pPr>
              <w:pStyle w:val="52"/>
            </w:pPr>
            <w:r>
              <w:t>东经</w:t>
            </w:r>
            <w:bookmarkStart w:id="1" w:name="OLE_LINK21"/>
            <w:bookmarkStart w:id="2" w:name="OLE_LINK26"/>
            <w:r>
              <w:rPr>
                <w:rFonts w:hint="eastAsia"/>
              </w:rPr>
              <w:t>119°31′</w:t>
            </w:r>
            <w:bookmarkEnd w:id="1"/>
            <w:bookmarkEnd w:id="2"/>
            <w:r>
              <w:rPr>
                <w:rFonts w:hint="eastAsia"/>
              </w:rPr>
              <w:t>42.901″</w:t>
            </w:r>
            <w:r>
              <w:t>，北纬</w:t>
            </w:r>
            <w:r>
              <w:rPr>
                <w:rFonts w:hint="eastAsia"/>
              </w:rPr>
              <w:t>25°41′50.564″（奥维互动地图）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国民经济行业</w:t>
            </w:r>
          </w:p>
          <w:p>
            <w:pPr>
              <w:pStyle w:val="52"/>
            </w:pPr>
            <w:r>
              <w:t>类别</w:t>
            </w:r>
          </w:p>
        </w:tc>
        <w:tc>
          <w:tcPr>
            <w:tcW w:w="1642" w:type="pct"/>
            <w:vAlign w:val="center"/>
          </w:tcPr>
          <w:p>
            <w:pPr>
              <w:pStyle w:val="52"/>
            </w:pPr>
            <w:r>
              <w:rPr>
                <w:rFonts w:hint="eastAsia"/>
              </w:rPr>
              <w:t>C1439其他方便食品制造</w:t>
            </w:r>
          </w:p>
        </w:tc>
        <w:tc>
          <w:tcPr>
            <w:tcW w:w="651" w:type="pct"/>
            <w:vAlign w:val="center"/>
          </w:tcPr>
          <w:p>
            <w:pPr>
              <w:pStyle w:val="52"/>
            </w:pPr>
            <w:bookmarkStart w:id="3" w:name="_Hlk49843745"/>
            <w:r>
              <w:t>建设项目行业类别</w:t>
            </w:r>
            <w:bookmarkEnd w:id="3"/>
          </w:p>
        </w:tc>
        <w:tc>
          <w:tcPr>
            <w:tcW w:w="1991" w:type="pct"/>
            <w:vAlign w:val="center"/>
          </w:tcPr>
          <w:p>
            <w:pPr>
              <w:pStyle w:val="52"/>
              <w:jc w:val="left"/>
            </w:pPr>
            <w:r>
              <w:rPr>
                <w:rFonts w:hint="eastAsia"/>
              </w:rPr>
              <w:t>十一、食品制造业14；21方便食品制造143*-除单纯分装外的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建设性质</w:t>
            </w:r>
          </w:p>
        </w:tc>
        <w:tc>
          <w:tcPr>
            <w:tcW w:w="1642" w:type="pct"/>
            <w:vAlign w:val="center"/>
          </w:tcPr>
          <w:p>
            <w:pPr>
              <w:pStyle w:val="52"/>
              <w:jc w:val="left"/>
            </w:pPr>
            <w:r>
              <w:rPr>
                <w:b/>
              </w:rPr>
              <w:sym w:font="Wingdings 2" w:char="0052"/>
            </w:r>
            <w:r>
              <w:t>新建</w:t>
            </w:r>
          </w:p>
          <w:p>
            <w:pPr>
              <w:pStyle w:val="52"/>
              <w:jc w:val="left"/>
            </w:pPr>
            <w:r>
              <w:rPr/>
              <w:sym w:font="Wingdings 2" w:char="00A3"/>
            </w:r>
            <w:r>
              <w:t>改建</w:t>
            </w:r>
          </w:p>
          <w:p>
            <w:pPr>
              <w:pStyle w:val="52"/>
              <w:jc w:val="left"/>
            </w:pPr>
            <w:r>
              <w:rPr/>
              <w:sym w:font="Wingdings 2" w:char="00A3"/>
            </w:r>
            <w:r>
              <w:t>扩建</w:t>
            </w:r>
          </w:p>
          <w:p>
            <w:pPr>
              <w:pStyle w:val="52"/>
              <w:jc w:val="left"/>
            </w:pPr>
            <w:r>
              <w:rPr/>
              <w:sym w:font="Wingdings 2" w:char="00A3"/>
            </w:r>
            <w:r>
              <w:t>技术改造</w:t>
            </w:r>
          </w:p>
        </w:tc>
        <w:tc>
          <w:tcPr>
            <w:tcW w:w="651" w:type="pct"/>
            <w:vAlign w:val="center"/>
          </w:tcPr>
          <w:p>
            <w:pPr>
              <w:pStyle w:val="52"/>
            </w:pPr>
            <w:r>
              <w:t>建设项目</w:t>
            </w:r>
          </w:p>
          <w:p>
            <w:pPr>
              <w:pStyle w:val="52"/>
            </w:pPr>
            <w:r>
              <w:t>申报情形</w:t>
            </w:r>
          </w:p>
        </w:tc>
        <w:tc>
          <w:tcPr>
            <w:tcW w:w="1991" w:type="pct"/>
            <w:vAlign w:val="center"/>
          </w:tcPr>
          <w:p>
            <w:pPr>
              <w:pStyle w:val="52"/>
              <w:jc w:val="left"/>
            </w:pPr>
            <w:r>
              <w:rPr>
                <w:b/>
              </w:rPr>
              <w:sym w:font="Wingdings 2" w:char="0052"/>
            </w:r>
            <w:r>
              <w:t xml:space="preserve">首次申报项目             </w:t>
            </w:r>
          </w:p>
          <w:p>
            <w:pPr>
              <w:pStyle w:val="52"/>
              <w:jc w:val="left"/>
            </w:pPr>
            <w:r>
              <w:rPr/>
              <w:sym w:font="Wingdings 2" w:char="00A3"/>
            </w:r>
            <w:r>
              <w:t>不予批准后再次申报项目</w:t>
            </w:r>
          </w:p>
          <w:p>
            <w:pPr>
              <w:pStyle w:val="52"/>
              <w:jc w:val="left"/>
            </w:pPr>
            <w:r>
              <w:rPr/>
              <w:sym w:font="Wingdings 2" w:char="00A3"/>
            </w:r>
            <w:r>
              <w:t xml:space="preserve">超五年重新审核项目     </w:t>
            </w:r>
          </w:p>
          <w:p>
            <w:pPr>
              <w:pStyle w:val="52"/>
              <w:jc w:val="left"/>
            </w:pPr>
            <w:r>
              <w:rPr/>
              <w:sym w:font="Wingdings 2" w:char="00A3"/>
            </w:r>
            <w: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项目审批备案</w:t>
            </w:r>
          </w:p>
          <w:p>
            <w:pPr>
              <w:pStyle w:val="52"/>
            </w:pPr>
            <w:r>
              <w:t>部门</w:t>
            </w:r>
          </w:p>
        </w:tc>
        <w:tc>
          <w:tcPr>
            <w:tcW w:w="1642" w:type="pct"/>
            <w:vAlign w:val="center"/>
          </w:tcPr>
          <w:p>
            <w:pPr>
              <w:pStyle w:val="52"/>
            </w:pPr>
            <w:r>
              <w:rPr>
                <w:rFonts w:hint="eastAsia"/>
              </w:rPr>
              <w:t>福清市发展和改革局</w:t>
            </w:r>
          </w:p>
        </w:tc>
        <w:tc>
          <w:tcPr>
            <w:tcW w:w="651" w:type="pct"/>
            <w:vAlign w:val="center"/>
          </w:tcPr>
          <w:p>
            <w:pPr>
              <w:pStyle w:val="52"/>
            </w:pPr>
            <w:r>
              <w:t>项目审批备案文号</w:t>
            </w:r>
          </w:p>
        </w:tc>
        <w:tc>
          <w:tcPr>
            <w:tcW w:w="1991" w:type="pct"/>
            <w:vAlign w:val="center"/>
          </w:tcPr>
          <w:p>
            <w:pPr>
              <w:pStyle w:val="52"/>
            </w:pPr>
            <w:r>
              <w:rPr>
                <w:rFonts w:hint="eastAsia"/>
              </w:rPr>
              <w:t>闽发改备[2025]A060164号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总投资</w:t>
            </w:r>
          </w:p>
          <w:p>
            <w:pPr>
              <w:pStyle w:val="52"/>
            </w:pPr>
            <w:r>
              <w:t>（万元）</w:t>
            </w:r>
          </w:p>
        </w:tc>
        <w:tc>
          <w:tcPr>
            <w:tcW w:w="1642" w:type="pct"/>
            <w:vAlign w:val="center"/>
          </w:tcPr>
          <w:p>
            <w:pPr>
              <w:adjustRightInd w:val="0"/>
              <w:snapToGrid w:val="0"/>
              <w:spacing w:line="240" w:lineRule="auto"/>
              <w:ind w:firstLine="0" w:firstLineChars="0"/>
              <w:jc w:val="center"/>
              <w:rPr>
                <w:sz w:val="21"/>
                <w:szCs w:val="21"/>
              </w:rPr>
            </w:pPr>
            <w:r>
              <w:rPr>
                <w:rFonts w:hint="eastAsia"/>
                <w:sz w:val="21"/>
                <w:szCs w:val="21"/>
              </w:rPr>
              <w:t>1000</w:t>
            </w:r>
          </w:p>
        </w:tc>
        <w:tc>
          <w:tcPr>
            <w:tcW w:w="651" w:type="pct"/>
            <w:tcMar>
              <w:top w:w="16" w:type="dxa"/>
              <w:left w:w="16" w:type="dxa"/>
              <w:right w:w="16" w:type="dxa"/>
            </w:tcMar>
            <w:vAlign w:val="center"/>
          </w:tcPr>
          <w:p>
            <w:pPr>
              <w:pStyle w:val="52"/>
            </w:pPr>
            <w:r>
              <w:t>环保投资</w:t>
            </w:r>
          </w:p>
          <w:p>
            <w:pPr>
              <w:pStyle w:val="52"/>
            </w:pPr>
            <w:r>
              <w:t>（万元）</w:t>
            </w:r>
          </w:p>
        </w:tc>
        <w:tc>
          <w:tcPr>
            <w:tcW w:w="1991" w:type="pct"/>
            <w:vAlign w:val="center"/>
          </w:tcPr>
          <w:p>
            <w:pPr>
              <w:pStyle w:val="52"/>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环保投资占比</w:t>
            </w:r>
          </w:p>
          <w:p>
            <w:pPr>
              <w:pStyle w:val="52"/>
            </w:pPr>
            <w:r>
              <w:t>（%）</w:t>
            </w:r>
          </w:p>
        </w:tc>
        <w:tc>
          <w:tcPr>
            <w:tcW w:w="1642" w:type="pct"/>
            <w:vAlign w:val="center"/>
          </w:tcPr>
          <w:p>
            <w:pPr>
              <w:pStyle w:val="52"/>
            </w:pPr>
            <w:r>
              <w:t>1</w:t>
            </w:r>
          </w:p>
        </w:tc>
        <w:tc>
          <w:tcPr>
            <w:tcW w:w="651" w:type="pct"/>
            <w:tcMar>
              <w:top w:w="16" w:type="dxa"/>
              <w:left w:w="16" w:type="dxa"/>
              <w:right w:w="16" w:type="dxa"/>
            </w:tcMar>
            <w:vAlign w:val="center"/>
          </w:tcPr>
          <w:p>
            <w:pPr>
              <w:pStyle w:val="52"/>
            </w:pPr>
            <w:r>
              <w:t>施工工期</w:t>
            </w:r>
          </w:p>
        </w:tc>
        <w:tc>
          <w:tcPr>
            <w:tcW w:w="1991" w:type="pct"/>
            <w:vAlign w:val="center"/>
          </w:tcPr>
          <w:p>
            <w:pPr>
              <w:pStyle w:val="52"/>
            </w:pPr>
            <w:r>
              <w:rPr>
                <w:rFonts w:hint="eastAsia"/>
              </w:rPr>
              <w:t>3个月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tcMar>
              <w:top w:w="16" w:type="dxa"/>
              <w:left w:w="16" w:type="dxa"/>
              <w:right w:w="16" w:type="dxa"/>
            </w:tcMar>
            <w:vAlign w:val="center"/>
          </w:tcPr>
          <w:p>
            <w:pPr>
              <w:pStyle w:val="52"/>
            </w:pPr>
            <w:r>
              <w:t>是否开工建设</w:t>
            </w:r>
          </w:p>
        </w:tc>
        <w:tc>
          <w:tcPr>
            <w:tcW w:w="1642" w:type="pct"/>
            <w:vAlign w:val="center"/>
          </w:tcPr>
          <w:p>
            <w:pPr>
              <w:pStyle w:val="52"/>
              <w:jc w:val="left"/>
            </w:pPr>
            <w:r>
              <w:rPr>
                <w:b/>
              </w:rPr>
              <w:sym w:font="Wingdings 2" w:char="0052"/>
            </w:r>
            <w:r>
              <w:t>否</w:t>
            </w:r>
          </w:p>
          <w:p>
            <w:pPr>
              <w:pStyle w:val="52"/>
              <w:jc w:val="left"/>
            </w:pPr>
            <w:r>
              <w:rPr/>
              <w:sym w:font="Wingdings 2" w:char="00A3"/>
            </w:r>
            <w:r>
              <w:rPr>
                <w:rFonts w:hint="eastAsia"/>
              </w:rPr>
              <w:t xml:space="preserve"> </w:t>
            </w:r>
            <w:r>
              <w:t>是：</w:t>
            </w:r>
            <w:r>
              <w:rPr>
                <w:u w:val="single"/>
              </w:rPr>
              <w:t xml:space="preserve">         </w:t>
            </w:r>
            <w:r>
              <w:t xml:space="preserve">    </w:t>
            </w:r>
          </w:p>
        </w:tc>
        <w:tc>
          <w:tcPr>
            <w:tcW w:w="651" w:type="pct"/>
            <w:tcMar>
              <w:top w:w="16" w:type="dxa"/>
              <w:left w:w="16" w:type="dxa"/>
              <w:right w:w="16" w:type="dxa"/>
            </w:tcMar>
            <w:vAlign w:val="center"/>
          </w:tcPr>
          <w:p>
            <w:pPr>
              <w:pStyle w:val="52"/>
            </w:pPr>
            <w:r>
              <w:rPr>
                <w:rFonts w:hint="eastAsia"/>
              </w:rPr>
              <w:t>用地</w:t>
            </w:r>
            <w:r>
              <w:t>面积</w:t>
            </w:r>
          </w:p>
          <w:p>
            <w:pPr>
              <w:pStyle w:val="52"/>
            </w:pPr>
            <w:r>
              <w:t>（m</w:t>
            </w:r>
            <w:r>
              <w:rPr>
                <w:vertAlign w:val="superscript"/>
              </w:rPr>
              <w:t>2</w:t>
            </w:r>
            <w:r>
              <w:t>）</w:t>
            </w:r>
          </w:p>
        </w:tc>
        <w:tc>
          <w:tcPr>
            <w:tcW w:w="1991" w:type="pct"/>
            <w:vAlign w:val="center"/>
          </w:tcPr>
          <w:p>
            <w:pPr>
              <w:pStyle w:val="52"/>
            </w:pPr>
            <w:r>
              <w:rPr>
                <w:rFonts w:hint="eastAsia"/>
              </w:rPr>
              <w:t>1500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vAlign w:val="center"/>
          </w:tcPr>
          <w:p>
            <w:pPr>
              <w:pStyle w:val="52"/>
            </w:pPr>
            <w:r>
              <w:t>专项评价设置情况</w:t>
            </w:r>
          </w:p>
        </w:tc>
        <w:tc>
          <w:tcPr>
            <w:tcW w:w="4285" w:type="pct"/>
            <w:gridSpan w:val="3"/>
            <w:vAlign w:val="center"/>
          </w:tcPr>
          <w:p>
            <w:pPr>
              <w:autoSpaceDE w:val="0"/>
              <w:autoSpaceDN w:val="0"/>
              <w:adjustRightInd w:val="0"/>
              <w:snapToGrid w:val="0"/>
              <w:ind w:left="120" w:leftChars="50" w:right="120" w:rightChars="50" w:firstLine="480"/>
              <w:jc w:val="left"/>
            </w:pPr>
            <w:r>
              <w:rPr>
                <w:rFonts w:hint="eastAsia"/>
              </w:rPr>
              <w:t>根据《建设项目环境影响报告表编制技术指南（污染类）（试行）》，土壤、声环境不开展专项评价，地下水原则上不开展专项评价。项目工程专项设置情况参照表1-1专项评价设置原则表，具体见下表。</w:t>
            </w:r>
          </w:p>
          <w:p>
            <w:pPr>
              <w:pStyle w:val="103"/>
              <w:spacing w:beforeLines="0"/>
              <w:rPr>
                <w:rFonts w:eastAsia="宋体" w:cs="Times New Roman"/>
                <w:bCs/>
                <w:color w:val="auto"/>
                <w:spacing w:val="0"/>
                <w:szCs w:val="24"/>
              </w:rPr>
            </w:pPr>
            <w:r>
              <w:rPr>
                <w:rFonts w:hint="eastAsia" w:eastAsia="宋体" w:cs="Times New Roman"/>
                <w:bCs/>
                <w:color w:val="auto"/>
                <w:spacing w:val="0"/>
                <w:szCs w:val="24"/>
              </w:rPr>
              <w:t>表1-1</w:t>
            </w:r>
            <w:r>
              <w:rPr>
                <w:rFonts w:eastAsia="宋体" w:cs="Times New Roman"/>
                <w:bCs/>
                <w:color w:val="auto"/>
                <w:spacing w:val="0"/>
                <w:szCs w:val="24"/>
              </w:rPr>
              <w:t>项目专项评价设置表</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576"/>
              <w:gridCol w:w="2308"/>
              <w:gridCol w:w="9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专项评价类别</w:t>
                  </w:r>
                </w:p>
              </w:tc>
              <w:tc>
                <w:tcPr>
                  <w:tcW w:w="2304" w:type="pct"/>
                  <w:vAlign w:val="center"/>
                </w:tcPr>
                <w:p>
                  <w:pPr>
                    <w:pStyle w:val="52"/>
                  </w:pPr>
                  <w:r>
                    <w:rPr>
                      <w:rFonts w:hint="eastAsia"/>
                    </w:rPr>
                    <w:t>设置原则</w:t>
                  </w:r>
                </w:p>
              </w:tc>
              <w:tc>
                <w:tcPr>
                  <w:tcW w:w="1487" w:type="pct"/>
                  <w:vAlign w:val="center"/>
                </w:tcPr>
                <w:p>
                  <w:pPr>
                    <w:pStyle w:val="52"/>
                    <w:ind w:firstLine="480"/>
                    <w:jc w:val="both"/>
                  </w:pPr>
                  <w:r>
                    <w:rPr>
                      <w:rFonts w:hint="eastAsia"/>
                    </w:rPr>
                    <w:t>本项目情况</w:t>
                  </w:r>
                </w:p>
              </w:tc>
              <w:tc>
                <w:tcPr>
                  <w:tcW w:w="604" w:type="pct"/>
                  <w:vAlign w:val="center"/>
                </w:tcPr>
                <w:p>
                  <w:pPr>
                    <w:pStyle w:val="52"/>
                  </w:pPr>
                  <w:r>
                    <w:rPr>
                      <w:rFonts w:hint="eastAsia"/>
                    </w:rPr>
                    <w:t>是否设置专项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大气</w:t>
                  </w:r>
                </w:p>
              </w:tc>
              <w:tc>
                <w:tcPr>
                  <w:tcW w:w="2304" w:type="pct"/>
                  <w:vAlign w:val="center"/>
                </w:tcPr>
                <w:p>
                  <w:pPr>
                    <w:pStyle w:val="52"/>
                  </w:pPr>
                  <w:r>
                    <w:t>排放废气含有毒有害污染物、二噁英、苯并[a]芘、氰化物、氯气且厂界外500米范围内有环境空气保护目标的建设项目</w:t>
                  </w:r>
                </w:p>
              </w:tc>
              <w:tc>
                <w:tcPr>
                  <w:tcW w:w="1487" w:type="pct"/>
                  <w:vAlign w:val="center"/>
                </w:tcPr>
                <w:p>
                  <w:pPr>
                    <w:pStyle w:val="52"/>
                  </w:pPr>
                  <w:r>
                    <w:rPr>
                      <w:rFonts w:hint="eastAsia"/>
                    </w:rPr>
                    <w:t>本项目不涉及</w:t>
                  </w:r>
                  <w:r>
                    <w:t>含有毒有害污染物、二噁英、苯并[a]芘、氰化物、氯气的排放</w:t>
                  </w:r>
                </w:p>
              </w:tc>
              <w:tc>
                <w:tcPr>
                  <w:tcW w:w="604" w:type="pct"/>
                  <w:vAlign w:val="center"/>
                </w:tcPr>
                <w:p>
                  <w:pPr>
                    <w:pStyle w:val="52"/>
                  </w:pPr>
                  <w:r>
                    <w:rPr>
                      <w:rFonts w:hint="eastAsia"/>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地表水</w:t>
                  </w:r>
                </w:p>
              </w:tc>
              <w:tc>
                <w:tcPr>
                  <w:tcW w:w="2304" w:type="pct"/>
                  <w:vAlign w:val="center"/>
                </w:tcPr>
                <w:p>
                  <w:pPr>
                    <w:pStyle w:val="52"/>
                  </w:pPr>
                  <w:r>
                    <w:t>新增工业废水直排建设项目（槽罐车外送</w:t>
                  </w:r>
                  <w:r>
                    <w:rPr>
                      <w:rFonts w:hint="eastAsia"/>
                    </w:rPr>
                    <w:t>污水处理厂</w:t>
                  </w:r>
                  <w:r>
                    <w:t>的除外）；新增废水直排的污水集中处理厂</w:t>
                  </w:r>
                </w:p>
              </w:tc>
              <w:tc>
                <w:tcPr>
                  <w:tcW w:w="1487" w:type="pct"/>
                  <w:vAlign w:val="center"/>
                </w:tcPr>
                <w:p>
                  <w:pPr>
                    <w:pStyle w:val="52"/>
                  </w:pPr>
                  <w:r>
                    <w:rPr>
                      <w:rFonts w:hint="eastAsia"/>
                    </w:rPr>
                    <w:t>本项目废水排放至一体化污水处理设备，为间接排放</w:t>
                  </w:r>
                </w:p>
              </w:tc>
              <w:tc>
                <w:tcPr>
                  <w:tcW w:w="604" w:type="pct"/>
                  <w:vAlign w:val="center"/>
                </w:tcPr>
                <w:p>
                  <w:pPr>
                    <w:pStyle w:val="52"/>
                  </w:pPr>
                  <w:r>
                    <w:rPr>
                      <w:rFonts w:hint="eastAsia"/>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环境</w:t>
                  </w:r>
                </w:p>
                <w:p>
                  <w:pPr>
                    <w:pStyle w:val="52"/>
                  </w:pPr>
                  <w:r>
                    <w:rPr>
                      <w:rFonts w:hint="eastAsia"/>
                    </w:rPr>
                    <w:t>风险</w:t>
                  </w:r>
                </w:p>
              </w:tc>
              <w:tc>
                <w:tcPr>
                  <w:tcW w:w="2304" w:type="pct"/>
                  <w:vAlign w:val="center"/>
                </w:tcPr>
                <w:p>
                  <w:pPr>
                    <w:pStyle w:val="52"/>
                  </w:pPr>
                  <w:r>
                    <w:t>有毒有害和易燃易爆危险物质存储量超过临界量的建设项目</w:t>
                  </w:r>
                </w:p>
              </w:tc>
              <w:tc>
                <w:tcPr>
                  <w:tcW w:w="1487" w:type="pct"/>
                  <w:vAlign w:val="center"/>
                </w:tcPr>
                <w:p>
                  <w:pPr>
                    <w:pStyle w:val="52"/>
                  </w:pPr>
                  <w:r>
                    <w:rPr>
                      <w:rFonts w:hint="eastAsia"/>
                    </w:rPr>
                    <w:t>本项目不涉及危险物质的使用</w:t>
                  </w:r>
                </w:p>
              </w:tc>
              <w:tc>
                <w:tcPr>
                  <w:tcW w:w="604" w:type="pct"/>
                  <w:vAlign w:val="center"/>
                </w:tcPr>
                <w:p>
                  <w:pPr>
                    <w:pStyle w:val="52"/>
                  </w:pPr>
                  <w:r>
                    <w:rPr>
                      <w:rFonts w:hint="eastAsia"/>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生态</w:t>
                  </w:r>
                </w:p>
              </w:tc>
              <w:tc>
                <w:tcPr>
                  <w:tcW w:w="2304" w:type="pct"/>
                  <w:vAlign w:val="center"/>
                </w:tcPr>
                <w:p>
                  <w:pPr>
                    <w:pStyle w:val="52"/>
                  </w:pPr>
                  <w:r>
                    <w:t>取水口下游500米范围内有重要水生</w:t>
                  </w:r>
                  <w:r>
                    <w:cr/>
                  </w:r>
                  <w:r>
                    <w:t>物的自然卵场、索饵场、越冬场和洄游通道的新增河道取水的污染类建设项目</w:t>
                  </w:r>
                </w:p>
              </w:tc>
              <w:tc>
                <w:tcPr>
                  <w:tcW w:w="1487" w:type="pct"/>
                  <w:vAlign w:val="center"/>
                </w:tcPr>
                <w:p>
                  <w:pPr>
                    <w:pStyle w:val="52"/>
                  </w:pPr>
                  <w:r>
                    <w:rPr>
                      <w:rFonts w:hint="eastAsia"/>
                    </w:rPr>
                    <w:t>本项目不设置取水口</w:t>
                  </w:r>
                </w:p>
              </w:tc>
              <w:tc>
                <w:tcPr>
                  <w:tcW w:w="604" w:type="pct"/>
                  <w:vAlign w:val="center"/>
                </w:tcPr>
                <w:p>
                  <w:pPr>
                    <w:pStyle w:val="52"/>
                  </w:pPr>
                  <w:r>
                    <w:rPr>
                      <w:rFonts w:hint="eastAsia"/>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海洋</w:t>
                  </w:r>
                </w:p>
              </w:tc>
              <w:tc>
                <w:tcPr>
                  <w:tcW w:w="2304" w:type="pct"/>
                  <w:vAlign w:val="center"/>
                </w:tcPr>
                <w:p>
                  <w:pPr>
                    <w:pStyle w:val="52"/>
                  </w:pPr>
                  <w:r>
                    <w:t>直接向海排放污染物的海洋工程建设项目</w:t>
                  </w:r>
                </w:p>
              </w:tc>
              <w:tc>
                <w:tcPr>
                  <w:tcW w:w="1487" w:type="pct"/>
                  <w:vAlign w:val="center"/>
                </w:tcPr>
                <w:p>
                  <w:pPr>
                    <w:pStyle w:val="52"/>
                  </w:pPr>
                  <w:r>
                    <w:rPr>
                      <w:rFonts w:hint="eastAsia"/>
                    </w:rPr>
                    <w:t>本项目不属于海洋</w:t>
                  </w:r>
                </w:p>
                <w:p>
                  <w:pPr>
                    <w:pStyle w:val="52"/>
                  </w:pPr>
                  <w:r>
                    <w:rPr>
                      <w:rFonts w:hint="eastAsia"/>
                    </w:rPr>
                    <w:t>工程</w:t>
                  </w:r>
                </w:p>
              </w:tc>
              <w:tc>
                <w:tcPr>
                  <w:tcW w:w="604" w:type="pct"/>
                  <w:vAlign w:val="center"/>
                </w:tcPr>
                <w:p>
                  <w:pPr>
                    <w:pStyle w:val="52"/>
                  </w:pPr>
                  <w:r>
                    <w:rPr>
                      <w:rFonts w:hint="eastAsia"/>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pPr>
                    <w:pStyle w:val="52"/>
                  </w:pPr>
                  <w:r>
                    <w:rPr>
                      <w:rFonts w:hint="eastAsia"/>
                    </w:rPr>
                    <w:t>地下水</w:t>
                  </w:r>
                </w:p>
              </w:tc>
              <w:tc>
                <w:tcPr>
                  <w:tcW w:w="2304" w:type="pct"/>
                  <w:vAlign w:val="center"/>
                </w:tcPr>
                <w:p>
                  <w:pPr>
                    <w:pStyle w:val="52"/>
                  </w:pPr>
                  <w:r>
                    <w:rPr>
                      <w:rFonts w:hint="eastAsia"/>
                    </w:rPr>
                    <w:t>原则上不开展专项评价，涉及集中式饮用水水源和热水、矿泉水、温泉等特殊地下水资源保护区的开展地下水专项评价工作</w:t>
                  </w:r>
                </w:p>
              </w:tc>
              <w:tc>
                <w:tcPr>
                  <w:tcW w:w="1487" w:type="pct"/>
                  <w:vAlign w:val="center"/>
                </w:tcPr>
                <w:p>
                  <w:pPr>
                    <w:pStyle w:val="52"/>
                  </w:pPr>
                  <w:r>
                    <w:rPr>
                      <w:rFonts w:hint="eastAsia"/>
                    </w:rPr>
                    <w:t>本想项目不涉及集中式饮用水水源和热水、矿泉水、温泉等特殊地下水资源保护区</w:t>
                  </w:r>
                </w:p>
              </w:tc>
              <w:tc>
                <w:tcPr>
                  <w:tcW w:w="604" w:type="pct"/>
                  <w:vAlign w:val="center"/>
                </w:tcPr>
                <w:p>
                  <w:pPr>
                    <w:pStyle w:val="52"/>
                    <w:keepNext/>
                  </w:pPr>
                  <w:r>
                    <w:rPr>
                      <w:rFonts w:hint="eastAsia"/>
                    </w:rPr>
                    <w:t>否</w:t>
                  </w:r>
                </w:p>
              </w:tc>
            </w:tr>
          </w:tbl>
          <w:p>
            <w:pPr>
              <w:pStyle w:val="9"/>
              <w:spacing w:before="120" w:beforeLines="50"/>
              <w:ind w:firstLine="0" w:firstLineChars="0"/>
              <w:jc w:val="left"/>
              <w:rPr>
                <w:rFonts w:ascii="Times New Roman" w:hAnsi="Times New Roman" w:eastAsia="宋体"/>
                <w:sz w:val="21"/>
              </w:rPr>
            </w:pPr>
            <w:r>
              <w:rPr>
                <w:rFonts w:hint="eastAsia" w:ascii="Times New Roman" w:hAnsi="Times New Roman" w:eastAsia="宋体" w:cs="Times New Roman"/>
                <w:sz w:val="21"/>
                <w:szCs w:val="24"/>
              </w:rPr>
              <w:t>根据以上分析，项目不需要设置专项评价。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vAlign w:val="center"/>
          </w:tcPr>
          <w:p>
            <w:pPr>
              <w:pStyle w:val="52"/>
            </w:pPr>
            <w:r>
              <w:t>规划情况</w:t>
            </w:r>
          </w:p>
        </w:tc>
        <w:tc>
          <w:tcPr>
            <w:tcW w:w="4285" w:type="pct"/>
            <w:gridSpan w:val="3"/>
            <w:vAlign w:val="center"/>
          </w:tcPr>
          <w:p>
            <w:pPr>
              <w:pStyle w:val="52"/>
              <w:spacing w:line="360" w:lineRule="auto"/>
              <w:jc w:val="left"/>
              <w:rPr>
                <w:szCs w:val="24"/>
              </w:rPr>
            </w:pPr>
            <w:r>
              <w:rPr>
                <w:rFonts w:hint="eastAsia"/>
                <w:szCs w:val="24"/>
              </w:rPr>
              <w:t>规划名称：《福州市元洪投资区总体规划(2016-2030)》；</w:t>
            </w:r>
          </w:p>
          <w:p>
            <w:pPr>
              <w:pStyle w:val="52"/>
              <w:spacing w:line="360" w:lineRule="auto"/>
              <w:jc w:val="left"/>
              <w:rPr>
                <w:szCs w:val="24"/>
              </w:rPr>
            </w:pPr>
            <w:r>
              <w:rPr>
                <w:rFonts w:hint="eastAsia"/>
                <w:szCs w:val="24"/>
              </w:rPr>
              <w:t>审批机关：福州市城乡规划局；</w:t>
            </w:r>
          </w:p>
          <w:p>
            <w:pPr>
              <w:pStyle w:val="52"/>
              <w:spacing w:line="360" w:lineRule="auto"/>
              <w:jc w:val="left"/>
              <w:rPr>
                <w:sz w:val="24"/>
                <w:szCs w:val="24"/>
              </w:rPr>
            </w:pPr>
            <w:r>
              <w:rPr>
                <w:rFonts w:hint="eastAsia"/>
                <w:szCs w:val="24"/>
              </w:rPr>
              <w:t>审查文件名称及文号：无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vAlign w:val="center"/>
          </w:tcPr>
          <w:p>
            <w:pPr>
              <w:pStyle w:val="52"/>
            </w:pPr>
            <w:r>
              <w:t>规划环境影响评价情况</w:t>
            </w:r>
          </w:p>
        </w:tc>
        <w:tc>
          <w:tcPr>
            <w:tcW w:w="4285" w:type="pct"/>
            <w:gridSpan w:val="3"/>
            <w:vAlign w:val="center"/>
          </w:tcPr>
          <w:p>
            <w:pPr>
              <w:pStyle w:val="52"/>
              <w:spacing w:line="360" w:lineRule="auto"/>
              <w:jc w:val="left"/>
              <w:rPr>
                <w:szCs w:val="24"/>
              </w:rPr>
            </w:pPr>
            <w:r>
              <w:rPr>
                <w:rFonts w:hint="eastAsia"/>
                <w:szCs w:val="24"/>
              </w:rPr>
              <w:t>文件名称：《福州市元洪投资区总体规划(2016～2030)环境影响评价报告书》；</w:t>
            </w:r>
          </w:p>
          <w:p>
            <w:pPr>
              <w:pStyle w:val="52"/>
              <w:spacing w:line="360" w:lineRule="auto"/>
              <w:jc w:val="left"/>
              <w:rPr>
                <w:szCs w:val="24"/>
              </w:rPr>
            </w:pPr>
            <w:r>
              <w:rPr>
                <w:rFonts w:hint="eastAsia"/>
                <w:szCs w:val="24"/>
              </w:rPr>
              <w:t>审查机关：中华人民共和国生态环境部；</w:t>
            </w:r>
          </w:p>
          <w:p>
            <w:pPr>
              <w:pStyle w:val="52"/>
              <w:spacing w:line="360" w:lineRule="auto"/>
              <w:jc w:val="left"/>
              <w:rPr>
                <w:szCs w:val="24"/>
              </w:rPr>
            </w:pPr>
            <w:r>
              <w:rPr>
                <w:rFonts w:hint="eastAsia"/>
                <w:szCs w:val="24"/>
              </w:rPr>
              <w:t>审查文件名称及文号：《关于&lt;福州元洪投资区总体规划(2016~2030)环境影响报告书》&gt;的审查意见》(环审〔2019〕86号)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vAlign w:val="center"/>
          </w:tcPr>
          <w:p>
            <w:pPr>
              <w:pStyle w:val="52"/>
            </w:pPr>
            <w:r>
              <w:t>规划及规划环境影响评价符合性</w:t>
            </w:r>
          </w:p>
          <w:p>
            <w:pPr>
              <w:pStyle w:val="52"/>
            </w:pPr>
            <w:r>
              <w:t>分析</w:t>
            </w:r>
          </w:p>
        </w:tc>
        <w:tc>
          <w:tcPr>
            <w:tcW w:w="4285" w:type="pct"/>
            <w:gridSpan w:val="3"/>
            <w:vAlign w:val="center"/>
          </w:tcPr>
          <w:p>
            <w:pPr>
              <w:ind w:firstLine="0" w:firstLineChars="0"/>
              <w:jc w:val="left"/>
              <w:rPr>
                <w:b/>
              </w:rPr>
            </w:pPr>
            <w:r>
              <w:rPr>
                <w:rFonts w:hint="eastAsia"/>
                <w:b/>
              </w:rPr>
              <w:t>一、与《福州市元洪投资区总体规划(2016-2030)》符合性</w:t>
            </w:r>
          </w:p>
          <w:p>
            <w:pPr>
              <w:ind w:firstLine="480"/>
              <w:jc w:val="left"/>
            </w:pPr>
            <w:r>
              <w:rPr>
                <w:rFonts w:hint="eastAsia"/>
              </w:rPr>
              <w:t>根据《福州市元洪投资区总体规划(2016-2030)》，元洪投资区作为福州重要的产业基地之一，以科技研发、电子信息技术、</w:t>
            </w:r>
            <w:r>
              <w:rPr>
                <w:rFonts w:hint="eastAsia"/>
                <w:b/>
                <w:bCs/>
              </w:rPr>
              <w:t>食品</w:t>
            </w:r>
            <w:r>
              <w:rPr>
                <w:rFonts w:hint="eastAsia"/>
              </w:rPr>
              <w:t>、无污染轻工业、港口物流为主要产业职能功能定位为现代临港综合性物流产业园。</w:t>
            </w:r>
          </w:p>
          <w:p>
            <w:pPr>
              <w:ind w:firstLine="480"/>
              <w:jc w:val="left"/>
            </w:pPr>
            <w:r>
              <w:rPr>
                <w:rFonts w:hint="eastAsia"/>
              </w:rPr>
              <w:t>根据产业布局原则与产业发展的基础条件，进行功能片区分设，即形成相对集中的三个产业集群区，分别是</w:t>
            </w:r>
            <w:r>
              <w:rPr>
                <w:rFonts w:hint="eastAsia"/>
                <w:b/>
                <w:bCs/>
              </w:rPr>
              <w:t>东部食品加工产业区</w:t>
            </w:r>
            <w:r>
              <w:rPr>
                <w:rFonts w:hint="eastAsia"/>
              </w:rPr>
              <w:t>，中部机械电子、能源化工产业区以及西部轻工、汽摩配产业区。产业分区之间进行隔离，两园之间用地可动态发展，并为片区将来的完善和更新发展留有余地。</w:t>
            </w:r>
          </w:p>
          <w:p>
            <w:pPr>
              <w:ind w:firstLine="482"/>
              <w:jc w:val="left"/>
            </w:pPr>
            <w:r>
              <w:rPr>
                <w:rFonts w:hint="eastAsia"/>
                <w:b/>
                <w:bCs/>
              </w:rPr>
              <w:t>东区食品园：</w:t>
            </w:r>
            <w:r>
              <w:rPr>
                <w:rFonts w:hint="eastAsia"/>
              </w:rPr>
              <w:t>主要发展粮食、油脂、饮料、</w:t>
            </w:r>
            <w:r>
              <w:rPr>
                <w:rFonts w:hint="eastAsia"/>
                <w:b/>
                <w:bCs/>
              </w:rPr>
              <w:t>食品</w:t>
            </w:r>
            <w:r>
              <w:rPr>
                <w:rFonts w:hint="eastAsia"/>
              </w:rPr>
              <w:t>、果蔬加工、物流等产业。挖掘当地民营传统企业潜力，重点做大做强粮油饲料加工和码头物流产业。</w:t>
            </w:r>
          </w:p>
          <w:p>
            <w:pPr>
              <w:pStyle w:val="11"/>
              <w:ind w:firstLine="482"/>
            </w:pPr>
            <w:r>
              <w:rPr>
                <w:rFonts w:hint="eastAsia"/>
                <w:b/>
              </w:rPr>
              <w:t>符合性分析：</w:t>
            </w:r>
            <w:r>
              <w:rPr>
                <w:rFonts w:hint="eastAsia"/>
              </w:rPr>
              <w:t>项目位于福州元洪投资区（租赁福清市鸿昌食品有限公司1号车间1层），位于东区食品园内，项目从事米粉加工，属于食品制造业为轻工业，符合规划要求。</w:t>
            </w:r>
          </w:p>
          <w:p>
            <w:pPr>
              <w:ind w:firstLine="0" w:firstLineChars="0"/>
              <w:jc w:val="left"/>
            </w:pPr>
            <w:r>
              <w:rPr>
                <w:rFonts w:hint="eastAsia"/>
                <w:b/>
              </w:rPr>
              <w:t>二、与&lt;福州元洪投资区总体规划(2016~2030)环境影响报告书&gt;生态环境准入基本要求符合性分析</w:t>
            </w:r>
          </w:p>
          <w:p>
            <w:pPr>
              <w:ind w:firstLine="480"/>
              <w:jc w:val="left"/>
            </w:pPr>
            <w:r>
              <w:rPr>
                <w:rFonts w:hint="eastAsia"/>
              </w:rPr>
              <w:t>根据环境影响报告书生态环境准入清单管理要求，限制入规划区项目详见表1-2。</w:t>
            </w:r>
          </w:p>
          <w:p>
            <w:pPr>
              <w:pStyle w:val="2"/>
              <w:spacing w:line="240" w:lineRule="auto"/>
              <w:jc w:val="center"/>
            </w:pPr>
            <w:bookmarkStart w:id="4" w:name="OLE_LINK32"/>
            <w:bookmarkStart w:id="5" w:name="OLE_LINK18"/>
            <w:r>
              <w:rPr>
                <w:rFonts w:hint="eastAsia"/>
              </w:rPr>
              <w:t>表1-2</w:t>
            </w:r>
            <w:bookmarkEnd w:id="4"/>
            <w:bookmarkEnd w:id="5"/>
            <w:r>
              <w:rPr>
                <w:rFonts w:hint="eastAsia"/>
              </w:rPr>
              <w:t>环境准入基本要求及生态环境准入清单一览表（节选）</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9"/>
              <w:gridCol w:w="3432"/>
              <w:gridCol w:w="11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3226" w:type="dxa"/>
                  <w:gridSpan w:val="2"/>
                  <w:vAlign w:val="center"/>
                </w:tcPr>
                <w:p>
                  <w:pPr>
                    <w:spacing w:line="240" w:lineRule="auto"/>
                    <w:ind w:firstLine="0" w:firstLineChars="0"/>
                    <w:jc w:val="center"/>
                    <w:rPr>
                      <w:sz w:val="21"/>
                    </w:rPr>
                  </w:pPr>
                  <w:r>
                    <w:rPr>
                      <w:rFonts w:hint="eastAsia"/>
                      <w:sz w:val="21"/>
                    </w:rPr>
                    <w:t>类别</w:t>
                  </w:r>
                </w:p>
              </w:tc>
              <w:tc>
                <w:tcPr>
                  <w:tcW w:w="3428" w:type="dxa"/>
                  <w:vAlign w:val="center"/>
                </w:tcPr>
                <w:p>
                  <w:pPr>
                    <w:spacing w:line="240" w:lineRule="auto"/>
                    <w:ind w:firstLine="0" w:firstLineChars="0"/>
                    <w:jc w:val="center"/>
                    <w:rPr>
                      <w:sz w:val="21"/>
                    </w:rPr>
                  </w:pPr>
                  <w:r>
                    <w:rPr>
                      <w:rFonts w:hint="eastAsia"/>
                      <w:sz w:val="21"/>
                    </w:rPr>
                    <w:t>生态环境准入清单</w:t>
                  </w:r>
                </w:p>
              </w:tc>
              <w:tc>
                <w:tcPr>
                  <w:tcW w:w="1100" w:type="dxa"/>
                  <w:vAlign w:val="center"/>
                </w:tcPr>
                <w:p>
                  <w:pPr>
                    <w:spacing w:line="240" w:lineRule="auto"/>
                    <w:ind w:firstLine="0" w:firstLineChars="0"/>
                    <w:jc w:val="center"/>
                    <w:rPr>
                      <w:sz w:val="21"/>
                    </w:rPr>
                  </w:pPr>
                  <w:r>
                    <w:rPr>
                      <w:rFonts w:hint="eastAsia"/>
                      <w:sz w:val="21"/>
                    </w:rPr>
                    <w:t>管理要求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Merge w:val="restart"/>
                  <w:vAlign w:val="center"/>
                </w:tcPr>
                <w:p>
                  <w:pPr>
                    <w:spacing w:line="240" w:lineRule="auto"/>
                    <w:ind w:firstLine="0" w:firstLineChars="0"/>
                    <w:jc w:val="center"/>
                    <w:rPr>
                      <w:sz w:val="21"/>
                    </w:rPr>
                  </w:pPr>
                  <w:r>
                    <w:rPr>
                      <w:rFonts w:hint="eastAsia"/>
                      <w:sz w:val="21"/>
                    </w:rPr>
                    <w:t>投资区规划产业(以研发、电子信息技术、食品、无污染</w:t>
                  </w:r>
                  <w:r>
                    <w:rPr>
                      <w:rFonts w:hint="eastAsia"/>
                      <w:sz w:val="21"/>
                    </w:rPr>
                    <w:cr/>
                  </w:r>
                  <w:r>
                    <w:rPr>
                      <w:rFonts w:hint="eastAsia"/>
                      <w:sz w:val="21"/>
                    </w:rPr>
                    <w:t>轻工业、港口物流为主导，以海洋产业、新材料产业为补充)</w:t>
                  </w:r>
                </w:p>
              </w:tc>
              <w:tc>
                <w:tcPr>
                  <w:tcW w:w="1417" w:type="dxa"/>
                  <w:vAlign w:val="center"/>
                </w:tcPr>
                <w:p>
                  <w:pPr>
                    <w:spacing w:line="240" w:lineRule="auto"/>
                    <w:ind w:firstLine="0" w:firstLineChars="0"/>
                    <w:jc w:val="left"/>
                    <w:rPr>
                      <w:sz w:val="21"/>
                    </w:rPr>
                  </w:pPr>
                  <w:r>
                    <w:rPr>
                      <w:rFonts w:hint="eastAsia"/>
                      <w:sz w:val="21"/>
                    </w:rPr>
                    <w:t>(1)生态红线约束下</w:t>
                  </w:r>
                </w:p>
              </w:tc>
              <w:tc>
                <w:tcPr>
                  <w:tcW w:w="3428" w:type="dxa"/>
                  <w:vAlign w:val="center"/>
                </w:tcPr>
                <w:p>
                  <w:pPr>
                    <w:spacing w:line="240" w:lineRule="auto"/>
                    <w:ind w:firstLine="0" w:firstLineChars="0"/>
                    <w:jc w:val="left"/>
                    <w:rPr>
                      <w:sz w:val="21"/>
                    </w:rPr>
                  </w:pPr>
                  <w:r>
                    <w:rPr>
                      <w:rFonts w:hint="eastAsia"/>
                      <w:sz w:val="21"/>
                    </w:rPr>
                    <w:t>①化学药品制造，生物生化制品制造，中成药制造、中药饮片加工，含医药、化工类等专业中试内容的研发基地</w:t>
                  </w:r>
                </w:p>
                <w:p>
                  <w:pPr>
                    <w:pStyle w:val="2"/>
                    <w:spacing w:line="240" w:lineRule="auto"/>
                    <w:jc w:val="left"/>
                    <w:outlineLvl w:val="3"/>
                    <w:rPr>
                      <w:b w:val="0"/>
                      <w:sz w:val="21"/>
                    </w:rPr>
                  </w:pPr>
                  <w:r>
                    <w:rPr>
                      <w:rFonts w:hint="eastAsia"/>
                      <w:b w:val="0"/>
                      <w:sz w:val="21"/>
                    </w:rPr>
                    <w:t>②涉及电镀、酸洗、磷化工序的金属制品表面处理；有电镀工艺的锯材</w:t>
                  </w:r>
                </w:p>
                <w:p>
                  <w:pPr>
                    <w:spacing w:line="240" w:lineRule="auto"/>
                    <w:ind w:firstLine="0" w:firstLineChars="0"/>
                    <w:jc w:val="left"/>
                    <w:rPr>
                      <w:sz w:val="21"/>
                    </w:rPr>
                  </w:pPr>
                  <w:r>
                    <w:rPr>
                      <w:rFonts w:hint="eastAsia"/>
                      <w:sz w:val="21"/>
                    </w:rPr>
                    <w:t>③印刷线路板制造</w:t>
                  </w:r>
                </w:p>
                <w:p>
                  <w:pPr>
                    <w:pStyle w:val="2"/>
                    <w:spacing w:line="240" w:lineRule="auto"/>
                    <w:jc w:val="left"/>
                    <w:outlineLvl w:val="3"/>
                    <w:rPr>
                      <w:b w:val="0"/>
                      <w:sz w:val="21"/>
                    </w:rPr>
                  </w:pPr>
                  <w:r>
                    <w:rPr>
                      <w:rFonts w:hint="eastAsia"/>
                      <w:b w:val="0"/>
                      <w:sz w:val="21"/>
                    </w:rPr>
                    <w:t>④基本化学原料制造、化学肥料制造、农药制造，涂料、燃料、颜料、油墨及其类似产品制造，合成材料制造，专用化学品制造，饲料添加剂、食品添加剂和水处理及等制造，日用化学品制造</w:t>
                  </w:r>
                </w:p>
                <w:p>
                  <w:pPr>
                    <w:spacing w:line="240" w:lineRule="auto"/>
                    <w:ind w:firstLine="0" w:firstLineChars="0"/>
                    <w:jc w:val="left"/>
                    <w:rPr>
                      <w:sz w:val="21"/>
                    </w:rPr>
                  </w:pPr>
                  <w:r>
                    <w:rPr>
                      <w:rFonts w:hint="eastAsia"/>
                      <w:sz w:val="21"/>
                    </w:rPr>
                    <w:t>⑤人造板制造</w:t>
                  </w:r>
                </w:p>
                <w:p>
                  <w:pPr>
                    <w:pStyle w:val="2"/>
                    <w:spacing w:line="240" w:lineRule="auto"/>
                    <w:jc w:val="left"/>
                    <w:outlineLvl w:val="3"/>
                    <w:rPr>
                      <w:b w:val="0"/>
                      <w:sz w:val="21"/>
                    </w:rPr>
                  </w:pPr>
                  <w:r>
                    <w:rPr>
                      <w:rFonts w:hint="eastAsia"/>
                      <w:b w:val="0"/>
                      <w:sz w:val="21"/>
                    </w:rPr>
                    <w:t>⑥人造革、合成革制造</w:t>
                  </w:r>
                </w:p>
                <w:p>
                  <w:pPr>
                    <w:spacing w:line="240" w:lineRule="auto"/>
                    <w:ind w:firstLine="0" w:firstLineChars="0"/>
                    <w:jc w:val="left"/>
                    <w:rPr>
                      <w:sz w:val="21"/>
                    </w:rPr>
                  </w:pPr>
                  <w:r>
                    <w:rPr>
                      <w:rFonts w:hint="eastAsia"/>
                      <w:sz w:val="21"/>
                    </w:rPr>
                    <w:t>⑦轮胎制造、再生橡胶制造、橡胶加工、橡胶制品翻新</w:t>
                  </w:r>
                </w:p>
                <w:p>
                  <w:pPr>
                    <w:pStyle w:val="2"/>
                    <w:spacing w:line="240" w:lineRule="auto"/>
                    <w:jc w:val="left"/>
                    <w:outlineLvl w:val="3"/>
                    <w:rPr>
                      <w:b w:val="0"/>
                      <w:sz w:val="21"/>
                    </w:rPr>
                  </w:pPr>
                  <w:r>
                    <w:rPr>
                      <w:rFonts w:hint="eastAsia"/>
                      <w:b w:val="0"/>
                      <w:sz w:val="21"/>
                    </w:rPr>
                    <w:t>⑧禁止废塑料、废轮胎、废油再生利用</w:t>
                  </w:r>
                </w:p>
                <w:p>
                  <w:pPr>
                    <w:spacing w:line="240" w:lineRule="auto"/>
                    <w:ind w:firstLine="0" w:firstLineChars="0"/>
                    <w:jc w:val="left"/>
                  </w:pPr>
                  <w:r>
                    <w:rPr>
                      <w:rFonts w:hint="eastAsia"/>
                      <w:sz w:val="21"/>
                    </w:rPr>
                    <w:t>⑨生活垃圾焚烧，危险废物焚烧</w:t>
                  </w:r>
                </w:p>
              </w:tc>
              <w:tc>
                <w:tcPr>
                  <w:tcW w:w="1100" w:type="dxa"/>
                  <w:vMerge w:val="restart"/>
                  <w:vAlign w:val="center"/>
                </w:tcPr>
                <w:p>
                  <w:pPr>
                    <w:spacing w:line="240" w:lineRule="auto"/>
                    <w:ind w:firstLine="0" w:firstLineChars="0"/>
                    <w:jc w:val="center"/>
                    <w:rPr>
                      <w:sz w:val="21"/>
                    </w:rPr>
                  </w:pPr>
                  <w:r>
                    <w:rPr>
                      <w:rFonts w:hint="eastAsia"/>
                      <w:sz w:val="21"/>
                    </w:rPr>
                    <w:t>禁止准入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9" w:type="dxa"/>
                  <w:vMerge w:val="continue"/>
                  <w:vAlign w:val="center"/>
                </w:tcPr>
                <w:p>
                  <w:pPr>
                    <w:spacing w:line="240" w:lineRule="auto"/>
                    <w:ind w:firstLine="0" w:firstLineChars="0"/>
                    <w:jc w:val="center"/>
                    <w:rPr>
                      <w:sz w:val="21"/>
                    </w:rPr>
                  </w:pPr>
                </w:p>
              </w:tc>
              <w:tc>
                <w:tcPr>
                  <w:tcW w:w="1417" w:type="dxa"/>
                  <w:vAlign w:val="center"/>
                </w:tcPr>
                <w:p>
                  <w:pPr>
                    <w:spacing w:line="240" w:lineRule="auto"/>
                    <w:ind w:firstLine="0" w:firstLineChars="0"/>
                    <w:jc w:val="left"/>
                    <w:rPr>
                      <w:sz w:val="21"/>
                    </w:rPr>
                  </w:pPr>
                  <w:r>
                    <w:rPr>
                      <w:rFonts w:hint="eastAsia"/>
                      <w:sz w:val="21"/>
                    </w:rPr>
                    <w:t>(2)环境质量底线约束下</w:t>
                  </w:r>
                </w:p>
              </w:tc>
              <w:tc>
                <w:tcPr>
                  <w:tcW w:w="3428" w:type="dxa"/>
                  <w:vAlign w:val="center"/>
                </w:tcPr>
                <w:p>
                  <w:pPr>
                    <w:pStyle w:val="2"/>
                    <w:spacing w:line="240" w:lineRule="auto"/>
                    <w:jc w:val="left"/>
                    <w:outlineLvl w:val="3"/>
                    <w:rPr>
                      <w:b w:val="0"/>
                      <w:bCs w:val="0"/>
                      <w:sz w:val="21"/>
                    </w:rPr>
                  </w:pPr>
                  <w:r>
                    <w:rPr>
                      <w:rFonts w:hint="eastAsia"/>
                      <w:b w:val="0"/>
                      <w:bCs w:val="0"/>
                      <w:sz w:val="21"/>
                    </w:rPr>
                    <w:t>①屠宰</w:t>
                  </w:r>
                </w:p>
                <w:p>
                  <w:pPr>
                    <w:spacing w:line="240" w:lineRule="auto"/>
                    <w:ind w:firstLine="0" w:firstLineChars="0"/>
                    <w:jc w:val="left"/>
                    <w:rPr>
                      <w:sz w:val="21"/>
                    </w:rPr>
                  </w:pPr>
                  <w:r>
                    <w:rPr>
                      <w:rFonts w:hint="eastAsia"/>
                      <w:sz w:val="21"/>
                    </w:rPr>
                    <w:t>②原糖生产</w:t>
                  </w:r>
                </w:p>
                <w:p>
                  <w:pPr>
                    <w:pStyle w:val="2"/>
                    <w:spacing w:line="240" w:lineRule="auto"/>
                    <w:jc w:val="left"/>
                    <w:outlineLvl w:val="3"/>
                    <w:rPr>
                      <w:b w:val="0"/>
                      <w:sz w:val="21"/>
                    </w:rPr>
                  </w:pPr>
                  <w:r>
                    <w:rPr>
                      <w:rFonts w:hint="eastAsia"/>
                      <w:b w:val="0"/>
                      <w:sz w:val="21"/>
                    </w:rPr>
                    <w:t>③酒精饮料及酒类制造</w:t>
                  </w:r>
                </w:p>
                <w:p>
                  <w:pPr>
                    <w:spacing w:line="240" w:lineRule="auto"/>
                    <w:ind w:firstLine="0" w:firstLineChars="0"/>
                    <w:jc w:val="left"/>
                    <w:rPr>
                      <w:sz w:val="21"/>
                    </w:rPr>
                  </w:pPr>
                  <w:r>
                    <w:rPr>
                      <w:rFonts w:hint="eastAsia"/>
                      <w:sz w:val="21"/>
                    </w:rPr>
                    <w:t>④含发酵工艺的粮食及饲料加工</w:t>
                  </w:r>
                </w:p>
                <w:p>
                  <w:pPr>
                    <w:pStyle w:val="2"/>
                    <w:spacing w:line="240" w:lineRule="auto"/>
                    <w:jc w:val="left"/>
                    <w:outlineLvl w:val="3"/>
                    <w:rPr>
                      <w:b w:val="0"/>
                      <w:sz w:val="21"/>
                    </w:rPr>
                  </w:pPr>
                  <w:r>
                    <w:rPr>
                      <w:rFonts w:hint="eastAsia"/>
                      <w:b w:val="0"/>
                      <w:sz w:val="21"/>
                    </w:rPr>
                    <w:t>⑤含发酵工艺的淀粉、淀粉糖</w:t>
                  </w:r>
                </w:p>
                <w:p>
                  <w:pPr>
                    <w:spacing w:line="240" w:lineRule="auto"/>
                    <w:ind w:firstLine="0" w:firstLineChars="0"/>
                    <w:jc w:val="left"/>
                    <w:rPr>
                      <w:sz w:val="21"/>
                    </w:rPr>
                  </w:pPr>
                  <w:r>
                    <w:rPr>
                      <w:rFonts w:hint="eastAsia"/>
                      <w:sz w:val="21"/>
                    </w:rPr>
                    <w:t>⑥新建含印染工序的纺织加工、化纤纺织(带有前端聚合、纺丝等)</w:t>
                  </w:r>
                </w:p>
                <w:p>
                  <w:pPr>
                    <w:pStyle w:val="2"/>
                    <w:spacing w:line="240" w:lineRule="auto"/>
                    <w:jc w:val="left"/>
                    <w:outlineLvl w:val="3"/>
                    <w:rPr>
                      <w:b w:val="0"/>
                      <w:sz w:val="21"/>
                    </w:rPr>
                  </w:pPr>
                  <w:r>
                    <w:rPr>
                      <w:rFonts w:hint="eastAsia"/>
                      <w:b w:val="0"/>
                      <w:sz w:val="21"/>
                    </w:rPr>
                    <w:t>⑦新增水泥制造、水泥粉磨站、玻璃及玻璃制品、陶瓷制品、耐火材料及其制品</w:t>
                  </w:r>
                </w:p>
                <w:p>
                  <w:pPr>
                    <w:spacing w:line="240" w:lineRule="auto"/>
                    <w:ind w:firstLine="0" w:firstLineChars="0"/>
                    <w:jc w:val="left"/>
                    <w:rPr>
                      <w:sz w:val="21"/>
                    </w:rPr>
                  </w:pPr>
                  <w:r>
                    <w:rPr>
                      <w:rFonts w:hint="eastAsia"/>
                      <w:sz w:val="21"/>
                    </w:rPr>
                    <w:t>⑧新增危险废物（含医疗废物）利用及处置</w:t>
                  </w:r>
                </w:p>
                <w:p>
                  <w:pPr>
                    <w:pStyle w:val="2"/>
                    <w:spacing w:line="240" w:lineRule="auto"/>
                    <w:jc w:val="left"/>
                    <w:outlineLvl w:val="3"/>
                  </w:pPr>
                  <w:r>
                    <w:rPr>
                      <w:rFonts w:hint="eastAsia"/>
                      <w:b w:val="0"/>
                      <w:sz w:val="21"/>
                    </w:rPr>
                    <w:t>⑨新增各类燃煤、燃生物质锅炉、窑炉</w:t>
                  </w:r>
                </w:p>
              </w:tc>
              <w:tc>
                <w:tcPr>
                  <w:tcW w:w="1100" w:type="dxa"/>
                  <w:vMerge w:val="continue"/>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809" w:type="dxa"/>
                  <w:vMerge w:val="continue"/>
                  <w:vAlign w:val="center"/>
                </w:tcPr>
                <w:p>
                  <w:pPr>
                    <w:spacing w:line="240" w:lineRule="auto"/>
                    <w:ind w:firstLine="0" w:firstLineChars="0"/>
                    <w:jc w:val="center"/>
                    <w:rPr>
                      <w:sz w:val="21"/>
                    </w:rPr>
                  </w:pPr>
                </w:p>
              </w:tc>
              <w:tc>
                <w:tcPr>
                  <w:tcW w:w="1417" w:type="dxa"/>
                  <w:vAlign w:val="center"/>
                </w:tcPr>
                <w:p>
                  <w:pPr>
                    <w:spacing w:line="240" w:lineRule="auto"/>
                    <w:ind w:firstLine="0" w:firstLineChars="0"/>
                    <w:jc w:val="left"/>
                    <w:rPr>
                      <w:sz w:val="21"/>
                    </w:rPr>
                  </w:pPr>
                  <w:r>
                    <w:rPr>
                      <w:rFonts w:hint="eastAsia"/>
                      <w:sz w:val="21"/>
                    </w:rPr>
                    <w:t>(3)资源利用上限约束下</w:t>
                  </w:r>
                </w:p>
              </w:tc>
              <w:tc>
                <w:tcPr>
                  <w:tcW w:w="3428" w:type="dxa"/>
                  <w:vAlign w:val="center"/>
                </w:tcPr>
                <w:p>
                  <w:pPr>
                    <w:pStyle w:val="2"/>
                    <w:spacing w:line="240" w:lineRule="auto"/>
                    <w:jc w:val="left"/>
                    <w:outlineLvl w:val="3"/>
                    <w:rPr>
                      <w:b w:val="0"/>
                      <w:bCs w:val="0"/>
                      <w:sz w:val="21"/>
                    </w:rPr>
                  </w:pPr>
                  <w:r>
                    <w:rPr>
                      <w:rFonts w:hint="eastAsia"/>
                      <w:b w:val="0"/>
                      <w:bCs w:val="0"/>
                      <w:sz w:val="21"/>
                    </w:rPr>
                    <w:t>①卷烟、纸浆、溶解浆、纤维浆等制造；造纸(含废纸造纸)</w:t>
                  </w:r>
                </w:p>
                <w:p>
                  <w:pPr>
                    <w:spacing w:line="240" w:lineRule="auto"/>
                    <w:ind w:firstLine="0" w:firstLineChars="0"/>
                    <w:jc w:val="left"/>
                  </w:pPr>
                  <w:r>
                    <w:rPr>
                      <w:rFonts w:hint="eastAsia"/>
                      <w:sz w:val="21"/>
                    </w:rPr>
                    <w:t>②皮革、皮毛制品</w:t>
                  </w:r>
                </w:p>
              </w:tc>
              <w:tc>
                <w:tcPr>
                  <w:tcW w:w="1100" w:type="dxa"/>
                  <w:vMerge w:val="continue"/>
                  <w:vAlign w:val="center"/>
                </w:tcPr>
                <w:p>
                  <w:pPr>
                    <w:spacing w:line="240" w:lineRule="auto"/>
                    <w:ind w:firstLine="0" w:firstLineChars="0"/>
                    <w:jc w:val="center"/>
                    <w:rPr>
                      <w:sz w:val="21"/>
                    </w:rPr>
                  </w:pPr>
                </w:p>
              </w:tc>
            </w:tr>
          </w:tbl>
          <w:p>
            <w:pPr>
              <w:ind w:firstLine="480"/>
              <w:jc w:val="left"/>
            </w:pPr>
            <w:r>
              <w:rPr>
                <w:rFonts w:hint="eastAsia"/>
              </w:rPr>
              <w:t>本项目为米粉加工业，属于食品制造业，项目所需原辅材料均为外购，不涉及发酵工艺，不属于禁止准入行业，因此项目的建设符合规划环评产业准入要求。</w:t>
            </w:r>
          </w:p>
          <w:p>
            <w:pPr>
              <w:ind w:firstLine="0" w:firstLineChars="0"/>
              <w:jc w:val="left"/>
            </w:pPr>
            <w:r>
              <w:rPr>
                <w:rFonts w:hint="eastAsia"/>
                <w:b/>
              </w:rPr>
              <w:t>三、与&lt;福州元洪投资区总体规划(2016~2030)环境影响报告书&gt;审查意见符合性分析</w:t>
            </w:r>
          </w:p>
          <w:p>
            <w:pPr>
              <w:ind w:firstLine="480"/>
              <w:jc w:val="left"/>
            </w:pPr>
            <w:r>
              <w:rPr>
                <w:rFonts w:hint="eastAsia"/>
              </w:rPr>
              <w:t>规划区内计划实施工业项目引进时，要求入区企业要符合循环经济和清洁生产要求，应为拟入驻企业作好环保基础设施的配套服务。认真控制各分区的入驻企业产业性质。明确功能分区及其分区之间的隔离，产业用地与商住用地之间隔离带，避免出现居住区、工业区混杂布局现象。</w:t>
            </w:r>
          </w:p>
          <w:p>
            <w:pPr>
              <w:ind w:firstLine="480"/>
              <w:jc w:val="left"/>
            </w:pPr>
            <w:r>
              <w:rPr>
                <w:rFonts w:hint="eastAsia"/>
              </w:rPr>
              <w:t>同时元洪投资区已形成东区食品纺织和西区轻工两大重要产业特色。主要有食品、纺织、服装、电子、金属制品、汽摩配件、玻璃制品、医药和工艺品等九个不同行业。</w:t>
            </w:r>
          </w:p>
          <w:p>
            <w:pPr>
              <w:ind w:firstLine="480"/>
              <w:jc w:val="left"/>
            </w:pPr>
            <w:r>
              <w:rPr>
                <w:rFonts w:hint="eastAsia"/>
              </w:rPr>
              <w:t>项目为</w:t>
            </w:r>
            <w:bookmarkStart w:id="6" w:name="OLE_LINK33"/>
            <w:r>
              <w:rPr>
                <w:rFonts w:hint="eastAsia"/>
              </w:rPr>
              <w:t>米粉加工业，属于食品加工产业</w:t>
            </w:r>
            <w:bookmarkEnd w:id="6"/>
            <w:r>
              <w:rPr>
                <w:rFonts w:hint="eastAsia"/>
              </w:rPr>
              <w:t>，项目建设符合元洪投资区的产业导向。项目生产过程中使用电能和园区集中供汽，不设置锅炉，符合国家清洁生产标准要求，属于低污染型企业，项目符合&lt;福州元洪投资区总体规划(2016~2030)环境影响报告书&gt;审查意见中的相关要求。详见下表：</w:t>
            </w:r>
          </w:p>
          <w:p>
            <w:pPr>
              <w:pStyle w:val="2"/>
              <w:spacing w:line="240" w:lineRule="auto"/>
              <w:jc w:val="center"/>
            </w:pPr>
            <w:r>
              <w:rPr>
                <w:rFonts w:hint="eastAsia"/>
              </w:rPr>
              <w:t>表1-3项目与规划环评审查意见符合性分析一览表</w:t>
            </w:r>
          </w:p>
          <w:tbl>
            <w:tblPr>
              <w:tblStyle w:val="29"/>
              <w:tblW w:w="5000"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725"/>
              <w:gridCol w:w="3039"/>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审查意见</w:t>
                  </w:r>
                </w:p>
              </w:tc>
              <w:tc>
                <w:tcPr>
                  <w:tcW w:w="1957" w:type="pct"/>
                  <w:vAlign w:val="center"/>
                </w:tcPr>
                <w:p>
                  <w:pPr>
                    <w:pStyle w:val="173"/>
                    <w:rPr>
                      <w:rFonts w:cs="Times New Roman"/>
                      <w:color w:val="auto"/>
                    </w:rPr>
                  </w:pPr>
                  <w:r>
                    <w:rPr>
                      <w:rFonts w:hint="eastAsia" w:cs="Times New Roman"/>
                      <w:color w:val="auto"/>
                    </w:rPr>
                    <w:t>项目情况</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加强《规划》引导，坚持绿色、高质量发展。根据国家、区域发展战略，坚持生态优先、集约发展，进一步优化《规划》的发展定位、功能布局、产业结构等，根据《国务院关于加强滨海湿地保护严格管控围填海的通知》，除国家重大战略项目外，严禁新增围填海，现有违规围填海应依法依规尽快整改。以改善区域环境质量为核心，推动投资区产业转型升级和结构调整，实现产业发展与生态环境保护、人居环境安全相协调。</w:t>
                  </w:r>
                </w:p>
              </w:tc>
              <w:tc>
                <w:tcPr>
                  <w:tcW w:w="1957" w:type="pct"/>
                  <w:vAlign w:val="center"/>
                </w:tcPr>
                <w:p>
                  <w:pPr>
                    <w:pStyle w:val="173"/>
                    <w:rPr>
                      <w:rFonts w:cs="Times New Roman"/>
                      <w:color w:val="auto"/>
                    </w:rPr>
                  </w:pPr>
                  <w:r>
                    <w:rPr>
                      <w:rFonts w:hint="eastAsia" w:cs="Times New Roman"/>
                      <w:color w:val="auto"/>
                    </w:rPr>
                    <w:t>项目不涉及围填海，符合要求。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优化空间布局，强化保护优先。优化《规划》范围，确保避让福清湾重要滨海湿地生态保护区红线区、福清湾湿地保护区、沿海基干林带等生态敏感区，加强河口湿地和红树林的保护。落实《报告书》提出的现状企业环境防护距离内村庄的搬迁要求和用地布局的调整建议，切实解决居住与工业布局混杂问题，确保人居环境质量安全。</w:t>
                  </w:r>
                </w:p>
              </w:tc>
              <w:tc>
                <w:tcPr>
                  <w:tcW w:w="1957" w:type="pct"/>
                  <w:vAlign w:val="center"/>
                </w:tcPr>
                <w:p>
                  <w:pPr>
                    <w:pStyle w:val="173"/>
                    <w:rPr>
                      <w:rFonts w:cs="Times New Roman"/>
                      <w:color w:val="auto"/>
                    </w:rPr>
                  </w:pPr>
                  <w:r>
                    <w:rPr>
                      <w:rFonts w:hint="eastAsia" w:cs="Times New Roman"/>
                      <w:color w:val="auto"/>
                    </w:rPr>
                    <w:t>项目不涉及福清湾重要滨海湿地生态保护区红线区、福清湾湿地保护区、沿海基干林带等生态敏感区，选址于福州元洪投资区（租赁福清市鸿昌食品有限公司1号车间1层），项目周边均为工业型企业，周边无敏感目标，本项目生产对周边环境影响较小，符合要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严守环境质量底线。根据国家和福建省、福州市关于大气、水、土壤等污染防治攻坚战的相关要求，进一步强化污染物总量控制，采取有效措施减少主要污染物和挥发性有机物（</w:t>
                  </w:r>
                  <w:r>
                    <w:rPr>
                      <w:rFonts w:cs="Times New Roman"/>
                      <w:color w:val="auto"/>
                    </w:rPr>
                    <w:t>VOCs</w:t>
                  </w:r>
                  <w:r>
                    <w:rPr>
                      <w:rFonts w:hint="eastAsia" w:cs="Times New Roman"/>
                      <w:color w:val="auto"/>
                    </w:rPr>
                    <w:t>）等特征污染物的排放量，确保区域环境质量改善目标。推动现有企业转型升级，现有化工、电镀、印染、建材等产业尽快制定退出方案并落实。</w:t>
                  </w:r>
                </w:p>
              </w:tc>
              <w:tc>
                <w:tcPr>
                  <w:tcW w:w="1957" w:type="pct"/>
                  <w:vAlign w:val="center"/>
                </w:tcPr>
                <w:p>
                  <w:pPr>
                    <w:pStyle w:val="173"/>
                    <w:rPr>
                      <w:rFonts w:cs="Times New Roman"/>
                      <w:color w:val="auto"/>
                    </w:rPr>
                  </w:pPr>
                  <w:r>
                    <w:rPr>
                      <w:rFonts w:hint="eastAsia" w:cs="Times New Roman"/>
                      <w:color w:val="auto"/>
                    </w:rPr>
                    <w:t>项目不属于化工、电镀、印染、建材等产业，也不涉及</w:t>
                  </w:r>
                  <w:r>
                    <w:rPr>
                      <w:rFonts w:cs="Times New Roman"/>
                      <w:color w:val="auto"/>
                    </w:rPr>
                    <w:t>VOCs</w:t>
                  </w:r>
                  <w:r>
                    <w:rPr>
                      <w:rFonts w:hint="eastAsia" w:cs="Times New Roman"/>
                      <w:color w:val="auto"/>
                    </w:rPr>
                    <w:t>排放。本项目生产废水经一体化污水处理设备处理达标后进入元洪投资区污水处理厂，符合要求。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严格入区项目生态环境准入。优先发展粮油食品加工、电子信息和其他无污染的轻工等产业。落实《报告书》提出的生态环境准入要求，引进项目的生产工艺、设备，以及单位产品能耗、水耗、污染物排放和资源利用等均需达到同行业国际先进水平。</w:t>
                  </w:r>
                </w:p>
              </w:tc>
              <w:tc>
                <w:tcPr>
                  <w:tcW w:w="1957" w:type="pct"/>
                  <w:vAlign w:val="center"/>
                </w:tcPr>
                <w:p>
                  <w:pPr>
                    <w:pStyle w:val="173"/>
                    <w:rPr>
                      <w:rFonts w:cs="Times New Roman"/>
                      <w:color w:val="auto"/>
                    </w:rPr>
                  </w:pPr>
                  <w:r>
                    <w:rPr>
                      <w:rFonts w:hint="eastAsia" w:cs="Times New Roman"/>
                      <w:color w:val="auto"/>
                    </w:rPr>
                    <w:t>项目符合园区生态环境准入要求，本项目米粉加工业，属于食品加工产业，符合要求。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jc w:val="center"/>
              </w:trPr>
              <w:tc>
                <w:tcPr>
                  <w:tcW w:w="3042" w:type="pct"/>
                  <w:vAlign w:val="center"/>
                </w:tcPr>
                <w:p>
                  <w:pPr>
                    <w:pStyle w:val="173"/>
                    <w:rPr>
                      <w:rFonts w:cs="Times New Roman"/>
                      <w:color w:val="auto"/>
                    </w:rPr>
                  </w:pPr>
                  <w:r>
                    <w:rPr>
                      <w:rFonts w:hint="eastAsia" w:cs="Times New Roman"/>
                      <w:color w:val="auto"/>
                    </w:rPr>
                    <w:t>完善开发区环境基础设施建设。加快推进污水处理厂及污水管网建设，强化现有企业废水预处理要求，优化污水处理厂排污口选址，确保符合《福建省近岸海域环境功能区划》等相关管理要求。固体废物应集中处理处置，危险废物交由有资质的单位统一收集处理。</w:t>
                  </w:r>
                </w:p>
              </w:tc>
              <w:tc>
                <w:tcPr>
                  <w:tcW w:w="1957" w:type="pct"/>
                  <w:vAlign w:val="center"/>
                </w:tcPr>
                <w:p>
                  <w:pPr>
                    <w:pStyle w:val="173"/>
                    <w:rPr>
                      <w:rFonts w:cs="Times New Roman"/>
                      <w:color w:val="auto"/>
                    </w:rPr>
                  </w:pPr>
                  <w:r>
                    <w:rPr>
                      <w:rFonts w:hint="eastAsia" w:cs="Times New Roman"/>
                      <w:color w:val="auto"/>
                    </w:rPr>
                    <w:t>生活污水经处理后排入市政污水管网进入元洪投资区污水处理厂。固体废物妥善收集后外售，无危险废物产生，符合要求。</w:t>
                  </w:r>
                </w:p>
              </w:tc>
            </w:tr>
          </w:tbl>
          <w:p>
            <w:pPr>
              <w:pStyle w:val="2"/>
              <w:spacing w:before="120" w:beforeLines="50"/>
              <w:ind w:firstLine="480" w:firstLineChars="200"/>
              <w:jc w:val="left"/>
              <w:rPr>
                <w:b w:val="0"/>
              </w:rPr>
            </w:pPr>
            <w:r>
              <w:rPr>
                <w:rFonts w:hint="eastAsia"/>
                <w:b w:val="0"/>
              </w:rPr>
              <w:t>综上分析，本项目符合《福州市元洪投资区总体规划（</w:t>
            </w:r>
            <w:r>
              <w:rPr>
                <w:b w:val="0"/>
              </w:rPr>
              <w:t>2016</w:t>
            </w:r>
            <w:r>
              <w:rPr>
                <w:rFonts w:hint="eastAsia"/>
                <w:b w:val="0"/>
              </w:rPr>
              <w:t>～</w:t>
            </w:r>
            <w:r>
              <w:rPr>
                <w:b w:val="0"/>
              </w:rPr>
              <w:t>2030</w:t>
            </w:r>
            <w:r>
              <w:rPr>
                <w:rFonts w:hint="eastAsia"/>
                <w:b w:val="0"/>
              </w:rPr>
              <w:t>）环境影响报告书》及其审查意见（环审</w:t>
            </w:r>
            <w:r>
              <w:rPr>
                <w:b w:val="0"/>
              </w:rPr>
              <w:t>[2019]86</w:t>
            </w:r>
            <w:r>
              <w:rPr>
                <w:rFonts w:hint="eastAsia"/>
                <w:b w:val="0"/>
              </w:rPr>
              <w:t>号）中的相关要求。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4" w:type="pct"/>
            <w:vAlign w:val="center"/>
          </w:tcPr>
          <w:p>
            <w:pPr>
              <w:pStyle w:val="52"/>
            </w:pPr>
            <w:r>
              <w:t>其他符合性分析</w:t>
            </w:r>
          </w:p>
        </w:tc>
        <w:tc>
          <w:tcPr>
            <w:tcW w:w="4285" w:type="pct"/>
            <w:gridSpan w:val="3"/>
            <w:vAlign w:val="center"/>
          </w:tcPr>
          <w:p>
            <w:pPr>
              <w:ind w:firstLine="0" w:firstLineChars="0"/>
              <w:rPr>
                <w:b/>
              </w:rPr>
            </w:pPr>
            <w:r>
              <w:rPr>
                <w:rFonts w:hint="eastAsia"/>
                <w:b/>
              </w:rPr>
              <w:t>1、“</w:t>
            </w:r>
            <w:r>
              <w:rPr>
                <w:rFonts w:hint="eastAsia"/>
                <w:b/>
                <w:bCs/>
              </w:rPr>
              <w:t>生态环境分区管控</w:t>
            </w:r>
            <w:r>
              <w:rPr>
                <w:rFonts w:hint="eastAsia"/>
                <w:b/>
              </w:rPr>
              <w:t>”符合性分析</w:t>
            </w:r>
          </w:p>
          <w:p>
            <w:pPr>
              <w:widowControl/>
              <w:ind w:firstLine="480"/>
              <w:jc w:val="left"/>
            </w:pPr>
            <w:r>
              <w:t>（1）生态保护红线</w:t>
            </w:r>
          </w:p>
          <w:p>
            <w:pPr>
              <w:ind w:firstLine="480"/>
            </w:pPr>
            <w:r>
              <w:t>项目位于</w:t>
            </w:r>
            <w:r>
              <w:rPr>
                <w:rFonts w:hint="eastAsia" w:ascii="宋体" w:hAnsi="宋体" w:cs="宋体"/>
                <w:kern w:val="0"/>
                <w:lang w:bidi="ar"/>
              </w:rPr>
              <w:t>福州元洪投资区（租赁福清市鸿昌食品有限公司1号车间1层），</w:t>
            </w:r>
            <w:r>
              <w:t>建设用地不在国家公</w:t>
            </w:r>
            <w:r>
              <w:rPr>
                <w:rFonts w:hint="eastAsia"/>
              </w:rPr>
              <w:t>园、自然保护区、森林公园的生态保育区和核心景观区、风景名胜区的核心景区、地质公园的地质遗迹保护区、世界自然遗产的核心区和缓冲区、湿地公园的湿地保育区和恢复重建区、饮用水水源地的一级保护区、水产种质资源保护区的核心区等</w:t>
            </w:r>
            <w:r>
              <w:t>国家级和省级禁止开发区域内</w:t>
            </w:r>
            <w:r>
              <w:rPr>
                <w:rFonts w:hint="eastAsia"/>
              </w:rPr>
              <w:t>，不涉及生态保护红线。项目用地及周边无《福建省生态保护红线划定成果调整工作方案》中规定的需纳入生态保护红线范围的保护区，本项目建设符合福建省生态保护红线要求。</w:t>
            </w:r>
          </w:p>
          <w:p>
            <w:pPr>
              <w:ind w:firstLine="480"/>
            </w:pPr>
            <w:r>
              <w:t>（2）环境质量底线</w:t>
            </w:r>
          </w:p>
          <w:p>
            <w:pPr>
              <w:ind w:firstLine="480"/>
            </w:pPr>
            <w:r>
              <w:t>项目所在区域的环境质量底线为：大气环境质量目标为《环境空气质量标准》(GB3095-2012)及其修改单中二级标准；</w:t>
            </w:r>
            <w:r>
              <w:rPr>
                <w:rFonts w:hint="eastAsia"/>
              </w:rPr>
              <w:t>水环境目标为《地表水环境质量标准》（GB3838-2002）</w:t>
            </w:r>
            <w:r>
              <w:t>Ⅲ</w:t>
            </w:r>
            <w:r>
              <w:rPr>
                <w:rFonts w:hint="eastAsia"/>
              </w:rPr>
              <w:t>类标准</w:t>
            </w:r>
            <w:r>
              <w:t>；声环境质量目标为《声环境质量标准》(GB3096-2008)</w:t>
            </w:r>
            <w:r>
              <w:rPr>
                <w:rFonts w:hint="eastAsia"/>
              </w:rPr>
              <w:t>3类区</w:t>
            </w:r>
            <w:r>
              <w:t>标准。根据项目所在地环境质量现状调查和污染物排放影响</w:t>
            </w:r>
            <w:r>
              <w:rPr>
                <w:rFonts w:hint="eastAsia"/>
              </w:rPr>
              <w:t>分析</w:t>
            </w:r>
            <w:r>
              <w:t>可知，本项目运营后对区域内环境影响较小，不会对区域环境质量底线造成冲击。</w:t>
            </w:r>
          </w:p>
          <w:p>
            <w:pPr>
              <w:ind w:firstLine="480"/>
            </w:pPr>
            <w:r>
              <w:t>（3）资源利用上线</w:t>
            </w:r>
          </w:p>
          <w:p>
            <w:pPr>
              <w:ind w:firstLine="480"/>
            </w:pPr>
            <w:r>
              <w:t>项目用水、用电为区域集中供应</w:t>
            </w:r>
            <w:r>
              <w:rPr>
                <w:rFonts w:hint="eastAsia"/>
              </w:rPr>
              <w:t>，</w:t>
            </w:r>
            <w:r>
              <w:t>项目运行过程通过内部管理、设备选择、原辅材料的选用和管理、废物回收利用、污染治理等多方面采取合理可行的防治措施，以“节能、降耗、减污”为目标，有效</w:t>
            </w:r>
            <w:r>
              <w:rPr>
                <w:rFonts w:hint="eastAsia"/>
              </w:rPr>
              <w:t>地</w:t>
            </w:r>
            <w:r>
              <w:t>控制污染。项目的水、</w:t>
            </w:r>
            <w:r>
              <w:rPr>
                <w:rFonts w:hint="eastAsia"/>
              </w:rPr>
              <w:t>电</w:t>
            </w:r>
            <w:r>
              <w:t>等资源利用不会突破区域的资源利用上线。</w:t>
            </w:r>
          </w:p>
          <w:p>
            <w:pPr>
              <w:ind w:firstLine="480"/>
            </w:pPr>
            <w:r>
              <w:t>（4）生态环境准入清单</w:t>
            </w:r>
          </w:p>
          <w:p>
            <w:pPr>
              <w:ind w:firstLine="480"/>
              <w:rPr>
                <w:kern w:val="0"/>
                <w:szCs w:val="21"/>
              </w:rPr>
            </w:pPr>
            <w:r>
              <w:rPr>
                <w:rFonts w:hint="eastAsia"/>
                <w:kern w:val="0"/>
                <w:szCs w:val="21"/>
              </w:rPr>
              <w:t>根据</w:t>
            </w:r>
            <w:r>
              <w:rPr>
                <w:rFonts w:hint="eastAsia"/>
              </w:rPr>
              <w:t>福建省</w:t>
            </w:r>
            <w:r>
              <w:rPr>
                <w:rFonts w:hint="eastAsia"/>
                <w:kern w:val="0"/>
                <w:szCs w:val="21"/>
              </w:rPr>
              <w:t>发展和改革委员会印发的《福建省第一批国家重点生态功能区县（市）产业准入负面清单（试行）》（2018年3月），列入福建省第一批国家重点生态功能区县（市）产业准入负面清单有永泰县、泰宁县、周宁县、柘荣县、永春县、华安县、屏南县、寿宁县、武夷山市等9个县（市）。本项目位于福州元洪投资区（租赁福清市鸿昌食品有限公司1号车间1层），不在《福建省第一批国家重点生态功能区县（市）产业准入负面清单（试行）》所列县市内，且选址不属于环境功能区划需要特别保护的区域。</w:t>
            </w:r>
          </w:p>
          <w:p>
            <w:pPr>
              <w:widowControl/>
              <w:ind w:firstLine="480"/>
              <w:rPr>
                <w:kern w:val="0"/>
                <w:lang w:val="zh-CN" w:bidi="zh-CN"/>
                <w14:ligatures w14:val="standardContextual"/>
              </w:rPr>
            </w:pPr>
            <w:r>
              <w:rPr>
                <w:kern w:val="0"/>
                <w:lang w:val="zh-CN" w:bidi="zh-CN"/>
                <w14:ligatures w14:val="standardContextual"/>
              </w:rPr>
              <w:t>对照福州市人民政府办公厅关于印发《</w:t>
            </w:r>
            <w:bookmarkStart w:id="7" w:name="OLE_LINK40"/>
            <w:r>
              <w:rPr>
                <w:kern w:val="0"/>
                <w:lang w:val="zh-CN" w:bidi="zh-CN"/>
                <w14:ligatures w14:val="standardContextual"/>
              </w:rPr>
              <w:t>福州市生态环境分区管控方案</w:t>
            </w:r>
            <w:bookmarkEnd w:id="7"/>
            <w:r>
              <w:rPr>
                <w:kern w:val="0"/>
                <w:lang w:val="zh-CN" w:bidi="zh-CN"/>
                <w14:ligatures w14:val="standardContextual"/>
              </w:rPr>
              <w:t>（2023年更新）》的通知（榕政办规〔2024〕20号）相关要求分析，本项目所在位置属于福州市陆域区域、福清市生态环境准入清单-</w:t>
            </w:r>
            <w:r>
              <w:rPr>
                <w:kern w:val="0"/>
                <w:lang w:bidi="zh-CN"/>
                <w14:ligatures w14:val="standardContextual"/>
              </w:rPr>
              <w:t>福清市</w:t>
            </w:r>
            <w:r>
              <w:rPr>
                <w:kern w:val="0"/>
                <w:lang w:val="zh-CN" w:bidi="zh-CN"/>
                <w14:ligatures w14:val="standardContextual"/>
              </w:rPr>
              <w:t>重点管控单元</w:t>
            </w:r>
            <w:r>
              <w:rPr>
                <w:rFonts w:hint="eastAsia"/>
                <w:kern w:val="0"/>
                <w:lang w:val="zh-CN" w:bidi="zh-CN"/>
                <w14:ligatures w14:val="standardContextual"/>
              </w:rPr>
              <w:t>ZH35018120004</w:t>
            </w:r>
            <w:r>
              <w:rPr>
                <w:kern w:val="0"/>
                <w:lang w:val="zh-CN" w:bidi="zh-CN"/>
                <w14:ligatures w14:val="standardContextual"/>
              </w:rPr>
              <w:t>（</w:t>
            </w:r>
            <w:r>
              <w:rPr>
                <w:rFonts w:hint="eastAsia"/>
                <w:kern w:val="0"/>
                <w:lang w:val="zh-CN" w:bidi="zh-CN"/>
                <w14:ligatures w14:val="standardContextual"/>
              </w:rPr>
              <w:t>查询报告</w:t>
            </w:r>
            <w:r>
              <w:rPr>
                <w:kern w:val="0"/>
                <w:lang w:val="zh-CN" w:bidi="zh-CN"/>
                <w14:ligatures w14:val="standardContextual"/>
              </w:rPr>
              <w:t>详见附件</w:t>
            </w:r>
            <w:r>
              <w:rPr>
                <w:rFonts w:hint="eastAsia"/>
                <w:kern w:val="0"/>
                <w:lang w:val="zh-CN" w:bidi="zh-CN"/>
                <w14:ligatures w14:val="standardContextual"/>
              </w:rPr>
              <w:t>7</w:t>
            </w:r>
            <w:r>
              <w:rPr>
                <w:kern w:val="0"/>
                <w:lang w:val="zh-CN" w:bidi="zh-CN"/>
                <w14:ligatures w14:val="standardContextual"/>
              </w:rPr>
              <w:t>）。</w:t>
            </w:r>
            <w:r>
              <w:rPr>
                <w:rFonts w:hint="eastAsia"/>
                <w:kern w:val="0"/>
                <w:lang w:val="zh-CN" w:bidi="zh-CN"/>
                <w14:ligatures w14:val="standardContextual"/>
              </w:rPr>
              <w:t>相关符合性分析见下表</w:t>
            </w:r>
            <w:r>
              <w:rPr>
                <w:kern w:val="0"/>
                <w:lang w:val="zh-CN" w:bidi="zh-CN"/>
                <w14:ligatures w14:val="standardContextual"/>
              </w:rPr>
              <w:t>。</w:t>
            </w:r>
          </w:p>
          <w:p>
            <w:pPr>
              <w:pStyle w:val="103"/>
              <w:spacing w:before="120"/>
              <w:rPr>
                <w:color w:val="auto"/>
                <w:shd w:val="clear" w:color="auto" w:fill="FFFFFF"/>
              </w:rPr>
            </w:pPr>
            <w:r>
              <w:rPr>
                <w:color w:val="auto"/>
                <w:shd w:val="clear" w:color="auto" w:fill="FFFFFF"/>
              </w:rPr>
              <w:t>表</w:t>
            </w:r>
            <w:r>
              <w:rPr>
                <w:rFonts w:hint="eastAsia"/>
                <w:color w:val="auto"/>
                <w:shd w:val="clear" w:color="auto" w:fill="FFFFFF"/>
              </w:rPr>
              <w:t>1.3-1</w:t>
            </w:r>
            <w:r>
              <w:rPr>
                <w:color w:val="auto"/>
                <w:shd w:val="clear" w:color="auto" w:fill="FFFFFF"/>
              </w:rPr>
              <w:t xml:space="preserve">  福州市生态环境准入要求一览表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94"/>
              <w:gridCol w:w="3437"/>
              <w:gridCol w:w="1531"/>
              <w:gridCol w:w="12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632" w:type="dxa"/>
                  <w:vAlign w:val="center"/>
                </w:tcPr>
                <w:p>
                  <w:pPr>
                    <w:spacing w:line="240" w:lineRule="auto"/>
                    <w:ind w:firstLine="0" w:firstLineChars="0"/>
                    <w:jc w:val="center"/>
                    <w:rPr>
                      <w:sz w:val="21"/>
                    </w:rPr>
                  </w:pPr>
                  <w:r>
                    <w:rPr>
                      <w:rFonts w:hint="eastAsia"/>
                      <w:sz w:val="21"/>
                    </w:rPr>
                    <w:t>适用范围</w:t>
                  </w:r>
                </w:p>
              </w:tc>
              <w:tc>
                <w:tcPr>
                  <w:tcW w:w="4326" w:type="dxa"/>
                  <w:gridSpan w:val="2"/>
                  <w:vAlign w:val="center"/>
                </w:tcPr>
                <w:p>
                  <w:pPr>
                    <w:spacing w:line="240" w:lineRule="auto"/>
                    <w:ind w:firstLine="0" w:firstLineChars="0"/>
                    <w:jc w:val="center"/>
                    <w:rPr>
                      <w:sz w:val="21"/>
                    </w:rPr>
                  </w:pPr>
                  <w:r>
                    <w:rPr>
                      <w:rFonts w:hint="eastAsia"/>
                      <w:sz w:val="21"/>
                    </w:rPr>
                    <w:t>准入要求</w:t>
                  </w:r>
                </w:p>
              </w:tc>
              <w:tc>
                <w:tcPr>
                  <w:tcW w:w="1529" w:type="dxa"/>
                  <w:vAlign w:val="center"/>
                </w:tcPr>
                <w:p>
                  <w:pPr>
                    <w:spacing w:line="240" w:lineRule="auto"/>
                    <w:ind w:firstLine="0" w:firstLineChars="0"/>
                    <w:jc w:val="center"/>
                    <w:rPr>
                      <w:sz w:val="21"/>
                    </w:rPr>
                  </w:pPr>
                  <w:r>
                    <w:rPr>
                      <w:rFonts w:hint="eastAsia"/>
                      <w:sz w:val="21"/>
                    </w:rPr>
                    <w:t>项目情况</w:t>
                  </w:r>
                </w:p>
              </w:tc>
              <w:tc>
                <w:tcPr>
                  <w:tcW w:w="1267" w:type="dxa"/>
                  <w:vAlign w:val="center"/>
                </w:tcPr>
                <w:p>
                  <w:pPr>
                    <w:spacing w:line="240" w:lineRule="auto"/>
                    <w:ind w:firstLine="0" w:firstLineChars="0"/>
                    <w:jc w:val="center"/>
                    <w:rPr>
                      <w:sz w:val="21"/>
                    </w:rPr>
                  </w:pPr>
                  <w:r>
                    <w:rPr>
                      <w:rFonts w:hint="eastAsia"/>
                      <w:sz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632" w:type="dxa"/>
                  <w:vMerge w:val="restart"/>
                  <w:vAlign w:val="center"/>
                </w:tcPr>
                <w:p>
                  <w:pPr>
                    <w:pStyle w:val="2"/>
                    <w:spacing w:line="240" w:lineRule="auto"/>
                    <w:jc w:val="center"/>
                    <w:outlineLvl w:val="3"/>
                    <w:rPr>
                      <w:b w:val="0"/>
                      <w:sz w:val="21"/>
                    </w:rPr>
                  </w:pPr>
                  <w:r>
                    <w:rPr>
                      <w:rFonts w:hint="eastAsia"/>
                      <w:b w:val="0"/>
                      <w:sz w:val="21"/>
                    </w:rPr>
                    <w:t>福州市陆域</w:t>
                  </w:r>
                </w:p>
              </w:tc>
              <w:tc>
                <w:tcPr>
                  <w:tcW w:w="893" w:type="dxa"/>
                  <w:vAlign w:val="center"/>
                </w:tcPr>
                <w:p>
                  <w:pPr>
                    <w:pStyle w:val="2"/>
                    <w:spacing w:line="240" w:lineRule="auto"/>
                    <w:jc w:val="left"/>
                    <w:outlineLvl w:val="3"/>
                    <w:rPr>
                      <w:b w:val="0"/>
                      <w:sz w:val="21"/>
                    </w:rPr>
                  </w:pPr>
                  <w:r>
                    <w:rPr>
                      <w:rFonts w:hint="eastAsia"/>
                      <w:b w:val="0"/>
                      <w:sz w:val="21"/>
                    </w:rPr>
                    <w:t>空间布局约束</w:t>
                  </w:r>
                </w:p>
              </w:tc>
              <w:tc>
                <w:tcPr>
                  <w:tcW w:w="3433" w:type="dxa"/>
                  <w:vAlign w:val="center"/>
                </w:tcPr>
                <w:p>
                  <w:pPr>
                    <w:pStyle w:val="2"/>
                    <w:spacing w:line="240" w:lineRule="auto"/>
                    <w:jc w:val="left"/>
                    <w:outlineLvl w:val="3"/>
                    <w:rPr>
                      <w:b w:val="0"/>
                      <w:sz w:val="21"/>
                    </w:rPr>
                  </w:pPr>
                  <w:r>
                    <w:rPr>
                      <w:rFonts w:hint="eastAsia"/>
                      <w:b w:val="0"/>
                      <w:sz w:val="21"/>
                    </w:rPr>
                    <w:t>1、福州市石化中上游项目重点在江阴化工新材料专区、连江可门化工新材料产业园布局。</w:t>
                  </w:r>
                </w:p>
                <w:p>
                  <w:pPr>
                    <w:spacing w:line="240" w:lineRule="auto"/>
                    <w:ind w:firstLine="0" w:firstLineChars="0"/>
                    <w:jc w:val="left"/>
                    <w:rPr>
                      <w:sz w:val="21"/>
                    </w:rPr>
                  </w:pPr>
                  <w:r>
                    <w:rPr>
                      <w:rFonts w:hint="eastAsia"/>
                      <w:sz w:val="21"/>
                    </w:rPr>
                    <w:t>2、鼓楼区内福州高新技术产业开发区洪山片禁止生产型企业的引入；仓山区内福州高新技术产业开发区仓山片不再新增生物医药原料药制造类企业。</w:t>
                  </w:r>
                </w:p>
                <w:p>
                  <w:pPr>
                    <w:pStyle w:val="2"/>
                    <w:spacing w:line="240" w:lineRule="auto"/>
                    <w:jc w:val="left"/>
                    <w:outlineLvl w:val="3"/>
                    <w:rPr>
                      <w:b w:val="0"/>
                      <w:sz w:val="21"/>
                    </w:rPr>
                  </w:pPr>
                  <w:r>
                    <w:rPr>
                      <w:rFonts w:hint="eastAsia"/>
                      <w:b w:val="0"/>
                      <w:sz w:val="21"/>
                    </w:rPr>
                    <w:t>3、罗源县内福州台商投资区松山片区禁止引进、建设集中电镀、制浆、医药、农药、酿造等重污染项目；连江县内福州台商投资区大官坂片区不再扩大聚酰胺一体化项目规模。</w:t>
                  </w:r>
                </w:p>
                <w:p>
                  <w:pPr>
                    <w:spacing w:line="240" w:lineRule="auto"/>
                    <w:ind w:firstLine="0" w:firstLineChars="0"/>
                    <w:jc w:val="left"/>
                    <w:rPr>
                      <w:sz w:val="21"/>
                    </w:rPr>
                  </w:pPr>
                  <w:r>
                    <w:rPr>
                      <w:rFonts w:hint="eastAsia"/>
                      <w:sz w:val="21"/>
                    </w:rPr>
                    <w:t>4、禁止在闽江马尾罗星塔以上流域范围新、扩建制革项目，严控新(扩)建植物制浆、印染、合成革及人造革、电镀项目。</w:t>
                  </w:r>
                </w:p>
                <w:p>
                  <w:pPr>
                    <w:pStyle w:val="2"/>
                    <w:spacing w:line="240" w:lineRule="auto"/>
                    <w:jc w:val="left"/>
                    <w:outlineLvl w:val="3"/>
                  </w:pPr>
                  <w:r>
                    <w:rPr>
                      <w:rFonts w:hint="eastAsia"/>
                      <w:b w:val="0"/>
                      <w:sz w:val="21"/>
                    </w:rPr>
                    <w:t>5、禁止在通风廊道和主导风向的上风向布局大气重污染企业，逐步将大气重污染企业和环境风险企业搬出城市建成区和生态保护红线范围。</w:t>
                  </w:r>
                </w:p>
              </w:tc>
              <w:tc>
                <w:tcPr>
                  <w:tcW w:w="1529" w:type="dxa"/>
                  <w:vAlign w:val="center"/>
                </w:tcPr>
                <w:p>
                  <w:pPr>
                    <w:pStyle w:val="2"/>
                    <w:spacing w:line="240" w:lineRule="auto"/>
                    <w:jc w:val="center"/>
                    <w:outlineLvl w:val="3"/>
                    <w:rPr>
                      <w:b w:val="0"/>
                      <w:sz w:val="21"/>
                    </w:rPr>
                  </w:pPr>
                  <w:r>
                    <w:rPr>
                      <w:rFonts w:hint="eastAsia"/>
                      <w:b w:val="0"/>
                      <w:sz w:val="21"/>
                    </w:rPr>
                    <w:t>项目属于食品制造业，位于福州元洪投资区（租赁福清市鸿昌食品有限公司1号车间1层），项目建设与空间布局约束要求不相冲突</w:t>
                  </w:r>
                </w:p>
              </w:tc>
              <w:tc>
                <w:tcPr>
                  <w:tcW w:w="1267" w:type="dxa"/>
                  <w:vAlign w:val="center"/>
                </w:tcPr>
                <w:p>
                  <w:pPr>
                    <w:pStyle w:val="2"/>
                    <w:spacing w:line="240" w:lineRule="auto"/>
                    <w:jc w:val="center"/>
                    <w:outlineLvl w:val="3"/>
                    <w:rPr>
                      <w:b w:val="0"/>
                      <w:sz w:val="21"/>
                    </w:rPr>
                  </w:pPr>
                  <w:r>
                    <w:rPr>
                      <w:rFonts w:hint="eastAsia"/>
                      <w:b w:val="0"/>
                      <w:sz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632" w:type="dxa"/>
                  <w:vMerge w:val="continue"/>
                  <w:vAlign w:val="center"/>
                </w:tcPr>
                <w:p>
                  <w:pPr>
                    <w:pStyle w:val="2"/>
                    <w:spacing w:line="240" w:lineRule="auto"/>
                    <w:jc w:val="center"/>
                    <w:outlineLvl w:val="3"/>
                    <w:rPr>
                      <w:b w:val="0"/>
                      <w:sz w:val="21"/>
                    </w:rPr>
                  </w:pPr>
                </w:p>
              </w:tc>
              <w:tc>
                <w:tcPr>
                  <w:tcW w:w="893" w:type="dxa"/>
                  <w:vAlign w:val="center"/>
                </w:tcPr>
                <w:p>
                  <w:pPr>
                    <w:pStyle w:val="2"/>
                    <w:spacing w:line="240" w:lineRule="auto"/>
                    <w:jc w:val="center"/>
                    <w:outlineLvl w:val="3"/>
                    <w:rPr>
                      <w:b w:val="0"/>
                      <w:sz w:val="21"/>
                    </w:rPr>
                  </w:pPr>
                  <w:r>
                    <w:rPr>
                      <w:rFonts w:hint="eastAsia"/>
                      <w:b w:val="0"/>
                      <w:sz w:val="21"/>
                    </w:rPr>
                    <w:t>污染物排放管控</w:t>
                  </w:r>
                </w:p>
              </w:tc>
              <w:tc>
                <w:tcPr>
                  <w:tcW w:w="3433" w:type="dxa"/>
                  <w:vAlign w:val="center"/>
                </w:tcPr>
                <w:p>
                  <w:pPr>
                    <w:pStyle w:val="2"/>
                    <w:spacing w:line="240" w:lineRule="auto"/>
                    <w:jc w:val="left"/>
                    <w:outlineLvl w:val="3"/>
                    <w:rPr>
                      <w:b w:val="0"/>
                      <w:sz w:val="21"/>
                    </w:rPr>
                  </w:pPr>
                  <w:r>
                    <w:rPr>
                      <w:rFonts w:hint="eastAsia"/>
                      <w:b w:val="0"/>
                      <w:sz w:val="21"/>
                    </w:rPr>
                    <w:t>1、建设规划部门划定的县级以上城市建成区及福州市环境总体规划(2013-2030)划定的大气环境二级管控区的大气污染型工业企业(现阶段指排放二氧化硫、氮氧化物的工业企业，但不含使用天然气、液化石油气等作为燃料的非火电锅炉和工业炉窑排放二氧化硫、氮氧化物的工业企业)新增大气污染物排放量，按不低于1.5倍交易。</w:t>
                  </w:r>
                </w:p>
                <w:p>
                  <w:pPr>
                    <w:pStyle w:val="2"/>
                    <w:spacing w:line="240" w:lineRule="auto"/>
                    <w:jc w:val="left"/>
                    <w:outlineLvl w:val="3"/>
                    <w:rPr>
                      <w:b w:val="0"/>
                      <w:sz w:val="21"/>
                    </w:rPr>
                  </w:pPr>
                  <w:r>
                    <w:rPr>
                      <w:rFonts w:hint="eastAsia"/>
                      <w:b w:val="0"/>
                      <w:sz w:val="21"/>
                    </w:rPr>
                    <w:t>2、省级(含)以上工业园区外的工业企业新增主要污染物排放量(不含使用天然气、液化石油气等作为燃料的非火电锅炉和工业炉窑的工业企业新增的二氧化硫、氮氧化物排放量)，按不低于1.2倍交易。</w:t>
                  </w:r>
                </w:p>
                <w:p>
                  <w:pPr>
                    <w:pStyle w:val="2"/>
                    <w:spacing w:line="240" w:lineRule="auto"/>
                    <w:jc w:val="left"/>
                    <w:outlineLvl w:val="3"/>
                    <w:rPr>
                      <w:b w:val="0"/>
                      <w:sz w:val="21"/>
                    </w:rPr>
                  </w:pPr>
                  <w:r>
                    <w:rPr>
                      <w:rFonts w:hint="eastAsia"/>
                      <w:b w:val="0"/>
                      <w:sz w:val="21"/>
                    </w:rPr>
                    <w:t>3、涉新增VOCs排放项目，VOCs排放实行区域内倍量替代。</w:t>
                  </w:r>
                </w:p>
                <w:p>
                  <w:pPr>
                    <w:pStyle w:val="2"/>
                    <w:spacing w:line="240" w:lineRule="auto"/>
                    <w:jc w:val="left"/>
                    <w:outlineLvl w:val="3"/>
                    <w:rPr>
                      <w:b w:val="0"/>
                      <w:sz w:val="21"/>
                    </w:rPr>
                  </w:pPr>
                  <w:r>
                    <w:rPr>
                      <w:rFonts w:hint="eastAsia"/>
                      <w:b w:val="0"/>
                      <w:sz w:val="21"/>
                    </w:rPr>
                    <w:t>4、严格控制新建、改建、扩建钢铁、水泥、平板玻璃、有色金属冶炼、化工等工业项目。新建钢铁、火电、水泥、有色项目应当执行大气污染物特别排放限值。重点控制区新建化工、石化及燃煤锅炉项目应当执行大气污染物特别排放限值。</w:t>
                  </w:r>
                </w:p>
                <w:p>
                  <w:pPr>
                    <w:pStyle w:val="2"/>
                    <w:spacing w:line="240" w:lineRule="auto"/>
                    <w:jc w:val="left"/>
                    <w:outlineLvl w:val="3"/>
                    <w:rPr>
                      <w:b w:val="0"/>
                      <w:sz w:val="21"/>
                    </w:rPr>
                  </w:pPr>
                  <w:r>
                    <w:rPr>
                      <w:rFonts w:hint="eastAsia"/>
                      <w:b w:val="0"/>
                      <w:sz w:val="21"/>
                    </w:rPr>
                    <w:t>5、氟化工、印染、电镀等行业企业实行水污染物特别排放限值。</w:t>
                  </w:r>
                </w:p>
              </w:tc>
              <w:tc>
                <w:tcPr>
                  <w:tcW w:w="1529" w:type="dxa"/>
                  <w:vAlign w:val="center"/>
                </w:tcPr>
                <w:p>
                  <w:pPr>
                    <w:pStyle w:val="2"/>
                    <w:spacing w:line="240" w:lineRule="auto"/>
                    <w:jc w:val="left"/>
                    <w:outlineLvl w:val="3"/>
                    <w:rPr>
                      <w:b w:val="0"/>
                      <w:sz w:val="21"/>
                    </w:rPr>
                  </w:pPr>
                  <w:r>
                    <w:rPr>
                      <w:rFonts w:hint="eastAsia"/>
                      <w:b w:val="0"/>
                      <w:sz w:val="21"/>
                    </w:rPr>
                    <w:t>1、项目不涉及VOCs、二氧化硫、氮氧化物排放。</w:t>
                  </w:r>
                </w:p>
                <w:p>
                  <w:pPr>
                    <w:pStyle w:val="2"/>
                    <w:spacing w:line="240" w:lineRule="auto"/>
                    <w:jc w:val="left"/>
                    <w:outlineLvl w:val="3"/>
                    <w:rPr>
                      <w:b w:val="0"/>
                      <w:sz w:val="21"/>
                    </w:rPr>
                  </w:pPr>
                  <w:r>
                    <w:rPr>
                      <w:rFonts w:hint="eastAsia"/>
                      <w:b w:val="0"/>
                      <w:sz w:val="21"/>
                    </w:rPr>
                    <w:t>2、项目属于食品制造业，不属于水泥、有色金属、钢铁、火电、氟化工、印染、电镀等行业项目。</w:t>
                  </w:r>
                </w:p>
              </w:tc>
              <w:tc>
                <w:tcPr>
                  <w:tcW w:w="1267" w:type="dxa"/>
                  <w:vAlign w:val="center"/>
                </w:tcPr>
                <w:p>
                  <w:pPr>
                    <w:pStyle w:val="2"/>
                    <w:spacing w:line="240" w:lineRule="auto"/>
                    <w:jc w:val="center"/>
                    <w:outlineLvl w:val="3"/>
                    <w:rPr>
                      <w:b w:val="0"/>
                      <w:sz w:val="21"/>
                    </w:rPr>
                  </w:pPr>
                  <w:r>
                    <w:rPr>
                      <w:rFonts w:hint="eastAsia"/>
                      <w:b w:val="0"/>
                      <w:sz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 w:type="dxa"/>
                  <w:vMerge w:val="restart"/>
                  <w:vAlign w:val="center"/>
                </w:tcPr>
                <w:p>
                  <w:pPr>
                    <w:pStyle w:val="2"/>
                    <w:spacing w:line="240" w:lineRule="auto"/>
                    <w:jc w:val="center"/>
                    <w:outlineLvl w:val="3"/>
                    <w:rPr>
                      <w:b w:val="0"/>
                      <w:sz w:val="21"/>
                    </w:rPr>
                  </w:pPr>
                  <w:r>
                    <w:rPr>
                      <w:rFonts w:hint="eastAsia"/>
                      <w:b w:val="0"/>
                      <w:sz w:val="21"/>
                    </w:rPr>
                    <w:t>福州元洪投资区-重点管控单元</w:t>
                  </w:r>
                </w:p>
              </w:tc>
              <w:tc>
                <w:tcPr>
                  <w:tcW w:w="893" w:type="dxa"/>
                  <w:vAlign w:val="center"/>
                </w:tcPr>
                <w:p>
                  <w:pPr>
                    <w:pStyle w:val="2"/>
                    <w:spacing w:line="240" w:lineRule="auto"/>
                    <w:jc w:val="left"/>
                    <w:outlineLvl w:val="3"/>
                    <w:rPr>
                      <w:b w:val="0"/>
                      <w:sz w:val="21"/>
                    </w:rPr>
                  </w:pPr>
                  <w:r>
                    <w:rPr>
                      <w:b w:val="0"/>
                      <w:sz w:val="21"/>
                    </w:rPr>
                    <w:t>空间布局</w:t>
                  </w:r>
                  <w:r>
                    <w:rPr>
                      <w:rFonts w:hint="eastAsia"/>
                      <w:b w:val="0"/>
                      <w:sz w:val="21"/>
                    </w:rPr>
                    <w:t>约束</w:t>
                  </w:r>
                </w:p>
              </w:tc>
              <w:tc>
                <w:tcPr>
                  <w:tcW w:w="3433" w:type="dxa"/>
                  <w:vAlign w:val="center"/>
                </w:tcPr>
                <w:p>
                  <w:pPr>
                    <w:pStyle w:val="2"/>
                    <w:spacing w:line="240" w:lineRule="auto"/>
                    <w:jc w:val="left"/>
                    <w:outlineLvl w:val="3"/>
                    <w:rPr>
                      <w:b w:val="0"/>
                      <w:sz w:val="21"/>
                    </w:rPr>
                  </w:pPr>
                  <w:r>
                    <w:rPr>
                      <w:rFonts w:hint="eastAsia"/>
                      <w:b w:val="0"/>
                      <w:sz w:val="21"/>
                    </w:rPr>
                    <w:t>1、推动现有企业转型升级，现有化工、电镀、印染、建材等产业尽快制定推出方案并落实。</w:t>
                  </w:r>
                </w:p>
                <w:p>
                  <w:pPr>
                    <w:pStyle w:val="2"/>
                    <w:spacing w:line="240" w:lineRule="auto"/>
                    <w:jc w:val="left"/>
                    <w:outlineLvl w:val="3"/>
                    <w:rPr>
                      <w:b w:val="0"/>
                      <w:sz w:val="21"/>
                    </w:rPr>
                  </w:pPr>
                  <w:r>
                    <w:rPr>
                      <w:rFonts w:hint="eastAsia"/>
                      <w:b w:val="0"/>
                      <w:sz w:val="21"/>
                    </w:rPr>
                    <w:t>2、投资区内涉及基本农田的区域在土地性质调整及占补措施落实前应暂缓开发。</w:t>
                  </w:r>
                </w:p>
              </w:tc>
              <w:tc>
                <w:tcPr>
                  <w:tcW w:w="1529" w:type="dxa"/>
                  <w:vAlign w:val="center"/>
                </w:tcPr>
                <w:p>
                  <w:pPr>
                    <w:pStyle w:val="2"/>
                    <w:spacing w:line="240" w:lineRule="auto"/>
                    <w:jc w:val="center"/>
                    <w:outlineLvl w:val="3"/>
                    <w:rPr>
                      <w:b w:val="0"/>
                      <w:sz w:val="21"/>
                    </w:rPr>
                  </w:pPr>
                  <w:r>
                    <w:rPr>
                      <w:rFonts w:hint="eastAsia"/>
                      <w:b w:val="0"/>
                      <w:sz w:val="21"/>
                    </w:rPr>
                    <w:t>项目属于食品制造业，不属于化工、电镀</w:t>
                  </w:r>
                  <w:r>
                    <w:rPr>
                      <w:rStyle w:val="39"/>
                      <w:bCs w:val="0"/>
                    </w:rPr>
                    <w:t>、</w:t>
                  </w:r>
                  <w:r>
                    <w:rPr>
                      <w:rFonts w:hint="eastAsia"/>
                      <w:b w:val="0"/>
                      <w:sz w:val="21"/>
                    </w:rPr>
                    <w:t>印染、建材等产业，同时项目所在区域不涉及基本农田的土地性质调整及占补措施。</w:t>
                  </w:r>
                </w:p>
              </w:tc>
              <w:tc>
                <w:tcPr>
                  <w:tcW w:w="1267" w:type="dxa"/>
                  <w:vAlign w:val="center"/>
                </w:tcPr>
                <w:p>
                  <w:pPr>
                    <w:pStyle w:val="2"/>
                    <w:spacing w:line="240" w:lineRule="auto"/>
                    <w:jc w:val="center"/>
                    <w:outlineLvl w:val="3"/>
                    <w:rPr>
                      <w:b w:val="0"/>
                      <w:sz w:val="21"/>
                    </w:rPr>
                  </w:pPr>
                  <w:r>
                    <w:rPr>
                      <w:b w:val="0"/>
                      <w:sz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 w:type="dxa"/>
                  <w:vMerge w:val="continue"/>
                  <w:vAlign w:val="center"/>
                </w:tcPr>
                <w:p>
                  <w:pPr>
                    <w:pStyle w:val="2"/>
                    <w:spacing w:line="240" w:lineRule="auto"/>
                    <w:jc w:val="center"/>
                    <w:outlineLvl w:val="3"/>
                    <w:rPr>
                      <w:b w:val="0"/>
                      <w:sz w:val="21"/>
                    </w:rPr>
                  </w:pPr>
                </w:p>
              </w:tc>
              <w:tc>
                <w:tcPr>
                  <w:tcW w:w="893" w:type="dxa"/>
                  <w:vAlign w:val="center"/>
                </w:tcPr>
                <w:p>
                  <w:pPr>
                    <w:pStyle w:val="2"/>
                    <w:spacing w:line="240" w:lineRule="auto"/>
                    <w:jc w:val="left"/>
                    <w:outlineLvl w:val="3"/>
                    <w:rPr>
                      <w:b w:val="0"/>
                      <w:sz w:val="21"/>
                    </w:rPr>
                  </w:pPr>
                  <w:r>
                    <w:rPr>
                      <w:b w:val="0"/>
                      <w:sz w:val="21"/>
                    </w:rPr>
                    <w:t>污染物排放管控</w:t>
                  </w:r>
                </w:p>
              </w:tc>
              <w:tc>
                <w:tcPr>
                  <w:tcW w:w="3433" w:type="dxa"/>
                  <w:vAlign w:val="center"/>
                </w:tcPr>
                <w:p>
                  <w:pPr>
                    <w:pStyle w:val="2"/>
                    <w:spacing w:line="240" w:lineRule="auto"/>
                    <w:jc w:val="left"/>
                    <w:outlineLvl w:val="3"/>
                    <w:rPr>
                      <w:b w:val="0"/>
                      <w:sz w:val="21"/>
                    </w:rPr>
                  </w:pPr>
                  <w:r>
                    <w:rPr>
                      <w:rFonts w:hint="eastAsia"/>
                      <w:b w:val="0"/>
                      <w:sz w:val="21"/>
                    </w:rPr>
                    <w:t>1、完善建设污水收集管网，确保园区内所有工业废水、生活污水纳入污水处理厂处理并达标排放。</w:t>
                  </w:r>
                </w:p>
                <w:p>
                  <w:pPr>
                    <w:pStyle w:val="2"/>
                    <w:spacing w:line="240" w:lineRule="auto"/>
                    <w:jc w:val="left"/>
                    <w:outlineLvl w:val="3"/>
                    <w:rPr>
                      <w:b w:val="0"/>
                      <w:sz w:val="21"/>
                    </w:rPr>
                  </w:pPr>
                  <w:r>
                    <w:rPr>
                      <w:rFonts w:hint="eastAsia"/>
                      <w:b w:val="0"/>
                      <w:sz w:val="21"/>
                    </w:rPr>
                    <w:t>2、涉新增VOCs排放项目，VOCs排放实行区域倍量调剂。</w:t>
                  </w:r>
                </w:p>
                <w:p>
                  <w:pPr>
                    <w:pStyle w:val="2"/>
                    <w:spacing w:line="240" w:lineRule="auto"/>
                    <w:jc w:val="left"/>
                    <w:outlineLvl w:val="3"/>
                    <w:rPr>
                      <w:b w:val="0"/>
                      <w:sz w:val="21"/>
                    </w:rPr>
                  </w:pPr>
                  <w:r>
                    <w:rPr>
                      <w:rFonts w:hint="eastAsia"/>
                      <w:b w:val="0"/>
                      <w:sz w:val="21"/>
                    </w:rPr>
                    <w:t>3、采取有效措施，加强食品加工企业产生的恶臭气体的收集处理</w:t>
                  </w:r>
                </w:p>
              </w:tc>
              <w:tc>
                <w:tcPr>
                  <w:tcW w:w="1529" w:type="dxa"/>
                  <w:vAlign w:val="center"/>
                </w:tcPr>
                <w:p>
                  <w:pPr>
                    <w:pStyle w:val="2"/>
                    <w:spacing w:line="240" w:lineRule="auto"/>
                    <w:jc w:val="center"/>
                    <w:outlineLvl w:val="3"/>
                    <w:rPr>
                      <w:b w:val="0"/>
                      <w:sz w:val="21"/>
                    </w:rPr>
                  </w:pPr>
                  <w:r>
                    <w:rPr>
                      <w:rFonts w:hint="eastAsia"/>
                      <w:b w:val="0"/>
                      <w:sz w:val="21"/>
                    </w:rPr>
                    <w:t>项目位于福州元洪投资区（租赁福清市鸿昌食品有限公司1号车间1层），本项目不涉及VOCs的排放；一体化污水处理设备位于南侧厂房外，并加盖密闭，定期喷洒高效除臭剂，臭气产生影响较小。</w:t>
                  </w:r>
                </w:p>
              </w:tc>
              <w:tc>
                <w:tcPr>
                  <w:tcW w:w="1267" w:type="dxa"/>
                  <w:vAlign w:val="center"/>
                </w:tcPr>
                <w:p>
                  <w:pPr>
                    <w:pStyle w:val="2"/>
                    <w:spacing w:line="240" w:lineRule="auto"/>
                    <w:jc w:val="center"/>
                    <w:outlineLvl w:val="3"/>
                    <w:rPr>
                      <w:b w:val="0"/>
                      <w:sz w:val="21"/>
                    </w:rPr>
                  </w:pPr>
                  <w:r>
                    <w:rPr>
                      <w:b w:val="0"/>
                      <w:sz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632" w:type="dxa"/>
                  <w:vMerge w:val="continue"/>
                  <w:vAlign w:val="center"/>
                </w:tcPr>
                <w:p>
                  <w:pPr>
                    <w:pStyle w:val="2"/>
                    <w:spacing w:line="240" w:lineRule="auto"/>
                    <w:jc w:val="center"/>
                    <w:outlineLvl w:val="3"/>
                    <w:rPr>
                      <w:b w:val="0"/>
                      <w:sz w:val="21"/>
                    </w:rPr>
                  </w:pPr>
                </w:p>
              </w:tc>
              <w:tc>
                <w:tcPr>
                  <w:tcW w:w="893" w:type="dxa"/>
                  <w:vAlign w:val="center"/>
                </w:tcPr>
                <w:p>
                  <w:pPr>
                    <w:pStyle w:val="2"/>
                    <w:spacing w:line="240" w:lineRule="auto"/>
                    <w:jc w:val="left"/>
                    <w:outlineLvl w:val="3"/>
                    <w:rPr>
                      <w:b w:val="0"/>
                      <w:sz w:val="21"/>
                    </w:rPr>
                  </w:pPr>
                  <w:r>
                    <w:rPr>
                      <w:b w:val="0"/>
                      <w:sz w:val="21"/>
                    </w:rPr>
                    <w:t>环境风险防控</w:t>
                  </w:r>
                </w:p>
              </w:tc>
              <w:tc>
                <w:tcPr>
                  <w:tcW w:w="3433" w:type="dxa"/>
                  <w:vAlign w:val="center"/>
                </w:tcPr>
                <w:p>
                  <w:pPr>
                    <w:pStyle w:val="2"/>
                    <w:spacing w:line="240" w:lineRule="auto"/>
                    <w:jc w:val="left"/>
                    <w:outlineLvl w:val="3"/>
                    <w:rPr>
                      <w:b w:val="0"/>
                      <w:sz w:val="21"/>
                    </w:rPr>
                  </w:pPr>
                  <w:r>
                    <w:rPr>
                      <w:rFonts w:hint="eastAsia"/>
                      <w:b w:val="0"/>
                      <w:sz w:val="21"/>
                    </w:rPr>
                    <w:t>1、建立健全环境风险防控体系，指定环境风险应急预案，建设事故应急池，成立应急组织机构，防治在处理安全生产事故过程中产生的可能严重污染水体的消防废水、废液直接排入水体。</w:t>
                  </w:r>
                </w:p>
                <w:p>
                  <w:pPr>
                    <w:pStyle w:val="2"/>
                    <w:spacing w:line="240" w:lineRule="auto"/>
                    <w:jc w:val="left"/>
                    <w:outlineLvl w:val="3"/>
                    <w:rPr>
                      <w:b w:val="0"/>
                      <w:sz w:val="21"/>
                    </w:rPr>
                  </w:pPr>
                  <w:r>
                    <w:rPr>
                      <w:rFonts w:hint="eastAsia"/>
                      <w:b w:val="0"/>
                      <w:sz w:val="21"/>
                    </w:rPr>
                    <w:t>2、应采取有效措施防治园区建设对区域地下水、土壤造成污染。</w:t>
                  </w:r>
                </w:p>
              </w:tc>
              <w:tc>
                <w:tcPr>
                  <w:tcW w:w="1529" w:type="dxa"/>
                  <w:vAlign w:val="center"/>
                </w:tcPr>
                <w:p>
                  <w:pPr>
                    <w:pStyle w:val="2"/>
                    <w:spacing w:line="240" w:lineRule="auto"/>
                    <w:jc w:val="center"/>
                    <w:outlineLvl w:val="3"/>
                    <w:rPr>
                      <w:b w:val="0"/>
                      <w:sz w:val="21"/>
                    </w:rPr>
                  </w:pPr>
                  <w:r>
                    <w:rPr>
                      <w:rFonts w:hint="eastAsia"/>
                      <w:b w:val="0"/>
                      <w:sz w:val="21"/>
                    </w:rPr>
                    <w:t>项目生产废水经污水处理设施处理达标，生活污水经化粪池预处理，分别排入市政污水管网，汇入元洪投资区污水处理厂集中处理；不涉及风险物质使用，厂房地面硬化施完善。</w:t>
                  </w:r>
                </w:p>
              </w:tc>
              <w:tc>
                <w:tcPr>
                  <w:tcW w:w="1267" w:type="dxa"/>
                  <w:vAlign w:val="center"/>
                </w:tcPr>
                <w:p>
                  <w:pPr>
                    <w:pStyle w:val="2"/>
                    <w:spacing w:line="240" w:lineRule="auto"/>
                    <w:jc w:val="center"/>
                    <w:outlineLvl w:val="3"/>
                    <w:rPr>
                      <w:b w:val="0"/>
                      <w:sz w:val="21"/>
                    </w:rPr>
                  </w:pPr>
                  <w:r>
                    <w:rPr>
                      <w:b w:val="0"/>
                      <w:sz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632" w:type="dxa"/>
                  <w:vMerge w:val="continue"/>
                  <w:vAlign w:val="center"/>
                </w:tcPr>
                <w:p>
                  <w:pPr>
                    <w:pStyle w:val="2"/>
                    <w:spacing w:line="240" w:lineRule="auto"/>
                    <w:jc w:val="center"/>
                    <w:outlineLvl w:val="3"/>
                    <w:rPr>
                      <w:b w:val="0"/>
                      <w:sz w:val="21"/>
                    </w:rPr>
                  </w:pPr>
                </w:p>
              </w:tc>
              <w:tc>
                <w:tcPr>
                  <w:tcW w:w="893" w:type="dxa"/>
                  <w:vAlign w:val="center"/>
                </w:tcPr>
                <w:p>
                  <w:pPr>
                    <w:pStyle w:val="2"/>
                    <w:spacing w:line="240" w:lineRule="auto"/>
                    <w:jc w:val="left"/>
                    <w:outlineLvl w:val="3"/>
                    <w:rPr>
                      <w:b w:val="0"/>
                      <w:sz w:val="21"/>
                    </w:rPr>
                  </w:pPr>
                  <w:r>
                    <w:rPr>
                      <w:rFonts w:hint="eastAsia"/>
                      <w:b w:val="0"/>
                      <w:sz w:val="21"/>
                    </w:rPr>
                    <w:t>资源开发效率要求</w:t>
                  </w:r>
                </w:p>
              </w:tc>
              <w:tc>
                <w:tcPr>
                  <w:tcW w:w="3433" w:type="dxa"/>
                  <w:vAlign w:val="center"/>
                </w:tcPr>
                <w:p>
                  <w:pPr>
                    <w:pStyle w:val="2"/>
                    <w:spacing w:line="240" w:lineRule="auto"/>
                    <w:jc w:val="left"/>
                    <w:outlineLvl w:val="3"/>
                    <w:rPr>
                      <w:b w:val="0"/>
                      <w:sz w:val="21"/>
                    </w:rPr>
                  </w:pPr>
                  <w:r>
                    <w:rPr>
                      <w:rFonts w:hint="eastAsia"/>
                      <w:b w:val="0"/>
                      <w:sz w:val="21"/>
                    </w:rPr>
                    <w:t>加大产业区集中供热覆盖范围，逐步取消已批燃煤供热锅炉、不新增供热锅炉。</w:t>
                  </w:r>
                </w:p>
              </w:tc>
              <w:tc>
                <w:tcPr>
                  <w:tcW w:w="1529" w:type="dxa"/>
                  <w:vAlign w:val="center"/>
                </w:tcPr>
                <w:p>
                  <w:pPr>
                    <w:pStyle w:val="2"/>
                    <w:spacing w:line="240" w:lineRule="auto"/>
                    <w:jc w:val="center"/>
                    <w:outlineLvl w:val="3"/>
                    <w:rPr>
                      <w:b w:val="0"/>
                      <w:sz w:val="21"/>
                    </w:rPr>
                  </w:pPr>
                  <w:r>
                    <w:rPr>
                      <w:rFonts w:hint="eastAsia"/>
                      <w:b w:val="0"/>
                      <w:sz w:val="21"/>
                    </w:rPr>
                    <w:t>项目使用园区集中供汽，未自建锅炉</w:t>
                  </w:r>
                </w:p>
              </w:tc>
              <w:tc>
                <w:tcPr>
                  <w:tcW w:w="1267" w:type="dxa"/>
                  <w:vAlign w:val="center"/>
                </w:tcPr>
                <w:p>
                  <w:pPr>
                    <w:pStyle w:val="2"/>
                    <w:spacing w:line="240" w:lineRule="auto"/>
                    <w:jc w:val="center"/>
                    <w:outlineLvl w:val="3"/>
                    <w:rPr>
                      <w:b w:val="0"/>
                      <w:sz w:val="21"/>
                    </w:rPr>
                  </w:pPr>
                  <w:r>
                    <w:rPr>
                      <w:b w:val="0"/>
                      <w:sz w:val="21"/>
                    </w:rPr>
                    <w:t>符合</w:t>
                  </w:r>
                </w:p>
              </w:tc>
            </w:tr>
          </w:tbl>
          <w:p>
            <w:pPr>
              <w:pStyle w:val="133"/>
              <w:ind w:firstLine="480"/>
            </w:pPr>
            <w:r>
              <w:rPr>
                <w:rFonts w:hint="eastAsia"/>
              </w:rPr>
              <w:t>根据上述分析，本项目与福州市人民政府办公厅关于印发《福州市生态环境分区管控方案（</w:t>
            </w:r>
            <w:r>
              <w:rPr>
                <w:rFonts w:ascii="Calibri" w:hAnsi="Calibri" w:eastAsia="Calibri"/>
              </w:rPr>
              <w:t>2023</w:t>
            </w:r>
            <w:r>
              <w:rPr>
                <w:rFonts w:hint="eastAsia"/>
              </w:rPr>
              <w:t>年更新）》的通知（榕政办规〔</w:t>
            </w:r>
            <w:r>
              <w:rPr>
                <w:rFonts w:ascii="Calibri" w:hAnsi="Calibri" w:eastAsia="Calibri"/>
              </w:rPr>
              <w:t>2024</w:t>
            </w:r>
            <w:r>
              <w:rPr>
                <w:rFonts w:hint="eastAsia" w:ascii="Cambria Math" w:hAnsi="Cambria Math" w:eastAsia="Cambria Math" w:cs="Cambria Math"/>
              </w:rPr>
              <w:t>〕</w:t>
            </w:r>
            <w:r>
              <w:rPr>
                <w:rFonts w:ascii="Calibri" w:hAnsi="Calibri" w:eastAsia="Calibri"/>
              </w:rPr>
              <w:t>20</w:t>
            </w:r>
            <w:r>
              <w:rPr>
                <w:rFonts w:hint="eastAsia"/>
              </w:rPr>
              <w:t>号）中的相关规定是符合的。</w:t>
            </w:r>
          </w:p>
          <w:p>
            <w:pPr>
              <w:ind w:firstLine="0" w:firstLineChars="0"/>
              <w:rPr>
                <w:b/>
                <w:bCs/>
              </w:rPr>
            </w:pPr>
            <w:r>
              <w:rPr>
                <w:rFonts w:hint="eastAsia"/>
                <w:b/>
                <w:bCs/>
              </w:rPr>
              <w:t>1.4产业政策符合性分析</w:t>
            </w:r>
          </w:p>
          <w:p>
            <w:pPr>
              <w:pStyle w:val="11"/>
              <w:ind w:firstLine="480"/>
            </w:pPr>
            <w:r>
              <w:t>（1）本项目为</w:t>
            </w:r>
            <w:r>
              <w:rPr>
                <w:rFonts w:hint="eastAsia"/>
              </w:rPr>
              <w:t>食品制造业</w:t>
            </w:r>
            <w:r>
              <w:t>，</w:t>
            </w:r>
            <w:r>
              <w:rPr>
                <w:rFonts w:hint="eastAsia"/>
              </w:rPr>
              <w:t>不属于《产业结构调整指导目录（2024年本）》中的鼓励类、限制类、淘汰类项目，属允许类项目。项目于2025年6月13日取得了福清市发展和改革局备案证明（闽发改备[2025]A060164号）（见附件3）。</w:t>
            </w:r>
          </w:p>
          <w:p>
            <w:pPr>
              <w:ind w:firstLine="480"/>
            </w:pPr>
            <w:r>
              <w:t>（</w:t>
            </w:r>
            <w:r>
              <w:rPr>
                <w:rFonts w:hint="eastAsia"/>
              </w:rPr>
              <w:t>2</w:t>
            </w:r>
            <w:r>
              <w:t>）对照</w:t>
            </w:r>
            <w:r>
              <w:rPr>
                <w:rFonts w:hint="eastAsia"/>
              </w:rPr>
              <w:t>《</w:t>
            </w:r>
            <w:bookmarkStart w:id="8" w:name="OLE_LINK49"/>
            <w:r>
              <w:rPr>
                <w:rFonts w:hint="eastAsia"/>
              </w:rPr>
              <w:t>市场准入负面清单</w:t>
            </w:r>
            <w:bookmarkEnd w:id="8"/>
            <w:r>
              <w:rPr>
                <w:rFonts w:hint="eastAsia"/>
              </w:rPr>
              <w:t>（2025年版）》，项目不属于清单中禁止准入类项目。</w:t>
            </w:r>
          </w:p>
          <w:p>
            <w:pPr>
              <w:ind w:firstLine="480"/>
            </w:pPr>
            <w:r>
              <w:rPr>
                <w:rFonts w:hint="eastAsia"/>
              </w:rPr>
              <w:t>（3）项目生产工艺装备不属于《部分工业行业淘汰落后生产工艺装备和产品指导目录》中规定的淘汰设备范畴。</w:t>
            </w:r>
          </w:p>
          <w:p>
            <w:pPr>
              <w:ind w:firstLine="480"/>
            </w:pPr>
            <w:r>
              <w:t>综上，本项目建设符合国家及地方当前的产业政策。</w:t>
            </w:r>
          </w:p>
          <w:p>
            <w:pPr>
              <w:ind w:firstLine="0" w:firstLineChars="0"/>
              <w:rPr>
                <w:b/>
                <w:bCs/>
              </w:rPr>
            </w:pPr>
            <w:r>
              <w:rPr>
                <w:rFonts w:hint="eastAsia"/>
                <w:b/>
                <w:bCs/>
              </w:rPr>
              <w:t>1.5选址合理性分析</w:t>
            </w:r>
          </w:p>
          <w:p>
            <w:pPr>
              <w:ind w:firstLine="480"/>
            </w:pPr>
            <w:r>
              <w:rPr>
                <w:rFonts w:hint="eastAsia"/>
              </w:rPr>
              <w:t>1、</w:t>
            </w:r>
            <w:r>
              <w:t>土地利用符合性</w:t>
            </w:r>
          </w:p>
          <w:p>
            <w:pPr>
              <w:ind w:firstLine="480"/>
            </w:pPr>
            <w:r>
              <w:rPr>
                <w:rFonts w:hint="eastAsia"/>
              </w:rPr>
              <w:t>福清市鸿昌食品有限公司因为生产计划改变，原环评审批(榕融环评[2024]46号)的福清市城头镇福清市鸿昌食品有限公司内1#车间1层作为肉制品加工车间，因还没开始生产，该车间是空置的状态，经公司内部调整（见附件7），现已将1#车间1层（见附件4）租赁给福建福清莆仙食品有限公司生产小米粉，根据出租方产权证（见附件6），项目用地属于工业用地，符合</w:t>
            </w:r>
            <w:r>
              <w:t>土地利用</w:t>
            </w:r>
            <w:r>
              <w:rPr>
                <w:rFonts w:hint="eastAsia"/>
              </w:rPr>
              <w:t>规划。</w:t>
            </w:r>
          </w:p>
          <w:p>
            <w:pPr>
              <w:ind w:firstLine="480"/>
            </w:pPr>
            <w:r>
              <w:rPr>
                <w:rFonts w:hint="eastAsia"/>
              </w:rPr>
              <w:t>2、周边环境相容性分析</w:t>
            </w:r>
          </w:p>
          <w:p>
            <w:pPr>
              <w:ind w:firstLine="480"/>
            </w:pPr>
            <w:r>
              <w:rPr>
                <w:lang w:bidi="zh-CN"/>
              </w:rPr>
              <w:t>根据现场踏勘，</w:t>
            </w:r>
            <w:r>
              <w:rPr>
                <w:rFonts w:hint="eastAsia"/>
              </w:rPr>
              <w:t>项目东、西、北侧均为福清市鸿昌食品有限公司现有工业厂房，南侧为滨海大道，周边无食品加工、医药等需要特别保护的企业，同时</w:t>
            </w:r>
            <w:r>
              <w:t>周边</w:t>
            </w:r>
            <w:r>
              <w:rPr>
                <w:rFonts w:hint="eastAsia"/>
              </w:rPr>
              <w:t>500m范围无</w:t>
            </w:r>
            <w:r>
              <w:t>近</w:t>
            </w:r>
            <w:r>
              <w:rPr>
                <w:rFonts w:hint="eastAsia"/>
              </w:rPr>
              <w:t>敏感点，</w:t>
            </w:r>
            <w:r>
              <w:t>建设单位在认真落实本环评提出的各项处理措施后，对外围的环境影响较小</w:t>
            </w:r>
            <w:r>
              <w:rPr>
                <w:lang w:bidi="zh-CN"/>
              </w:rPr>
              <w:t>。</w:t>
            </w:r>
          </w:p>
        </w:tc>
      </w:tr>
    </w:tbl>
    <w:p>
      <w:pPr>
        <w:ind w:firstLine="0" w:firstLineChars="0"/>
        <w:outlineLvl w:val="0"/>
        <w:rPr>
          <w:sz w:val="30"/>
        </w:rPr>
        <w:sectPr>
          <w:headerReference r:id="rId13" w:type="first"/>
          <w:headerReference r:id="rId11" w:type="default"/>
          <w:footerReference r:id="rId14" w:type="default"/>
          <w:headerReference r:id="rId12" w:type="even"/>
          <w:pgSz w:w="11905" w:h="16838"/>
          <w:pgMar w:top="1417" w:right="1417" w:bottom="1417" w:left="1417" w:header="851" w:footer="850" w:gutter="0"/>
          <w:pgNumType w:start="1"/>
          <w:cols w:space="720" w:num="1"/>
          <w:docGrid w:linePitch="312" w:charSpace="0"/>
        </w:sectPr>
      </w:pPr>
    </w:p>
    <w:p>
      <w:pPr>
        <w:pStyle w:val="3"/>
        <w:spacing w:before="120" w:after="120"/>
      </w:pPr>
      <w:r>
        <w:t>二、建设项目工程分析</w:t>
      </w:r>
    </w:p>
    <w:tbl>
      <w:tblPr>
        <w:tblStyle w:val="29"/>
        <w:tblW w:w="50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3"/>
        <w:gridCol w:w="8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320" w:hRule="atLeast"/>
          <w:jc w:val="center"/>
        </w:trPr>
        <w:tc>
          <w:tcPr>
            <w:tcW w:w="230" w:type="pct"/>
            <w:vAlign w:val="center"/>
          </w:tcPr>
          <w:p>
            <w:pPr>
              <w:pStyle w:val="52"/>
            </w:pPr>
            <w:r>
              <w:t>建设内容</w:t>
            </w:r>
          </w:p>
        </w:tc>
        <w:tc>
          <w:tcPr>
            <w:tcW w:w="4769" w:type="pct"/>
          </w:tcPr>
          <w:p>
            <w:pPr>
              <w:pStyle w:val="5"/>
              <w:spacing w:before="120" w:afterLines="0"/>
            </w:pPr>
            <w:r>
              <w:rPr>
                <w:rFonts w:hint="eastAsia"/>
              </w:rPr>
              <w:t>2.1项目由来</w:t>
            </w:r>
          </w:p>
          <w:p>
            <w:pPr>
              <w:ind w:firstLine="480"/>
            </w:pPr>
            <w:r>
              <w:rPr>
                <w:rFonts w:cs="Segoe UI"/>
                <w:shd w:val="clear" w:color="auto" w:fill="FFFFFF"/>
              </w:rPr>
              <w:t>福建福清莆仙食品有限公司</w:t>
            </w:r>
            <w:r>
              <w:rPr>
                <w:rFonts w:hint="eastAsia"/>
              </w:rPr>
              <w:t>成立于2025年4月30日，经营范围为食品产业链相关业务，包括</w:t>
            </w:r>
            <w:r>
              <w:rPr>
                <w:rFonts w:hint="eastAsia"/>
                <w:b/>
              </w:rPr>
              <w:t>食品生产、加工</w:t>
            </w:r>
            <w:r>
              <w:rPr>
                <w:rFonts w:hint="eastAsia"/>
              </w:rPr>
              <w:t>、销售和进出口贸易，具体涵盖粮食加工、豆制品制造、食用农产品初加工、零售批发以及互联网预包装食品销售等领域。项目生产产品为米粉，主要从事米粉生产加工，属于食品生产与加工范畴，符合公司营业执照规定的经营范围。</w:t>
            </w:r>
          </w:p>
          <w:p>
            <w:pPr>
              <w:ind w:firstLine="480"/>
            </w:pPr>
            <w:r>
              <w:rPr>
                <w:rFonts w:cs="Segoe UI"/>
                <w:shd w:val="clear" w:color="auto" w:fill="FFFFFF"/>
              </w:rPr>
              <w:t>福建福清莆仙食品有限公司</w:t>
            </w:r>
            <w:r>
              <w:rPr>
                <w:rFonts w:hint="eastAsia"/>
              </w:rPr>
              <w:t>拟在福州元洪投资区（租赁福清市鸿昌食品有限公司1号车间1层）建设“福建福清莆仙食品有限公司年加工米粉1600吨”项目，拟租赁福清市鸿昌食品有限公司的厂房面积1500平方米，年加工米粉1600吨，购置安装蒸汽搅拌混合机，压滤机等机器设备及相关附属设施，技术水平达到国内先进。</w:t>
            </w:r>
          </w:p>
          <w:p>
            <w:pPr>
              <w:ind w:firstLine="480"/>
            </w:pPr>
            <w:r>
              <w:rPr>
                <w:rFonts w:hint="eastAsia"/>
              </w:rPr>
              <w:t>根据</w:t>
            </w:r>
            <w:r>
              <w:t>现场踏勘，项目目前处于</w:t>
            </w:r>
            <w:r>
              <w:rPr>
                <w:rFonts w:hint="eastAsia"/>
              </w:rPr>
              <w:t>前期</w:t>
            </w:r>
            <w:r>
              <w:t>准备阶段</w:t>
            </w:r>
            <w:r>
              <w:rPr>
                <w:rFonts w:hint="eastAsia"/>
              </w:rPr>
              <w:t>，</w:t>
            </w:r>
            <w:r>
              <w:t>尚未投入建设运营</w:t>
            </w:r>
            <w:r>
              <w:rPr>
                <w:rFonts w:hint="eastAsia"/>
              </w:rPr>
              <w:t>。</w:t>
            </w:r>
            <w:r>
              <w:t>根据《建设项目环境保护管理条例</w:t>
            </w:r>
            <w:r>
              <w:rPr>
                <w:rFonts w:hint="eastAsia"/>
              </w:rPr>
              <w:t>》《</w:t>
            </w:r>
            <w:r>
              <w:t>建设项目环境影响评价分类管理名录</w:t>
            </w:r>
            <w:r>
              <w:rPr>
                <w:rFonts w:hint="eastAsia"/>
              </w:rPr>
              <w:t>（2021年版）</w:t>
            </w:r>
            <w:r>
              <w:t>》的相关规定，项目属于</w:t>
            </w:r>
            <w:r>
              <w:rPr>
                <w:rFonts w:hint="eastAsia"/>
              </w:rPr>
              <w:t>方便食品制造中“除单纯分装外的”，</w:t>
            </w:r>
            <w:r>
              <w:t>需编制环境影响报告表。</w:t>
            </w:r>
          </w:p>
          <w:p>
            <w:pPr>
              <w:pStyle w:val="103"/>
              <w:spacing w:before="120"/>
              <w:rPr>
                <w:rFonts w:eastAsia="宋体"/>
                <w:color w:val="auto"/>
              </w:rPr>
            </w:pPr>
            <w:r>
              <w:rPr>
                <w:rFonts w:eastAsia="宋体"/>
                <w:color w:val="auto"/>
              </w:rPr>
              <w:t>表2</w:t>
            </w:r>
            <w:r>
              <w:rPr>
                <w:rFonts w:hint="eastAsia" w:eastAsia="宋体"/>
                <w:color w:val="auto"/>
              </w:rPr>
              <w:t>.1</w:t>
            </w:r>
            <w:r>
              <w:rPr>
                <w:rFonts w:eastAsia="宋体"/>
                <w:color w:val="auto"/>
              </w:rPr>
              <w:t>-1  建设项目环境影响评价分类管理名录摘录）</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698"/>
              <w:gridCol w:w="1579"/>
              <w:gridCol w:w="3441"/>
              <w:gridCol w:w="10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jc w:val="center"/>
              </w:trPr>
              <w:tc>
                <w:tcPr>
                  <w:tcW w:w="1546" w:type="pct"/>
                  <w:tcBorders>
                    <w:top w:val="single" w:color="auto" w:sz="12" w:space="0"/>
                    <w:bottom w:val="single" w:color="auto" w:sz="6" w:space="0"/>
                    <w:tl2br w:val="single" w:color="auto" w:sz="4" w:space="0"/>
                  </w:tcBorders>
                  <w:vAlign w:val="center"/>
                </w:tcPr>
                <w:p>
                  <w:pPr>
                    <w:pStyle w:val="109"/>
                    <w:jc w:val="right"/>
                  </w:pPr>
                  <w:r>
                    <w:t>环评类别</w:t>
                  </w:r>
                </w:p>
                <w:p>
                  <w:pPr>
                    <w:pStyle w:val="109"/>
                  </w:pPr>
                </w:p>
                <w:p>
                  <w:pPr>
                    <w:pStyle w:val="109"/>
                    <w:jc w:val="left"/>
                  </w:pPr>
                  <w:r>
                    <w:t>项</w:t>
                  </w:r>
                  <w:r>
                    <w:rPr>
                      <w:rFonts w:hint="eastAsia"/>
                    </w:rPr>
                    <w:t>目</w:t>
                  </w:r>
                  <w:r>
                    <w:t>类别</w:t>
                  </w:r>
                </w:p>
              </w:tc>
              <w:tc>
                <w:tcPr>
                  <w:tcW w:w="905" w:type="pct"/>
                  <w:vAlign w:val="center"/>
                </w:tcPr>
                <w:p>
                  <w:pPr>
                    <w:pStyle w:val="109"/>
                  </w:pPr>
                  <w:r>
                    <w:t>报告书</w:t>
                  </w:r>
                </w:p>
              </w:tc>
              <w:tc>
                <w:tcPr>
                  <w:tcW w:w="1972" w:type="pct"/>
                  <w:vAlign w:val="center"/>
                </w:tcPr>
                <w:p>
                  <w:pPr>
                    <w:pStyle w:val="109"/>
                  </w:pPr>
                  <w:r>
                    <w:t>报告表</w:t>
                  </w:r>
                </w:p>
              </w:tc>
              <w:tc>
                <w:tcPr>
                  <w:tcW w:w="577" w:type="pct"/>
                  <w:vAlign w:val="center"/>
                </w:tcPr>
                <w:p>
                  <w:pPr>
                    <w:pStyle w:val="109"/>
                  </w:pPr>
                  <w:r>
                    <w:t>登记表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shd w:val="clear" w:color="auto" w:fill="BEBEBE" w:themeFill="background1" w:themeFillShade="BF"/>
                  <w:vAlign w:val="center"/>
                </w:tcPr>
                <w:p>
                  <w:pPr>
                    <w:pStyle w:val="109"/>
                    <w:jc w:val="both"/>
                  </w:pPr>
                  <w:r>
                    <w:rPr>
                      <w:rFonts w:hint="eastAsia"/>
                    </w:rPr>
                    <w:t>十一、食品制造业14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546" w:type="pct"/>
                  <w:shd w:val="clear" w:color="auto" w:fill="auto"/>
                  <w:vAlign w:val="center"/>
                </w:tcPr>
                <w:p>
                  <w:pPr>
                    <w:pStyle w:val="109"/>
                  </w:pPr>
                  <w:r>
                    <w:rPr>
                      <w:rFonts w:hint="eastAsia"/>
                      <w:lang w:val="en-US"/>
                    </w:rPr>
                    <w:t>21、方便食品制造143*</w:t>
                  </w:r>
                </w:p>
              </w:tc>
              <w:tc>
                <w:tcPr>
                  <w:tcW w:w="905" w:type="pct"/>
                  <w:shd w:val="clear" w:color="auto" w:fill="auto"/>
                  <w:vAlign w:val="center"/>
                </w:tcPr>
                <w:p>
                  <w:pPr>
                    <w:pStyle w:val="109"/>
                  </w:pPr>
                  <w:r>
                    <w:rPr>
                      <w:rFonts w:hint="eastAsia"/>
                    </w:rPr>
                    <w:t>/</w:t>
                  </w:r>
                </w:p>
              </w:tc>
              <w:tc>
                <w:tcPr>
                  <w:tcW w:w="1972" w:type="pct"/>
                  <w:shd w:val="clear" w:color="auto" w:fill="BEBEBE" w:themeFill="background1" w:themeFillShade="BF"/>
                  <w:vAlign w:val="center"/>
                </w:tcPr>
                <w:p>
                  <w:pPr>
                    <w:pStyle w:val="109"/>
                    <w:jc w:val="left"/>
                  </w:pPr>
                  <w:r>
                    <w:rPr>
                      <w:rFonts w:hint="eastAsia"/>
                    </w:rPr>
                    <w:t>除单纯分装外的</w:t>
                  </w:r>
                </w:p>
              </w:tc>
              <w:tc>
                <w:tcPr>
                  <w:tcW w:w="577" w:type="pct"/>
                  <w:vAlign w:val="center"/>
                </w:tcPr>
                <w:p>
                  <w:pPr>
                    <w:pStyle w:val="109"/>
                  </w:pPr>
                  <w:r>
                    <w:rPr>
                      <w:rFonts w:hint="eastAsia"/>
                    </w:rPr>
                    <w:t>/</w:t>
                  </w:r>
                </w:p>
              </w:tc>
            </w:tr>
          </w:tbl>
          <w:p>
            <w:pPr>
              <w:spacing w:before="120" w:beforeLines="50"/>
              <w:ind w:firstLine="480"/>
            </w:pPr>
            <w:r>
              <w:t>因此，建设单位委托</w:t>
            </w:r>
            <w:r>
              <w:rPr>
                <w:rFonts w:hint="eastAsia"/>
              </w:rPr>
              <w:t>我司</w:t>
            </w:r>
            <w:r>
              <w:t>编制</w:t>
            </w:r>
            <w:r>
              <w:rPr>
                <w:rFonts w:hint="eastAsia"/>
              </w:rPr>
              <w:t>本</w:t>
            </w:r>
            <w:r>
              <w:t>项目的环境影响报告表（附件</w:t>
            </w:r>
            <w:r>
              <w:rPr>
                <w:rFonts w:hint="eastAsia"/>
              </w:rPr>
              <w:t>1</w:t>
            </w:r>
            <w:r>
              <w:t>：委托书）。评价单位接受委托后，立即派技术人员踏勘现场和收集有关资料，并依照《中华人民共和国环境影响评价法》等的相关规定编写成本报告表，供建设单位报环境保护行政主管部门审批和作为污染防治设施建设的依据。</w:t>
            </w:r>
          </w:p>
          <w:p>
            <w:pPr>
              <w:pStyle w:val="5"/>
              <w:spacing w:before="120" w:afterLines="0"/>
            </w:pPr>
            <w:r>
              <w:rPr>
                <w:rFonts w:hint="eastAsia"/>
              </w:rPr>
              <w:t>2</w:t>
            </w:r>
            <w:r>
              <w:t>.</w:t>
            </w:r>
            <w:r>
              <w:rPr>
                <w:rFonts w:hint="eastAsia"/>
              </w:rPr>
              <w:t>2建设内容</w:t>
            </w:r>
          </w:p>
          <w:p>
            <w:pPr>
              <w:widowControl/>
              <w:ind w:firstLine="480"/>
              <w:jc w:val="left"/>
              <w:rPr>
                <w:bCs/>
              </w:rPr>
            </w:pPr>
            <w:r>
              <w:rPr>
                <w:rFonts w:hint="eastAsia"/>
                <w:bCs/>
              </w:rPr>
              <w:t>本项目包括主体工程、辅助工程、环保工程，</w:t>
            </w:r>
            <w:r>
              <w:rPr>
                <w:rFonts w:hint="eastAsia"/>
              </w:rPr>
              <w:t>项目租用福清市鸿昌食品有限公司厂房（闲置厂房）作为项目建设用地</w:t>
            </w:r>
            <w:r>
              <w:rPr>
                <w:rFonts w:hint="eastAsia"/>
                <w:b/>
                <w:bCs/>
              </w:rPr>
              <w:t>，</w:t>
            </w:r>
            <w:r>
              <w:rPr>
                <w:rFonts w:hint="eastAsia"/>
                <w:bCs/>
              </w:rPr>
              <w:t>总占地面积</w:t>
            </w:r>
            <w:r>
              <w:rPr>
                <w:bCs/>
              </w:rPr>
              <w:t>1</w:t>
            </w:r>
            <w:r>
              <w:rPr>
                <w:rFonts w:hint="eastAsia"/>
                <w:bCs/>
              </w:rPr>
              <w:t>5</w:t>
            </w:r>
            <w:r>
              <w:rPr>
                <w:bCs/>
              </w:rPr>
              <w:t>00m</w:t>
            </w:r>
            <w:r>
              <w:rPr>
                <w:bCs/>
                <w:vertAlign w:val="superscript"/>
              </w:rPr>
              <w:t>2</w:t>
            </w:r>
            <w:r>
              <w:rPr>
                <w:rFonts w:hint="eastAsia"/>
                <w:bCs/>
              </w:rPr>
              <w:t>。（项目厂区总平面布置见附图2），具体项目建设内容见表2.2</w:t>
            </w:r>
            <w:r>
              <w:rPr>
                <w:bCs/>
              </w:rPr>
              <w:t>-1</w:t>
            </w:r>
            <w:r>
              <w:rPr>
                <w:rFonts w:hint="eastAsia"/>
                <w:bCs/>
              </w:rPr>
              <w:t>。</w:t>
            </w:r>
          </w:p>
          <w:p>
            <w:pPr>
              <w:pStyle w:val="43"/>
              <w:spacing w:before="120" w:beforeLines="50" w:line="240" w:lineRule="auto"/>
            </w:pPr>
            <w:r>
              <w:t>表2.</w:t>
            </w:r>
            <w:r>
              <w:rPr>
                <w:rFonts w:hint="eastAsia"/>
              </w:rPr>
              <w:t>2</w:t>
            </w:r>
            <w:r>
              <w:t>-</w:t>
            </w:r>
            <w:r>
              <w:rPr>
                <w:rFonts w:hint="eastAsia"/>
              </w:rPr>
              <w:t>1</w:t>
            </w:r>
            <w:r>
              <w:t xml:space="preserve">  建设内容一览表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19"/>
              <w:gridCol w:w="1877"/>
              <w:gridCol w:w="552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tcBorders>
                    <w:right w:val="single" w:color="auto" w:sz="4" w:space="0"/>
                  </w:tcBorders>
                  <w:vAlign w:val="center"/>
                </w:tcPr>
                <w:p>
                  <w:pPr>
                    <w:pStyle w:val="52"/>
                  </w:pPr>
                  <w:r>
                    <w:t>项目类别</w:t>
                  </w:r>
                </w:p>
              </w:tc>
              <w:tc>
                <w:tcPr>
                  <w:tcW w:w="1869" w:type="dxa"/>
                  <w:vAlign w:val="center"/>
                </w:tcPr>
                <w:p>
                  <w:pPr>
                    <w:pStyle w:val="52"/>
                  </w:pPr>
                  <w:r>
                    <w:rPr>
                      <w:rFonts w:hint="eastAsia"/>
                    </w:rPr>
                    <w:t>工程</w:t>
                  </w:r>
                  <w:r>
                    <w:t>名称</w:t>
                  </w:r>
                </w:p>
              </w:tc>
              <w:tc>
                <w:tcPr>
                  <w:tcW w:w="5506" w:type="dxa"/>
                  <w:tcBorders>
                    <w:right w:val="single" w:color="auto" w:sz="4" w:space="0"/>
                  </w:tcBorders>
                  <w:vAlign w:val="center"/>
                </w:tcPr>
                <w:p>
                  <w:pPr>
                    <w:pStyle w:val="52"/>
                  </w:pPr>
                  <w:r>
                    <w:rPr>
                      <w:rFonts w:hint="eastAsia"/>
                    </w:rPr>
                    <w:t>建设</w:t>
                  </w:r>
                  <w:r>
                    <w:t>内容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13" w:type="dxa"/>
                  <w:vMerge w:val="restart"/>
                  <w:tcBorders>
                    <w:right w:val="single" w:color="auto" w:sz="4" w:space="0"/>
                  </w:tcBorders>
                  <w:vAlign w:val="center"/>
                </w:tcPr>
                <w:p>
                  <w:pPr>
                    <w:pStyle w:val="52"/>
                  </w:pPr>
                  <w:r>
                    <w:t>主体工程</w:t>
                  </w:r>
                </w:p>
              </w:tc>
              <w:tc>
                <w:tcPr>
                  <w:tcW w:w="1869" w:type="dxa"/>
                  <w:vAlign w:val="center"/>
                </w:tcPr>
                <w:p>
                  <w:pPr>
                    <w:pStyle w:val="52"/>
                  </w:pPr>
                  <w:r>
                    <w:t>前处理</w:t>
                  </w:r>
                  <w:r>
                    <w:rPr>
                      <w:rFonts w:hint="eastAsia"/>
                    </w:rPr>
                    <w:t>区</w:t>
                  </w:r>
                </w:p>
              </w:tc>
              <w:tc>
                <w:tcPr>
                  <w:tcW w:w="5506" w:type="dxa"/>
                  <w:tcBorders>
                    <w:right w:val="single" w:color="auto" w:sz="4" w:space="0"/>
                  </w:tcBorders>
                  <w:vAlign w:val="center"/>
                </w:tcPr>
                <w:p>
                  <w:pPr>
                    <w:pStyle w:val="52"/>
                  </w:pPr>
                  <w:r>
                    <w:rPr>
                      <w:rFonts w:hint="eastAsia"/>
                    </w:rPr>
                    <w:t>大米清洗浸泡，占地面积约50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vMerge w:val="continue"/>
                  <w:tcBorders>
                    <w:right w:val="single" w:color="auto" w:sz="4" w:space="0"/>
                  </w:tcBorders>
                  <w:vAlign w:val="center"/>
                </w:tcPr>
                <w:p>
                  <w:pPr>
                    <w:pStyle w:val="52"/>
                  </w:pPr>
                </w:p>
              </w:tc>
              <w:tc>
                <w:tcPr>
                  <w:tcW w:w="1869" w:type="dxa"/>
                  <w:vAlign w:val="center"/>
                </w:tcPr>
                <w:p>
                  <w:pPr>
                    <w:pStyle w:val="52"/>
                  </w:pPr>
                  <w:r>
                    <w:rPr>
                      <w:rFonts w:hint="eastAsia"/>
                    </w:rPr>
                    <w:t>生产区</w:t>
                  </w:r>
                </w:p>
              </w:tc>
              <w:tc>
                <w:tcPr>
                  <w:tcW w:w="5506" w:type="dxa"/>
                  <w:tcBorders>
                    <w:right w:val="single" w:color="auto" w:sz="4" w:space="0"/>
                  </w:tcBorders>
                  <w:vAlign w:val="center"/>
                </w:tcPr>
                <w:p>
                  <w:pPr>
                    <w:pStyle w:val="52"/>
                  </w:pPr>
                  <w:r>
                    <w:rPr>
                      <w:rFonts w:hint="eastAsia"/>
                    </w:rPr>
                    <w:t>设置隧道式蒸箱、米粉机、粿条机以及出粉机等生产设备，占地面积约500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vMerge w:val="continue"/>
                  <w:tcBorders>
                    <w:right w:val="single" w:color="auto" w:sz="4" w:space="0"/>
                  </w:tcBorders>
                  <w:vAlign w:val="center"/>
                </w:tcPr>
                <w:p>
                  <w:pPr>
                    <w:pStyle w:val="52"/>
                  </w:pPr>
                </w:p>
              </w:tc>
              <w:tc>
                <w:tcPr>
                  <w:tcW w:w="1869" w:type="dxa"/>
                  <w:vAlign w:val="center"/>
                </w:tcPr>
                <w:p>
                  <w:pPr>
                    <w:pStyle w:val="52"/>
                  </w:pPr>
                  <w:r>
                    <w:rPr>
                      <w:rFonts w:hint="eastAsia"/>
                    </w:rPr>
                    <w:t>烘干区</w:t>
                  </w:r>
                </w:p>
              </w:tc>
              <w:tc>
                <w:tcPr>
                  <w:tcW w:w="5506" w:type="dxa"/>
                  <w:tcBorders>
                    <w:right w:val="single" w:color="auto" w:sz="4" w:space="0"/>
                  </w:tcBorders>
                  <w:vAlign w:val="center"/>
                </w:tcPr>
                <w:p>
                  <w:pPr>
                    <w:pStyle w:val="52"/>
                  </w:pPr>
                  <w:r>
                    <w:rPr>
                      <w:rFonts w:hint="eastAsia"/>
                    </w:rPr>
                    <w:t>建设二条烘干线，占地面积约350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vMerge w:val="continue"/>
                  <w:tcBorders>
                    <w:right w:val="single" w:color="auto" w:sz="4" w:space="0"/>
                  </w:tcBorders>
                  <w:vAlign w:val="center"/>
                </w:tcPr>
                <w:p>
                  <w:pPr>
                    <w:pStyle w:val="52"/>
                  </w:pPr>
                </w:p>
              </w:tc>
              <w:tc>
                <w:tcPr>
                  <w:tcW w:w="1869" w:type="dxa"/>
                  <w:vAlign w:val="center"/>
                </w:tcPr>
                <w:p>
                  <w:pPr>
                    <w:pStyle w:val="52"/>
                  </w:pPr>
                  <w:r>
                    <w:rPr>
                      <w:rFonts w:hint="eastAsia"/>
                    </w:rPr>
                    <w:t>包装区</w:t>
                  </w:r>
                </w:p>
              </w:tc>
              <w:tc>
                <w:tcPr>
                  <w:tcW w:w="5506" w:type="dxa"/>
                  <w:tcBorders>
                    <w:right w:val="single" w:color="auto" w:sz="4" w:space="0"/>
                  </w:tcBorders>
                  <w:vAlign w:val="center"/>
                </w:tcPr>
                <w:p>
                  <w:pPr>
                    <w:pStyle w:val="52"/>
                  </w:pPr>
                  <w:r>
                    <w:rPr>
                      <w:rFonts w:hint="eastAsia"/>
                    </w:rPr>
                    <w:t>成品包装，占地面积约100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89" w:hRule="atLeast"/>
                <w:jc w:val="center"/>
              </w:trPr>
              <w:tc>
                <w:tcPr>
                  <w:tcW w:w="1313" w:type="dxa"/>
                  <w:vMerge w:val="restart"/>
                  <w:tcBorders>
                    <w:right w:val="single" w:color="auto" w:sz="4" w:space="0"/>
                  </w:tcBorders>
                  <w:vAlign w:val="center"/>
                </w:tcPr>
                <w:p>
                  <w:pPr>
                    <w:pStyle w:val="52"/>
                  </w:pPr>
                  <w:r>
                    <w:rPr>
                      <w:rFonts w:hint="eastAsia"/>
                    </w:rPr>
                    <w:t>辅助</w:t>
                  </w:r>
                  <w:r>
                    <w:t>工程</w:t>
                  </w:r>
                </w:p>
              </w:tc>
              <w:tc>
                <w:tcPr>
                  <w:tcW w:w="1869" w:type="dxa"/>
                  <w:vAlign w:val="center"/>
                </w:tcPr>
                <w:p>
                  <w:pPr>
                    <w:pStyle w:val="52"/>
                    <w:rPr>
                      <w:bCs/>
                    </w:rPr>
                  </w:pPr>
                  <w:r>
                    <w:rPr>
                      <w:rFonts w:hint="eastAsia"/>
                      <w:bCs/>
                    </w:rPr>
                    <w:t>原料仓库</w:t>
                  </w:r>
                </w:p>
              </w:tc>
              <w:tc>
                <w:tcPr>
                  <w:tcW w:w="5506" w:type="dxa"/>
                  <w:vAlign w:val="center"/>
                </w:tcPr>
                <w:p>
                  <w:pPr>
                    <w:pStyle w:val="52"/>
                    <w:rPr>
                      <w:vertAlign w:val="superscript"/>
                    </w:rPr>
                  </w:pPr>
                  <w:r>
                    <w:rPr>
                      <w:rFonts w:hint="eastAsia"/>
                    </w:rPr>
                    <w:t>位于车间东南侧，占地面积约150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553" w:hRule="atLeast"/>
                <w:jc w:val="center"/>
              </w:trPr>
              <w:tc>
                <w:tcPr>
                  <w:tcW w:w="1313" w:type="dxa"/>
                  <w:vMerge w:val="continue"/>
                  <w:tcBorders>
                    <w:right w:val="single" w:color="auto" w:sz="4" w:space="0"/>
                  </w:tcBorders>
                  <w:vAlign w:val="center"/>
                </w:tcPr>
                <w:p>
                  <w:pPr>
                    <w:pStyle w:val="52"/>
                  </w:pPr>
                </w:p>
              </w:tc>
              <w:tc>
                <w:tcPr>
                  <w:tcW w:w="1869" w:type="dxa"/>
                  <w:vAlign w:val="center"/>
                </w:tcPr>
                <w:p>
                  <w:pPr>
                    <w:pStyle w:val="52"/>
                    <w:rPr>
                      <w:bCs/>
                      <w:lang w:val="zh-CN"/>
                    </w:rPr>
                  </w:pPr>
                  <w:r>
                    <w:rPr>
                      <w:rFonts w:hint="eastAsia"/>
                      <w:bCs/>
                    </w:rPr>
                    <w:t>成品库</w:t>
                  </w:r>
                </w:p>
              </w:tc>
              <w:tc>
                <w:tcPr>
                  <w:tcW w:w="5506" w:type="dxa"/>
                  <w:vAlign w:val="center"/>
                </w:tcPr>
                <w:p>
                  <w:pPr>
                    <w:pStyle w:val="52"/>
                  </w:pPr>
                  <w:r>
                    <w:rPr>
                      <w:rFonts w:hint="eastAsia"/>
                    </w:rPr>
                    <w:t>位于车间北侧，占地面积约250 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29" w:hRule="atLeast"/>
                <w:jc w:val="center"/>
              </w:trPr>
              <w:tc>
                <w:tcPr>
                  <w:tcW w:w="1313" w:type="dxa"/>
                  <w:vMerge w:val="restart"/>
                  <w:tcBorders>
                    <w:right w:val="single" w:color="auto" w:sz="4" w:space="0"/>
                  </w:tcBorders>
                  <w:vAlign w:val="center"/>
                </w:tcPr>
                <w:p>
                  <w:pPr>
                    <w:pStyle w:val="52"/>
                  </w:pPr>
                  <w:r>
                    <w:rPr>
                      <w:rFonts w:hint="eastAsia"/>
                    </w:rPr>
                    <w:t>环保</w:t>
                  </w:r>
                  <w:r>
                    <w:t>工程</w:t>
                  </w:r>
                </w:p>
              </w:tc>
              <w:tc>
                <w:tcPr>
                  <w:tcW w:w="1869" w:type="dxa"/>
                  <w:tcBorders>
                    <w:right w:val="single" w:color="auto" w:sz="4" w:space="0"/>
                  </w:tcBorders>
                  <w:vAlign w:val="center"/>
                </w:tcPr>
                <w:p>
                  <w:pPr>
                    <w:pStyle w:val="52"/>
                  </w:pPr>
                  <w:r>
                    <w:t>废水</w:t>
                  </w:r>
                </w:p>
              </w:tc>
              <w:tc>
                <w:tcPr>
                  <w:tcW w:w="5506" w:type="dxa"/>
                  <w:tcBorders>
                    <w:left w:val="single" w:color="auto" w:sz="4" w:space="0"/>
                  </w:tcBorders>
                  <w:vAlign w:val="center"/>
                </w:tcPr>
                <w:p>
                  <w:pPr>
                    <w:pStyle w:val="52"/>
                    <w:jc w:val="left"/>
                  </w:pPr>
                  <w:r>
                    <w:rPr>
                      <w:rFonts w:hint="eastAsia"/>
                    </w:rPr>
                    <w:t>厂区实行雨污分流制：</w:t>
                  </w:r>
                </w:p>
                <w:p>
                  <w:pPr>
                    <w:pStyle w:val="52"/>
                    <w:jc w:val="left"/>
                  </w:pPr>
                  <w:r>
                    <w:rPr>
                      <w:rFonts w:hint="eastAsia"/>
                    </w:rPr>
                    <w:t>①</w:t>
                  </w:r>
                  <w:r>
                    <w:t>生活污水</w:t>
                  </w:r>
                  <w:r>
                    <w:rPr>
                      <w:rFonts w:hint="eastAsia"/>
                    </w:rPr>
                    <w:t>依托出租方</w:t>
                  </w:r>
                  <w:r>
                    <w:t>化粪池处理后</w:t>
                  </w:r>
                  <w:r>
                    <w:rPr>
                      <w:rFonts w:hint="eastAsia"/>
                    </w:rPr>
                    <w:t>排入园区污水管网，</w:t>
                  </w:r>
                  <w:r>
                    <w:t>进入</w:t>
                  </w:r>
                  <w:r>
                    <w:rPr>
                      <w:rFonts w:hint="eastAsia"/>
                    </w:rPr>
                    <w:t>元</w:t>
                  </w:r>
                  <w:r>
                    <w:t>洪投资区污水处理厂</w:t>
                  </w:r>
                  <w:r>
                    <w:rPr>
                      <w:rFonts w:hint="eastAsia"/>
                    </w:rPr>
                    <w:t>进一步处理；</w:t>
                  </w:r>
                </w:p>
                <w:p>
                  <w:pPr>
                    <w:pStyle w:val="52"/>
                    <w:jc w:val="left"/>
                  </w:pPr>
                  <w:r>
                    <w:rPr>
                      <w:rFonts w:hint="eastAsia"/>
                    </w:rPr>
                    <w:t>②本项目生产废水通过</w:t>
                  </w:r>
                  <w:bookmarkStart w:id="9" w:name="OLE_LINK28"/>
                  <w:bookmarkStart w:id="10" w:name="OLE_LINK29"/>
                  <w:r>
                    <w:rPr>
                      <w:rFonts w:hint="eastAsia"/>
                    </w:rPr>
                    <w:t>一体化污水处理设备</w:t>
                  </w:r>
                  <w:bookmarkEnd w:id="9"/>
                  <w:bookmarkEnd w:id="10"/>
                  <w:r>
                    <w:rPr>
                      <w:rFonts w:hint="eastAsia"/>
                    </w:rPr>
                    <w:t>处理标后排入园区污水管网，进入元洪投资区污水处理厂进一步处理，一体化污水处理设备处理规模为22t/d，室外地上占地面积30m</w:t>
                  </w:r>
                  <w:r>
                    <w:rPr>
                      <w:rFonts w:hint="eastAsia"/>
                      <w:vertAlign w:val="superscript"/>
                    </w:rPr>
                    <w:t>2</w:t>
                  </w:r>
                  <w:r>
                    <w:rPr>
                      <w:rFonts w:hint="eastAsia"/>
                    </w:rPr>
                    <w:t>（处理工艺：</w:t>
                  </w:r>
                  <w:bookmarkStart w:id="11" w:name="OLE_LINK3"/>
                  <w:bookmarkStart w:id="12" w:name="OLE_LINK1"/>
                  <w:bookmarkStart w:id="13" w:name="OLE_LINK50"/>
                  <w:r>
                    <w:rPr>
                      <w:rFonts w:hint="eastAsia"/>
                    </w:rPr>
                    <w:t>格栅+调节池+混凝反应器+中间水池+厌氧池+缺氧池+好氧化池+沉淀池+清水池</w:t>
                  </w:r>
                  <w:bookmarkEnd w:id="11"/>
                  <w:bookmarkEnd w:id="12"/>
                  <w:bookmarkEnd w:id="13"/>
                  <w:r>
                    <w:rPr>
                      <w:rFonts w:hint="eastAsia"/>
                    </w:rPr>
                    <w:t>）处理达标后排入园区污水管网；</w:t>
                  </w:r>
                </w:p>
                <w:p>
                  <w:pPr>
                    <w:pStyle w:val="52"/>
                    <w:jc w:val="left"/>
                  </w:pPr>
                  <w:r>
                    <w:rPr>
                      <w:rFonts w:hint="eastAsia"/>
                    </w:rPr>
                    <w:t>③雨水经屋面雨水管收集，排入市政雨水管网。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21" w:hRule="atLeast"/>
                <w:jc w:val="center"/>
              </w:trPr>
              <w:tc>
                <w:tcPr>
                  <w:tcW w:w="1313" w:type="dxa"/>
                  <w:vMerge w:val="continue"/>
                  <w:tcBorders>
                    <w:right w:val="single" w:color="auto" w:sz="4" w:space="0"/>
                  </w:tcBorders>
                  <w:vAlign w:val="center"/>
                </w:tcPr>
                <w:p>
                  <w:pPr>
                    <w:pStyle w:val="52"/>
                  </w:pPr>
                </w:p>
              </w:tc>
              <w:tc>
                <w:tcPr>
                  <w:tcW w:w="1869" w:type="dxa"/>
                  <w:tcBorders>
                    <w:right w:val="single" w:color="auto" w:sz="4" w:space="0"/>
                  </w:tcBorders>
                  <w:vAlign w:val="center"/>
                </w:tcPr>
                <w:p>
                  <w:pPr>
                    <w:pStyle w:val="52"/>
                  </w:pPr>
                  <w:r>
                    <w:rPr>
                      <w:rFonts w:hint="eastAsia"/>
                    </w:rPr>
                    <w:t>废气</w:t>
                  </w:r>
                </w:p>
              </w:tc>
              <w:tc>
                <w:tcPr>
                  <w:tcW w:w="5506" w:type="dxa"/>
                  <w:tcBorders>
                    <w:left w:val="single" w:color="auto" w:sz="4" w:space="0"/>
                  </w:tcBorders>
                  <w:vAlign w:val="center"/>
                </w:tcPr>
                <w:p>
                  <w:pPr>
                    <w:pStyle w:val="52"/>
                  </w:pPr>
                  <w:r>
                    <w:rPr>
                      <w:rFonts w:hint="eastAsia"/>
                    </w:rPr>
                    <w:t>本项目污水处理设施采用一体化设备，污水处理各构筑物为全封闭型设施，平时均为密闭状态，定期喷洒除臭剂处理后无组织排放。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21" w:hRule="atLeast"/>
                <w:jc w:val="center"/>
              </w:trPr>
              <w:tc>
                <w:tcPr>
                  <w:tcW w:w="1313" w:type="dxa"/>
                  <w:vMerge w:val="continue"/>
                  <w:tcBorders>
                    <w:right w:val="single" w:color="auto" w:sz="4" w:space="0"/>
                  </w:tcBorders>
                  <w:vAlign w:val="center"/>
                </w:tcPr>
                <w:p>
                  <w:pPr>
                    <w:pStyle w:val="52"/>
                  </w:pPr>
                </w:p>
              </w:tc>
              <w:tc>
                <w:tcPr>
                  <w:tcW w:w="1869" w:type="dxa"/>
                  <w:tcBorders>
                    <w:right w:val="single" w:color="auto" w:sz="4" w:space="0"/>
                  </w:tcBorders>
                  <w:vAlign w:val="center"/>
                </w:tcPr>
                <w:p>
                  <w:pPr>
                    <w:pStyle w:val="52"/>
                  </w:pPr>
                  <w:r>
                    <w:rPr>
                      <w:rFonts w:hint="eastAsia"/>
                    </w:rPr>
                    <w:t>噪声</w:t>
                  </w:r>
                </w:p>
              </w:tc>
              <w:tc>
                <w:tcPr>
                  <w:tcW w:w="5506" w:type="dxa"/>
                  <w:tcBorders>
                    <w:left w:val="single" w:color="auto" w:sz="4" w:space="0"/>
                  </w:tcBorders>
                  <w:vAlign w:val="center"/>
                </w:tcPr>
                <w:p>
                  <w:pPr>
                    <w:pStyle w:val="52"/>
                  </w:pPr>
                  <w:r>
                    <w:rPr>
                      <w:rFonts w:hint="eastAsia"/>
                    </w:rPr>
                    <w:t>采取基础减震、厂房隔声等降噪措施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21" w:hRule="atLeast"/>
                <w:jc w:val="center"/>
              </w:trPr>
              <w:tc>
                <w:tcPr>
                  <w:tcW w:w="1313" w:type="dxa"/>
                  <w:vMerge w:val="continue"/>
                  <w:tcBorders>
                    <w:right w:val="single" w:color="auto" w:sz="4" w:space="0"/>
                  </w:tcBorders>
                  <w:vAlign w:val="center"/>
                </w:tcPr>
                <w:p>
                  <w:pPr>
                    <w:pStyle w:val="52"/>
                  </w:pPr>
                </w:p>
              </w:tc>
              <w:tc>
                <w:tcPr>
                  <w:tcW w:w="1869" w:type="dxa"/>
                  <w:tcBorders>
                    <w:right w:val="single" w:color="auto" w:sz="4" w:space="0"/>
                  </w:tcBorders>
                  <w:vAlign w:val="center"/>
                </w:tcPr>
                <w:p>
                  <w:pPr>
                    <w:pStyle w:val="52"/>
                  </w:pPr>
                  <w:r>
                    <w:rPr>
                      <w:rFonts w:hint="eastAsia"/>
                    </w:rPr>
                    <w:t>固废</w:t>
                  </w:r>
                </w:p>
              </w:tc>
              <w:tc>
                <w:tcPr>
                  <w:tcW w:w="5506" w:type="dxa"/>
                  <w:tcBorders>
                    <w:left w:val="single" w:color="auto" w:sz="4" w:space="0"/>
                  </w:tcBorders>
                  <w:vAlign w:val="center"/>
                </w:tcPr>
                <w:p>
                  <w:pPr>
                    <w:pStyle w:val="52"/>
                  </w:pPr>
                  <w:r>
                    <w:rPr>
                      <w:rFonts w:hint="eastAsia"/>
                    </w:rPr>
                    <w:t>一般固废暂存间（约5m</w:t>
                  </w:r>
                  <w:r>
                    <w:rPr>
                      <w:rFonts w:hint="eastAsia"/>
                      <w:vertAlign w:val="superscript"/>
                    </w:rPr>
                    <w:t>2</w:t>
                  </w:r>
                  <w:r>
                    <w:rPr>
                      <w:rFonts w:hint="eastAsia"/>
                    </w:rPr>
                    <w:t>），位于厂房内；生活垃圾收集点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vMerge w:val="restart"/>
                  <w:tcBorders>
                    <w:right w:val="single" w:color="auto" w:sz="4" w:space="0"/>
                  </w:tcBorders>
                  <w:vAlign w:val="center"/>
                </w:tcPr>
                <w:p>
                  <w:pPr>
                    <w:pStyle w:val="52"/>
                  </w:pPr>
                  <w:r>
                    <w:rPr>
                      <w:rFonts w:hint="eastAsia"/>
                    </w:rPr>
                    <w:t>公用</w:t>
                  </w:r>
                  <w:r>
                    <w:t>工程</w:t>
                  </w:r>
                </w:p>
              </w:tc>
              <w:tc>
                <w:tcPr>
                  <w:tcW w:w="1869" w:type="dxa"/>
                  <w:tcBorders>
                    <w:left w:val="single" w:color="auto" w:sz="4" w:space="0"/>
                  </w:tcBorders>
                  <w:vAlign w:val="center"/>
                </w:tcPr>
                <w:p>
                  <w:pPr>
                    <w:pStyle w:val="52"/>
                  </w:pPr>
                  <w:r>
                    <w:t>蒸汽</w:t>
                  </w:r>
                </w:p>
              </w:tc>
              <w:tc>
                <w:tcPr>
                  <w:tcW w:w="5506" w:type="dxa"/>
                  <w:tcBorders>
                    <w:right w:val="single" w:color="auto" w:sz="4" w:space="0"/>
                  </w:tcBorders>
                  <w:vAlign w:val="center"/>
                </w:tcPr>
                <w:p>
                  <w:pPr>
                    <w:pStyle w:val="52"/>
                  </w:pPr>
                  <w:r>
                    <w:rPr>
                      <w:rFonts w:hint="eastAsia"/>
                      <w:bCs/>
                    </w:rPr>
                    <w:t>园区管网供应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313" w:type="dxa"/>
                  <w:vMerge w:val="continue"/>
                  <w:tcBorders>
                    <w:right w:val="single" w:color="auto" w:sz="4" w:space="0"/>
                  </w:tcBorders>
                  <w:vAlign w:val="center"/>
                </w:tcPr>
                <w:p>
                  <w:pPr>
                    <w:pStyle w:val="52"/>
                  </w:pPr>
                </w:p>
              </w:tc>
              <w:tc>
                <w:tcPr>
                  <w:tcW w:w="1869" w:type="dxa"/>
                  <w:tcBorders>
                    <w:left w:val="single" w:color="auto" w:sz="4" w:space="0"/>
                  </w:tcBorders>
                  <w:vAlign w:val="center"/>
                </w:tcPr>
                <w:p>
                  <w:pPr>
                    <w:pStyle w:val="52"/>
                  </w:pPr>
                  <w:r>
                    <w:rPr>
                      <w:rFonts w:hint="eastAsia"/>
                    </w:rPr>
                    <w:t>供</w:t>
                  </w:r>
                  <w:r>
                    <w:t>水</w:t>
                  </w:r>
                </w:p>
              </w:tc>
              <w:tc>
                <w:tcPr>
                  <w:tcW w:w="5506" w:type="dxa"/>
                  <w:tcBorders>
                    <w:right w:val="single" w:color="auto" w:sz="4" w:space="0"/>
                  </w:tcBorders>
                  <w:vAlign w:val="center"/>
                </w:tcPr>
                <w:p>
                  <w:pPr>
                    <w:pStyle w:val="52"/>
                    <w:rPr>
                      <w:bCs/>
                    </w:rPr>
                  </w:pPr>
                  <w:r>
                    <w:rPr>
                      <w:rFonts w:hint="eastAsia"/>
                      <w:bCs/>
                    </w:rPr>
                    <w:t>园区管网供应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13" w:type="dxa"/>
                  <w:vMerge w:val="continue"/>
                  <w:tcBorders>
                    <w:right w:val="single" w:color="auto" w:sz="4" w:space="0"/>
                  </w:tcBorders>
                  <w:vAlign w:val="center"/>
                </w:tcPr>
                <w:p>
                  <w:pPr>
                    <w:pStyle w:val="52"/>
                  </w:pPr>
                </w:p>
              </w:tc>
              <w:tc>
                <w:tcPr>
                  <w:tcW w:w="1869" w:type="dxa"/>
                  <w:tcBorders>
                    <w:left w:val="single" w:color="auto" w:sz="4" w:space="0"/>
                  </w:tcBorders>
                  <w:vAlign w:val="center"/>
                </w:tcPr>
                <w:p>
                  <w:pPr>
                    <w:pStyle w:val="52"/>
                  </w:pPr>
                  <w:r>
                    <w:rPr>
                      <w:rFonts w:hint="eastAsia"/>
                    </w:rPr>
                    <w:t>供电</w:t>
                  </w:r>
                </w:p>
              </w:tc>
              <w:tc>
                <w:tcPr>
                  <w:tcW w:w="5506" w:type="dxa"/>
                  <w:tcBorders>
                    <w:right w:val="single" w:color="auto" w:sz="4" w:space="0"/>
                  </w:tcBorders>
                  <w:vAlign w:val="center"/>
                </w:tcPr>
                <w:p>
                  <w:pPr>
                    <w:pStyle w:val="52"/>
                  </w:pPr>
                  <w:r>
                    <w:rPr>
                      <w:rFonts w:hint="eastAsia"/>
                    </w:rPr>
                    <w:t>市政电网供应</w:t>
                  </w:r>
                </w:p>
              </w:tc>
            </w:tr>
          </w:tbl>
          <w:p>
            <w:pPr>
              <w:pStyle w:val="5"/>
              <w:spacing w:before="240" w:beforeLines="100" w:afterLines="0"/>
            </w:pPr>
            <w:r>
              <w:rPr>
                <w:rFonts w:hint="eastAsia"/>
              </w:rPr>
              <w:t>2.3主要</w:t>
            </w:r>
            <w:r>
              <w:t>产品及产能</w:t>
            </w:r>
          </w:p>
          <w:p>
            <w:pPr>
              <w:ind w:firstLine="480"/>
            </w:pPr>
            <w:r>
              <w:rPr>
                <w:rFonts w:hint="eastAsia"/>
              </w:rPr>
              <w:t>年加工米粉1600吨，具体项</w:t>
            </w:r>
            <w:r>
              <w:rPr>
                <w:rFonts w:hint="eastAsia" w:cs="宋体"/>
                <w:kern w:val="0"/>
                <w:szCs w:val="21"/>
              </w:rPr>
              <w:t>目产品方案见</w:t>
            </w:r>
            <w:r>
              <w:rPr>
                <w:kern w:val="0"/>
                <w:szCs w:val="21"/>
              </w:rPr>
              <w:t>表2</w:t>
            </w:r>
            <w:r>
              <w:rPr>
                <w:rFonts w:hint="eastAsia"/>
                <w:kern w:val="0"/>
                <w:szCs w:val="21"/>
              </w:rPr>
              <w:t>.3-1</w:t>
            </w:r>
            <w:r>
              <w:rPr>
                <w:rFonts w:hint="eastAsia" w:cs="宋体"/>
                <w:kern w:val="0"/>
                <w:szCs w:val="21"/>
              </w:rPr>
              <w:t>。</w:t>
            </w:r>
          </w:p>
          <w:p>
            <w:pPr>
              <w:pStyle w:val="110"/>
              <w:spacing w:before="120"/>
            </w:pPr>
            <w:r>
              <w:rPr>
                <w:rFonts w:hint="eastAsia"/>
              </w:rPr>
              <w:t>表</w:t>
            </w:r>
            <w:r>
              <w:rPr>
                <w:rFonts w:cs="Times New Roman"/>
              </w:rPr>
              <w:t>2</w:t>
            </w:r>
            <w:r>
              <w:rPr>
                <w:rFonts w:hint="eastAsia" w:cs="Times New Roman"/>
              </w:rPr>
              <w:t xml:space="preserve">.3-1 </w:t>
            </w:r>
            <w:r>
              <w:rPr>
                <w:rFonts w:hint="eastAsia"/>
              </w:rPr>
              <w:t xml:space="preserve"> 项目主要产品及产能</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237"/>
              <w:gridCol w:w="1885"/>
              <w:gridCol w:w="1885"/>
              <w:gridCol w:w="18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pct"/>
                  <w:vAlign w:val="center"/>
                </w:tcPr>
                <w:p>
                  <w:pPr>
                    <w:pStyle w:val="52"/>
                  </w:pPr>
                  <w:r>
                    <w:rPr>
                      <w:rFonts w:hint="eastAsia"/>
                    </w:rPr>
                    <w:t>产品名称</w:t>
                  </w:r>
                </w:p>
              </w:tc>
              <w:tc>
                <w:tcPr>
                  <w:tcW w:w="709" w:type="pct"/>
                  <w:vAlign w:val="center"/>
                </w:tcPr>
                <w:p>
                  <w:pPr>
                    <w:pStyle w:val="52"/>
                  </w:pPr>
                  <w:r>
                    <w:t>单位</w:t>
                  </w:r>
                </w:p>
              </w:tc>
              <w:tc>
                <w:tcPr>
                  <w:tcW w:w="1080" w:type="pct"/>
                  <w:vAlign w:val="center"/>
                </w:tcPr>
                <w:p>
                  <w:pPr>
                    <w:pStyle w:val="52"/>
                  </w:pPr>
                  <w:r>
                    <w:rPr>
                      <w:rFonts w:hint="eastAsia"/>
                    </w:rPr>
                    <w:t>规格</w:t>
                  </w:r>
                </w:p>
              </w:tc>
              <w:tc>
                <w:tcPr>
                  <w:tcW w:w="1080" w:type="pct"/>
                  <w:vAlign w:val="center"/>
                </w:tcPr>
                <w:p>
                  <w:pPr>
                    <w:pStyle w:val="52"/>
                  </w:pPr>
                  <w:r>
                    <w:rPr>
                      <w:rFonts w:hint="eastAsia"/>
                    </w:rPr>
                    <w:t>年产量</w:t>
                  </w:r>
                </w:p>
              </w:tc>
              <w:tc>
                <w:tcPr>
                  <w:tcW w:w="1080" w:type="pct"/>
                  <w:vAlign w:val="center"/>
                </w:tcPr>
                <w:p>
                  <w:pPr>
                    <w:pStyle w:val="52"/>
                  </w:pPr>
                  <w:r>
                    <w:rPr>
                      <w:rFonts w:hint="eastAsia"/>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050" w:type="pct"/>
                  <w:vMerge w:val="restart"/>
                  <w:vAlign w:val="center"/>
                </w:tcPr>
                <w:p>
                  <w:pPr>
                    <w:pStyle w:val="52"/>
                  </w:pPr>
                  <w:r>
                    <w:rPr>
                      <w:rFonts w:hint="eastAsia"/>
                    </w:rPr>
                    <w:t>米粉</w:t>
                  </w:r>
                </w:p>
              </w:tc>
              <w:tc>
                <w:tcPr>
                  <w:tcW w:w="709" w:type="pct"/>
                  <w:vMerge w:val="restart"/>
                  <w:vAlign w:val="center"/>
                </w:tcPr>
                <w:p>
                  <w:pPr>
                    <w:pStyle w:val="52"/>
                  </w:pPr>
                  <w:r>
                    <w:rPr>
                      <w:rFonts w:hint="eastAsia"/>
                    </w:rPr>
                    <w:t>吨</w:t>
                  </w:r>
                </w:p>
              </w:tc>
              <w:tc>
                <w:tcPr>
                  <w:tcW w:w="1080" w:type="pct"/>
                  <w:vAlign w:val="center"/>
                </w:tcPr>
                <w:p>
                  <w:pPr>
                    <w:pStyle w:val="52"/>
                  </w:pPr>
                  <w:r>
                    <w:rPr>
                      <w:rFonts w:hint="eastAsia"/>
                    </w:rPr>
                    <w:t>粗粉</w:t>
                  </w:r>
                </w:p>
              </w:tc>
              <w:tc>
                <w:tcPr>
                  <w:tcW w:w="1080" w:type="pct"/>
                  <w:vAlign w:val="center"/>
                </w:tcPr>
                <w:p>
                  <w:pPr>
                    <w:pStyle w:val="52"/>
                  </w:pPr>
                  <w:r>
                    <w:rPr>
                      <w:rFonts w:hint="eastAsia"/>
                    </w:rPr>
                    <w:t>800</w:t>
                  </w:r>
                </w:p>
              </w:tc>
              <w:tc>
                <w:tcPr>
                  <w:tcW w:w="1080" w:type="pct"/>
                  <w:vMerge w:val="restart"/>
                  <w:vAlign w:val="center"/>
                </w:tcPr>
                <w:p>
                  <w:pPr>
                    <w:pStyle w:val="52"/>
                  </w:pPr>
                  <w:r>
                    <w:rPr>
                      <w:rFonts w:hint="eastAsia"/>
                    </w:rPr>
                    <w:t>1600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050" w:type="pct"/>
                  <w:vMerge w:val="continue"/>
                  <w:vAlign w:val="center"/>
                </w:tcPr>
                <w:p>
                  <w:pPr>
                    <w:pStyle w:val="52"/>
                  </w:pPr>
                </w:p>
              </w:tc>
              <w:tc>
                <w:tcPr>
                  <w:tcW w:w="709" w:type="pct"/>
                  <w:vMerge w:val="continue"/>
                  <w:vAlign w:val="center"/>
                </w:tcPr>
                <w:p>
                  <w:pPr>
                    <w:pStyle w:val="52"/>
                  </w:pPr>
                </w:p>
              </w:tc>
              <w:tc>
                <w:tcPr>
                  <w:tcW w:w="1080" w:type="pct"/>
                  <w:vAlign w:val="center"/>
                </w:tcPr>
                <w:p>
                  <w:pPr>
                    <w:pStyle w:val="52"/>
                  </w:pPr>
                  <w:r>
                    <w:rPr>
                      <w:rFonts w:hint="eastAsia"/>
                    </w:rPr>
                    <w:t>细粉</w:t>
                  </w:r>
                </w:p>
              </w:tc>
              <w:tc>
                <w:tcPr>
                  <w:tcW w:w="1080" w:type="pct"/>
                  <w:vAlign w:val="center"/>
                </w:tcPr>
                <w:p>
                  <w:pPr>
                    <w:pStyle w:val="52"/>
                  </w:pPr>
                  <w:r>
                    <w:rPr>
                      <w:rFonts w:hint="eastAsia"/>
                    </w:rPr>
                    <w:t>800</w:t>
                  </w:r>
                </w:p>
              </w:tc>
              <w:tc>
                <w:tcPr>
                  <w:tcW w:w="1080" w:type="pct"/>
                  <w:vMerge w:val="continue"/>
                  <w:vAlign w:val="center"/>
                </w:tcPr>
                <w:p>
                  <w:pPr>
                    <w:pStyle w:val="52"/>
                  </w:pPr>
                </w:p>
              </w:tc>
            </w:tr>
          </w:tbl>
          <w:p>
            <w:pPr>
              <w:pStyle w:val="5"/>
              <w:spacing w:before="240" w:beforeLines="100" w:afterLines="0"/>
            </w:pPr>
            <w:r>
              <w:rPr>
                <w:rFonts w:hint="eastAsia"/>
              </w:rPr>
              <w:t>2.4</w:t>
            </w:r>
            <w:r>
              <w:t>主要生产设施</w:t>
            </w:r>
          </w:p>
          <w:p>
            <w:pPr>
              <w:pStyle w:val="103"/>
              <w:spacing w:before="120"/>
              <w:rPr>
                <w:rFonts w:eastAsia="宋体"/>
                <w:color w:val="auto"/>
              </w:rPr>
            </w:pPr>
            <w:r>
              <w:rPr>
                <w:rFonts w:eastAsia="宋体"/>
                <w:color w:val="auto"/>
              </w:rPr>
              <w:t>表2.</w:t>
            </w:r>
            <w:r>
              <w:rPr>
                <w:rFonts w:hint="eastAsia" w:eastAsia="宋体"/>
                <w:color w:val="auto"/>
              </w:rPr>
              <w:t>4-1</w:t>
            </w:r>
            <w:r>
              <w:rPr>
                <w:rFonts w:eastAsia="宋体"/>
                <w:color w:val="auto"/>
              </w:rPr>
              <w:t xml:space="preserve">  生产设备一览表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828"/>
              <w:gridCol w:w="947"/>
              <w:gridCol w:w="2015"/>
              <w:gridCol w:w="1922"/>
              <w:gridCol w:w="127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vAlign w:val="center"/>
                </w:tcPr>
                <w:p>
                  <w:pPr>
                    <w:pStyle w:val="52"/>
                  </w:pPr>
                  <w:r>
                    <w:rPr>
                      <w:rFonts w:hint="eastAsia"/>
                      <w:lang w:bidi="ar"/>
                    </w:rPr>
                    <w:t>序号</w:t>
                  </w:r>
                </w:p>
              </w:tc>
              <w:tc>
                <w:tcPr>
                  <w:tcW w:w="1828" w:type="dxa"/>
                  <w:vAlign w:val="center"/>
                </w:tcPr>
                <w:p>
                  <w:pPr>
                    <w:pStyle w:val="52"/>
                  </w:pPr>
                  <w:r>
                    <w:rPr>
                      <w:rFonts w:hint="eastAsia"/>
                      <w:lang w:bidi="ar"/>
                    </w:rPr>
                    <w:t>名称</w:t>
                  </w:r>
                </w:p>
              </w:tc>
              <w:tc>
                <w:tcPr>
                  <w:tcW w:w="947" w:type="dxa"/>
                  <w:vAlign w:val="center"/>
                </w:tcPr>
                <w:p>
                  <w:pPr>
                    <w:pStyle w:val="52"/>
                  </w:pPr>
                  <w:r>
                    <w:rPr>
                      <w:rFonts w:hint="eastAsia"/>
                      <w:lang w:bidi="ar"/>
                    </w:rPr>
                    <w:t>数量</w:t>
                  </w:r>
                </w:p>
              </w:tc>
              <w:tc>
                <w:tcPr>
                  <w:tcW w:w="2015" w:type="dxa"/>
                  <w:vAlign w:val="center"/>
                </w:tcPr>
                <w:p>
                  <w:pPr>
                    <w:pStyle w:val="52"/>
                  </w:pPr>
                  <w:r>
                    <w:rPr>
                      <w:rFonts w:hint="eastAsia"/>
                      <w:lang w:bidi="ar"/>
                    </w:rPr>
                    <w:t>型号</w:t>
                  </w:r>
                </w:p>
              </w:tc>
              <w:tc>
                <w:tcPr>
                  <w:tcW w:w="1922" w:type="dxa"/>
                  <w:vAlign w:val="center"/>
                </w:tcPr>
                <w:p>
                  <w:pPr>
                    <w:pStyle w:val="52"/>
                    <w:rPr>
                      <w:lang w:bidi="ar"/>
                    </w:rPr>
                  </w:pPr>
                  <w:r>
                    <w:rPr>
                      <w:rFonts w:hint="eastAsia"/>
                      <w:lang w:bidi="ar"/>
                    </w:rPr>
                    <w:t>用途</w:t>
                  </w:r>
                </w:p>
              </w:tc>
              <w:tc>
                <w:tcPr>
                  <w:tcW w:w="1277" w:type="dxa"/>
                  <w:vAlign w:val="center"/>
                </w:tcPr>
                <w:p>
                  <w:pPr>
                    <w:pStyle w:val="52"/>
                    <w:rPr>
                      <w:lang w:bidi="ar"/>
                    </w:rPr>
                  </w:pPr>
                  <w:r>
                    <w:rPr>
                      <w:rFonts w:hint="eastAsia"/>
                      <w:lang w:bidi="ar"/>
                    </w:rPr>
                    <w:t>生产工序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pPr>
                  <w:r>
                    <w:rPr>
                      <w:rFonts w:hint="eastAsia"/>
                      <w:lang w:bidi="ar"/>
                    </w:rPr>
                    <w:t>1</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restart"/>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3</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restart"/>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4</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5</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6</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7</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8</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9</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restart"/>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10</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11</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12</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13</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14</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jc w:val="center"/>
              </w:trPr>
              <w:tc>
                <w:tcPr>
                  <w:tcW w:w="736" w:type="dxa"/>
                  <w:shd w:val="clear" w:color="auto" w:fill="auto"/>
                  <w:vAlign w:val="center"/>
                </w:tcPr>
                <w:p>
                  <w:pPr>
                    <w:pStyle w:val="52"/>
                    <w:rPr>
                      <w:lang w:bidi="ar"/>
                    </w:rPr>
                  </w:pPr>
                  <w:r>
                    <w:rPr>
                      <w:rFonts w:hint="eastAsia"/>
                      <w:lang w:bidi="ar"/>
                    </w:rPr>
                    <w:t>15</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restart"/>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16</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17</w:t>
                  </w:r>
                </w:p>
              </w:tc>
              <w:tc>
                <w:tcPr>
                  <w:tcW w:w="1828" w:type="dxa"/>
                  <w:shd w:val="clear" w:color="auto" w:fill="auto"/>
                  <w:vAlign w:val="center"/>
                </w:tcPr>
                <w:p>
                  <w:pPr>
                    <w:pStyle w:val="52"/>
                  </w:pPr>
                </w:p>
              </w:tc>
              <w:tc>
                <w:tcPr>
                  <w:tcW w:w="947" w:type="dxa"/>
                  <w:shd w:val="clear" w:color="auto" w:fill="auto"/>
                  <w:vAlign w:val="center"/>
                </w:tcPr>
                <w:p>
                  <w:pPr>
                    <w:pStyle w:val="52"/>
                  </w:pPr>
                </w:p>
              </w:tc>
              <w:tc>
                <w:tcPr>
                  <w:tcW w:w="2015" w:type="dxa"/>
                  <w:shd w:val="clear" w:color="auto" w:fill="auto"/>
                  <w:vAlign w:val="center"/>
                </w:tcPr>
                <w:p>
                  <w:pPr>
                    <w:pStyle w:val="52"/>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18</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19</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20</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restart"/>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21</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22</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restart"/>
                  <w:shd w:val="clear" w:color="auto" w:fill="auto"/>
                  <w:vAlign w:val="center"/>
                </w:tcPr>
                <w:p>
                  <w:pPr>
                    <w:pStyle w:val="52"/>
                    <w:rPr>
                      <w:rFonts w:cs="Calibri"/>
                      <w:snapToGrid w:val="0"/>
                      <w:kern w:val="0"/>
                      <w:sz w:val="22"/>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23</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lang w:bidi="ar"/>
                    </w:rPr>
                  </w:pPr>
                </w:p>
              </w:tc>
              <w:tc>
                <w:tcPr>
                  <w:tcW w:w="1277" w:type="dxa"/>
                  <w:vMerge w:val="continue"/>
                  <w:shd w:val="clear" w:color="auto" w:fill="auto"/>
                  <w:vAlign w:val="center"/>
                </w:tcPr>
                <w:p>
                  <w:pPr>
                    <w:pStyle w:val="52"/>
                    <w:rPr>
                      <w:lang w:bidi="ar"/>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pPr>
                    <w:pStyle w:val="52"/>
                    <w:rPr>
                      <w:lang w:bidi="ar"/>
                    </w:rPr>
                  </w:pPr>
                  <w:r>
                    <w:rPr>
                      <w:rFonts w:hint="eastAsia"/>
                      <w:lang w:bidi="ar"/>
                    </w:rPr>
                    <w:t>24</w:t>
                  </w:r>
                </w:p>
              </w:tc>
              <w:tc>
                <w:tcPr>
                  <w:tcW w:w="1828" w:type="dxa"/>
                  <w:shd w:val="clear" w:color="auto" w:fill="auto"/>
                  <w:vAlign w:val="center"/>
                </w:tcPr>
                <w:p>
                  <w:pPr>
                    <w:widowControl/>
                    <w:kinsoku w:val="0"/>
                    <w:autoSpaceDE w:val="0"/>
                    <w:autoSpaceDN w:val="0"/>
                    <w:snapToGrid w:val="0"/>
                    <w:spacing w:line="240" w:lineRule="auto"/>
                    <w:ind w:firstLine="0" w:firstLineChars="0"/>
                    <w:jc w:val="center"/>
                    <w:textAlignment w:val="center"/>
                    <w:rPr>
                      <w:rFonts w:cs="Calibri"/>
                      <w:snapToGrid w:val="0"/>
                      <w:kern w:val="0"/>
                      <w:sz w:val="22"/>
                      <w:lang w:bidi="ar"/>
                    </w:rPr>
                  </w:pPr>
                </w:p>
              </w:tc>
              <w:tc>
                <w:tcPr>
                  <w:tcW w:w="947" w:type="dxa"/>
                  <w:shd w:val="clear" w:color="auto" w:fill="auto"/>
                  <w:vAlign w:val="center"/>
                </w:tcPr>
                <w:p>
                  <w:pPr>
                    <w:pStyle w:val="52"/>
                    <w:rPr>
                      <w:lang w:bidi="ar"/>
                    </w:rPr>
                  </w:pPr>
                </w:p>
              </w:tc>
              <w:tc>
                <w:tcPr>
                  <w:tcW w:w="2015" w:type="dxa"/>
                  <w:shd w:val="clear" w:color="auto" w:fill="auto"/>
                  <w:vAlign w:val="center"/>
                </w:tcPr>
                <w:p>
                  <w:pPr>
                    <w:pStyle w:val="52"/>
                    <w:rPr>
                      <w:lang w:bidi="ar"/>
                    </w:rPr>
                  </w:pPr>
                </w:p>
              </w:tc>
              <w:tc>
                <w:tcPr>
                  <w:tcW w:w="1922" w:type="dxa"/>
                  <w:shd w:val="clear" w:color="auto" w:fill="auto"/>
                  <w:vAlign w:val="center"/>
                </w:tcPr>
                <w:p>
                  <w:pPr>
                    <w:pStyle w:val="52"/>
                    <w:rPr>
                      <w:rFonts w:cs="Calibri"/>
                      <w:snapToGrid w:val="0"/>
                      <w:kern w:val="0"/>
                      <w:sz w:val="22"/>
                      <w:lang w:bidi="ar"/>
                    </w:rPr>
                  </w:pPr>
                </w:p>
              </w:tc>
              <w:tc>
                <w:tcPr>
                  <w:tcW w:w="1277" w:type="dxa"/>
                  <w:vMerge w:val="continue"/>
                  <w:shd w:val="clear" w:color="auto" w:fill="auto"/>
                  <w:vAlign w:val="center"/>
                </w:tcPr>
                <w:p>
                  <w:pPr>
                    <w:pStyle w:val="52"/>
                    <w:rPr>
                      <w:lang w:bidi="ar"/>
                    </w:rPr>
                  </w:pPr>
                </w:p>
              </w:tc>
            </w:tr>
          </w:tbl>
          <w:p>
            <w:pPr>
              <w:pStyle w:val="5"/>
              <w:spacing w:before="240" w:beforeLines="100" w:afterLines="0"/>
            </w:pPr>
            <w:r>
              <w:rPr>
                <w:rFonts w:hint="eastAsia"/>
              </w:rPr>
              <w:t>2.5</w:t>
            </w:r>
            <w:r>
              <w:t>主要原辅材料及能源消耗</w:t>
            </w:r>
          </w:p>
          <w:p>
            <w:pPr>
              <w:pStyle w:val="103"/>
              <w:spacing w:before="120"/>
              <w:rPr>
                <w:rFonts w:eastAsia="宋体"/>
                <w:color w:val="auto"/>
              </w:rPr>
            </w:pPr>
            <w:r>
              <w:rPr>
                <w:rFonts w:eastAsia="宋体"/>
                <w:color w:val="auto"/>
              </w:rPr>
              <w:t>表2.</w:t>
            </w:r>
            <w:r>
              <w:rPr>
                <w:rFonts w:hint="eastAsia" w:eastAsia="宋体"/>
                <w:color w:val="auto"/>
              </w:rPr>
              <w:t>5-1</w:t>
            </w:r>
            <w:r>
              <w:rPr>
                <w:rFonts w:eastAsia="宋体"/>
                <w:color w:val="auto"/>
              </w:rPr>
              <w:t xml:space="preserve">  主要原辅材料及能源消耗情况</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82"/>
              <w:gridCol w:w="1840"/>
              <w:gridCol w:w="1951"/>
              <w:gridCol w:w="1726"/>
              <w:gridCol w:w="17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482" w:type="dxa"/>
                  <w:vAlign w:val="center"/>
                </w:tcPr>
                <w:p>
                  <w:pPr>
                    <w:pStyle w:val="52"/>
                  </w:pPr>
                  <w:r>
                    <w:rPr>
                      <w:rFonts w:hint="eastAsia"/>
                    </w:rPr>
                    <w:t>序号</w:t>
                  </w:r>
                </w:p>
              </w:tc>
              <w:tc>
                <w:tcPr>
                  <w:tcW w:w="1840" w:type="dxa"/>
                  <w:tcBorders>
                    <w:right w:val="single" w:color="auto" w:sz="4" w:space="0"/>
                  </w:tcBorders>
                  <w:vAlign w:val="center"/>
                </w:tcPr>
                <w:p>
                  <w:pPr>
                    <w:pStyle w:val="52"/>
                  </w:pPr>
                  <w:r>
                    <w:rPr>
                      <w:rFonts w:hint="eastAsia"/>
                    </w:rPr>
                    <w:t>原</w:t>
                  </w:r>
                  <w:r>
                    <w:t>辅材料名称</w:t>
                  </w:r>
                </w:p>
              </w:tc>
              <w:tc>
                <w:tcPr>
                  <w:tcW w:w="1951" w:type="dxa"/>
                  <w:tcBorders>
                    <w:left w:val="single" w:color="auto" w:sz="4" w:space="0"/>
                  </w:tcBorders>
                  <w:vAlign w:val="center"/>
                </w:tcPr>
                <w:p>
                  <w:pPr>
                    <w:pStyle w:val="52"/>
                  </w:pPr>
                  <w:r>
                    <w:rPr>
                      <w:rFonts w:hint="eastAsia"/>
                    </w:rPr>
                    <w:t>年用量</w:t>
                  </w:r>
                </w:p>
              </w:tc>
              <w:tc>
                <w:tcPr>
                  <w:tcW w:w="1726" w:type="dxa"/>
                  <w:tcBorders>
                    <w:left w:val="single" w:color="auto" w:sz="4" w:space="0"/>
                  </w:tcBorders>
                  <w:vAlign w:val="center"/>
                </w:tcPr>
                <w:p>
                  <w:pPr>
                    <w:pStyle w:val="52"/>
                  </w:pPr>
                  <w:r>
                    <w:rPr>
                      <w:rFonts w:hint="eastAsia"/>
                    </w:rPr>
                    <w:t>产品</w:t>
                  </w:r>
                </w:p>
              </w:tc>
              <w:tc>
                <w:tcPr>
                  <w:tcW w:w="1726" w:type="dxa"/>
                  <w:tcBorders>
                    <w:left w:val="single" w:color="auto" w:sz="4" w:space="0"/>
                  </w:tcBorders>
                  <w:vAlign w:val="center"/>
                </w:tcPr>
                <w:p>
                  <w:pPr>
                    <w:pStyle w:val="52"/>
                  </w:pPr>
                  <w: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82" w:type="dxa"/>
                  <w:vAlign w:val="center"/>
                </w:tcPr>
                <w:p>
                  <w:pPr>
                    <w:pStyle w:val="52"/>
                  </w:pPr>
                  <w:r>
                    <w:rPr>
                      <w:rFonts w:hint="eastAsia"/>
                    </w:rPr>
                    <w:t>1</w:t>
                  </w:r>
                </w:p>
              </w:tc>
              <w:tc>
                <w:tcPr>
                  <w:tcW w:w="1840" w:type="dxa"/>
                  <w:tcBorders>
                    <w:right w:val="single" w:color="auto" w:sz="4" w:space="0"/>
                  </w:tcBorders>
                  <w:vAlign w:val="center"/>
                </w:tcPr>
                <w:p>
                  <w:pPr>
                    <w:pStyle w:val="52"/>
                  </w:pPr>
                  <w:r>
                    <w:rPr>
                      <w:rFonts w:hint="eastAsia"/>
                    </w:rPr>
                    <w:t>大米</w:t>
                  </w:r>
                </w:p>
              </w:tc>
              <w:tc>
                <w:tcPr>
                  <w:tcW w:w="1951" w:type="dxa"/>
                  <w:tcBorders>
                    <w:left w:val="single" w:color="auto" w:sz="4" w:space="0"/>
                  </w:tcBorders>
                  <w:vAlign w:val="center"/>
                </w:tcPr>
                <w:p>
                  <w:pPr>
                    <w:pStyle w:val="52"/>
                  </w:pPr>
                  <w:r>
                    <w:rPr>
                      <w:rFonts w:hint="eastAsia"/>
                    </w:rPr>
                    <w:t>1365t/a</w:t>
                  </w:r>
                </w:p>
              </w:tc>
              <w:tc>
                <w:tcPr>
                  <w:tcW w:w="1726" w:type="dxa"/>
                  <w:tcBorders>
                    <w:left w:val="single" w:color="auto" w:sz="4" w:space="0"/>
                  </w:tcBorders>
                  <w:vAlign w:val="center"/>
                </w:tcPr>
                <w:p>
                  <w:pPr>
                    <w:pStyle w:val="52"/>
                    <w:rPr>
                      <w:lang w:bidi="ar"/>
                    </w:rPr>
                  </w:pPr>
                  <w:r>
                    <w:rPr>
                      <w:rFonts w:hint="eastAsia"/>
                      <w:lang w:bidi="ar"/>
                    </w:rPr>
                    <w:t>米粉</w:t>
                  </w:r>
                </w:p>
              </w:tc>
              <w:tc>
                <w:tcPr>
                  <w:tcW w:w="1726" w:type="dxa"/>
                  <w:tcBorders>
                    <w:left w:val="single" w:color="auto" w:sz="4" w:space="0"/>
                  </w:tcBorders>
                  <w:vAlign w:val="center"/>
                </w:tcPr>
                <w:p>
                  <w:pPr>
                    <w:pStyle w:val="52"/>
                    <w:rPr>
                      <w:lang w:bidi="ar"/>
                    </w:rPr>
                  </w:pPr>
                  <w:r>
                    <w:rPr>
                      <w:rFonts w:hint="eastAsia"/>
                      <w:lang w:bidi="ar"/>
                    </w:rPr>
                    <w:t>外购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482" w:type="dxa"/>
                  <w:vAlign w:val="center"/>
                </w:tcPr>
                <w:p>
                  <w:pPr>
                    <w:pStyle w:val="52"/>
                  </w:pPr>
                  <w:r>
                    <w:rPr>
                      <w:rFonts w:hint="eastAsia"/>
                    </w:rPr>
                    <w:t>2</w:t>
                  </w:r>
                </w:p>
              </w:tc>
              <w:tc>
                <w:tcPr>
                  <w:tcW w:w="1840" w:type="dxa"/>
                  <w:tcBorders>
                    <w:right w:val="single" w:color="auto" w:sz="4" w:space="0"/>
                  </w:tcBorders>
                  <w:vAlign w:val="center"/>
                </w:tcPr>
                <w:p>
                  <w:pPr>
                    <w:pStyle w:val="52"/>
                  </w:pPr>
                  <w:r>
                    <w:rPr>
                      <w:rFonts w:hint="eastAsia"/>
                    </w:rPr>
                    <w:t>蒸汽</w:t>
                  </w:r>
                </w:p>
              </w:tc>
              <w:tc>
                <w:tcPr>
                  <w:tcW w:w="1951" w:type="dxa"/>
                  <w:tcBorders>
                    <w:left w:val="single" w:color="auto" w:sz="4" w:space="0"/>
                  </w:tcBorders>
                  <w:vAlign w:val="center"/>
                </w:tcPr>
                <w:p>
                  <w:pPr>
                    <w:pStyle w:val="52"/>
                  </w:pPr>
                  <w:r>
                    <w:rPr>
                      <w:rFonts w:hint="eastAsia"/>
                    </w:rPr>
                    <w:t>1600t/a</w:t>
                  </w:r>
                </w:p>
              </w:tc>
              <w:tc>
                <w:tcPr>
                  <w:tcW w:w="1726" w:type="dxa"/>
                  <w:tcBorders>
                    <w:left w:val="single" w:color="auto" w:sz="4" w:space="0"/>
                  </w:tcBorders>
                  <w:vAlign w:val="center"/>
                </w:tcPr>
                <w:p>
                  <w:pPr>
                    <w:pStyle w:val="52"/>
                  </w:pPr>
                </w:p>
              </w:tc>
              <w:tc>
                <w:tcPr>
                  <w:tcW w:w="1726" w:type="dxa"/>
                  <w:tcBorders>
                    <w:left w:val="single" w:color="auto" w:sz="4" w:space="0"/>
                  </w:tcBorders>
                  <w:vAlign w:val="center"/>
                </w:tcPr>
                <w:p>
                  <w:pPr>
                    <w:pStyle w:val="52"/>
                  </w:pPr>
                  <w:r>
                    <w:rPr>
                      <w:rFonts w:hint="eastAsia"/>
                    </w:rPr>
                    <w:t>园区管网供应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1482" w:type="dxa"/>
                  <w:vAlign w:val="center"/>
                </w:tcPr>
                <w:p>
                  <w:pPr>
                    <w:pStyle w:val="52"/>
                  </w:pPr>
                  <w:r>
                    <w:rPr>
                      <w:rFonts w:hint="eastAsia"/>
                    </w:rPr>
                    <w:t>3</w:t>
                  </w:r>
                </w:p>
              </w:tc>
              <w:tc>
                <w:tcPr>
                  <w:tcW w:w="1840" w:type="dxa"/>
                  <w:tcBorders>
                    <w:right w:val="single" w:color="auto" w:sz="4" w:space="0"/>
                  </w:tcBorders>
                  <w:vAlign w:val="center"/>
                </w:tcPr>
                <w:p>
                  <w:pPr>
                    <w:pStyle w:val="52"/>
                  </w:pPr>
                  <w:r>
                    <w:rPr>
                      <w:rFonts w:hint="eastAsia"/>
                    </w:rPr>
                    <w:t>水</w:t>
                  </w:r>
                </w:p>
              </w:tc>
              <w:tc>
                <w:tcPr>
                  <w:tcW w:w="1951" w:type="dxa"/>
                  <w:tcBorders>
                    <w:left w:val="single" w:color="auto" w:sz="4" w:space="0"/>
                  </w:tcBorders>
                  <w:vAlign w:val="center"/>
                </w:tcPr>
                <w:p>
                  <w:pPr>
                    <w:pStyle w:val="52"/>
                  </w:pPr>
                  <w:r>
                    <w:rPr>
                      <w:rFonts w:hint="eastAsia"/>
                    </w:rPr>
                    <w:t>4800t/a</w:t>
                  </w:r>
                </w:p>
              </w:tc>
              <w:tc>
                <w:tcPr>
                  <w:tcW w:w="1726" w:type="dxa"/>
                  <w:tcBorders>
                    <w:left w:val="single" w:color="auto" w:sz="4" w:space="0"/>
                  </w:tcBorders>
                  <w:vAlign w:val="center"/>
                </w:tcPr>
                <w:p>
                  <w:pPr>
                    <w:pStyle w:val="52"/>
                  </w:pPr>
                </w:p>
              </w:tc>
              <w:tc>
                <w:tcPr>
                  <w:tcW w:w="1726" w:type="dxa"/>
                  <w:tcBorders>
                    <w:left w:val="single" w:color="auto" w:sz="4" w:space="0"/>
                  </w:tcBorders>
                  <w:vAlign w:val="center"/>
                </w:tcPr>
                <w:p>
                  <w:pPr>
                    <w:pStyle w:val="52"/>
                  </w:pPr>
                  <w:r>
                    <w:rPr>
                      <w:rFonts w:hint="eastAsia"/>
                    </w:rPr>
                    <w:t>园区管网供应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82" w:type="dxa"/>
                  <w:vAlign w:val="center"/>
                </w:tcPr>
                <w:p>
                  <w:pPr>
                    <w:pStyle w:val="52"/>
                  </w:pPr>
                  <w:r>
                    <w:rPr>
                      <w:rFonts w:hint="eastAsia"/>
                    </w:rPr>
                    <w:t>4</w:t>
                  </w:r>
                </w:p>
              </w:tc>
              <w:tc>
                <w:tcPr>
                  <w:tcW w:w="1840" w:type="dxa"/>
                  <w:tcBorders>
                    <w:right w:val="single" w:color="auto" w:sz="4" w:space="0"/>
                  </w:tcBorders>
                  <w:vAlign w:val="center"/>
                </w:tcPr>
                <w:p>
                  <w:pPr>
                    <w:pStyle w:val="52"/>
                  </w:pPr>
                  <w:r>
                    <w:rPr>
                      <w:rFonts w:hint="eastAsia"/>
                    </w:rPr>
                    <w:t>电</w:t>
                  </w:r>
                </w:p>
              </w:tc>
              <w:tc>
                <w:tcPr>
                  <w:tcW w:w="1951" w:type="dxa"/>
                  <w:tcBorders>
                    <w:left w:val="single" w:color="auto" w:sz="4" w:space="0"/>
                  </w:tcBorders>
                  <w:vAlign w:val="center"/>
                </w:tcPr>
                <w:p>
                  <w:pPr>
                    <w:pStyle w:val="52"/>
                  </w:pPr>
                  <w:r>
                    <w:t>30</w:t>
                  </w:r>
                  <w:r>
                    <w:rPr>
                      <w:rFonts w:hint="eastAsia"/>
                    </w:rPr>
                    <w:t>万</w:t>
                  </w:r>
                  <w:r>
                    <w:t>kW·h</w:t>
                  </w:r>
                </w:p>
              </w:tc>
              <w:tc>
                <w:tcPr>
                  <w:tcW w:w="1726" w:type="dxa"/>
                  <w:tcBorders>
                    <w:left w:val="single" w:color="auto" w:sz="4" w:space="0"/>
                  </w:tcBorders>
                  <w:vAlign w:val="center"/>
                </w:tcPr>
                <w:p>
                  <w:pPr>
                    <w:pStyle w:val="52"/>
                  </w:pPr>
                </w:p>
              </w:tc>
              <w:tc>
                <w:tcPr>
                  <w:tcW w:w="1726" w:type="dxa"/>
                  <w:tcBorders>
                    <w:left w:val="single" w:color="auto" w:sz="4" w:space="0"/>
                  </w:tcBorders>
                  <w:vAlign w:val="center"/>
                </w:tcPr>
                <w:p>
                  <w:pPr>
                    <w:pStyle w:val="52"/>
                  </w:pPr>
                  <w:r>
                    <w:rPr>
                      <w:rFonts w:hint="eastAsia"/>
                    </w:rPr>
                    <w:t>市政电网供应</w:t>
                  </w:r>
                </w:p>
              </w:tc>
            </w:tr>
          </w:tbl>
          <w:p>
            <w:pPr>
              <w:pStyle w:val="5"/>
              <w:spacing w:before="240" w:beforeLines="100" w:afterLines="0"/>
            </w:pPr>
            <w:r>
              <w:rPr>
                <w:rFonts w:hint="eastAsia"/>
              </w:rPr>
              <w:t>2.6项目</w:t>
            </w:r>
            <w:r>
              <w:t>用水分析</w:t>
            </w:r>
          </w:p>
          <w:p>
            <w:pPr>
              <w:ind w:firstLine="480"/>
            </w:pPr>
            <w:r>
              <w:rPr>
                <w:rFonts w:hint="eastAsia"/>
              </w:rPr>
              <w:t>根据建设单位提供的资料，蒸汽采用管道，无锅炉用水，项目用水主要为大米在清洗浸泡工序、磨浆工序用水、设备清洗用水和职工生活用水。</w:t>
            </w:r>
          </w:p>
          <w:p>
            <w:pPr>
              <w:ind w:firstLine="480"/>
            </w:pPr>
            <w:r>
              <w:rPr>
                <w:rFonts w:hint="eastAsia"/>
              </w:rPr>
              <w:t>1、清洗浸泡</w:t>
            </w:r>
          </w:p>
          <w:p>
            <w:pPr>
              <w:ind w:firstLine="480"/>
            </w:pPr>
            <w:r>
              <w:rPr>
                <w:rFonts w:hint="eastAsia"/>
              </w:rPr>
              <w:t>根据建设单位提供的资料，清洗浸泡的比例为1kg米需要2kg水，大米的用量为1365t/a，因此清洗浸泡工序的用水量为2730t/a（10.5t/d）。米粒含水率从约15%提升到35-40%，本项目含水率取35%，则含水率约35%的大米重量约为1785t/a，则大米吸收的水分约为420t，则项目此部分废水产生量约为2310t/a（8.88t/d）。</w:t>
            </w:r>
          </w:p>
          <w:p>
            <w:pPr>
              <w:ind w:firstLine="480"/>
            </w:pPr>
            <w:r>
              <w:rPr>
                <w:rFonts w:hint="eastAsia"/>
              </w:rPr>
              <w:t>2、磨浆用水</w:t>
            </w:r>
          </w:p>
          <w:p>
            <w:pPr>
              <w:ind w:firstLine="480"/>
            </w:pPr>
            <w:r>
              <w:rPr>
                <w:rFonts w:hint="eastAsia"/>
              </w:rPr>
              <w:t>根据建设提供的资料，项目磨浆用水比例为1kg米需要1kg水，项目大米重量1365t/a，则此部分需用水量为1365t/a（5.25t/d）。由于磨浆-过滤-榨干过程，部分水会损耗，损耗量约占20%，则损耗水量为273t/a（1.05t/d）；榨干后米浆含水量约35%（即米浆总重量约 为1365（1+35%）= 1842.75t/a），榨干产生的滤液回用于磨浆（滤液产生量约614.25t/a）。综上项目此工序需补充新鲜水量约750.75t/a（2.887t/d）。此工序无废水外排。</w:t>
            </w:r>
          </w:p>
          <w:p>
            <w:pPr>
              <w:ind w:firstLine="480"/>
            </w:pPr>
            <w:r>
              <w:rPr>
                <w:rFonts w:hint="eastAsia"/>
              </w:rPr>
              <w:t>3、清洗用水</w:t>
            </w:r>
          </w:p>
          <w:p>
            <w:pPr>
              <w:ind w:firstLine="480"/>
            </w:pPr>
            <w:r>
              <w:rPr>
                <w:rFonts w:hint="eastAsia"/>
              </w:rPr>
              <w:t>根据业主提供资料，每天生产结束后，需要对生产车间设备和地面进行清洗，清洗用水量约为0.3t/d，产污系数取0.9，则产生的废水量约为70.2t/a（0.27t/d）。</w:t>
            </w:r>
          </w:p>
          <w:p>
            <w:pPr>
              <w:numPr>
                <w:ilvl w:val="0"/>
                <w:numId w:val="1"/>
              </w:numPr>
              <w:ind w:firstLine="480"/>
            </w:pPr>
            <w:r>
              <w:rPr>
                <w:rFonts w:hint="eastAsia"/>
              </w:rPr>
              <w:t>蒸粿、蒸粉用水</w:t>
            </w:r>
          </w:p>
          <w:p>
            <w:pPr>
              <w:pStyle w:val="2"/>
              <w:ind w:firstLine="480" w:firstLineChars="200"/>
              <w:rPr>
                <w:b w:val="0"/>
                <w:bCs w:val="0"/>
              </w:rPr>
            </w:pPr>
            <w:r>
              <w:rPr>
                <w:rFonts w:hint="eastAsia"/>
                <w:b w:val="0"/>
                <w:bCs w:val="0"/>
              </w:rPr>
              <w:t>项目蒸粿蒸粉使用园区官网供应的蒸汽，故此工序无需再使用水。蒸汽部分为冷凝水损耗，其余进入到产品，该工序无生产废水产生。</w:t>
            </w:r>
          </w:p>
          <w:p>
            <w:pPr>
              <w:ind w:firstLine="480"/>
            </w:pPr>
            <w:r>
              <w:rPr>
                <w:rFonts w:hint="eastAsia"/>
              </w:rPr>
              <w:t>综上，项目生产废水产生量为9.15t/d，2380.2t/a。</w:t>
            </w:r>
          </w:p>
          <w:p>
            <w:pPr>
              <w:ind w:firstLine="480"/>
            </w:pPr>
            <w:r>
              <w:rPr>
                <w:rFonts w:hint="eastAsia"/>
              </w:rPr>
              <w:t>4、生活用水</w:t>
            </w:r>
          </w:p>
          <w:p>
            <w:pPr>
              <w:pStyle w:val="2"/>
              <w:ind w:firstLine="480" w:firstLineChars="200"/>
              <w:rPr>
                <w:b w:val="0"/>
              </w:rPr>
            </w:pPr>
            <w:r>
              <w:rPr>
                <w:rFonts w:hint="eastAsia"/>
                <w:b w:val="0"/>
              </w:rPr>
              <w:t>根据业主提供的资料，本项目职工人数20人(包括生产人员、管理人员等)，20人均不住在厂内，根据《建筑给水排水设计规范》(GB50015-2019)车间工人的生活用水定额应根据车间性质确定，不住厂职工生活用水定额按50L/人·班计。年工作日按全年营业260天计，则本项目职工生活用水量约为1t/d(260t/a)，参照《建筑给水排水设计规范》(GB50015-2019)可知，废水排放量正常取用水量的85%~95%，本评价按90%计算(其余10%蒸发损耗等)，则生活污水量为0.9t/d(234t/a)。</w:t>
            </w:r>
          </w:p>
          <w:p>
            <w:pPr>
              <w:ind w:firstLine="480"/>
            </w:pPr>
            <w:r>
              <w:rPr>
                <w:rFonts w:hint="eastAsia"/>
              </w:rPr>
              <w:t>项目水平衡图见图2.6-1。</w:t>
            </w:r>
          </w:p>
          <w:p>
            <w:pPr>
              <w:pStyle w:val="107"/>
            </w:pPr>
            <w:bookmarkStart w:id="14" w:name="_MON_1809962778"/>
            <w:bookmarkEnd w:id="14"/>
            <w:r>
              <w:object>
                <v:shape id="_x0000_i1025" o:spt="75" type="#_x0000_t75" style="height:239.25pt;width:425.4pt;" o:ole="t" filled="f" o:preferrelative="t" stroked="f" coordsize="21600,21600">
                  <v:path/>
                  <v:fill on="f" focussize="0,0"/>
                  <v:stroke on="f" joinstyle="miter"/>
                  <v:imagedata r:id="rId36" o:title=""/>
                  <o:lock v:ext="edit" aspectratio="t"/>
                  <w10:wrap type="none"/>
                  <w10:anchorlock/>
                </v:shape>
                <o:OLEObject Type="Embed" ProgID="PowerPoint.Slide.12" ShapeID="_x0000_i1025" DrawAspect="Content" ObjectID="_1468075725" r:id="rId35">
                  <o:LockedField>false</o:LockedField>
                </o:OLEObject>
              </w:object>
            </w:r>
          </w:p>
          <w:p>
            <w:pPr>
              <w:pStyle w:val="107"/>
            </w:pPr>
            <w:r>
              <w:rPr>
                <w:rFonts w:hint="eastAsia"/>
              </w:rPr>
              <w:t>图2.6-1  项目运营期水平衡图（单位t/d）</w:t>
            </w:r>
          </w:p>
          <w:p>
            <w:pPr>
              <w:pStyle w:val="5"/>
              <w:spacing w:before="120" w:afterLines="0"/>
            </w:pPr>
            <w:r>
              <w:rPr>
                <w:rFonts w:hint="eastAsia"/>
              </w:rPr>
              <w:t>2.7劳动定员</w:t>
            </w:r>
          </w:p>
          <w:p>
            <w:pPr>
              <w:ind w:firstLine="480"/>
            </w:pPr>
            <w:r>
              <w:t>职工人数：本项目劳动定员</w:t>
            </w:r>
            <w:r>
              <w:rPr>
                <w:rFonts w:hint="eastAsia"/>
              </w:rPr>
              <w:t>20人，均不在厂区食宿。</w:t>
            </w:r>
          </w:p>
          <w:p>
            <w:pPr>
              <w:ind w:firstLine="480"/>
            </w:pPr>
            <w:r>
              <w:t>工作制度：年工作</w:t>
            </w:r>
            <w:r>
              <w:rPr>
                <w:rFonts w:hint="eastAsia"/>
              </w:rPr>
              <w:t>260</w:t>
            </w:r>
            <w:r>
              <w:t>天，</w:t>
            </w:r>
            <w:r>
              <w:rPr>
                <w:rFonts w:hint="eastAsia"/>
              </w:rPr>
              <w:t>单班制，每班9小时，夜间不生产</w:t>
            </w:r>
          </w:p>
          <w:p>
            <w:pPr>
              <w:pStyle w:val="5"/>
              <w:spacing w:before="120" w:afterLines="0"/>
            </w:pPr>
            <w:r>
              <w:rPr>
                <w:rFonts w:hint="eastAsia"/>
              </w:rPr>
              <w:t>2.8</w:t>
            </w:r>
            <w:r>
              <w:t>厂区平面布置</w:t>
            </w:r>
          </w:p>
          <w:p>
            <w:pPr>
              <w:ind w:firstLine="480"/>
            </w:pPr>
            <w:r>
              <w:rPr>
                <w:rFonts w:hint="eastAsia"/>
              </w:rPr>
              <w:t>项目位于福州元洪投资区（租赁福清市鸿昌食品有限公司1号车间1层），平面布置方案功能划分相对清晰，各车间之间物流顺畅，运输距离较短，有利于生产布置；车间内进行了分区布置，平面布置图详见附图2。在满足生产条件要求的前提下，充分利用厂区空间进行设备布置，布局紧凑，生产流程比较流畅，布局基本合理。固体废物可以得到有效的处理处置，可避免造成二次污染；通过高噪声设备集中设置在厂房中间区域，最大远离了周边敏感目标的距离，经设备基础减振、厂房墙体隔声等综合降噪措施后，可实现噪声达标排放。从环境影响的角度看，项目环保设施平面布置基本合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5" w:hRule="atLeast"/>
          <w:jc w:val="center"/>
        </w:trPr>
        <w:tc>
          <w:tcPr>
            <w:tcW w:w="230" w:type="pct"/>
            <w:vAlign w:val="center"/>
          </w:tcPr>
          <w:p>
            <w:pPr>
              <w:pStyle w:val="52"/>
            </w:pPr>
            <w:r>
              <w:t>工艺流程和产排污环节</w:t>
            </w:r>
          </w:p>
        </w:tc>
        <w:tc>
          <w:tcPr>
            <w:tcW w:w="4769" w:type="pct"/>
          </w:tcPr>
          <w:p>
            <w:pPr>
              <w:pStyle w:val="5"/>
              <w:spacing w:before="120" w:afterLines="0"/>
            </w:pPr>
            <w:r>
              <w:rPr>
                <w:rFonts w:hint="eastAsia"/>
              </w:rPr>
              <w:t>2.9</w:t>
            </w:r>
            <w:r>
              <w:t>工艺流程：</w:t>
            </w:r>
          </w:p>
          <w:p>
            <w:pPr>
              <w:ind w:firstLine="480"/>
              <w:jc w:val="left"/>
            </w:pPr>
            <w:r>
              <w:rPr>
                <w:rFonts w:hint="eastAsia"/>
              </w:rPr>
              <w:t>1、米粉生产工艺流程</w:t>
            </w:r>
          </w:p>
          <w:p>
            <w:pPr>
              <w:ind w:firstLine="480"/>
              <w:jc w:val="left"/>
            </w:pPr>
            <w:r>
              <w:t>项目</w:t>
            </w:r>
            <w:r>
              <w:rPr>
                <w:rFonts w:hint="eastAsia"/>
              </w:rPr>
              <w:t>生产</w:t>
            </w:r>
            <w:r>
              <w:t>工艺流程及产污环节如下：</w:t>
            </w:r>
            <w:bookmarkStart w:id="15" w:name="_MON_1812381367"/>
            <w:bookmarkEnd w:id="15"/>
            <w:r>
              <w:object>
                <v:shape id="_x0000_i1026" o:spt="75" type="#_x0000_t75" style="height:308pt;width:410.7pt;" o:ole="t" filled="f" o:preferrelative="t" stroked="f" coordsize="21600,21600">
                  <v:path/>
                  <v:fill on="f" focussize="0,0"/>
                  <v:stroke on="f" joinstyle="miter"/>
                  <v:imagedata r:id="rId38" o:title=""/>
                  <o:lock v:ext="edit" aspectratio="t"/>
                  <w10:wrap type="none"/>
                  <w10:anchorlock/>
                </v:shape>
                <o:OLEObject Type="Embed" ProgID="PowerPoint.Show.12" ShapeID="_x0000_i1026" DrawAspect="Content" ObjectID="_1468075726" r:id="rId37">
                  <o:LockedField>false</o:LockedField>
                </o:OLEObject>
              </w:object>
            </w:r>
            <w:bookmarkStart w:id="16" w:name="_MON_1805198523"/>
            <w:bookmarkEnd w:id="16"/>
          </w:p>
          <w:p>
            <w:pPr>
              <w:ind w:firstLine="480"/>
              <w:jc w:val="center"/>
            </w:pPr>
            <w:r>
              <w:t>图2.</w:t>
            </w:r>
            <w:r>
              <w:rPr>
                <w:rFonts w:hint="eastAsia"/>
              </w:rPr>
              <w:t>9-1</w:t>
            </w:r>
            <w:r>
              <w:t xml:space="preserve">  工艺流程及产污环节示意图</w:t>
            </w:r>
          </w:p>
          <w:p>
            <w:pPr>
              <w:ind w:firstLine="480"/>
              <w:jc w:val="left"/>
            </w:pPr>
            <w:r>
              <w:t>工艺流程说明：</w:t>
            </w:r>
          </w:p>
          <w:p>
            <w:pPr>
              <w:pStyle w:val="5"/>
              <w:spacing w:beforeLines="0" w:afterLines="0"/>
              <w:ind w:firstLine="482" w:firstLineChars="200"/>
              <w:rPr>
                <w:b w:val="0"/>
                <w:bCs w:val="0"/>
                <w:sz w:val="24"/>
              </w:rPr>
            </w:pPr>
            <w:r>
              <w:rPr>
                <w:rFonts w:hint="eastAsia"/>
                <w:sz w:val="24"/>
              </w:rPr>
              <w:t>投料、清洗浸泡：</w:t>
            </w:r>
            <w:bookmarkStart w:id="17" w:name="OLE_LINK43"/>
            <w:bookmarkStart w:id="18" w:name="OLE_LINK44"/>
            <w:r>
              <w:rPr>
                <w:rFonts w:hint="eastAsia"/>
                <w:b w:val="0"/>
                <w:bCs w:val="0"/>
                <w:sz w:val="24"/>
              </w:rPr>
              <w:t>项目外购的大米由人工近距离投入泡米桶，随后加入自来水进行清洗浸泡（加水量为2t/t大米）。鉴于项目原料不涉及米粉等粉状物质，大米清洗浸泡后投料属于湿法作业，因此不会产生粉尘，该工序会产生废包装袋。大米浸泡1小时后，其含水率从15%上升至35%，随后使用滤网将大米捞出，泡米桶内的废水通过底部出水口排放。</w:t>
            </w:r>
          </w:p>
          <w:bookmarkEnd w:id="17"/>
          <w:bookmarkEnd w:id="18"/>
          <w:p>
            <w:pPr>
              <w:pStyle w:val="5"/>
              <w:spacing w:beforeLines="0" w:afterLines="0"/>
              <w:ind w:firstLine="482" w:firstLineChars="200"/>
              <w:rPr>
                <w:b w:val="0"/>
                <w:bCs w:val="0"/>
                <w:sz w:val="24"/>
              </w:rPr>
            </w:pPr>
            <w:r>
              <w:rPr>
                <w:rFonts w:hint="eastAsia"/>
                <w:sz w:val="24"/>
              </w:rPr>
              <w:t>磨浆：</w:t>
            </w:r>
            <w:r>
              <w:rPr>
                <w:rFonts w:hint="eastAsia"/>
                <w:b w:val="0"/>
                <w:bCs w:val="0"/>
                <w:sz w:val="24"/>
              </w:rPr>
              <w:t>将捞出的大米投入磨浆机中进行磨浆，由于大米含水率较高且磨浆时需加入水，故磨浆时不会产生粉尘。磨出的浆液通过振动筛进行筛理，筛出的大粒米再回投磨浆工序。</w:t>
            </w:r>
          </w:p>
          <w:p>
            <w:pPr>
              <w:pStyle w:val="5"/>
              <w:spacing w:beforeLines="0" w:afterLines="0"/>
              <w:ind w:firstLine="482" w:firstLineChars="200"/>
              <w:rPr>
                <w:b w:val="0"/>
                <w:bCs w:val="0"/>
                <w:sz w:val="24"/>
              </w:rPr>
            </w:pPr>
            <w:r>
              <w:rPr>
                <w:rFonts w:hint="eastAsia"/>
                <w:sz w:val="24"/>
              </w:rPr>
              <w:t>过滤、榨干：</w:t>
            </w:r>
            <w:r>
              <w:rPr>
                <w:rFonts w:hint="eastAsia"/>
                <w:b w:val="0"/>
                <w:bCs w:val="0"/>
                <w:sz w:val="24"/>
              </w:rPr>
              <w:t>将磨好的浆液管道输送到浆桶中，使用压滤机进行压滤，并通过压榨使其充分脱水，形成米饼。产生的滤液回到磨浆循环使用，不外排。</w:t>
            </w:r>
          </w:p>
          <w:p>
            <w:pPr>
              <w:pStyle w:val="11"/>
              <w:ind w:firstLine="482"/>
            </w:pPr>
            <w:r>
              <w:rPr>
                <w:b/>
                <w:bCs/>
              </w:rPr>
              <w:t>破碎搅拌：</w:t>
            </w:r>
            <w:r>
              <w:rPr>
                <w:rFonts w:hint="eastAsia"/>
                <w:bCs/>
              </w:rPr>
              <w:t>将米饼放入搅拌机进行破碎后</w:t>
            </w:r>
            <w:r>
              <w:rPr>
                <w:rFonts w:hint="eastAsia"/>
              </w:rPr>
              <w:t>进行搅拌</w:t>
            </w:r>
            <w:r>
              <w:rPr>
                <w:rFonts w:hint="eastAsia"/>
                <w:bCs/>
              </w:rPr>
              <w:t>，</w:t>
            </w:r>
            <w:r>
              <w:rPr>
                <w:rFonts w:hint="eastAsia"/>
              </w:rPr>
              <w:t>米饼含水率为35%破碎不易产尘，该工序主要在密闭环境作业不会产生粉尘</w:t>
            </w:r>
            <w:r>
              <w:rPr>
                <w:rFonts w:hint="eastAsia"/>
                <w:bCs/>
              </w:rPr>
              <w:t>。对细粉和粗粉分别进行上述操作，将产生噪声。</w:t>
            </w:r>
          </w:p>
          <w:p>
            <w:pPr>
              <w:pStyle w:val="5"/>
              <w:spacing w:beforeLines="0" w:afterLines="0"/>
              <w:ind w:firstLine="482" w:firstLineChars="200"/>
              <w:rPr>
                <w:bCs w:val="0"/>
                <w:sz w:val="24"/>
              </w:rPr>
            </w:pPr>
            <w:r>
              <w:rPr>
                <w:rFonts w:hint="eastAsia"/>
                <w:bCs w:val="0"/>
                <w:sz w:val="24"/>
              </w:rPr>
              <w:t>出粿：</w:t>
            </w:r>
            <w:r>
              <w:rPr>
                <w:rFonts w:hint="eastAsia"/>
                <w:b w:val="0"/>
                <w:bCs w:val="0"/>
                <w:sz w:val="24"/>
              </w:rPr>
              <w:t>将破碎搅拌后的物料进行成型出粿，为后续蒸粿工序做好准备。</w:t>
            </w:r>
          </w:p>
          <w:p>
            <w:pPr>
              <w:pStyle w:val="5"/>
              <w:spacing w:beforeLines="0" w:afterLines="0"/>
              <w:ind w:firstLine="482" w:firstLineChars="200"/>
              <w:rPr>
                <w:b w:val="0"/>
                <w:bCs w:val="0"/>
                <w:sz w:val="24"/>
              </w:rPr>
            </w:pPr>
            <w:r>
              <w:rPr>
                <w:rFonts w:hint="eastAsia"/>
                <w:bCs w:val="0"/>
                <w:sz w:val="24"/>
              </w:rPr>
              <w:t>蒸粿：</w:t>
            </w:r>
            <w:r>
              <w:rPr>
                <w:rFonts w:hint="eastAsia"/>
                <w:b w:val="0"/>
                <w:bCs w:val="0"/>
                <w:sz w:val="24"/>
              </w:rPr>
              <w:t>利用蒸汽对出粿后的物料进行蒸制处理，在蒸制过程中产生冷凝水。</w:t>
            </w:r>
          </w:p>
          <w:p>
            <w:pPr>
              <w:pStyle w:val="5"/>
              <w:spacing w:beforeLines="0" w:afterLines="0"/>
              <w:ind w:firstLine="482" w:firstLineChars="200"/>
              <w:rPr>
                <w:bCs w:val="0"/>
                <w:sz w:val="24"/>
              </w:rPr>
            </w:pPr>
            <w:r>
              <w:rPr>
                <w:rFonts w:hint="eastAsia"/>
                <w:bCs w:val="0"/>
                <w:sz w:val="24"/>
              </w:rPr>
              <w:t>冷却：</w:t>
            </w:r>
            <w:r>
              <w:rPr>
                <w:rFonts w:hint="eastAsia"/>
                <w:b w:val="0"/>
                <w:bCs w:val="0"/>
                <w:sz w:val="24"/>
              </w:rPr>
              <w:t>蒸粿后的物料进行自然冷却处理。</w:t>
            </w:r>
          </w:p>
          <w:p>
            <w:pPr>
              <w:pStyle w:val="5"/>
              <w:spacing w:beforeLines="0" w:afterLines="0"/>
              <w:ind w:firstLine="482" w:firstLineChars="200"/>
              <w:rPr>
                <w:bCs w:val="0"/>
                <w:sz w:val="24"/>
              </w:rPr>
            </w:pPr>
            <w:r>
              <w:rPr>
                <w:rFonts w:hint="eastAsia"/>
                <w:bCs w:val="0"/>
                <w:sz w:val="24"/>
              </w:rPr>
              <w:t>出粉：</w:t>
            </w:r>
            <w:r>
              <w:rPr>
                <w:rFonts w:hint="eastAsia"/>
                <w:b w:val="0"/>
                <w:bCs w:val="0"/>
                <w:sz w:val="24"/>
              </w:rPr>
              <w:t>经自然冷却后即可通过出粉机出粉。</w:t>
            </w:r>
          </w:p>
          <w:p>
            <w:pPr>
              <w:pStyle w:val="5"/>
              <w:spacing w:beforeLines="0" w:afterLines="0"/>
              <w:ind w:firstLine="482" w:firstLineChars="200"/>
              <w:rPr>
                <w:b w:val="0"/>
                <w:bCs w:val="0"/>
                <w:sz w:val="24"/>
              </w:rPr>
            </w:pPr>
            <w:r>
              <w:rPr>
                <w:rFonts w:hint="eastAsia"/>
                <w:bCs w:val="0"/>
                <w:sz w:val="24"/>
              </w:rPr>
              <w:t>蒸粉：</w:t>
            </w:r>
            <w:r>
              <w:rPr>
                <w:rFonts w:hint="eastAsia"/>
                <w:b w:val="0"/>
                <w:bCs w:val="0"/>
                <w:sz w:val="24"/>
              </w:rPr>
              <w:t>对出粉后的物料再次利用蒸汽蒸制，产生冷凝水。</w:t>
            </w:r>
          </w:p>
          <w:p>
            <w:pPr>
              <w:pStyle w:val="5"/>
              <w:spacing w:beforeLines="0" w:afterLines="0"/>
              <w:ind w:firstLine="482" w:firstLineChars="200"/>
              <w:rPr>
                <w:bCs w:val="0"/>
                <w:sz w:val="24"/>
              </w:rPr>
            </w:pPr>
            <w:r>
              <w:rPr>
                <w:rFonts w:hint="eastAsia"/>
                <w:bCs w:val="0"/>
                <w:sz w:val="24"/>
              </w:rPr>
              <w:t>老化：</w:t>
            </w:r>
            <w:r>
              <w:rPr>
                <w:rFonts w:hint="eastAsia"/>
                <w:b w:val="0"/>
                <w:bCs w:val="0"/>
                <w:sz w:val="24"/>
              </w:rPr>
              <w:t>蒸粉后的物料进行老化处理。</w:t>
            </w:r>
          </w:p>
          <w:p>
            <w:pPr>
              <w:pStyle w:val="5"/>
              <w:spacing w:beforeLines="0" w:afterLines="0"/>
              <w:ind w:firstLine="482" w:firstLineChars="200"/>
              <w:rPr>
                <w:b w:val="0"/>
                <w:bCs w:val="0"/>
                <w:sz w:val="24"/>
              </w:rPr>
            </w:pPr>
            <w:r>
              <w:rPr>
                <w:rFonts w:hint="eastAsia"/>
                <w:bCs w:val="0"/>
                <w:sz w:val="24"/>
              </w:rPr>
              <w:t>搓粉：</w:t>
            </w:r>
            <w:r>
              <w:rPr>
                <w:rFonts w:hint="eastAsia"/>
                <w:b w:val="0"/>
                <w:bCs w:val="0"/>
                <w:sz w:val="24"/>
              </w:rPr>
              <w:t>老化后进行人工搓粉。</w:t>
            </w:r>
          </w:p>
          <w:p>
            <w:pPr>
              <w:pStyle w:val="5"/>
              <w:spacing w:beforeLines="0" w:afterLines="0"/>
              <w:ind w:firstLine="482" w:firstLineChars="200"/>
              <w:rPr>
                <w:b w:val="0"/>
                <w:bCs w:val="0"/>
                <w:sz w:val="24"/>
              </w:rPr>
            </w:pPr>
            <w:r>
              <w:rPr>
                <w:rFonts w:hint="eastAsia"/>
                <w:bCs w:val="0"/>
                <w:sz w:val="24"/>
              </w:rPr>
              <w:t>成型：</w:t>
            </w:r>
            <w:r>
              <w:rPr>
                <w:rFonts w:hint="eastAsia"/>
                <w:b w:val="0"/>
                <w:bCs w:val="0"/>
                <w:sz w:val="24"/>
              </w:rPr>
              <w:t>将搓粉后的物料加工成型，成为特定形状产品。</w:t>
            </w:r>
          </w:p>
          <w:p>
            <w:pPr>
              <w:pStyle w:val="5"/>
              <w:spacing w:beforeLines="0" w:afterLines="0"/>
              <w:ind w:firstLine="482" w:firstLineChars="200"/>
              <w:rPr>
                <w:bCs w:val="0"/>
                <w:sz w:val="24"/>
              </w:rPr>
            </w:pPr>
            <w:r>
              <w:rPr>
                <w:rFonts w:hint="eastAsia"/>
                <w:bCs w:val="0"/>
                <w:sz w:val="24"/>
              </w:rPr>
              <w:t>烘干：</w:t>
            </w:r>
            <w:r>
              <w:rPr>
                <w:rFonts w:hint="eastAsia"/>
                <w:b w:val="0"/>
                <w:bCs w:val="0"/>
                <w:sz w:val="24"/>
              </w:rPr>
              <w:t>最后使用蒸汽烘干后包装即成成品。此工序会产生少量的冷凝水和米粉边角料。</w:t>
            </w:r>
          </w:p>
          <w:p>
            <w:pPr>
              <w:ind w:firstLine="480"/>
            </w:pPr>
            <w:r>
              <w:rPr>
                <w:rFonts w:hint="eastAsia"/>
              </w:rPr>
              <w:t>本项目蒸粿、蒸粉、搅拌及烘干用的蒸汽由园区蒸汽管道供应。</w:t>
            </w:r>
          </w:p>
          <w:p>
            <w:pPr>
              <w:pStyle w:val="2"/>
              <w:ind w:firstLine="482" w:firstLineChars="200"/>
            </w:pPr>
            <w:r>
              <w:rPr>
                <w:rFonts w:hint="eastAsia"/>
              </w:rPr>
              <w:t>产污环节：</w:t>
            </w:r>
          </w:p>
          <w:p>
            <w:pPr>
              <w:ind w:firstLine="480"/>
            </w:pPr>
            <w:r>
              <w:rPr>
                <w:rFonts w:hint="eastAsia"/>
              </w:rPr>
              <w:t>项目主要污染物是生产过程中清洗浸泡等工序产生的生产废水、废包装袋、污水处理设施产生的污泥以及生产过程中设备运行产生的噪声。</w:t>
            </w:r>
          </w:p>
          <w:p>
            <w:pPr>
              <w:pStyle w:val="5"/>
              <w:spacing w:beforeLines="0" w:afterLines="0"/>
            </w:pPr>
            <w:r>
              <w:rPr>
                <w:rFonts w:hint="eastAsia"/>
              </w:rPr>
              <w:t>2.10</w:t>
            </w:r>
            <w:r>
              <w:t>产污环节分析</w:t>
            </w:r>
          </w:p>
          <w:p>
            <w:pPr>
              <w:adjustRightInd w:val="0"/>
              <w:snapToGrid w:val="0"/>
              <w:ind w:firstLine="480"/>
              <w:jc w:val="left"/>
              <w:rPr>
                <w:bCs/>
              </w:rPr>
            </w:pPr>
            <w:r>
              <w:rPr>
                <w:rFonts w:hint="eastAsia"/>
              </w:rPr>
              <w:t>项目主要污染物为废包装袋及生产过程中设备运行产生的噪声及污水处理设施产生的污泥，</w:t>
            </w:r>
            <w:r>
              <w:rPr>
                <w:rFonts w:hint="eastAsia"/>
                <w:bCs/>
              </w:rPr>
              <w:t>主要产污环节如下表。</w:t>
            </w:r>
          </w:p>
          <w:p>
            <w:pPr>
              <w:pStyle w:val="103"/>
              <w:spacing w:before="120"/>
              <w:rPr>
                <w:rFonts w:eastAsia="宋体"/>
                <w:snapToGrid w:val="0"/>
                <w:color w:val="auto"/>
              </w:rPr>
            </w:pPr>
            <w:r>
              <w:rPr>
                <w:rFonts w:hint="eastAsia" w:eastAsia="宋体"/>
                <w:snapToGrid w:val="0"/>
                <w:color w:val="auto"/>
              </w:rPr>
              <w:t>表</w:t>
            </w:r>
            <w:r>
              <w:rPr>
                <w:rFonts w:eastAsia="宋体"/>
                <w:snapToGrid w:val="0"/>
                <w:color w:val="auto"/>
              </w:rPr>
              <w:t>2</w:t>
            </w:r>
            <w:r>
              <w:rPr>
                <w:rFonts w:hint="eastAsia" w:eastAsia="宋体"/>
                <w:snapToGrid w:val="0"/>
                <w:color w:val="auto"/>
              </w:rPr>
              <w:t xml:space="preserve">.10-1 </w:t>
            </w:r>
            <w:r>
              <w:rPr>
                <w:rFonts w:eastAsia="宋体"/>
                <w:snapToGrid w:val="0"/>
                <w:color w:val="auto"/>
              </w:rPr>
              <w:t xml:space="preserve"> </w:t>
            </w:r>
            <w:r>
              <w:rPr>
                <w:rFonts w:hint="eastAsia" w:eastAsia="宋体"/>
                <w:snapToGrid w:val="0"/>
                <w:color w:val="auto"/>
              </w:rPr>
              <w:t>项目主要污染物产排污节点一览表</w:t>
            </w:r>
          </w:p>
          <w:tbl>
            <w:tblPr>
              <w:tblStyle w:val="9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11"/>
              <w:gridCol w:w="1229"/>
              <w:gridCol w:w="2890"/>
              <w:gridCol w:w="28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Align w:val="center"/>
                </w:tcPr>
                <w:p>
                  <w:pPr>
                    <w:pStyle w:val="52"/>
                    <w:widowControl w:val="0"/>
                    <w:rPr>
                      <w:lang w:val="en-GB"/>
                    </w:rPr>
                  </w:pPr>
                  <w:r>
                    <w:rPr>
                      <w:lang w:val="en-GB"/>
                    </w:rPr>
                    <w:t>类别</w:t>
                  </w:r>
                </w:p>
              </w:tc>
              <w:tc>
                <w:tcPr>
                  <w:tcW w:w="1940" w:type="dxa"/>
                  <w:gridSpan w:val="2"/>
                  <w:vAlign w:val="center"/>
                </w:tcPr>
                <w:p>
                  <w:pPr>
                    <w:pStyle w:val="52"/>
                    <w:widowControl w:val="0"/>
                    <w:rPr>
                      <w:lang w:val="en-GB"/>
                    </w:rPr>
                  </w:pPr>
                  <w:r>
                    <w:rPr>
                      <w:rFonts w:hint="eastAsia"/>
                      <w:lang w:val="en-GB"/>
                    </w:rPr>
                    <w:t>产污环节</w:t>
                  </w:r>
                </w:p>
              </w:tc>
              <w:tc>
                <w:tcPr>
                  <w:tcW w:w="2890" w:type="dxa"/>
                  <w:vAlign w:val="center"/>
                </w:tcPr>
                <w:p>
                  <w:pPr>
                    <w:pStyle w:val="52"/>
                    <w:widowControl w:val="0"/>
                    <w:rPr>
                      <w:lang w:val="en-GB"/>
                    </w:rPr>
                  </w:pPr>
                  <w:r>
                    <w:rPr>
                      <w:rFonts w:hint="eastAsia"/>
                      <w:lang w:val="en-GB"/>
                    </w:rPr>
                    <w:t>主要污染物</w:t>
                  </w:r>
                </w:p>
              </w:tc>
              <w:tc>
                <w:tcPr>
                  <w:tcW w:w="2890" w:type="dxa"/>
                  <w:vAlign w:val="center"/>
                </w:tcPr>
                <w:p>
                  <w:pPr>
                    <w:pStyle w:val="52"/>
                    <w:widowControl w:val="0"/>
                    <w:rPr>
                      <w:lang w:val="en-GB"/>
                    </w:rPr>
                  </w:pPr>
                  <w:r>
                    <w:rPr>
                      <w:rFonts w:hint="eastAsia"/>
                      <w:lang w:val="en-GB"/>
                    </w:rPr>
                    <w:t>处理</w:t>
                  </w:r>
                  <w:r>
                    <w:rPr>
                      <w:lang w:val="en-GB"/>
                    </w:rPr>
                    <w:t>设施</w:t>
                  </w:r>
                  <w:r>
                    <w:rPr>
                      <w:rFonts w:hint="eastAsia"/>
                      <w:lang w:val="en-GB"/>
                    </w:rPr>
                    <w:t>/</w:t>
                  </w:r>
                  <w:r>
                    <w:rPr>
                      <w:lang w:val="en-GB"/>
                    </w:rPr>
                    <w:t>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restart"/>
                  <w:vAlign w:val="center"/>
                </w:tcPr>
                <w:p>
                  <w:pPr>
                    <w:pStyle w:val="52"/>
                    <w:widowControl w:val="0"/>
                    <w:rPr>
                      <w:lang w:val="en-GB"/>
                    </w:rPr>
                  </w:pPr>
                  <w:r>
                    <w:rPr>
                      <w:lang w:val="en-GB"/>
                    </w:rPr>
                    <w:t>废</w:t>
                  </w:r>
                  <w:r>
                    <w:rPr>
                      <w:rFonts w:hint="eastAsia"/>
                      <w:lang w:val="en-GB"/>
                    </w:rPr>
                    <w:t>水</w:t>
                  </w:r>
                </w:p>
              </w:tc>
              <w:tc>
                <w:tcPr>
                  <w:tcW w:w="1940" w:type="dxa"/>
                  <w:gridSpan w:val="2"/>
                  <w:vAlign w:val="center"/>
                </w:tcPr>
                <w:p>
                  <w:pPr>
                    <w:pStyle w:val="52"/>
                    <w:widowControl w:val="0"/>
                    <w:rPr>
                      <w:lang w:val="en-GB"/>
                    </w:rPr>
                  </w:pPr>
                  <w:r>
                    <w:rPr>
                      <w:rFonts w:hint="eastAsia"/>
                      <w:lang w:val="en-GB"/>
                    </w:rPr>
                    <w:t>生活污水</w:t>
                  </w:r>
                </w:p>
              </w:tc>
              <w:tc>
                <w:tcPr>
                  <w:tcW w:w="2890" w:type="dxa"/>
                  <w:vAlign w:val="center"/>
                </w:tcPr>
                <w:p>
                  <w:pPr>
                    <w:pStyle w:val="52"/>
                    <w:widowControl w:val="0"/>
                    <w:rPr>
                      <w:lang w:val="en-GB"/>
                    </w:rPr>
                  </w:pPr>
                  <w:r>
                    <w:rPr>
                      <w:rFonts w:hint="eastAsia"/>
                      <w:lang w:val="en-GB"/>
                    </w:rPr>
                    <w:t>pH、COD</w:t>
                  </w:r>
                  <w:r>
                    <w:rPr>
                      <w:rFonts w:hint="eastAsia"/>
                      <w:vertAlign w:val="subscript"/>
                      <w:lang w:val="en-GB"/>
                    </w:rPr>
                    <w:t>Cr</w:t>
                  </w:r>
                  <w:r>
                    <w:rPr>
                      <w:rFonts w:hint="eastAsia"/>
                      <w:lang w:val="en-GB"/>
                    </w:rPr>
                    <w:t>、BOD</w:t>
                  </w:r>
                  <w:r>
                    <w:rPr>
                      <w:rFonts w:hint="eastAsia"/>
                      <w:vertAlign w:val="subscript"/>
                      <w:lang w:val="en-GB"/>
                    </w:rPr>
                    <w:t>5</w:t>
                  </w:r>
                  <w:r>
                    <w:rPr>
                      <w:rFonts w:hint="eastAsia"/>
                      <w:lang w:val="en-GB"/>
                    </w:rPr>
                    <w:t>、SS、NH</w:t>
                  </w:r>
                  <w:r>
                    <w:rPr>
                      <w:rFonts w:hint="eastAsia"/>
                      <w:vertAlign w:val="subscript"/>
                      <w:lang w:val="en-GB"/>
                    </w:rPr>
                    <w:t>3</w:t>
                  </w:r>
                  <w:r>
                    <w:rPr>
                      <w:rFonts w:hint="eastAsia"/>
                      <w:lang w:val="en-GB"/>
                    </w:rPr>
                    <w:t>-N、总磷、总氮</w:t>
                  </w:r>
                </w:p>
              </w:tc>
              <w:tc>
                <w:tcPr>
                  <w:tcW w:w="2890" w:type="dxa"/>
                  <w:vAlign w:val="center"/>
                </w:tcPr>
                <w:p>
                  <w:pPr>
                    <w:pStyle w:val="52"/>
                    <w:widowControl w:val="0"/>
                    <w:rPr>
                      <w:lang w:val="en-GB"/>
                    </w:rPr>
                  </w:pPr>
                  <w:r>
                    <w:rPr>
                      <w:rFonts w:hint="eastAsia"/>
                      <w:lang w:val="en-GB"/>
                    </w:rPr>
                    <w:t>化粪池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continue"/>
                  <w:vAlign w:val="center"/>
                </w:tcPr>
                <w:p>
                  <w:pPr>
                    <w:pStyle w:val="52"/>
                    <w:widowControl w:val="0"/>
                    <w:rPr>
                      <w:lang w:val="en-GB"/>
                    </w:rPr>
                  </w:pPr>
                </w:p>
              </w:tc>
              <w:tc>
                <w:tcPr>
                  <w:tcW w:w="711" w:type="dxa"/>
                  <w:vAlign w:val="center"/>
                </w:tcPr>
                <w:p>
                  <w:pPr>
                    <w:pStyle w:val="52"/>
                    <w:widowControl w:val="0"/>
                    <w:rPr>
                      <w:lang w:val="en-GB"/>
                    </w:rPr>
                  </w:pPr>
                  <w:r>
                    <w:rPr>
                      <w:rFonts w:hint="eastAsia"/>
                      <w:lang w:val="en-GB"/>
                    </w:rPr>
                    <w:t>生产废水</w:t>
                  </w:r>
                </w:p>
              </w:tc>
              <w:tc>
                <w:tcPr>
                  <w:tcW w:w="1229" w:type="dxa"/>
                  <w:vAlign w:val="center"/>
                </w:tcPr>
                <w:p>
                  <w:pPr>
                    <w:pStyle w:val="52"/>
                    <w:widowControl w:val="0"/>
                  </w:pPr>
                  <w:r>
                    <w:rPr>
                      <w:rFonts w:hint="eastAsia"/>
                      <w:lang w:val="en-GB"/>
                    </w:rPr>
                    <w:t>清洗浸泡、</w:t>
                  </w:r>
                  <w:r>
                    <w:rPr>
                      <w:rFonts w:hint="eastAsia"/>
                    </w:rPr>
                    <w:t>磨浆</w:t>
                  </w:r>
                  <w:r>
                    <w:rPr>
                      <w:rFonts w:hint="eastAsia"/>
                      <w:lang w:val="en-GB"/>
                    </w:rPr>
                    <w:t>、</w:t>
                  </w:r>
                  <w:r>
                    <w:rPr>
                      <w:rFonts w:hint="eastAsia"/>
                    </w:rPr>
                    <w:t>清洗用水</w:t>
                  </w:r>
                </w:p>
              </w:tc>
              <w:tc>
                <w:tcPr>
                  <w:tcW w:w="2890" w:type="dxa"/>
                  <w:vAlign w:val="center"/>
                </w:tcPr>
                <w:p>
                  <w:pPr>
                    <w:pStyle w:val="52"/>
                    <w:widowControl w:val="0"/>
                    <w:rPr>
                      <w:lang w:val="en-GB"/>
                    </w:rPr>
                  </w:pPr>
                  <w:r>
                    <w:rPr>
                      <w:rFonts w:hint="eastAsia"/>
                      <w:lang w:val="en-GB"/>
                    </w:rPr>
                    <w:t>pH、COD</w:t>
                  </w:r>
                  <w:r>
                    <w:rPr>
                      <w:rFonts w:hint="eastAsia"/>
                      <w:vertAlign w:val="subscript"/>
                      <w:lang w:val="en-GB"/>
                    </w:rPr>
                    <w:t>Cr</w:t>
                  </w:r>
                  <w:r>
                    <w:rPr>
                      <w:rFonts w:hint="eastAsia"/>
                      <w:lang w:val="en-GB"/>
                    </w:rPr>
                    <w:t>、BOD</w:t>
                  </w:r>
                  <w:r>
                    <w:rPr>
                      <w:rFonts w:hint="eastAsia"/>
                      <w:vertAlign w:val="subscript"/>
                      <w:lang w:val="en-GB"/>
                    </w:rPr>
                    <w:t>5</w:t>
                  </w:r>
                  <w:r>
                    <w:rPr>
                      <w:rFonts w:hint="eastAsia"/>
                      <w:lang w:val="en-GB"/>
                    </w:rPr>
                    <w:t>、SS、NH</w:t>
                  </w:r>
                  <w:r>
                    <w:rPr>
                      <w:rFonts w:hint="eastAsia"/>
                      <w:vertAlign w:val="subscript"/>
                      <w:lang w:val="en-GB"/>
                    </w:rPr>
                    <w:t>3</w:t>
                  </w:r>
                  <w:r>
                    <w:rPr>
                      <w:rFonts w:hint="eastAsia"/>
                      <w:lang w:val="en-GB"/>
                    </w:rPr>
                    <w:t>-N、总磷、总氮、</w:t>
                  </w:r>
                </w:p>
              </w:tc>
              <w:tc>
                <w:tcPr>
                  <w:tcW w:w="2890" w:type="dxa"/>
                  <w:vAlign w:val="center"/>
                </w:tcPr>
                <w:p>
                  <w:pPr>
                    <w:pStyle w:val="52"/>
                    <w:widowControl w:val="0"/>
                    <w:rPr>
                      <w:lang w:val="en-GB"/>
                    </w:rPr>
                  </w:pPr>
                  <w:r>
                    <w:rPr>
                      <w:rFonts w:hint="eastAsia"/>
                      <w:lang w:val="en-GB"/>
                    </w:rPr>
                    <w:t>一体化污水处理设备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Align w:val="center"/>
                </w:tcPr>
                <w:p>
                  <w:pPr>
                    <w:pStyle w:val="52"/>
                    <w:widowControl w:val="0"/>
                    <w:rPr>
                      <w:lang w:val="en-GB"/>
                    </w:rPr>
                  </w:pPr>
                  <w:r>
                    <w:rPr>
                      <w:lang w:val="en-GB"/>
                    </w:rPr>
                    <w:t>废气</w:t>
                  </w:r>
                </w:p>
              </w:tc>
              <w:tc>
                <w:tcPr>
                  <w:tcW w:w="1940" w:type="dxa"/>
                  <w:gridSpan w:val="2"/>
                  <w:vAlign w:val="center"/>
                </w:tcPr>
                <w:p>
                  <w:pPr>
                    <w:pStyle w:val="52"/>
                    <w:widowControl w:val="0"/>
                    <w:rPr>
                      <w:lang w:val="en-GB"/>
                    </w:rPr>
                  </w:pPr>
                  <w:r>
                    <w:rPr>
                      <w:rFonts w:hint="eastAsia"/>
                      <w:lang w:val="en-GB"/>
                    </w:rPr>
                    <w:t>一体化污水处理设备</w:t>
                  </w:r>
                  <w:r>
                    <w:rPr>
                      <w:lang w:val="en-GB"/>
                    </w:rPr>
                    <w:t>恶臭</w:t>
                  </w:r>
                </w:p>
              </w:tc>
              <w:tc>
                <w:tcPr>
                  <w:tcW w:w="2890" w:type="dxa"/>
                  <w:vAlign w:val="center"/>
                </w:tcPr>
                <w:p>
                  <w:pPr>
                    <w:pStyle w:val="52"/>
                    <w:widowControl w:val="0"/>
                    <w:rPr>
                      <w:lang w:val="en-GB"/>
                    </w:rPr>
                  </w:pPr>
                  <w:r>
                    <w:rPr>
                      <w:rFonts w:hint="eastAsia"/>
                      <w:lang w:val="en-GB"/>
                    </w:rPr>
                    <w:t>NH</w:t>
                  </w:r>
                  <w:r>
                    <w:rPr>
                      <w:rFonts w:hint="eastAsia"/>
                      <w:vertAlign w:val="subscript"/>
                      <w:lang w:val="en-GB"/>
                    </w:rPr>
                    <w:t>3</w:t>
                  </w:r>
                  <w:r>
                    <w:rPr>
                      <w:rFonts w:hint="eastAsia"/>
                      <w:lang w:val="en-GB"/>
                    </w:rPr>
                    <w:t>、H</w:t>
                  </w:r>
                  <w:r>
                    <w:rPr>
                      <w:rFonts w:hint="eastAsia"/>
                      <w:vertAlign w:val="subscript"/>
                      <w:lang w:val="en-GB"/>
                    </w:rPr>
                    <w:t>2</w:t>
                  </w:r>
                  <w:r>
                    <w:rPr>
                      <w:rFonts w:hint="eastAsia"/>
                      <w:lang w:val="en-GB"/>
                    </w:rPr>
                    <w:t>S、臭气浓度</w:t>
                  </w:r>
                </w:p>
              </w:tc>
              <w:tc>
                <w:tcPr>
                  <w:tcW w:w="2890" w:type="dxa"/>
                  <w:vAlign w:val="center"/>
                </w:tcPr>
                <w:p>
                  <w:pPr>
                    <w:pStyle w:val="52"/>
                    <w:widowControl w:val="0"/>
                    <w:rPr>
                      <w:lang w:val="en-GB"/>
                    </w:rPr>
                  </w:pPr>
                  <w:r>
                    <w:rPr>
                      <w:rFonts w:hint="eastAsia"/>
                      <w:lang w:val="en-GB"/>
                    </w:rPr>
                    <w:t>定期喷洒除臭剂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Align w:val="center"/>
                </w:tcPr>
                <w:p>
                  <w:pPr>
                    <w:pStyle w:val="52"/>
                    <w:widowControl w:val="0"/>
                    <w:rPr>
                      <w:lang w:val="en-GB"/>
                    </w:rPr>
                  </w:pPr>
                  <w:r>
                    <w:rPr>
                      <w:rFonts w:hint="eastAsia"/>
                      <w:lang w:val="en-GB"/>
                    </w:rPr>
                    <w:t>噪声</w:t>
                  </w:r>
                </w:p>
              </w:tc>
              <w:tc>
                <w:tcPr>
                  <w:tcW w:w="1940" w:type="dxa"/>
                  <w:gridSpan w:val="2"/>
                  <w:vAlign w:val="center"/>
                </w:tcPr>
                <w:p>
                  <w:pPr>
                    <w:pStyle w:val="52"/>
                    <w:widowControl w:val="0"/>
                    <w:rPr>
                      <w:lang w:val="en-GB"/>
                    </w:rPr>
                  </w:pPr>
                  <w:r>
                    <w:rPr>
                      <w:rFonts w:hint="eastAsia"/>
                      <w:lang w:val="en-GB"/>
                    </w:rPr>
                    <w:t>生产设备运行噪声</w:t>
                  </w:r>
                </w:p>
              </w:tc>
              <w:tc>
                <w:tcPr>
                  <w:tcW w:w="2890" w:type="dxa"/>
                  <w:vAlign w:val="center"/>
                </w:tcPr>
                <w:p>
                  <w:pPr>
                    <w:pStyle w:val="52"/>
                    <w:widowControl w:val="0"/>
                    <w:rPr>
                      <w:lang w:val="en-GB"/>
                    </w:rPr>
                  </w:pPr>
                  <w:r>
                    <w:rPr>
                      <w:lang w:val="en-GB"/>
                    </w:rPr>
                    <w:t>Leq(A)</w:t>
                  </w:r>
                </w:p>
              </w:tc>
              <w:tc>
                <w:tcPr>
                  <w:tcW w:w="2890" w:type="dxa"/>
                  <w:vAlign w:val="center"/>
                </w:tcPr>
                <w:p>
                  <w:pPr>
                    <w:pStyle w:val="52"/>
                    <w:widowControl w:val="0"/>
                    <w:rPr>
                      <w:lang w:val="en-GB"/>
                    </w:rPr>
                  </w:pPr>
                  <w:r>
                    <w:rPr>
                      <w:rFonts w:hint="eastAsia"/>
                      <w:lang w:val="en-GB"/>
                    </w:rPr>
                    <w:t>隔声、减振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restart"/>
                  <w:vAlign w:val="center"/>
                </w:tcPr>
                <w:p>
                  <w:pPr>
                    <w:pStyle w:val="52"/>
                    <w:widowControl w:val="0"/>
                    <w:rPr>
                      <w:lang w:val="en-GB"/>
                    </w:rPr>
                  </w:pPr>
                  <w:r>
                    <w:rPr>
                      <w:lang w:val="en-GB"/>
                    </w:rPr>
                    <w:t>一般</w:t>
                  </w:r>
                </w:p>
                <w:p>
                  <w:pPr>
                    <w:pStyle w:val="52"/>
                    <w:widowControl w:val="0"/>
                    <w:rPr>
                      <w:lang w:val="en-GB"/>
                    </w:rPr>
                  </w:pPr>
                  <w:r>
                    <w:rPr>
                      <w:lang w:val="en-GB"/>
                    </w:rPr>
                    <w:t>固废</w:t>
                  </w:r>
                </w:p>
              </w:tc>
              <w:tc>
                <w:tcPr>
                  <w:tcW w:w="1940" w:type="dxa"/>
                  <w:gridSpan w:val="2"/>
                  <w:vAlign w:val="center"/>
                </w:tcPr>
                <w:p>
                  <w:pPr>
                    <w:pStyle w:val="52"/>
                    <w:widowControl w:val="0"/>
                    <w:rPr>
                      <w:lang w:val="en-GB"/>
                    </w:rPr>
                  </w:pPr>
                  <w:r>
                    <w:rPr>
                      <w:rFonts w:hint="eastAsia"/>
                      <w:lang w:val="en-GB"/>
                    </w:rPr>
                    <w:t>投料</w:t>
                  </w:r>
                </w:p>
              </w:tc>
              <w:tc>
                <w:tcPr>
                  <w:tcW w:w="2890" w:type="dxa"/>
                  <w:vAlign w:val="center"/>
                </w:tcPr>
                <w:p>
                  <w:pPr>
                    <w:pStyle w:val="52"/>
                    <w:widowControl w:val="0"/>
                    <w:rPr>
                      <w:lang w:val="en-GB"/>
                    </w:rPr>
                  </w:pPr>
                  <w:r>
                    <w:rPr>
                      <w:lang w:val="en-GB"/>
                    </w:rPr>
                    <w:t>废包装袋</w:t>
                  </w:r>
                </w:p>
              </w:tc>
              <w:tc>
                <w:tcPr>
                  <w:tcW w:w="2890" w:type="dxa"/>
                  <w:vAlign w:val="center"/>
                </w:tcPr>
                <w:p>
                  <w:pPr>
                    <w:pStyle w:val="52"/>
                    <w:widowControl w:val="0"/>
                    <w:rPr>
                      <w:lang w:val="en-GB"/>
                    </w:rPr>
                  </w:pPr>
                  <w:r>
                    <w:rPr>
                      <w:rFonts w:hint="eastAsia"/>
                      <w:lang w:val="en-GB"/>
                    </w:rPr>
                    <w:t>集中收集后外售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continue"/>
                  <w:vAlign w:val="center"/>
                </w:tcPr>
                <w:p>
                  <w:pPr>
                    <w:pStyle w:val="52"/>
                    <w:widowControl w:val="0"/>
                    <w:rPr>
                      <w:lang w:val="en-GB"/>
                    </w:rPr>
                  </w:pPr>
                </w:p>
              </w:tc>
              <w:tc>
                <w:tcPr>
                  <w:tcW w:w="1940" w:type="dxa"/>
                  <w:gridSpan w:val="2"/>
                  <w:vAlign w:val="center"/>
                </w:tcPr>
                <w:p>
                  <w:pPr>
                    <w:pStyle w:val="52"/>
                    <w:widowControl w:val="0"/>
                    <w:rPr>
                      <w:lang w:val="en-GB"/>
                    </w:rPr>
                  </w:pPr>
                  <w:r>
                    <w:rPr>
                      <w:rFonts w:hint="eastAsia"/>
                      <w:lang w:val="en-GB"/>
                    </w:rPr>
                    <w:t>烘干工序</w:t>
                  </w:r>
                </w:p>
              </w:tc>
              <w:tc>
                <w:tcPr>
                  <w:tcW w:w="2890" w:type="dxa"/>
                  <w:vAlign w:val="center"/>
                </w:tcPr>
                <w:p>
                  <w:pPr>
                    <w:pStyle w:val="52"/>
                    <w:widowControl w:val="0"/>
                    <w:rPr>
                      <w:lang w:val="en-GB"/>
                    </w:rPr>
                  </w:pPr>
                  <w:r>
                    <w:rPr>
                      <w:lang w:val="en-GB"/>
                    </w:rPr>
                    <w:t>米粉边角料</w:t>
                  </w:r>
                </w:p>
              </w:tc>
              <w:tc>
                <w:tcPr>
                  <w:tcW w:w="2890" w:type="dxa"/>
                  <w:vAlign w:val="center"/>
                </w:tcPr>
                <w:p>
                  <w:pPr>
                    <w:pStyle w:val="52"/>
                    <w:widowControl w:val="0"/>
                    <w:rPr>
                      <w:lang w:val="en-GB"/>
                    </w:rPr>
                  </w:pPr>
                  <w:r>
                    <w:rPr>
                      <w:rFonts w:hint="eastAsia"/>
                      <w:lang w:val="en-GB"/>
                    </w:rPr>
                    <w:t>集中收集后外售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continue"/>
                  <w:vAlign w:val="center"/>
                </w:tcPr>
                <w:p>
                  <w:pPr>
                    <w:pStyle w:val="52"/>
                    <w:widowControl w:val="0"/>
                    <w:rPr>
                      <w:lang w:val="en-GB"/>
                    </w:rPr>
                  </w:pPr>
                </w:p>
              </w:tc>
              <w:tc>
                <w:tcPr>
                  <w:tcW w:w="1940" w:type="dxa"/>
                  <w:gridSpan w:val="2"/>
                  <w:vAlign w:val="center"/>
                </w:tcPr>
                <w:p>
                  <w:pPr>
                    <w:pStyle w:val="52"/>
                    <w:widowControl w:val="0"/>
                    <w:rPr>
                      <w:lang w:val="en-GB"/>
                    </w:rPr>
                  </w:pPr>
                  <w:r>
                    <w:rPr>
                      <w:rFonts w:hint="eastAsia"/>
                      <w:lang w:val="en-GB"/>
                    </w:rPr>
                    <w:t>一体化污水处理</w:t>
                  </w:r>
                </w:p>
                <w:p>
                  <w:pPr>
                    <w:pStyle w:val="52"/>
                    <w:widowControl w:val="0"/>
                    <w:rPr>
                      <w:lang w:val="en-GB"/>
                    </w:rPr>
                  </w:pPr>
                  <w:r>
                    <w:rPr>
                      <w:rFonts w:hint="eastAsia"/>
                      <w:lang w:val="en-GB"/>
                    </w:rPr>
                    <w:t>设备</w:t>
                  </w:r>
                </w:p>
              </w:tc>
              <w:tc>
                <w:tcPr>
                  <w:tcW w:w="2890" w:type="dxa"/>
                  <w:vAlign w:val="center"/>
                </w:tcPr>
                <w:p>
                  <w:pPr>
                    <w:pStyle w:val="52"/>
                    <w:widowControl w:val="0"/>
                    <w:rPr>
                      <w:lang w:val="en-GB"/>
                    </w:rPr>
                  </w:pPr>
                  <w:r>
                    <w:rPr>
                      <w:lang w:val="en-GB"/>
                    </w:rPr>
                    <w:t>污泥</w:t>
                  </w:r>
                </w:p>
              </w:tc>
              <w:tc>
                <w:tcPr>
                  <w:tcW w:w="2890" w:type="dxa"/>
                  <w:vAlign w:val="center"/>
                </w:tcPr>
                <w:p>
                  <w:pPr>
                    <w:pStyle w:val="52"/>
                    <w:widowControl w:val="0"/>
                    <w:rPr>
                      <w:lang w:val="en-GB"/>
                    </w:rPr>
                  </w:pPr>
                  <w:r>
                    <w:rPr>
                      <w:rFonts w:hint="eastAsia"/>
                      <w:lang w:val="en-GB"/>
                    </w:rPr>
                    <w:t>集中收集后外售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5" w:type="dxa"/>
                  <w:vMerge w:val="continue"/>
                  <w:vAlign w:val="center"/>
                </w:tcPr>
                <w:p>
                  <w:pPr>
                    <w:pStyle w:val="52"/>
                    <w:widowControl w:val="0"/>
                    <w:rPr>
                      <w:lang w:val="en-GB"/>
                    </w:rPr>
                  </w:pPr>
                </w:p>
              </w:tc>
              <w:tc>
                <w:tcPr>
                  <w:tcW w:w="1940" w:type="dxa"/>
                  <w:gridSpan w:val="2"/>
                  <w:vAlign w:val="center"/>
                </w:tcPr>
                <w:p>
                  <w:pPr>
                    <w:pStyle w:val="52"/>
                    <w:widowControl w:val="0"/>
                    <w:rPr>
                      <w:lang w:val="en-GB"/>
                    </w:rPr>
                  </w:pPr>
                  <w:r>
                    <w:rPr>
                      <w:rFonts w:hint="eastAsia"/>
                      <w:lang w:val="en-GB"/>
                    </w:rPr>
                    <w:t>职工生活</w:t>
                  </w:r>
                </w:p>
              </w:tc>
              <w:tc>
                <w:tcPr>
                  <w:tcW w:w="2890" w:type="dxa"/>
                  <w:vAlign w:val="center"/>
                </w:tcPr>
                <w:p>
                  <w:pPr>
                    <w:pStyle w:val="52"/>
                    <w:widowControl w:val="0"/>
                    <w:rPr>
                      <w:lang w:val="en-GB"/>
                    </w:rPr>
                  </w:pPr>
                  <w:r>
                    <w:rPr>
                      <w:lang w:val="en-GB"/>
                    </w:rPr>
                    <w:t>生活垃圾</w:t>
                  </w:r>
                </w:p>
              </w:tc>
              <w:tc>
                <w:tcPr>
                  <w:tcW w:w="2890" w:type="dxa"/>
                  <w:vAlign w:val="center"/>
                </w:tcPr>
                <w:p>
                  <w:pPr>
                    <w:pStyle w:val="52"/>
                    <w:widowControl w:val="0"/>
                    <w:rPr>
                      <w:lang w:val="en-GB"/>
                    </w:rPr>
                  </w:pPr>
                  <w:r>
                    <w:rPr>
                      <w:rFonts w:hint="eastAsia"/>
                      <w:lang w:val="en-GB"/>
                    </w:rPr>
                    <w:t>环卫清运</w:t>
                  </w:r>
                </w:p>
              </w:tc>
            </w:tr>
          </w:tbl>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40" w:hRule="atLeast"/>
          <w:jc w:val="center"/>
        </w:trPr>
        <w:tc>
          <w:tcPr>
            <w:tcW w:w="230" w:type="pct"/>
            <w:vAlign w:val="center"/>
          </w:tcPr>
          <w:p>
            <w:pPr>
              <w:pStyle w:val="52"/>
            </w:pPr>
            <w:r>
              <w:t>与项目有关的原有环境污染问题</w:t>
            </w:r>
          </w:p>
        </w:tc>
        <w:tc>
          <w:tcPr>
            <w:tcW w:w="4769" w:type="pct"/>
          </w:tcPr>
          <w:p>
            <w:pPr>
              <w:ind w:firstLine="480"/>
            </w:pPr>
            <w:r>
              <w:t>项目</w:t>
            </w:r>
            <w:r>
              <w:rPr>
                <w:rFonts w:hint="eastAsia"/>
              </w:rPr>
              <w:t>租赁福州元洪投资区（租赁福清市鸿昌食品有限公司1号车间1层）厂内</w:t>
            </w:r>
            <w:r>
              <w:rPr>
                <w:rStyle w:val="39"/>
                <w:rFonts w:hint="eastAsia"/>
              </w:rPr>
              <w:t>的</w:t>
            </w:r>
            <w:r>
              <w:rPr>
                <w:rFonts w:hint="eastAsia"/>
              </w:rPr>
              <w:t>现有</w:t>
            </w:r>
            <w:r>
              <w:rPr>
                <w:rFonts w:hint="eastAsia"/>
                <w:kern w:val="0"/>
                <w:szCs w:val="20"/>
              </w:rPr>
              <w:t>闲置厂房，无历史遗留问题，因此不存在原有环境污染问题。</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9" w:type="dxa"/>
                </w:tcPr>
                <w:p>
                  <w:pPr>
                    <w:ind w:firstLine="0" w:firstLineChars="0"/>
                  </w:pPr>
                  <w:r>
                    <w:drawing>
                      <wp:inline distT="0" distB="0" distL="0" distR="0">
                        <wp:extent cx="2618105" cy="19634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618105" cy="1963420"/>
                                </a:xfrm>
                                <a:prstGeom prst="rect">
                                  <a:avLst/>
                                </a:prstGeom>
                              </pic:spPr>
                            </pic:pic>
                          </a:graphicData>
                        </a:graphic>
                      </wp:inline>
                    </w:drawing>
                  </w:r>
                </w:p>
              </w:tc>
              <w:tc>
                <w:tcPr>
                  <w:tcW w:w="4339" w:type="dxa"/>
                </w:tcPr>
                <w:p>
                  <w:pPr>
                    <w:ind w:firstLine="0" w:firstLineChars="0"/>
                  </w:pPr>
                  <w:r>
                    <w:drawing>
                      <wp:inline distT="0" distB="0" distL="0" distR="0">
                        <wp:extent cx="2618105" cy="19634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618105" cy="19634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9" w:type="dxa"/>
                </w:tcPr>
                <w:p>
                  <w:pPr>
                    <w:spacing w:line="240" w:lineRule="auto"/>
                    <w:ind w:firstLine="0" w:firstLineChars="0"/>
                    <w:jc w:val="center"/>
                    <w:rPr>
                      <w:sz w:val="21"/>
                    </w:rPr>
                  </w:pPr>
                  <w:r>
                    <w:rPr>
                      <w:rFonts w:hint="eastAsia"/>
                      <w:sz w:val="21"/>
                    </w:rPr>
                    <w:t>车间</w:t>
                  </w:r>
                  <w:r>
                    <w:rPr>
                      <w:sz w:val="21"/>
                    </w:rPr>
                    <w:t>现状</w:t>
                  </w:r>
                  <w:r>
                    <w:rPr>
                      <w:rFonts w:hint="eastAsia"/>
                      <w:sz w:val="21"/>
                    </w:rPr>
                    <w:t>1</w:t>
                  </w:r>
                </w:p>
              </w:tc>
              <w:tc>
                <w:tcPr>
                  <w:tcW w:w="4339" w:type="dxa"/>
                </w:tcPr>
                <w:p>
                  <w:pPr>
                    <w:spacing w:line="240" w:lineRule="auto"/>
                    <w:ind w:firstLine="0" w:firstLineChars="0"/>
                    <w:jc w:val="center"/>
                    <w:rPr>
                      <w:sz w:val="21"/>
                    </w:rPr>
                  </w:pPr>
                  <w:r>
                    <w:rPr>
                      <w:sz w:val="21"/>
                    </w:rPr>
                    <w:t>车间现状</w:t>
                  </w:r>
                  <w:r>
                    <w:rPr>
                      <w:rFonts w:hint="eastAsia"/>
                      <w:sz w:val="21"/>
                    </w:rPr>
                    <w:t>2</w:t>
                  </w:r>
                </w:p>
              </w:tc>
            </w:tr>
          </w:tbl>
          <w:p>
            <w:pPr>
              <w:pStyle w:val="2"/>
            </w:pPr>
          </w:p>
        </w:tc>
      </w:tr>
    </w:tbl>
    <w:p>
      <w:pPr>
        <w:ind w:firstLine="720"/>
        <w:rPr>
          <w:snapToGrid w:val="0"/>
          <w:sz w:val="36"/>
          <w:szCs w:val="36"/>
        </w:rPr>
        <w:sectPr>
          <w:headerReference r:id="rId17" w:type="first"/>
          <w:footerReference r:id="rId20" w:type="first"/>
          <w:headerReference r:id="rId15" w:type="default"/>
          <w:footerReference r:id="rId18" w:type="default"/>
          <w:headerReference r:id="rId16" w:type="even"/>
          <w:footerReference r:id="rId19" w:type="even"/>
          <w:pgSz w:w="11905" w:h="16838"/>
          <w:pgMar w:top="1417" w:right="1417" w:bottom="1417" w:left="1417" w:header="851" w:footer="850" w:gutter="0"/>
          <w:cols w:space="720" w:num="1"/>
          <w:docGrid w:linePitch="312" w:charSpace="0"/>
        </w:sectPr>
      </w:pPr>
    </w:p>
    <w:p>
      <w:pPr>
        <w:pStyle w:val="3"/>
        <w:spacing w:before="120" w:after="120"/>
      </w:pPr>
      <w:r>
        <w:t>三、区域环境质量现状、环境保护目标及评价标准</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363" w:type="pct"/>
            <w:vAlign w:val="center"/>
          </w:tcPr>
          <w:p>
            <w:pPr>
              <w:pStyle w:val="52"/>
            </w:pPr>
            <w:r>
              <w:t>区域</w:t>
            </w:r>
          </w:p>
          <w:p>
            <w:pPr>
              <w:pStyle w:val="52"/>
            </w:pPr>
            <w:r>
              <w:t>环境</w:t>
            </w:r>
          </w:p>
          <w:p>
            <w:pPr>
              <w:pStyle w:val="52"/>
            </w:pPr>
            <w:r>
              <w:t>质量</w:t>
            </w:r>
          </w:p>
          <w:p>
            <w:pPr>
              <w:pStyle w:val="52"/>
            </w:pPr>
            <w:r>
              <w:t>现状</w:t>
            </w:r>
          </w:p>
        </w:tc>
        <w:tc>
          <w:tcPr>
            <w:tcW w:w="4637" w:type="pct"/>
            <w:vAlign w:val="center"/>
          </w:tcPr>
          <w:p>
            <w:pPr>
              <w:pStyle w:val="5"/>
              <w:spacing w:before="120" w:afterLines="0"/>
            </w:pPr>
            <w:bookmarkStart w:id="19" w:name="_Toc6917"/>
            <w:r>
              <w:rPr>
                <w:rFonts w:hint="eastAsia"/>
              </w:rPr>
              <w:t>3.1</w:t>
            </w:r>
            <w:r>
              <w:t>大气环境质量现状</w:t>
            </w:r>
            <w:bookmarkEnd w:id="19"/>
          </w:p>
          <w:p>
            <w:pPr>
              <w:widowControl/>
              <w:ind w:firstLine="480"/>
              <w:rPr>
                <w:kern w:val="0"/>
                <w:lang w:val="zh-CN" w:bidi="zh-CN"/>
                <w14:ligatures w14:val="standardContextual"/>
              </w:rPr>
            </w:pPr>
            <w:r>
              <w:rPr>
                <w:kern w:val="0"/>
                <w:lang w:val="zh-CN" w:bidi="zh-CN"/>
                <w14:ligatures w14:val="standardContextual"/>
              </w:rPr>
              <w:t>根据《202</w:t>
            </w:r>
            <w:r>
              <w:rPr>
                <w:rFonts w:hint="eastAsia"/>
                <w:kern w:val="0"/>
                <w:lang w:val="zh-CN" w:bidi="zh-CN"/>
                <w14:ligatures w14:val="standardContextual"/>
              </w:rPr>
              <w:t>3</w:t>
            </w:r>
            <w:r>
              <w:rPr>
                <w:kern w:val="0"/>
                <w:lang w:val="zh-CN" w:bidi="zh-CN"/>
                <w14:ligatures w14:val="standardContextual"/>
              </w:rPr>
              <w:t>年福州市环境状况公报》，全省68个城市(9个设区城市、平潭综合实验区和58个县级城市)环境空气中细颗粒物、可吸入颗粒物、二氧化硫和二氧化氮年均浓度分别为16微克/立方米、31微克/立方米、5微克/立方米和12微克/立方米，臭氧和一氧化碳特定百分位数平均值分别为113微克/立方米和0.8毫克/立方米。按照《环境空气质量标准》(CB3095-2012)评价，空气质量优良天数比例99.4%。</w:t>
            </w:r>
          </w:p>
          <w:p>
            <w:pPr>
              <w:topLinePunct/>
              <w:adjustRightInd w:val="0"/>
              <w:snapToGrid w:val="0"/>
              <w:ind w:firstLine="480"/>
              <w:jc w:val="left"/>
              <w:rPr>
                <w:kern w:val="0"/>
                <w:sz w:val="21"/>
                <w:szCs w:val="20"/>
              </w:rPr>
            </w:pPr>
            <w:r>
              <w:rPr>
                <w:kern w:val="0"/>
              </w:rPr>
              <w:t>根据福州市福清生态环境局发布的202</w:t>
            </w:r>
            <w:r>
              <w:rPr>
                <w:rFonts w:hint="eastAsia"/>
                <w:kern w:val="0"/>
              </w:rPr>
              <w:t>3</w:t>
            </w:r>
            <w:r>
              <w:rPr>
                <w:kern w:val="0"/>
              </w:rPr>
              <w:t>年1月至202</w:t>
            </w:r>
            <w:r>
              <w:rPr>
                <w:rFonts w:hint="eastAsia"/>
                <w:kern w:val="0"/>
              </w:rPr>
              <w:t>3</w:t>
            </w:r>
            <w:r>
              <w:rPr>
                <w:kern w:val="0"/>
              </w:rPr>
              <w:t>年12月空气质量月报数据，详见表3.1-1，空气环境中SO</w:t>
            </w:r>
            <w:r>
              <w:rPr>
                <w:kern w:val="0"/>
                <w:vertAlign w:val="subscript"/>
              </w:rPr>
              <w:t>2</w:t>
            </w:r>
            <w:r>
              <w:rPr>
                <w:kern w:val="0"/>
              </w:rPr>
              <w:t>、NO</w:t>
            </w:r>
            <w:r>
              <w:rPr>
                <w:kern w:val="0"/>
                <w:vertAlign w:val="subscript"/>
              </w:rPr>
              <w:t>2</w:t>
            </w:r>
            <w:r>
              <w:rPr>
                <w:kern w:val="0"/>
              </w:rPr>
              <w:t>、PM</w:t>
            </w:r>
            <w:r>
              <w:rPr>
                <w:kern w:val="0"/>
                <w:vertAlign w:val="subscript"/>
              </w:rPr>
              <w:t>10</w:t>
            </w:r>
            <w:r>
              <w:rPr>
                <w:kern w:val="0"/>
              </w:rPr>
              <w:t>和PM</w:t>
            </w:r>
            <w:r>
              <w:rPr>
                <w:kern w:val="0"/>
                <w:vertAlign w:val="subscript"/>
              </w:rPr>
              <w:t>2.5</w:t>
            </w:r>
            <w:r>
              <w:rPr>
                <w:kern w:val="0"/>
              </w:rPr>
              <w:t>均未超过国家二级标准，CO日均值第95百分数和O</w:t>
            </w:r>
            <w:r>
              <w:rPr>
                <w:kern w:val="0"/>
                <w:vertAlign w:val="subscript"/>
              </w:rPr>
              <w:t>3</w:t>
            </w:r>
            <w:r>
              <w:rPr>
                <w:kern w:val="0"/>
              </w:rPr>
              <w:t>最大8小时值第90百分数未超过国家二级标准。</w:t>
            </w:r>
          </w:p>
          <w:p>
            <w:pPr>
              <w:spacing w:line="240" w:lineRule="auto"/>
              <w:ind w:firstLine="0" w:firstLineChars="0"/>
              <w:jc w:val="center"/>
              <w:rPr>
                <w:b/>
              </w:rPr>
            </w:pPr>
            <w:r>
              <w:rPr>
                <w:rFonts w:hint="eastAsia"/>
                <w:b/>
              </w:rPr>
              <w:t>表3.1-1  福清市2023年1月份-2023年12月份环境空气质量统计表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34"/>
              <w:gridCol w:w="1134"/>
              <w:gridCol w:w="1134"/>
              <w:gridCol w:w="1134"/>
              <w:gridCol w:w="1134"/>
              <w:gridCol w:w="11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时间</w:t>
                  </w:r>
                </w:p>
              </w:tc>
              <w:tc>
                <w:tcPr>
                  <w:tcW w:w="1134" w:type="dxa"/>
                  <w:vAlign w:val="center"/>
                </w:tcPr>
                <w:p>
                  <w:pPr>
                    <w:spacing w:line="240" w:lineRule="auto"/>
                    <w:ind w:firstLine="0" w:firstLineChars="0"/>
                    <w:jc w:val="center"/>
                    <w:rPr>
                      <w:sz w:val="21"/>
                    </w:rPr>
                  </w:pPr>
                  <w:r>
                    <w:rPr>
                      <w:rFonts w:hint="eastAsia"/>
                      <w:sz w:val="21"/>
                    </w:rPr>
                    <w:t>SO</w:t>
                  </w:r>
                  <w:r>
                    <w:rPr>
                      <w:rFonts w:hint="eastAsia"/>
                      <w:sz w:val="21"/>
                      <w:vertAlign w:val="subscript"/>
                    </w:rPr>
                    <w:t>2</w:t>
                  </w:r>
                </w:p>
              </w:tc>
              <w:tc>
                <w:tcPr>
                  <w:tcW w:w="1134" w:type="dxa"/>
                  <w:vAlign w:val="center"/>
                </w:tcPr>
                <w:p>
                  <w:pPr>
                    <w:spacing w:line="240" w:lineRule="auto"/>
                    <w:ind w:firstLine="0" w:firstLineChars="0"/>
                    <w:jc w:val="center"/>
                    <w:rPr>
                      <w:sz w:val="21"/>
                    </w:rPr>
                  </w:pPr>
                  <w:r>
                    <w:rPr>
                      <w:sz w:val="21"/>
                    </w:rPr>
                    <w:t>NO</w:t>
                  </w:r>
                  <w:r>
                    <w:rPr>
                      <w:sz w:val="21"/>
                      <w:vertAlign w:val="subscript"/>
                    </w:rPr>
                    <w:t>2</w:t>
                  </w:r>
                </w:p>
              </w:tc>
              <w:tc>
                <w:tcPr>
                  <w:tcW w:w="1134" w:type="dxa"/>
                  <w:vAlign w:val="center"/>
                </w:tcPr>
                <w:p>
                  <w:pPr>
                    <w:spacing w:line="240" w:lineRule="auto"/>
                    <w:ind w:firstLine="0" w:firstLineChars="0"/>
                    <w:jc w:val="center"/>
                    <w:rPr>
                      <w:sz w:val="21"/>
                      <w:vertAlign w:val="subscript"/>
                    </w:rPr>
                  </w:pPr>
                  <w:r>
                    <w:rPr>
                      <w:rFonts w:hint="eastAsia"/>
                      <w:sz w:val="21"/>
                    </w:rPr>
                    <w:t>PM</w:t>
                  </w:r>
                  <w:r>
                    <w:rPr>
                      <w:rFonts w:hint="eastAsia"/>
                      <w:sz w:val="21"/>
                      <w:vertAlign w:val="subscript"/>
                    </w:rPr>
                    <w:t>10</w:t>
                  </w:r>
                </w:p>
              </w:tc>
              <w:tc>
                <w:tcPr>
                  <w:tcW w:w="1134" w:type="dxa"/>
                  <w:vAlign w:val="center"/>
                </w:tcPr>
                <w:p>
                  <w:pPr>
                    <w:spacing w:line="240" w:lineRule="auto"/>
                    <w:ind w:firstLine="0" w:firstLineChars="0"/>
                    <w:jc w:val="center"/>
                    <w:rPr>
                      <w:sz w:val="21"/>
                    </w:rPr>
                  </w:pPr>
                  <w:r>
                    <w:rPr>
                      <w:rFonts w:hint="eastAsia"/>
                      <w:sz w:val="21"/>
                    </w:rPr>
                    <w:t>PM</w:t>
                  </w:r>
                  <w:r>
                    <w:rPr>
                      <w:rFonts w:hint="eastAsia"/>
                      <w:sz w:val="21"/>
                      <w:vertAlign w:val="subscript"/>
                    </w:rPr>
                    <w:t>2.5</w:t>
                  </w:r>
                </w:p>
              </w:tc>
              <w:tc>
                <w:tcPr>
                  <w:tcW w:w="1134" w:type="dxa"/>
                  <w:vAlign w:val="center"/>
                </w:tcPr>
                <w:p>
                  <w:pPr>
                    <w:spacing w:line="240" w:lineRule="auto"/>
                    <w:ind w:firstLine="0" w:firstLineChars="0"/>
                    <w:jc w:val="center"/>
                    <w:rPr>
                      <w:sz w:val="21"/>
                    </w:rPr>
                  </w:pPr>
                  <w:r>
                    <w:rPr>
                      <w:rFonts w:hint="eastAsia"/>
                      <w:sz w:val="21"/>
                    </w:rPr>
                    <w:t>CO</w:t>
                  </w:r>
                </w:p>
              </w:tc>
              <w:tc>
                <w:tcPr>
                  <w:tcW w:w="1133" w:type="dxa"/>
                  <w:vAlign w:val="center"/>
                </w:tcPr>
                <w:p>
                  <w:pPr>
                    <w:spacing w:line="240" w:lineRule="auto"/>
                    <w:ind w:firstLine="0" w:firstLineChars="0"/>
                    <w:jc w:val="center"/>
                    <w:rPr>
                      <w:sz w:val="21"/>
                    </w:rPr>
                  </w:pPr>
                  <w:r>
                    <w:rPr>
                      <w:sz w:val="21"/>
                    </w:rPr>
                    <w:t>O</w:t>
                  </w:r>
                  <w:r>
                    <w:rPr>
                      <w:rFonts w:hint="eastAsia"/>
                      <w:bCs/>
                      <w:sz w:val="21"/>
                      <w:vertAlign w:val="sub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2023年1月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2023年2月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2023年3月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2023年4月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2023年5月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2023年6月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2023年7月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2023年8月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2023年9月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2023年10月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2023年11月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2023年12月</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国家</w:t>
                  </w:r>
                  <w:r>
                    <w:rPr>
                      <w:sz w:val="21"/>
                    </w:rPr>
                    <w:t>二级标准</w:t>
                  </w: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4" w:type="dxa"/>
                  <w:vAlign w:val="center"/>
                </w:tcPr>
                <w:p>
                  <w:pPr>
                    <w:spacing w:line="240" w:lineRule="auto"/>
                    <w:ind w:firstLine="0" w:firstLineChars="0"/>
                    <w:jc w:val="center"/>
                    <w:rPr>
                      <w:sz w:val="21"/>
                    </w:rPr>
                  </w:pPr>
                </w:p>
              </w:tc>
              <w:tc>
                <w:tcPr>
                  <w:tcW w:w="1133"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594" w:type="dxa"/>
                  <w:vAlign w:val="center"/>
                </w:tcPr>
                <w:p>
                  <w:pPr>
                    <w:spacing w:line="240" w:lineRule="auto"/>
                    <w:ind w:firstLine="0" w:firstLineChars="0"/>
                    <w:jc w:val="center"/>
                    <w:rPr>
                      <w:sz w:val="21"/>
                    </w:rPr>
                  </w:pPr>
                  <w:r>
                    <w:rPr>
                      <w:rFonts w:hint="eastAsia"/>
                      <w:sz w:val="21"/>
                    </w:rPr>
                    <w:t>达标情况</w:t>
                  </w:r>
                </w:p>
              </w:tc>
              <w:tc>
                <w:tcPr>
                  <w:tcW w:w="6803" w:type="dxa"/>
                  <w:gridSpan w:val="6"/>
                  <w:vAlign w:val="center"/>
                </w:tcPr>
                <w:p>
                  <w:pPr>
                    <w:spacing w:line="240" w:lineRule="auto"/>
                    <w:ind w:firstLine="0" w:firstLineChars="0"/>
                    <w:jc w:val="center"/>
                    <w:rPr>
                      <w:sz w:val="21"/>
                    </w:rPr>
                  </w:pPr>
                  <w:r>
                    <w:rPr>
                      <w:sz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8397" w:type="dxa"/>
                  <w:gridSpan w:val="7"/>
                  <w:vAlign w:val="center"/>
                </w:tcPr>
                <w:p>
                  <w:pPr>
                    <w:spacing w:line="240" w:lineRule="auto"/>
                    <w:ind w:firstLine="0" w:firstLineChars="0"/>
                    <w:jc w:val="center"/>
                    <w:rPr>
                      <w:sz w:val="21"/>
                    </w:rPr>
                  </w:pPr>
                  <w:r>
                    <w:rPr>
                      <w:rFonts w:hint="eastAsia"/>
                      <w:sz w:val="21"/>
                    </w:rPr>
                    <w:t>注：单位</w:t>
                  </w:r>
                  <w:r>
                    <w:rPr>
                      <w:sz w:val="21"/>
                    </w:rPr>
                    <w:t>mg/m</w:t>
                  </w:r>
                  <w:r>
                    <w:rPr>
                      <w:sz w:val="21"/>
                      <w:vertAlign w:val="superscript"/>
                    </w:rPr>
                    <w:t>3</w:t>
                  </w:r>
                  <w:r>
                    <w:rPr>
                      <w:rFonts w:hint="eastAsia"/>
                      <w:sz w:val="21"/>
                    </w:rPr>
                    <w:t xml:space="preserve"> ；CO为日均值第95百分位数，O</w:t>
                  </w:r>
                  <w:r>
                    <w:rPr>
                      <w:rFonts w:hint="eastAsia"/>
                      <w:sz w:val="21"/>
                      <w:vertAlign w:val="subscript"/>
                    </w:rPr>
                    <w:t>3</w:t>
                  </w:r>
                  <w:r>
                    <w:rPr>
                      <w:rFonts w:hint="eastAsia"/>
                      <w:sz w:val="21"/>
                    </w:rPr>
                    <w:t>为日最大8小时值第90百分位数。</w:t>
                  </w:r>
                </w:p>
              </w:tc>
            </w:tr>
          </w:tbl>
          <w:p>
            <w:pPr>
              <w:pStyle w:val="172"/>
            </w:pPr>
            <w:r>
              <w:rPr>
                <w:rFonts w:hint="eastAsia"/>
              </w:rPr>
              <w:t>综上所述，</w:t>
            </w:r>
            <w:r>
              <w:t>福清市大气环境质量现状符合《环境空气质量标准》（GB3095-2012）的二级标准要求，城市环境空气质量达标，为达标区。</w:t>
            </w:r>
          </w:p>
          <w:p>
            <w:pPr>
              <w:pStyle w:val="172"/>
              <w:rPr>
                <w:bCs w:val="0"/>
                <w:kern w:val="24"/>
              </w:rPr>
            </w:pPr>
            <w:r>
              <w:rPr>
                <w:rFonts w:hint="eastAsia"/>
                <w:bCs w:val="0"/>
                <w:kern w:val="24"/>
              </w:rPr>
              <w:t>在项目投料过程中，由熟练工人操作，大米呈大颗粒状，且投料工序设置于封闭车间内，因此不会产生粉尘，故本评价无需对TSP进行现状监测。</w:t>
            </w:r>
          </w:p>
          <w:p>
            <w:pPr>
              <w:ind w:firstLine="0" w:firstLineChars="0"/>
              <w:rPr>
                <w:b/>
              </w:rPr>
            </w:pPr>
            <w:r>
              <w:rPr>
                <w:rFonts w:hint="eastAsia"/>
                <w:b/>
              </w:rPr>
              <w:t>3</w:t>
            </w:r>
            <w:r>
              <w:rPr>
                <w:b/>
              </w:rPr>
              <w:t>.</w:t>
            </w:r>
            <w:r>
              <w:rPr>
                <w:rFonts w:hint="eastAsia"/>
                <w:b/>
              </w:rPr>
              <w:t>2</w:t>
            </w:r>
            <w:r>
              <w:rPr>
                <w:b/>
              </w:rPr>
              <w:t>地表水环境质量现状</w:t>
            </w:r>
          </w:p>
          <w:p>
            <w:pPr>
              <w:ind w:firstLine="0" w:firstLineChars="0"/>
              <w:rPr>
                <w:b/>
              </w:rPr>
            </w:pPr>
            <w:r>
              <w:rPr>
                <w:rFonts w:hint="eastAsia"/>
                <w:b/>
              </w:rPr>
              <w:t>3.2.1地表水环境质量现状</w:t>
            </w:r>
          </w:p>
          <w:p>
            <w:pPr>
              <w:pStyle w:val="168"/>
              <w:ind w:firstLine="480"/>
              <w:rPr>
                <w:lang w:bidi="zh-CN"/>
              </w:rPr>
            </w:pPr>
            <w:r>
              <w:rPr>
                <w:lang w:bidi="zh-CN"/>
              </w:rPr>
              <w:t>项目周边地表水</w:t>
            </w:r>
            <w:r>
              <w:rPr>
                <w:rFonts w:hint="eastAsia"/>
                <w:lang w:bidi="zh-CN"/>
              </w:rPr>
              <w:t>为</w:t>
            </w:r>
            <w:bookmarkStart w:id="20" w:name="OLE_LINK15"/>
            <w:r>
              <w:rPr>
                <w:rFonts w:hint="eastAsia"/>
                <w:lang w:bidi="zh-CN"/>
              </w:rPr>
              <w:t>东皋溪</w:t>
            </w:r>
            <w:bookmarkEnd w:id="20"/>
            <w:r>
              <w:rPr>
                <w:rFonts w:hint="eastAsia"/>
                <w:lang w:bidi="zh-CN"/>
              </w:rPr>
              <w:t>和福清湾</w:t>
            </w:r>
            <w:r>
              <w:rPr>
                <w:lang w:bidi="zh-CN"/>
              </w:rPr>
              <w:t>，根据《202</w:t>
            </w:r>
            <w:r>
              <w:rPr>
                <w:rFonts w:hint="eastAsia"/>
                <w:lang w:bidi="zh-CN"/>
              </w:rPr>
              <w:t>3</w:t>
            </w:r>
            <w:r>
              <w:rPr>
                <w:lang w:bidi="zh-CN"/>
              </w:rPr>
              <w:t>年福州市环境状况公报》，纳入福建省地表水环境质量考核的375个断面(含国考断面)，按照评价标准Ⅰ~Ⅲ类水质比例99.5%，同比上升0.8个百分点；其中Ⅰ~Ⅱ类水质比例65.3%，同比上升9.8个百分点；Ⅳ类占0.5%；无V类和劣V类断面。</w:t>
            </w:r>
          </w:p>
          <w:p>
            <w:pPr>
              <w:pStyle w:val="168"/>
              <w:ind w:firstLine="480"/>
            </w:pPr>
            <w:r>
              <w:t>2023年，全省9个设区城市主要流域水质均为优。除漳州外，其余8个城市Ⅰ~Ⅲ类水质断面比例均为100%。各设区城市主要流域水质按照水质指数从相对较好开始排名，具体为：南平、宁德、泉州、三明、龙岩、莆田、厦门、福州、漳州。由此可知</w:t>
            </w:r>
            <w:r>
              <w:rPr>
                <w:rFonts w:hint="eastAsia"/>
                <w:lang w:bidi="zh-CN"/>
              </w:rPr>
              <w:t>东皋溪和福清湾</w:t>
            </w:r>
            <w:r>
              <w:t xml:space="preserve">可达到《 地表水环境质量标准 》 (GB3838-2002) </w:t>
            </w:r>
            <w:r>
              <w:rPr>
                <w:rFonts w:hint="eastAsia"/>
              </w:rPr>
              <w:t>Ⅲ</w:t>
            </w:r>
            <w:r>
              <w:t>类水标准。</w:t>
            </w:r>
          </w:p>
          <w:p>
            <w:pPr>
              <w:pStyle w:val="5"/>
              <w:spacing w:before="120" w:afterLines="0"/>
            </w:pPr>
            <w:r>
              <w:rPr>
                <w:rFonts w:hint="eastAsia"/>
              </w:rPr>
              <w:t>3.3</w:t>
            </w:r>
            <w:r>
              <w:t>声环境质量现状</w:t>
            </w:r>
          </w:p>
          <w:p>
            <w:pPr>
              <w:pStyle w:val="43"/>
              <w:ind w:firstLine="480" w:firstLineChars="200"/>
              <w:jc w:val="left"/>
              <w:rPr>
                <w:b w:val="0"/>
              </w:rPr>
            </w:pPr>
            <w:r>
              <w:rPr>
                <w:b w:val="0"/>
              </w:rPr>
              <w:t>厂界周边50m范围内不存在声环境保护目标，</w:t>
            </w:r>
            <w:r>
              <w:rPr>
                <w:rFonts w:hint="eastAsia"/>
                <w:b w:val="0"/>
              </w:rPr>
              <w:t>根据</w:t>
            </w:r>
            <w:r>
              <w:rPr>
                <w:b w:val="0"/>
              </w:rPr>
              <w:t>《建设项目环境影响报告表编制技术指南》（污染影响类）（试行）</w:t>
            </w:r>
            <w:r>
              <w:rPr>
                <w:rFonts w:hint="eastAsia"/>
                <w:b w:val="0"/>
              </w:rPr>
              <w:t>，无需对声环境质量现状进行监测。</w:t>
            </w:r>
          </w:p>
          <w:p>
            <w:pPr>
              <w:pStyle w:val="5"/>
              <w:spacing w:before="120" w:afterLines="0"/>
            </w:pPr>
            <w:r>
              <w:rPr>
                <w:rFonts w:hint="eastAsia"/>
              </w:rPr>
              <w:t>3.4</w:t>
            </w:r>
            <w:r>
              <w:t>生态环境质量现状</w:t>
            </w:r>
          </w:p>
          <w:p>
            <w:pPr>
              <w:pStyle w:val="5"/>
              <w:spacing w:before="120" w:afterLines="0"/>
              <w:ind w:firstLine="480" w:firstLineChars="200"/>
              <w:rPr>
                <w:b w:val="0"/>
                <w:sz w:val="24"/>
              </w:rPr>
            </w:pPr>
            <w:r>
              <w:rPr>
                <w:rFonts w:hint="eastAsia"/>
                <w:b w:val="0"/>
                <w:sz w:val="24"/>
              </w:rPr>
              <w:t>项目租赁现有厂房，位于工业园区，不涉及生态环境保护目标，故项目无需进行生态现状调查。</w:t>
            </w:r>
          </w:p>
          <w:p>
            <w:pPr>
              <w:pStyle w:val="5"/>
              <w:spacing w:before="120" w:afterLines="0"/>
            </w:pPr>
            <w:r>
              <w:rPr>
                <w:rFonts w:hint="eastAsia"/>
              </w:rPr>
              <w:t>3.5</w:t>
            </w:r>
            <w:r>
              <w:t>电磁辐射环境质量现状</w:t>
            </w:r>
          </w:p>
          <w:p>
            <w:pPr>
              <w:pStyle w:val="5"/>
              <w:spacing w:before="120" w:afterLines="0"/>
              <w:ind w:firstLine="480" w:firstLineChars="200"/>
              <w:rPr>
                <w:b w:val="0"/>
                <w:sz w:val="24"/>
              </w:rPr>
            </w:pPr>
            <w:r>
              <w:rPr>
                <w:b w:val="0"/>
                <w:sz w:val="24"/>
              </w:rPr>
              <w:t>项目不属于新建、改建、扩建广播电台、差转台、电视塔台、卫星地球上行站、雷达等电磁辐射类项目，故无需进行电磁辐射现状监测与评价。</w:t>
            </w:r>
          </w:p>
          <w:p>
            <w:pPr>
              <w:pStyle w:val="5"/>
              <w:spacing w:before="120" w:afterLines="0"/>
            </w:pPr>
            <w:r>
              <w:rPr>
                <w:rFonts w:hint="eastAsia"/>
              </w:rPr>
              <w:t>3.6地下水</w:t>
            </w:r>
            <w:r>
              <w:t>、土壤环境质量现状</w:t>
            </w:r>
          </w:p>
          <w:p>
            <w:pPr>
              <w:ind w:firstLine="480"/>
              <w:rPr>
                <w:bCs/>
              </w:rPr>
            </w:pPr>
            <w:r>
              <w:rPr>
                <w:rFonts w:hint="eastAsia"/>
                <w:bCs/>
              </w:rPr>
              <w:t>根据《建设项目环境影响报告表编制技术指南(污染影响类)(试行)》(环办环评〔2020〕33号)规定，“原则上不开展环境质量现状调查。建设项目存在土壤、地下水环境污染途径的，应结合污染源、保护目标分布情况开展现状调查以留作背景值”。</w:t>
            </w:r>
          </w:p>
          <w:p>
            <w:pPr>
              <w:ind w:firstLine="480"/>
              <w:rPr>
                <w:bCs/>
              </w:rPr>
            </w:pPr>
            <w:r>
              <w:rPr>
                <w:rFonts w:hint="eastAsia"/>
                <w:bCs/>
              </w:rPr>
              <w:t>项目位于福州元洪投资区（租赁福清市鸿昌食品有限公司1号车间1层），根据现场勘查，周边以工业企业为主；项目周边地下水、土壤环境相对不敏感，采取有效的防渗措施后，项目对地下水、土壤环境影响很小，基本不存在土壤、地下水环境污染途径，因此，本评价不对项目地下水、土壤环境质量进行补充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8" w:hRule="atLeast"/>
          <w:jc w:val="center"/>
        </w:trPr>
        <w:tc>
          <w:tcPr>
            <w:tcW w:w="363" w:type="pct"/>
            <w:vAlign w:val="center"/>
          </w:tcPr>
          <w:p>
            <w:pPr>
              <w:pStyle w:val="52"/>
            </w:pPr>
            <w:r>
              <w:t>环境</w:t>
            </w:r>
          </w:p>
          <w:p>
            <w:pPr>
              <w:pStyle w:val="52"/>
            </w:pPr>
            <w:r>
              <w:t>保护</w:t>
            </w:r>
          </w:p>
          <w:p>
            <w:pPr>
              <w:pStyle w:val="52"/>
            </w:pPr>
            <w:r>
              <w:t>目标</w:t>
            </w:r>
          </w:p>
        </w:tc>
        <w:tc>
          <w:tcPr>
            <w:tcW w:w="4637" w:type="pct"/>
            <w:vAlign w:val="center"/>
          </w:tcPr>
          <w:p>
            <w:pPr>
              <w:pStyle w:val="5"/>
              <w:spacing w:beforeLines="0" w:afterLines="0"/>
            </w:pPr>
            <w:r>
              <w:rPr>
                <w:rFonts w:hint="eastAsia"/>
              </w:rPr>
              <w:t>3.6</w:t>
            </w:r>
            <w:r>
              <w:t>环境保护目标</w:t>
            </w:r>
          </w:p>
          <w:p>
            <w:pPr>
              <w:ind w:firstLine="480"/>
            </w:pPr>
            <w:r>
              <w:t>项目环境保护目标详见表3.</w:t>
            </w:r>
            <w:r>
              <w:rPr>
                <w:rFonts w:hint="eastAsia"/>
              </w:rPr>
              <w:t>6</w:t>
            </w:r>
            <w:r>
              <w:t>-1；项目评价范围内环境保护目标见附图</w:t>
            </w:r>
            <w:r>
              <w:rPr>
                <w:rFonts w:hint="eastAsia"/>
              </w:rPr>
              <w:t>3</w:t>
            </w:r>
            <w:r>
              <w:t>。</w:t>
            </w:r>
          </w:p>
          <w:p>
            <w:pPr>
              <w:pStyle w:val="43"/>
              <w:spacing w:before="120" w:beforeLines="50" w:line="240" w:lineRule="auto"/>
            </w:pPr>
            <w:r>
              <w:t>表</w:t>
            </w:r>
            <w:r>
              <w:rPr>
                <w:rFonts w:hint="eastAsia"/>
              </w:rPr>
              <w:t>3.6</w:t>
            </w:r>
            <w:r>
              <w:t>-1  项目周边环境保护目标</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496"/>
              <w:gridCol w:w="1701"/>
              <w:gridCol w:w="1416"/>
              <w:gridCol w:w="143"/>
              <w:gridCol w:w="21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Align w:val="center"/>
                </w:tcPr>
                <w:p>
                  <w:pPr>
                    <w:pStyle w:val="52"/>
                  </w:pPr>
                  <w:r>
                    <w:t>环境要素</w:t>
                  </w:r>
                </w:p>
              </w:tc>
              <w:tc>
                <w:tcPr>
                  <w:tcW w:w="891" w:type="pct"/>
                  <w:vAlign w:val="center"/>
                </w:tcPr>
                <w:p>
                  <w:pPr>
                    <w:pStyle w:val="52"/>
                  </w:pPr>
                  <w:r>
                    <w:t>环境</w:t>
                  </w:r>
                  <w:r>
                    <w:rPr>
                      <w:rFonts w:hint="eastAsia"/>
                    </w:rPr>
                    <w:t>保护</w:t>
                  </w:r>
                  <w:r>
                    <w:t>目标</w:t>
                  </w:r>
                </w:p>
              </w:tc>
              <w:tc>
                <w:tcPr>
                  <w:tcW w:w="1013" w:type="pct"/>
                  <w:vAlign w:val="center"/>
                </w:tcPr>
                <w:p>
                  <w:pPr>
                    <w:pStyle w:val="52"/>
                  </w:pPr>
                  <w:r>
                    <w:t>与厂区最近距离</w:t>
                  </w:r>
                </w:p>
              </w:tc>
              <w:tc>
                <w:tcPr>
                  <w:tcW w:w="928" w:type="pct"/>
                  <w:gridSpan w:val="2"/>
                  <w:vAlign w:val="center"/>
                </w:tcPr>
                <w:p>
                  <w:pPr>
                    <w:pStyle w:val="52"/>
                  </w:pPr>
                  <w:r>
                    <w:rPr>
                      <w:rFonts w:hint="eastAsia"/>
                    </w:rPr>
                    <w:t>规模</w:t>
                  </w:r>
                  <w:r>
                    <w:t>（人）</w:t>
                  </w:r>
                </w:p>
              </w:tc>
              <w:tc>
                <w:tcPr>
                  <w:tcW w:w="1265" w:type="pct"/>
                  <w:vAlign w:val="center"/>
                </w:tcPr>
                <w:p>
                  <w:pPr>
                    <w:pStyle w:val="52"/>
                  </w:pPr>
                  <w:r>
                    <w:t>保护要求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Align w:val="center"/>
                </w:tcPr>
                <w:p>
                  <w:pPr>
                    <w:pStyle w:val="52"/>
                  </w:pPr>
                  <w:r>
                    <w:t>大气环境</w:t>
                  </w:r>
                </w:p>
              </w:tc>
              <w:tc>
                <w:tcPr>
                  <w:tcW w:w="4097" w:type="pct"/>
                  <w:gridSpan w:val="5"/>
                  <w:vAlign w:val="center"/>
                </w:tcPr>
                <w:p>
                  <w:pPr>
                    <w:pStyle w:val="52"/>
                  </w:pPr>
                  <w:r>
                    <w:rPr>
                      <w:rFonts w:hint="eastAsia"/>
                    </w:rPr>
                    <w:t>厂界外500m范围内无大气环境保护目标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3" w:type="pct"/>
                  <w:vAlign w:val="center"/>
                </w:tcPr>
                <w:p>
                  <w:pPr>
                    <w:pStyle w:val="52"/>
                  </w:pPr>
                  <w:r>
                    <w:t>水环境</w:t>
                  </w:r>
                </w:p>
              </w:tc>
              <w:tc>
                <w:tcPr>
                  <w:tcW w:w="891" w:type="pct"/>
                  <w:vAlign w:val="center"/>
                </w:tcPr>
                <w:p>
                  <w:pPr>
                    <w:pStyle w:val="52"/>
                  </w:pPr>
                  <w:r>
                    <w:rPr>
                      <w:rFonts w:hint="eastAsia"/>
                    </w:rPr>
                    <w:t>东皋溪</w:t>
                  </w:r>
                </w:p>
              </w:tc>
              <w:tc>
                <w:tcPr>
                  <w:tcW w:w="1013" w:type="pct"/>
                  <w:vAlign w:val="center"/>
                </w:tcPr>
                <w:p>
                  <w:pPr>
                    <w:pStyle w:val="52"/>
                  </w:pPr>
                  <w:r>
                    <w:t>东侧</w:t>
                  </w:r>
                  <w:r>
                    <w:rPr>
                      <w:rFonts w:hint="eastAsia"/>
                    </w:rPr>
                    <w:t>540米</w:t>
                  </w:r>
                </w:p>
              </w:tc>
              <w:tc>
                <w:tcPr>
                  <w:tcW w:w="843" w:type="pct"/>
                  <w:vAlign w:val="center"/>
                </w:tcPr>
                <w:p>
                  <w:pPr>
                    <w:pStyle w:val="52"/>
                  </w:pPr>
                  <w:r>
                    <w:rPr>
                      <w:rFonts w:hint="eastAsia"/>
                    </w:rPr>
                    <w:t>/</w:t>
                  </w:r>
                </w:p>
              </w:tc>
              <w:tc>
                <w:tcPr>
                  <w:tcW w:w="1350" w:type="pct"/>
                  <w:gridSpan w:val="2"/>
                  <w:vAlign w:val="center"/>
                </w:tcPr>
                <w:p>
                  <w:pPr>
                    <w:pStyle w:val="52"/>
                  </w:pPr>
                  <w:r>
                    <w:rPr>
                      <w:rFonts w:hint="eastAsia"/>
                    </w:rPr>
                    <w:t>《地表水环境质量标准》(GB3838-2002)中Ⅳ类标准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Align w:val="center"/>
                </w:tcPr>
                <w:p>
                  <w:pPr>
                    <w:pStyle w:val="52"/>
                  </w:pPr>
                  <w:r>
                    <w:t>声环境</w:t>
                  </w:r>
                </w:p>
              </w:tc>
              <w:tc>
                <w:tcPr>
                  <w:tcW w:w="4097" w:type="pct"/>
                  <w:gridSpan w:val="5"/>
                  <w:vAlign w:val="center"/>
                </w:tcPr>
                <w:p>
                  <w:pPr>
                    <w:pStyle w:val="52"/>
                  </w:pPr>
                  <w:r>
                    <w:rPr>
                      <w:rFonts w:hint="eastAsia"/>
                    </w:rPr>
                    <w:t>厂界外50m范围内无声环境保护目标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03" w:type="pct"/>
                  <w:vAlign w:val="center"/>
                </w:tcPr>
                <w:p>
                  <w:pPr>
                    <w:pStyle w:val="52"/>
                  </w:pPr>
                  <w:r>
                    <w:t>地下水</w:t>
                  </w:r>
                </w:p>
              </w:tc>
              <w:tc>
                <w:tcPr>
                  <w:tcW w:w="4097" w:type="pct"/>
                  <w:gridSpan w:val="5"/>
                  <w:vAlign w:val="center"/>
                </w:tcPr>
                <w:p>
                  <w:pPr>
                    <w:pStyle w:val="52"/>
                  </w:pPr>
                  <w:r>
                    <w:t>项目厂界外500m范围内无地下水集中式饮用水水源和热水、矿泉水、温泉等特殊地下水资源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32" w:hRule="atLeast"/>
                <w:jc w:val="center"/>
              </w:trPr>
              <w:tc>
                <w:tcPr>
                  <w:tcW w:w="903" w:type="pct"/>
                  <w:vAlign w:val="center"/>
                </w:tcPr>
                <w:p>
                  <w:pPr>
                    <w:pStyle w:val="52"/>
                  </w:pPr>
                  <w:r>
                    <w:t>生态环境</w:t>
                  </w:r>
                </w:p>
              </w:tc>
              <w:tc>
                <w:tcPr>
                  <w:tcW w:w="4097" w:type="pct"/>
                  <w:gridSpan w:val="5"/>
                  <w:vAlign w:val="center"/>
                </w:tcPr>
                <w:p>
                  <w:pPr>
                    <w:pStyle w:val="52"/>
                  </w:pPr>
                  <w:r>
                    <w:t>项目</w:t>
                  </w:r>
                  <w:r>
                    <w:rPr>
                      <w:rFonts w:hint="eastAsia"/>
                    </w:rPr>
                    <w:t>位于</w:t>
                  </w:r>
                  <w:r>
                    <w:rPr>
                      <w:rFonts w:hint="eastAsia"/>
                      <w:bCs/>
                    </w:rPr>
                    <w:t>福州元洪投资区</w:t>
                  </w:r>
                  <w:r>
                    <w:t>，项目用地范围内</w:t>
                  </w:r>
                  <w:r>
                    <w:rPr>
                      <w:bCs/>
                    </w:rPr>
                    <w:t>无生态环境保护目标</w:t>
                  </w:r>
                </w:p>
              </w:tc>
            </w:tr>
          </w:tbl>
          <w:p>
            <w:pPr>
              <w:pStyle w:val="52"/>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363" w:type="pct"/>
            <w:tcMar>
              <w:left w:w="28" w:type="dxa"/>
              <w:right w:w="28" w:type="dxa"/>
            </w:tcMar>
            <w:vAlign w:val="center"/>
          </w:tcPr>
          <w:p>
            <w:pPr>
              <w:pStyle w:val="52"/>
            </w:pPr>
            <w:r>
              <w:t>污染</w:t>
            </w:r>
          </w:p>
          <w:p>
            <w:pPr>
              <w:pStyle w:val="52"/>
            </w:pPr>
            <w:r>
              <w:t>物排</w:t>
            </w:r>
          </w:p>
          <w:p>
            <w:pPr>
              <w:pStyle w:val="52"/>
            </w:pPr>
            <w:r>
              <w:t>放控</w:t>
            </w:r>
          </w:p>
          <w:p>
            <w:pPr>
              <w:pStyle w:val="52"/>
            </w:pPr>
            <w:r>
              <w:t>制标</w:t>
            </w:r>
          </w:p>
          <w:p>
            <w:pPr>
              <w:pStyle w:val="52"/>
            </w:pPr>
            <w:r>
              <w:t>准</w:t>
            </w:r>
          </w:p>
        </w:tc>
        <w:tc>
          <w:tcPr>
            <w:tcW w:w="4637" w:type="pct"/>
            <w:vAlign w:val="center"/>
          </w:tcPr>
          <w:p>
            <w:pPr>
              <w:pStyle w:val="5"/>
              <w:spacing w:before="240" w:beforeLines="100" w:afterLines="0"/>
            </w:pPr>
            <w:r>
              <w:t>3.</w:t>
            </w:r>
            <w:r>
              <w:rPr>
                <w:rFonts w:hint="eastAsia"/>
              </w:rPr>
              <w:t>7</w:t>
            </w:r>
            <w:r>
              <w:t>大气污染物排放标准</w:t>
            </w:r>
          </w:p>
          <w:p>
            <w:pPr>
              <w:pStyle w:val="103"/>
              <w:spacing w:before="120" w:line="360" w:lineRule="auto"/>
              <w:ind w:firstLine="480" w:firstLineChars="200"/>
              <w:jc w:val="left"/>
              <w:rPr>
                <w:rFonts w:eastAsia="宋体" w:cs="Times New Roman"/>
                <w:b w:val="0"/>
                <w:color w:val="auto"/>
                <w:spacing w:val="0"/>
                <w:kern w:val="0"/>
                <w:szCs w:val="24"/>
              </w:rPr>
            </w:pPr>
            <w:r>
              <w:rPr>
                <w:rFonts w:hint="eastAsia" w:eastAsia="宋体" w:cs="Times New Roman"/>
                <w:b w:val="0"/>
                <w:color w:val="auto"/>
                <w:spacing w:val="0"/>
                <w:kern w:val="0"/>
                <w:szCs w:val="24"/>
              </w:rPr>
              <w:t>项目厂界</w:t>
            </w:r>
            <w:bookmarkStart w:id="21" w:name="OLE_LINK20"/>
            <w:r>
              <w:rPr>
                <w:rFonts w:hint="eastAsia" w:eastAsia="宋体" w:cs="Times New Roman"/>
                <w:b w:val="0"/>
                <w:color w:val="auto"/>
                <w:spacing w:val="0"/>
                <w:kern w:val="0"/>
                <w:szCs w:val="24"/>
              </w:rPr>
              <w:t>H</w:t>
            </w:r>
            <w:r>
              <w:rPr>
                <w:rFonts w:hint="eastAsia" w:eastAsia="宋体" w:cs="Times New Roman"/>
                <w:b w:val="0"/>
                <w:color w:val="auto"/>
                <w:spacing w:val="0"/>
                <w:kern w:val="0"/>
                <w:szCs w:val="24"/>
                <w:vertAlign w:val="subscript"/>
              </w:rPr>
              <w:t>2</w:t>
            </w:r>
            <w:r>
              <w:rPr>
                <w:rFonts w:hint="eastAsia" w:eastAsia="宋体" w:cs="Times New Roman"/>
                <w:b w:val="0"/>
                <w:color w:val="auto"/>
                <w:spacing w:val="0"/>
                <w:kern w:val="0"/>
                <w:szCs w:val="24"/>
              </w:rPr>
              <w:t>S</w:t>
            </w:r>
            <w:bookmarkEnd w:id="21"/>
            <w:r>
              <w:rPr>
                <w:rFonts w:hint="eastAsia" w:eastAsia="宋体" w:cs="Times New Roman"/>
                <w:b w:val="0"/>
                <w:color w:val="auto"/>
                <w:spacing w:val="0"/>
                <w:kern w:val="0"/>
                <w:szCs w:val="24"/>
              </w:rPr>
              <w:t>、</w:t>
            </w:r>
            <w:bookmarkStart w:id="22" w:name="OLE_LINK22"/>
            <w:r>
              <w:rPr>
                <w:rFonts w:hint="eastAsia" w:eastAsia="宋体" w:cs="Times New Roman"/>
                <w:b w:val="0"/>
                <w:color w:val="auto"/>
                <w:spacing w:val="0"/>
                <w:kern w:val="0"/>
                <w:szCs w:val="24"/>
              </w:rPr>
              <w:t>NH</w:t>
            </w:r>
            <w:r>
              <w:rPr>
                <w:rFonts w:hint="eastAsia" w:eastAsia="宋体" w:cs="Times New Roman"/>
                <w:b w:val="0"/>
                <w:color w:val="auto"/>
                <w:spacing w:val="0"/>
                <w:kern w:val="0"/>
                <w:szCs w:val="24"/>
                <w:vertAlign w:val="subscript"/>
              </w:rPr>
              <w:t>3</w:t>
            </w:r>
            <w:bookmarkEnd w:id="22"/>
            <w:r>
              <w:rPr>
                <w:rFonts w:hint="eastAsia" w:eastAsia="宋体" w:cs="Times New Roman"/>
                <w:b w:val="0"/>
                <w:color w:val="auto"/>
                <w:spacing w:val="0"/>
                <w:kern w:val="0"/>
                <w:szCs w:val="24"/>
              </w:rPr>
              <w:t>、臭气浓度执行</w:t>
            </w:r>
            <w:bookmarkStart w:id="23" w:name="OLE_LINK23"/>
            <w:r>
              <w:rPr>
                <w:rFonts w:hint="eastAsia" w:eastAsia="宋体" w:cs="Times New Roman"/>
                <w:b w:val="0"/>
                <w:color w:val="auto"/>
                <w:spacing w:val="0"/>
                <w:kern w:val="0"/>
                <w:szCs w:val="24"/>
              </w:rPr>
              <w:t>《恶臭污染物排放标准》（GB14554-93）表 1二级新改扩建标准</w:t>
            </w:r>
            <w:bookmarkEnd w:id="23"/>
            <w:r>
              <w:rPr>
                <w:rFonts w:hint="eastAsia" w:eastAsia="宋体" w:cs="Times New Roman"/>
                <w:b w:val="0"/>
                <w:color w:val="auto"/>
                <w:spacing w:val="0"/>
                <w:kern w:val="0"/>
                <w:szCs w:val="24"/>
              </w:rPr>
              <w:t>，详见表 3.7-1。</w:t>
            </w:r>
          </w:p>
          <w:p>
            <w:pPr>
              <w:pStyle w:val="103"/>
              <w:spacing w:before="120"/>
              <w:rPr>
                <w:rFonts w:eastAsia="宋体"/>
                <w:color w:val="auto"/>
              </w:rPr>
            </w:pPr>
            <w:bookmarkStart w:id="24" w:name="OLE_LINK24"/>
            <w:bookmarkStart w:id="25" w:name="OLE_LINK25"/>
            <w:r>
              <w:rPr>
                <w:rFonts w:eastAsia="宋体"/>
                <w:color w:val="auto"/>
              </w:rPr>
              <w:t>表3.</w:t>
            </w:r>
            <w:r>
              <w:rPr>
                <w:rFonts w:hint="eastAsia" w:eastAsia="宋体"/>
                <w:color w:val="auto"/>
              </w:rPr>
              <w:t>7</w:t>
            </w:r>
            <w:r>
              <w:rPr>
                <w:rFonts w:eastAsia="宋体"/>
                <w:color w:val="auto"/>
              </w:rPr>
              <w:t>-1  废气污染物排放标准限值</w:t>
            </w:r>
          </w:p>
          <w:bookmarkEnd w:id="24"/>
          <w:bookmarkEnd w:id="25"/>
          <w:tbl>
            <w:tblPr>
              <w:tblStyle w:val="9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842"/>
              <w:gridCol w:w="5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453" w:type="dxa"/>
                  <w:vAlign w:val="center"/>
                </w:tcPr>
                <w:p>
                  <w:pPr>
                    <w:pStyle w:val="52"/>
                    <w:widowControl w:val="0"/>
                  </w:pPr>
                  <w:r>
                    <w:t>污染因子</w:t>
                  </w:r>
                </w:p>
              </w:tc>
              <w:tc>
                <w:tcPr>
                  <w:tcW w:w="1842" w:type="dxa"/>
                  <w:vAlign w:val="center"/>
                </w:tcPr>
                <w:p>
                  <w:pPr>
                    <w:pStyle w:val="52"/>
                    <w:widowControl w:val="0"/>
                  </w:pPr>
                  <w:r>
                    <w:rPr>
                      <w:rFonts w:hint="eastAsia"/>
                    </w:rPr>
                    <w:t>排放限值（mg/m</w:t>
                  </w:r>
                  <w:r>
                    <w:rPr>
                      <w:rFonts w:hint="eastAsia"/>
                      <w:vertAlign w:val="superscript"/>
                    </w:rPr>
                    <w:t>3</w:t>
                  </w:r>
                  <w:r>
                    <w:rPr>
                      <w:rFonts w:hint="eastAsia"/>
                    </w:rPr>
                    <w:t>）</w:t>
                  </w:r>
                </w:p>
              </w:tc>
              <w:tc>
                <w:tcPr>
                  <w:tcW w:w="5102" w:type="dxa"/>
                  <w:vAlign w:val="center"/>
                </w:tcPr>
                <w:p>
                  <w:pPr>
                    <w:pStyle w:val="52"/>
                    <w:widowControl w:val="0"/>
                  </w:pPr>
                  <w: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53" w:type="dxa"/>
                  <w:vAlign w:val="center"/>
                </w:tcPr>
                <w:p>
                  <w:pPr>
                    <w:pStyle w:val="52"/>
                    <w:widowControl w:val="0"/>
                  </w:pPr>
                  <w:r>
                    <w:t>H</w:t>
                  </w:r>
                  <w:r>
                    <w:rPr>
                      <w:vertAlign w:val="subscript"/>
                    </w:rPr>
                    <w:t>2</w:t>
                  </w:r>
                  <w:r>
                    <w:t>S</w:t>
                  </w:r>
                </w:p>
              </w:tc>
              <w:tc>
                <w:tcPr>
                  <w:tcW w:w="1842" w:type="dxa"/>
                  <w:vAlign w:val="center"/>
                </w:tcPr>
                <w:p>
                  <w:pPr>
                    <w:pStyle w:val="52"/>
                    <w:widowControl w:val="0"/>
                  </w:pPr>
                  <w:r>
                    <w:rPr>
                      <w:rFonts w:hint="eastAsia"/>
                    </w:rPr>
                    <w:t>0.06</w:t>
                  </w:r>
                </w:p>
              </w:tc>
              <w:tc>
                <w:tcPr>
                  <w:tcW w:w="5102" w:type="dxa"/>
                  <w:vMerge w:val="restart"/>
                  <w:vAlign w:val="center"/>
                </w:tcPr>
                <w:p>
                  <w:pPr>
                    <w:pStyle w:val="52"/>
                    <w:widowControl w:val="0"/>
                  </w:pPr>
                  <w:r>
                    <w:rPr>
                      <w:rFonts w:hint="eastAsia"/>
                    </w:rPr>
                    <w:t>《恶臭污染物排放标准》（GB14554-93）表1二级新改扩建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4" w:hRule="atLeast"/>
                <w:jc w:val="center"/>
              </w:trPr>
              <w:tc>
                <w:tcPr>
                  <w:tcW w:w="1453" w:type="dxa"/>
                  <w:vAlign w:val="center"/>
                </w:tcPr>
                <w:p>
                  <w:pPr>
                    <w:pStyle w:val="52"/>
                    <w:widowControl w:val="0"/>
                  </w:pPr>
                  <w:r>
                    <w:t>NH</w:t>
                  </w:r>
                  <w:r>
                    <w:rPr>
                      <w:vertAlign w:val="subscript"/>
                    </w:rPr>
                    <w:t>3</w:t>
                  </w:r>
                </w:p>
              </w:tc>
              <w:tc>
                <w:tcPr>
                  <w:tcW w:w="1842" w:type="dxa"/>
                  <w:vAlign w:val="center"/>
                </w:tcPr>
                <w:p>
                  <w:pPr>
                    <w:pStyle w:val="52"/>
                    <w:widowControl w:val="0"/>
                  </w:pPr>
                  <w:r>
                    <w:rPr>
                      <w:rFonts w:hint="eastAsia"/>
                    </w:rPr>
                    <w:t>1.5</w:t>
                  </w:r>
                </w:p>
              </w:tc>
              <w:tc>
                <w:tcPr>
                  <w:tcW w:w="5102" w:type="dxa"/>
                  <w:vMerge w:val="continue"/>
                  <w:vAlign w:val="center"/>
                </w:tcPr>
                <w:p>
                  <w:pPr>
                    <w:pStyle w:val="52"/>
                    <w:widowControl w:val="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4" w:hRule="atLeast"/>
                <w:jc w:val="center"/>
              </w:trPr>
              <w:tc>
                <w:tcPr>
                  <w:tcW w:w="1453" w:type="dxa"/>
                  <w:vAlign w:val="center"/>
                </w:tcPr>
                <w:p>
                  <w:pPr>
                    <w:pStyle w:val="52"/>
                    <w:widowControl w:val="0"/>
                  </w:pPr>
                  <w:r>
                    <w:t>臭气浓度</w:t>
                  </w:r>
                </w:p>
              </w:tc>
              <w:tc>
                <w:tcPr>
                  <w:tcW w:w="1842" w:type="dxa"/>
                  <w:vAlign w:val="center"/>
                </w:tcPr>
                <w:p>
                  <w:pPr>
                    <w:pStyle w:val="52"/>
                    <w:widowControl w:val="0"/>
                  </w:pPr>
                  <w:r>
                    <w:rPr>
                      <w:rFonts w:hint="eastAsia"/>
                    </w:rPr>
                    <w:t>20（无量纲）</w:t>
                  </w:r>
                </w:p>
              </w:tc>
              <w:tc>
                <w:tcPr>
                  <w:tcW w:w="5102" w:type="dxa"/>
                  <w:vMerge w:val="continue"/>
                  <w:vAlign w:val="center"/>
                </w:tcPr>
                <w:p>
                  <w:pPr>
                    <w:pStyle w:val="52"/>
                    <w:widowControl w:val="0"/>
                  </w:pPr>
                </w:p>
              </w:tc>
            </w:tr>
          </w:tbl>
          <w:p>
            <w:pPr>
              <w:pStyle w:val="5"/>
              <w:spacing w:before="240" w:beforeLines="100" w:afterLines="0"/>
            </w:pPr>
            <w:r>
              <w:rPr>
                <w:rFonts w:hint="eastAsia"/>
              </w:rPr>
              <w:t>3.8废水排放标准</w:t>
            </w:r>
          </w:p>
          <w:p>
            <w:pPr>
              <w:pStyle w:val="5"/>
              <w:spacing w:before="120" w:afterLines="0"/>
              <w:ind w:firstLine="480" w:firstLineChars="200"/>
              <w:jc w:val="left"/>
              <w:rPr>
                <w:b w:val="0"/>
                <w:bCs w:val="0"/>
                <w:sz w:val="24"/>
              </w:rPr>
            </w:pPr>
            <w:r>
              <w:rPr>
                <w:rFonts w:hint="eastAsia"/>
                <w:b w:val="0"/>
                <w:bCs w:val="0"/>
                <w:sz w:val="24"/>
              </w:rPr>
              <w:t>项目废水主要为生活污水和生产废水。生活污水经化粪池预处理后，达到《污水综合排放标准》（</w:t>
            </w:r>
            <w:r>
              <w:rPr>
                <w:b w:val="0"/>
                <w:bCs w:val="0"/>
                <w:sz w:val="24"/>
              </w:rPr>
              <w:t>GB 8978-1996</w:t>
            </w:r>
            <w:r>
              <w:rPr>
                <w:rFonts w:hint="eastAsia"/>
                <w:b w:val="0"/>
                <w:bCs w:val="0"/>
                <w:sz w:val="24"/>
              </w:rPr>
              <w:t>）表</w:t>
            </w:r>
            <w:r>
              <w:rPr>
                <w:b w:val="0"/>
                <w:bCs w:val="0"/>
                <w:sz w:val="24"/>
              </w:rPr>
              <w:t>4</w:t>
            </w:r>
            <w:r>
              <w:rPr>
                <w:rFonts w:hint="eastAsia"/>
                <w:b w:val="0"/>
                <w:bCs w:val="0"/>
                <w:sz w:val="24"/>
              </w:rPr>
              <w:t>三级标准，同时</w:t>
            </w:r>
            <w:r>
              <w:rPr>
                <w:b w:val="0"/>
                <w:bCs w:val="0"/>
                <w:sz w:val="24"/>
              </w:rPr>
              <w:t>NH₃-N</w:t>
            </w:r>
            <w:r>
              <w:rPr>
                <w:rFonts w:hint="eastAsia"/>
                <w:b w:val="0"/>
                <w:bCs w:val="0"/>
                <w:sz w:val="24"/>
              </w:rPr>
              <w:t>、</w:t>
            </w:r>
            <w:r>
              <w:rPr>
                <w:b w:val="0"/>
                <w:bCs w:val="0"/>
                <w:sz w:val="24"/>
              </w:rPr>
              <w:t>TN</w:t>
            </w:r>
            <w:r>
              <w:rPr>
                <w:rFonts w:hint="eastAsia"/>
                <w:b w:val="0"/>
                <w:bCs w:val="0"/>
                <w:sz w:val="24"/>
              </w:rPr>
              <w:t>、</w:t>
            </w:r>
            <w:r>
              <w:rPr>
                <w:b w:val="0"/>
                <w:bCs w:val="0"/>
                <w:sz w:val="24"/>
              </w:rPr>
              <w:t>TP</w:t>
            </w:r>
            <w:r>
              <w:rPr>
                <w:rFonts w:hint="eastAsia"/>
                <w:b w:val="0"/>
                <w:bCs w:val="0"/>
                <w:sz w:val="24"/>
              </w:rPr>
              <w:t>参照《污水排入城镇下水道水质标准》（</w:t>
            </w:r>
            <w:r>
              <w:rPr>
                <w:b w:val="0"/>
                <w:bCs w:val="0"/>
                <w:sz w:val="24"/>
              </w:rPr>
              <w:t>GB/T31962-2015</w:t>
            </w:r>
            <w:r>
              <w:rPr>
                <w:rFonts w:hint="eastAsia"/>
                <w:b w:val="0"/>
                <w:bCs w:val="0"/>
                <w:sz w:val="24"/>
              </w:rPr>
              <w:t>）表</w:t>
            </w:r>
            <w:r>
              <w:rPr>
                <w:b w:val="0"/>
                <w:bCs w:val="0"/>
                <w:sz w:val="24"/>
              </w:rPr>
              <w:t>1B</w:t>
            </w:r>
            <w:r>
              <w:rPr>
                <w:rFonts w:hint="eastAsia"/>
                <w:b w:val="0"/>
                <w:bCs w:val="0"/>
                <w:sz w:val="24"/>
              </w:rPr>
              <w:t>级标准；生产废水经一体化污水处理设备处理后，达到《污水综合排放标准》（</w:t>
            </w:r>
            <w:r>
              <w:rPr>
                <w:b w:val="0"/>
                <w:bCs w:val="0"/>
                <w:sz w:val="24"/>
              </w:rPr>
              <w:t>GB 8978-1996</w:t>
            </w:r>
            <w:r>
              <w:rPr>
                <w:rFonts w:hint="eastAsia"/>
                <w:b w:val="0"/>
                <w:bCs w:val="0"/>
                <w:sz w:val="24"/>
              </w:rPr>
              <w:t>）表</w:t>
            </w:r>
            <w:r>
              <w:rPr>
                <w:b w:val="0"/>
                <w:bCs w:val="0"/>
                <w:sz w:val="24"/>
              </w:rPr>
              <w:t>4</w:t>
            </w:r>
            <w:r>
              <w:rPr>
                <w:rFonts w:hint="eastAsia"/>
                <w:b w:val="0"/>
                <w:bCs w:val="0"/>
                <w:sz w:val="24"/>
              </w:rPr>
              <w:t>三级标准，同时</w:t>
            </w:r>
            <w:r>
              <w:rPr>
                <w:b w:val="0"/>
                <w:bCs w:val="0"/>
                <w:sz w:val="24"/>
              </w:rPr>
              <w:t>NH₃-N</w:t>
            </w:r>
            <w:r>
              <w:rPr>
                <w:rFonts w:hint="eastAsia"/>
                <w:b w:val="0"/>
                <w:bCs w:val="0"/>
                <w:sz w:val="24"/>
              </w:rPr>
              <w:t>、</w:t>
            </w:r>
            <w:r>
              <w:rPr>
                <w:b w:val="0"/>
                <w:bCs w:val="0"/>
                <w:sz w:val="24"/>
              </w:rPr>
              <w:t>TN</w:t>
            </w:r>
            <w:r>
              <w:rPr>
                <w:rFonts w:hint="eastAsia"/>
                <w:b w:val="0"/>
                <w:bCs w:val="0"/>
                <w:sz w:val="24"/>
              </w:rPr>
              <w:t>、</w:t>
            </w:r>
            <w:r>
              <w:rPr>
                <w:b w:val="0"/>
                <w:bCs w:val="0"/>
                <w:sz w:val="24"/>
              </w:rPr>
              <w:t>TP</w:t>
            </w:r>
            <w:r>
              <w:rPr>
                <w:rFonts w:hint="eastAsia"/>
                <w:b w:val="0"/>
                <w:bCs w:val="0"/>
                <w:sz w:val="24"/>
              </w:rPr>
              <w:t>参照《污水排入城镇下水道水质标准》（</w:t>
            </w:r>
            <w:r>
              <w:rPr>
                <w:b w:val="0"/>
                <w:bCs w:val="0"/>
                <w:sz w:val="24"/>
              </w:rPr>
              <w:t>GB/T31962-2015</w:t>
            </w:r>
            <w:r>
              <w:rPr>
                <w:rFonts w:hint="eastAsia"/>
                <w:b w:val="0"/>
                <w:bCs w:val="0"/>
                <w:sz w:val="24"/>
              </w:rPr>
              <w:t>）表</w:t>
            </w:r>
            <w:r>
              <w:rPr>
                <w:b w:val="0"/>
                <w:bCs w:val="0"/>
                <w:sz w:val="24"/>
              </w:rPr>
              <w:t>1B</w:t>
            </w:r>
            <w:r>
              <w:rPr>
                <w:rFonts w:hint="eastAsia"/>
                <w:b w:val="0"/>
                <w:bCs w:val="0"/>
                <w:sz w:val="24"/>
              </w:rPr>
              <w:t>级标准。生活污水通过独立的生活污水排放口排入市政污水管网，最终纳入元洪投资区污水处理厂集中处理；生产废水通过独立的生产废水排放口排入市政污水管网，最终纳入元洪投资区污水处理厂集中处理。标准详见表3.8-1。</w:t>
            </w:r>
          </w:p>
          <w:p>
            <w:pPr>
              <w:pStyle w:val="103"/>
              <w:spacing w:before="120"/>
              <w:rPr>
                <w:rFonts w:eastAsia="宋体"/>
                <w:color w:val="auto"/>
              </w:rPr>
            </w:pPr>
            <w:r>
              <w:rPr>
                <w:rFonts w:eastAsia="宋体"/>
                <w:color w:val="auto"/>
              </w:rPr>
              <w:t>表3.</w:t>
            </w:r>
            <w:r>
              <w:rPr>
                <w:rFonts w:hint="eastAsia" w:eastAsia="宋体"/>
                <w:color w:val="auto"/>
              </w:rPr>
              <w:t>8</w:t>
            </w:r>
            <w:r>
              <w:rPr>
                <w:rFonts w:eastAsia="宋体"/>
                <w:color w:val="auto"/>
              </w:rPr>
              <w:t>-1  废</w:t>
            </w:r>
            <w:r>
              <w:rPr>
                <w:rFonts w:hint="eastAsia" w:eastAsia="宋体"/>
                <w:color w:val="auto"/>
              </w:rPr>
              <w:t>水</w:t>
            </w:r>
            <w:r>
              <w:rPr>
                <w:rFonts w:eastAsia="宋体"/>
                <w:color w:val="auto"/>
              </w:rPr>
              <w:t>污染物排放标准限值</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453"/>
              <w:gridCol w:w="2344"/>
              <w:gridCol w:w="31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Align w:val="center"/>
                </w:tcPr>
                <w:p>
                  <w:pPr>
                    <w:pStyle w:val="103"/>
                    <w:spacing w:beforeLines="0"/>
                    <w:rPr>
                      <w:rFonts w:eastAsia="宋体"/>
                      <w:b w:val="0"/>
                      <w:color w:val="auto"/>
                      <w:sz w:val="21"/>
                    </w:rPr>
                  </w:pPr>
                  <w:r>
                    <w:rPr>
                      <w:rFonts w:eastAsia="宋体"/>
                      <w:b w:val="0"/>
                      <w:color w:val="auto"/>
                      <w:sz w:val="21"/>
                    </w:rPr>
                    <w:t>类别</w:t>
                  </w:r>
                </w:p>
              </w:tc>
              <w:tc>
                <w:tcPr>
                  <w:tcW w:w="1453" w:type="dxa"/>
                  <w:vAlign w:val="center"/>
                </w:tcPr>
                <w:p>
                  <w:pPr>
                    <w:pStyle w:val="103"/>
                    <w:spacing w:beforeLines="0"/>
                    <w:rPr>
                      <w:rFonts w:eastAsia="宋体"/>
                      <w:b w:val="0"/>
                      <w:color w:val="auto"/>
                      <w:sz w:val="21"/>
                    </w:rPr>
                  </w:pPr>
                  <w:r>
                    <w:rPr>
                      <w:rFonts w:eastAsia="宋体"/>
                      <w:b w:val="0"/>
                      <w:color w:val="auto"/>
                      <w:sz w:val="21"/>
                    </w:rPr>
                    <w:t>污染物名称</w:t>
                  </w:r>
                </w:p>
              </w:tc>
              <w:tc>
                <w:tcPr>
                  <w:tcW w:w="2344" w:type="dxa"/>
                  <w:vAlign w:val="center"/>
                </w:tcPr>
                <w:p>
                  <w:pPr>
                    <w:pStyle w:val="103"/>
                    <w:spacing w:beforeLines="0"/>
                    <w:rPr>
                      <w:rFonts w:eastAsia="宋体"/>
                      <w:b w:val="0"/>
                      <w:color w:val="auto"/>
                      <w:sz w:val="21"/>
                    </w:rPr>
                  </w:pPr>
                  <w:r>
                    <w:rPr>
                      <w:rFonts w:eastAsia="宋体"/>
                      <w:b w:val="0"/>
                      <w:color w:val="auto"/>
                      <w:sz w:val="21"/>
                    </w:rPr>
                    <w:t>标准值</w:t>
                  </w:r>
                </w:p>
              </w:tc>
              <w:tc>
                <w:tcPr>
                  <w:tcW w:w="3148" w:type="dxa"/>
                  <w:vAlign w:val="center"/>
                </w:tcPr>
                <w:p>
                  <w:pPr>
                    <w:pStyle w:val="103"/>
                    <w:spacing w:beforeLines="0"/>
                    <w:rPr>
                      <w:rFonts w:eastAsia="宋体"/>
                      <w:b w:val="0"/>
                      <w:color w:val="auto"/>
                      <w:sz w:val="21"/>
                    </w:rPr>
                  </w:pPr>
                  <w:r>
                    <w:rPr>
                      <w:rFonts w:eastAsia="宋体"/>
                      <w:b w:val="0"/>
                      <w:color w:val="auto"/>
                      <w:sz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restart"/>
                  <w:vAlign w:val="center"/>
                </w:tcPr>
                <w:p>
                  <w:pPr>
                    <w:pStyle w:val="103"/>
                    <w:spacing w:beforeLines="0"/>
                    <w:rPr>
                      <w:rFonts w:eastAsia="宋体"/>
                      <w:b w:val="0"/>
                      <w:color w:val="auto"/>
                      <w:sz w:val="21"/>
                    </w:rPr>
                  </w:pPr>
                  <w:r>
                    <w:rPr>
                      <w:rFonts w:hint="eastAsia" w:eastAsia="宋体"/>
                      <w:b w:val="0"/>
                      <w:color w:val="auto"/>
                      <w:sz w:val="21"/>
                    </w:rPr>
                    <w:t>生活污水、生产废水</w:t>
                  </w:r>
                </w:p>
              </w:tc>
              <w:tc>
                <w:tcPr>
                  <w:tcW w:w="1453" w:type="dxa"/>
                  <w:vAlign w:val="center"/>
                </w:tcPr>
                <w:p>
                  <w:pPr>
                    <w:pStyle w:val="103"/>
                    <w:spacing w:beforeLines="0"/>
                    <w:rPr>
                      <w:rFonts w:eastAsia="宋体"/>
                      <w:b w:val="0"/>
                      <w:color w:val="auto"/>
                      <w:sz w:val="21"/>
                    </w:rPr>
                  </w:pPr>
                  <w:r>
                    <w:rPr>
                      <w:rFonts w:hint="eastAsia" w:eastAsia="宋体"/>
                      <w:b w:val="0"/>
                      <w:color w:val="auto"/>
                      <w:sz w:val="21"/>
                    </w:rPr>
                    <w:t>pH</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6-9（无量纲）</w:t>
                  </w:r>
                </w:p>
              </w:tc>
              <w:tc>
                <w:tcPr>
                  <w:tcW w:w="3148" w:type="dxa"/>
                  <w:vMerge w:val="restart"/>
                  <w:vAlign w:val="center"/>
                </w:tcPr>
                <w:p>
                  <w:pPr>
                    <w:pStyle w:val="103"/>
                    <w:spacing w:beforeLines="0"/>
                    <w:rPr>
                      <w:rFonts w:eastAsia="宋体"/>
                      <w:b w:val="0"/>
                      <w:color w:val="auto"/>
                      <w:sz w:val="21"/>
                    </w:rPr>
                  </w:pPr>
                  <w:r>
                    <w:rPr>
                      <w:rFonts w:hint="eastAsia" w:eastAsia="宋体"/>
                      <w:b w:val="0"/>
                      <w:color w:val="auto"/>
                      <w:sz w:val="21"/>
                    </w:rPr>
                    <w:t>《污水综合排放标准》表4中三级标准（GB8978-1996）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COD</w:t>
                  </w:r>
                  <w:r>
                    <w:rPr>
                      <w:rFonts w:hint="eastAsia" w:eastAsia="宋体"/>
                      <w:b w:val="0"/>
                      <w:color w:val="auto"/>
                      <w:sz w:val="21"/>
                      <w:vertAlign w:val="subscript"/>
                    </w:rPr>
                    <w:t>Cr</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500mg/L</w:t>
                  </w:r>
                </w:p>
              </w:tc>
              <w:tc>
                <w:tcPr>
                  <w:tcW w:w="3148"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BOD</w:t>
                  </w:r>
                  <w:r>
                    <w:rPr>
                      <w:rFonts w:hint="eastAsia" w:eastAsia="宋体"/>
                      <w:b w:val="0"/>
                      <w:color w:val="auto"/>
                      <w:sz w:val="21"/>
                      <w:vertAlign w:val="subscript"/>
                    </w:rPr>
                    <w:t>5</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300mg/L</w:t>
                  </w:r>
                </w:p>
              </w:tc>
              <w:tc>
                <w:tcPr>
                  <w:tcW w:w="3148"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SS</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400mg/L</w:t>
                  </w:r>
                </w:p>
              </w:tc>
              <w:tc>
                <w:tcPr>
                  <w:tcW w:w="3148"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NH</w:t>
                  </w:r>
                  <w:r>
                    <w:rPr>
                      <w:rFonts w:hint="eastAsia" w:eastAsia="宋体"/>
                      <w:b w:val="0"/>
                      <w:color w:val="auto"/>
                      <w:sz w:val="21"/>
                      <w:vertAlign w:val="subscript"/>
                    </w:rPr>
                    <w:t>3</w:t>
                  </w:r>
                  <w:r>
                    <w:rPr>
                      <w:rFonts w:hint="eastAsia" w:eastAsia="宋体"/>
                      <w:b w:val="0"/>
                      <w:color w:val="auto"/>
                      <w:sz w:val="21"/>
                    </w:rPr>
                    <w:t>-N</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45mg/L</w:t>
                  </w:r>
                </w:p>
              </w:tc>
              <w:tc>
                <w:tcPr>
                  <w:tcW w:w="3148" w:type="dxa"/>
                  <w:vMerge w:val="restart"/>
                  <w:vAlign w:val="center"/>
                </w:tcPr>
                <w:p>
                  <w:pPr>
                    <w:pStyle w:val="103"/>
                    <w:spacing w:beforeLines="0"/>
                    <w:rPr>
                      <w:rFonts w:eastAsia="宋体"/>
                      <w:b w:val="0"/>
                      <w:color w:val="auto"/>
                      <w:sz w:val="21"/>
                    </w:rPr>
                  </w:pPr>
                  <w:bookmarkStart w:id="26" w:name="OLE_LINK46"/>
                  <w:bookmarkStart w:id="27" w:name="OLE_LINK45"/>
                  <w:r>
                    <w:rPr>
                      <w:rFonts w:hint="eastAsia" w:eastAsia="宋体"/>
                      <w:b w:val="0"/>
                      <w:color w:val="auto"/>
                      <w:sz w:val="21"/>
                    </w:rPr>
                    <w:t>《污水排入城镇下水道水质标准》表1中B级标准（GB/T31962-2015）</w:t>
                  </w:r>
                  <w:bookmarkEnd w:id="26"/>
                  <w:bookmarkEnd w:id="27"/>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TP</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8mg/L</w:t>
                  </w:r>
                </w:p>
              </w:tc>
              <w:tc>
                <w:tcPr>
                  <w:tcW w:w="3148"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452" w:type="dxa"/>
                  <w:vMerge w:val="continue"/>
                  <w:vAlign w:val="center"/>
                </w:tcPr>
                <w:p>
                  <w:pPr>
                    <w:pStyle w:val="103"/>
                    <w:spacing w:beforeLines="0"/>
                    <w:rPr>
                      <w:rFonts w:eastAsia="宋体"/>
                      <w:b w:val="0"/>
                      <w:color w:val="auto"/>
                      <w:sz w:val="21"/>
                    </w:rPr>
                  </w:pPr>
                </w:p>
              </w:tc>
              <w:tc>
                <w:tcPr>
                  <w:tcW w:w="1453" w:type="dxa"/>
                  <w:vAlign w:val="center"/>
                </w:tcPr>
                <w:p>
                  <w:pPr>
                    <w:pStyle w:val="103"/>
                    <w:spacing w:beforeLines="0"/>
                    <w:rPr>
                      <w:rFonts w:eastAsia="宋体"/>
                      <w:b w:val="0"/>
                      <w:color w:val="auto"/>
                      <w:sz w:val="21"/>
                    </w:rPr>
                  </w:pPr>
                  <w:r>
                    <w:rPr>
                      <w:rFonts w:hint="eastAsia" w:eastAsia="宋体"/>
                      <w:b w:val="0"/>
                      <w:color w:val="auto"/>
                      <w:sz w:val="21"/>
                    </w:rPr>
                    <w:t>TN</w:t>
                  </w:r>
                </w:p>
              </w:tc>
              <w:tc>
                <w:tcPr>
                  <w:tcW w:w="2344" w:type="dxa"/>
                  <w:vAlign w:val="center"/>
                </w:tcPr>
                <w:p>
                  <w:pPr>
                    <w:pStyle w:val="103"/>
                    <w:spacing w:beforeLines="0"/>
                    <w:rPr>
                      <w:rFonts w:eastAsia="宋体"/>
                      <w:b w:val="0"/>
                      <w:color w:val="auto"/>
                      <w:sz w:val="21"/>
                    </w:rPr>
                  </w:pPr>
                  <w:r>
                    <w:rPr>
                      <w:rFonts w:hint="eastAsia" w:eastAsia="宋体"/>
                      <w:b w:val="0"/>
                      <w:color w:val="auto"/>
                      <w:sz w:val="21"/>
                    </w:rPr>
                    <w:t>70mg/L</w:t>
                  </w:r>
                </w:p>
              </w:tc>
              <w:tc>
                <w:tcPr>
                  <w:tcW w:w="3148" w:type="dxa"/>
                  <w:vMerge w:val="continue"/>
                  <w:vAlign w:val="center"/>
                </w:tcPr>
                <w:p>
                  <w:pPr>
                    <w:pStyle w:val="103"/>
                    <w:spacing w:beforeLines="0"/>
                    <w:rPr>
                      <w:rFonts w:eastAsia="宋体"/>
                      <w:b w:val="0"/>
                      <w:color w:val="auto"/>
                      <w:sz w:val="21"/>
                    </w:rPr>
                  </w:pPr>
                </w:p>
              </w:tc>
            </w:tr>
          </w:tbl>
          <w:p>
            <w:pPr>
              <w:pStyle w:val="5"/>
              <w:spacing w:before="120" w:afterLines="0"/>
              <w:ind w:firstLine="480" w:firstLineChars="200"/>
              <w:jc w:val="left"/>
              <w:rPr>
                <w:b w:val="0"/>
                <w:sz w:val="24"/>
              </w:rPr>
            </w:pPr>
            <w:r>
              <w:rPr>
                <w:rFonts w:hint="eastAsia"/>
                <w:b w:val="0"/>
                <w:sz w:val="24"/>
              </w:rPr>
              <w:t>根据调查，元洪投资区污水处理厂尾水排放执行《城镇污水处理厂污染物排放标准》(GB18918-2002)及其修改单表1的一级标准A排放标准，详见表3.8-2。</w:t>
            </w:r>
          </w:p>
          <w:p>
            <w:pPr>
              <w:spacing w:line="240" w:lineRule="auto"/>
              <w:ind w:firstLine="0" w:firstLineChars="0"/>
              <w:jc w:val="center"/>
              <w:rPr>
                <w:b/>
              </w:rPr>
            </w:pPr>
            <w:r>
              <w:rPr>
                <w:rFonts w:hint="eastAsia"/>
                <w:b/>
              </w:rPr>
              <w:t>表3.8-2 污水处理厂污水排放标准</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2835"/>
              <w:gridCol w:w="38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eastAsia="宋体"/>
                      <w:b w:val="0"/>
                      <w:color w:val="auto"/>
                      <w:sz w:val="21"/>
                    </w:rPr>
                    <w:t>污染物名称</w:t>
                  </w:r>
                </w:p>
              </w:tc>
              <w:tc>
                <w:tcPr>
                  <w:tcW w:w="2835" w:type="dxa"/>
                  <w:vAlign w:val="center"/>
                </w:tcPr>
                <w:p>
                  <w:pPr>
                    <w:pStyle w:val="103"/>
                    <w:spacing w:beforeLines="0"/>
                    <w:rPr>
                      <w:rFonts w:eastAsia="宋体"/>
                      <w:b w:val="0"/>
                      <w:color w:val="auto"/>
                      <w:sz w:val="21"/>
                    </w:rPr>
                  </w:pPr>
                  <w:r>
                    <w:rPr>
                      <w:rFonts w:eastAsia="宋体"/>
                      <w:b w:val="0"/>
                      <w:color w:val="auto"/>
                      <w:sz w:val="21"/>
                    </w:rPr>
                    <w:t>标准值</w:t>
                  </w:r>
                </w:p>
              </w:tc>
              <w:tc>
                <w:tcPr>
                  <w:tcW w:w="3826" w:type="dxa"/>
                  <w:vAlign w:val="center"/>
                </w:tcPr>
                <w:p>
                  <w:pPr>
                    <w:pStyle w:val="103"/>
                    <w:spacing w:beforeLines="0"/>
                    <w:rPr>
                      <w:rFonts w:eastAsia="宋体"/>
                      <w:b w:val="0"/>
                      <w:color w:val="auto"/>
                      <w:sz w:val="21"/>
                    </w:rPr>
                  </w:pPr>
                  <w:r>
                    <w:rPr>
                      <w:rFonts w:eastAsia="宋体"/>
                      <w:b w:val="0"/>
                      <w:color w:val="auto"/>
                      <w:sz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pH</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6-9（无量纲）</w:t>
                  </w:r>
                </w:p>
              </w:tc>
              <w:tc>
                <w:tcPr>
                  <w:tcW w:w="3826" w:type="dxa"/>
                  <w:vMerge w:val="restart"/>
                  <w:vAlign w:val="center"/>
                </w:tcPr>
                <w:p>
                  <w:pPr>
                    <w:pStyle w:val="103"/>
                    <w:spacing w:before="120"/>
                    <w:rPr>
                      <w:rFonts w:eastAsia="宋体"/>
                      <w:b w:val="0"/>
                      <w:color w:val="auto"/>
                      <w:sz w:val="21"/>
                    </w:rPr>
                  </w:pPr>
                  <w:r>
                    <w:rPr>
                      <w:rFonts w:hint="eastAsia" w:eastAsia="宋体"/>
                      <w:b w:val="0"/>
                      <w:color w:val="auto"/>
                      <w:sz w:val="21"/>
                    </w:rPr>
                    <w:t>《城镇污水处理厂污染物排放标准》(GB18918-2002)及其修改单表1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COD</w:t>
                  </w:r>
                  <w:r>
                    <w:rPr>
                      <w:rFonts w:hint="eastAsia" w:eastAsia="宋体"/>
                      <w:b w:val="0"/>
                      <w:color w:val="auto"/>
                      <w:sz w:val="21"/>
                      <w:vertAlign w:val="subscript"/>
                    </w:rPr>
                    <w:t>Cr</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50mg/L</w:t>
                  </w:r>
                </w:p>
              </w:tc>
              <w:tc>
                <w:tcPr>
                  <w:tcW w:w="3826" w:type="dxa"/>
                  <w:vMerge w:val="continue"/>
                  <w:vAlign w:val="center"/>
                </w:tcPr>
                <w:p>
                  <w:pPr>
                    <w:pStyle w:val="103"/>
                    <w:spacing w:before="12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BOD</w:t>
                  </w:r>
                  <w:r>
                    <w:rPr>
                      <w:rFonts w:hint="eastAsia" w:eastAsia="宋体"/>
                      <w:b w:val="0"/>
                      <w:color w:val="auto"/>
                      <w:sz w:val="21"/>
                      <w:vertAlign w:val="subscript"/>
                    </w:rPr>
                    <w:t>5</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10mg/L</w:t>
                  </w:r>
                </w:p>
              </w:tc>
              <w:tc>
                <w:tcPr>
                  <w:tcW w:w="3826" w:type="dxa"/>
                  <w:vMerge w:val="continue"/>
                  <w:vAlign w:val="center"/>
                </w:tcPr>
                <w:p>
                  <w:pPr>
                    <w:pStyle w:val="103"/>
                    <w:spacing w:before="12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SS</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10mg/L</w:t>
                  </w:r>
                </w:p>
              </w:tc>
              <w:tc>
                <w:tcPr>
                  <w:tcW w:w="3826" w:type="dxa"/>
                  <w:vMerge w:val="continue"/>
                  <w:vAlign w:val="center"/>
                </w:tcPr>
                <w:p>
                  <w:pPr>
                    <w:pStyle w:val="103"/>
                    <w:spacing w:before="12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NH</w:t>
                  </w:r>
                  <w:r>
                    <w:rPr>
                      <w:rFonts w:hint="eastAsia" w:eastAsia="宋体"/>
                      <w:b w:val="0"/>
                      <w:color w:val="auto"/>
                      <w:sz w:val="21"/>
                      <w:vertAlign w:val="subscript"/>
                    </w:rPr>
                    <w:t>3</w:t>
                  </w:r>
                  <w:r>
                    <w:rPr>
                      <w:rFonts w:hint="eastAsia" w:eastAsia="宋体"/>
                      <w:b w:val="0"/>
                      <w:color w:val="auto"/>
                      <w:sz w:val="21"/>
                    </w:rPr>
                    <w:t>-N</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5mg/L</w:t>
                  </w:r>
                </w:p>
              </w:tc>
              <w:tc>
                <w:tcPr>
                  <w:tcW w:w="3826"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TP</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0.5mg/L</w:t>
                  </w:r>
                </w:p>
              </w:tc>
              <w:tc>
                <w:tcPr>
                  <w:tcW w:w="3826" w:type="dxa"/>
                  <w:vMerge w:val="continue"/>
                  <w:vAlign w:val="center"/>
                </w:tcPr>
                <w:p>
                  <w:pPr>
                    <w:pStyle w:val="103"/>
                    <w:spacing w:beforeLines="0"/>
                    <w:rPr>
                      <w:rFonts w:eastAsia="宋体"/>
                      <w:b w:val="0"/>
                      <w:color w:val="auto"/>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36" w:type="dxa"/>
                  <w:vAlign w:val="center"/>
                </w:tcPr>
                <w:p>
                  <w:pPr>
                    <w:pStyle w:val="103"/>
                    <w:spacing w:beforeLines="0"/>
                    <w:rPr>
                      <w:rFonts w:eastAsia="宋体"/>
                      <w:b w:val="0"/>
                      <w:color w:val="auto"/>
                      <w:sz w:val="21"/>
                    </w:rPr>
                  </w:pPr>
                  <w:r>
                    <w:rPr>
                      <w:rFonts w:hint="eastAsia" w:eastAsia="宋体"/>
                      <w:b w:val="0"/>
                      <w:color w:val="auto"/>
                      <w:sz w:val="21"/>
                    </w:rPr>
                    <w:t>TN</w:t>
                  </w:r>
                </w:p>
              </w:tc>
              <w:tc>
                <w:tcPr>
                  <w:tcW w:w="2835" w:type="dxa"/>
                  <w:vAlign w:val="center"/>
                </w:tcPr>
                <w:p>
                  <w:pPr>
                    <w:pStyle w:val="103"/>
                    <w:spacing w:beforeLines="0"/>
                    <w:rPr>
                      <w:rFonts w:eastAsia="宋体"/>
                      <w:b w:val="0"/>
                      <w:color w:val="auto"/>
                      <w:sz w:val="21"/>
                    </w:rPr>
                  </w:pPr>
                  <w:r>
                    <w:rPr>
                      <w:rFonts w:hint="eastAsia" w:eastAsia="宋体"/>
                      <w:b w:val="0"/>
                      <w:color w:val="auto"/>
                      <w:sz w:val="21"/>
                    </w:rPr>
                    <w:t>15mg/L</w:t>
                  </w:r>
                </w:p>
              </w:tc>
              <w:tc>
                <w:tcPr>
                  <w:tcW w:w="3826" w:type="dxa"/>
                  <w:vMerge w:val="continue"/>
                  <w:vAlign w:val="center"/>
                </w:tcPr>
                <w:p>
                  <w:pPr>
                    <w:pStyle w:val="103"/>
                    <w:spacing w:beforeLines="0"/>
                    <w:rPr>
                      <w:rFonts w:eastAsia="宋体"/>
                      <w:b w:val="0"/>
                      <w:color w:val="auto"/>
                      <w:sz w:val="21"/>
                    </w:rPr>
                  </w:pPr>
                </w:p>
              </w:tc>
            </w:tr>
          </w:tbl>
          <w:p>
            <w:pPr>
              <w:pStyle w:val="5"/>
              <w:spacing w:before="240" w:beforeLines="100" w:afterLines="0"/>
            </w:pPr>
            <w:r>
              <w:t>3.</w:t>
            </w:r>
            <w:r>
              <w:rPr>
                <w:rFonts w:hint="eastAsia"/>
              </w:rPr>
              <w:t>9</w:t>
            </w:r>
            <w:r>
              <w:t>噪声排放标准</w:t>
            </w:r>
          </w:p>
          <w:p>
            <w:pPr>
              <w:ind w:firstLine="480"/>
            </w:pPr>
            <w:r>
              <w:rPr>
                <w:bCs/>
              </w:rPr>
              <w:t>项目</w:t>
            </w:r>
            <w:r>
              <w:t>运营期厂界噪声排放执行《工业企业厂界环境噪声排放标准》（GB12348-2008）中</w:t>
            </w:r>
            <w:r>
              <w:rPr>
                <w:rFonts w:hint="eastAsia"/>
              </w:rPr>
              <w:t>3类标准限值</w:t>
            </w:r>
            <w:r>
              <w:t>。具体排放限值详见表3.</w:t>
            </w:r>
            <w:r>
              <w:rPr>
                <w:rFonts w:hint="eastAsia"/>
              </w:rPr>
              <w:t>9-1</w:t>
            </w:r>
            <w:r>
              <w:t>。</w:t>
            </w:r>
          </w:p>
          <w:p>
            <w:pPr>
              <w:pStyle w:val="43"/>
              <w:spacing w:before="120" w:beforeLines="50" w:line="240" w:lineRule="auto"/>
            </w:pPr>
            <w:r>
              <w:t>表3.</w:t>
            </w:r>
            <w:r>
              <w:rPr>
                <w:rFonts w:hint="eastAsia"/>
              </w:rPr>
              <w:t>9-1</w:t>
            </w:r>
            <w:r>
              <w:t xml:space="preserve">  《工业企业厂界环境噪声排放标准》（GB12348-2008）</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3250"/>
              <w:gridCol w:w="23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682" w:type="pct"/>
                  <w:vAlign w:val="center"/>
                </w:tcPr>
                <w:p>
                  <w:pPr>
                    <w:pStyle w:val="52"/>
                  </w:pPr>
                  <w:r>
                    <w:t>位置</w:t>
                  </w:r>
                </w:p>
              </w:tc>
              <w:tc>
                <w:tcPr>
                  <w:tcW w:w="1935" w:type="pct"/>
                  <w:vAlign w:val="center"/>
                </w:tcPr>
                <w:p>
                  <w:pPr>
                    <w:pStyle w:val="52"/>
                  </w:pPr>
                  <w:r>
                    <w:t>厂界外声环境功能区类别</w:t>
                  </w:r>
                </w:p>
              </w:tc>
              <w:tc>
                <w:tcPr>
                  <w:tcW w:w="1383" w:type="pct"/>
                  <w:vAlign w:val="center"/>
                </w:tcPr>
                <w:p>
                  <w:pPr>
                    <w:pStyle w:val="52"/>
                  </w:pPr>
                  <w:r>
                    <w:t>昼间/dB（A）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2" w:type="pct"/>
                  <w:vAlign w:val="center"/>
                </w:tcPr>
                <w:p>
                  <w:pPr>
                    <w:pStyle w:val="52"/>
                  </w:pPr>
                  <w:r>
                    <w:t>厂界外1m</w:t>
                  </w:r>
                </w:p>
              </w:tc>
              <w:tc>
                <w:tcPr>
                  <w:tcW w:w="1935" w:type="pct"/>
                  <w:vAlign w:val="center"/>
                </w:tcPr>
                <w:p>
                  <w:pPr>
                    <w:pStyle w:val="52"/>
                  </w:pPr>
                  <w:r>
                    <w:rPr>
                      <w:rFonts w:hint="eastAsia"/>
                    </w:rPr>
                    <w:t>3</w:t>
                  </w:r>
                </w:p>
              </w:tc>
              <w:tc>
                <w:tcPr>
                  <w:tcW w:w="1383" w:type="pct"/>
                  <w:vAlign w:val="center"/>
                </w:tcPr>
                <w:p>
                  <w:pPr>
                    <w:pStyle w:val="52"/>
                  </w:pPr>
                  <w:r>
                    <w:rPr>
                      <w:rFonts w:hint="eastAsia"/>
                    </w:rPr>
                    <w:t>65</w:t>
                  </w:r>
                </w:p>
              </w:tc>
            </w:tr>
          </w:tbl>
          <w:p>
            <w:pPr>
              <w:pStyle w:val="5"/>
              <w:spacing w:before="120" w:afterLines="0"/>
            </w:pPr>
            <w:r>
              <w:t>3.</w:t>
            </w:r>
            <w:r>
              <w:rPr>
                <w:rFonts w:hint="eastAsia"/>
              </w:rPr>
              <w:t>10</w:t>
            </w:r>
            <w:r>
              <w:t>固废控制标准</w:t>
            </w:r>
          </w:p>
          <w:p>
            <w:pPr>
              <w:tabs>
                <w:tab w:val="left" w:pos="1080"/>
                <w:tab w:val="left" w:pos="5400"/>
              </w:tabs>
              <w:ind w:firstLine="480"/>
            </w:pPr>
            <w:r>
              <w:rPr>
                <w:rFonts w:hint="eastAsia"/>
              </w:rPr>
              <w:t>一般工业固体废物贮存、处置按照《一般工业固体废物贮存和填埋污染控制标准》（GB18599-2020）中相关要求，其中采用库房、包装工具（罐、桶、包装袋等）贮存一般工业固体废物的其贮存过程应满足相应防渗漏、防雨淋、防扬尘等环境保护要求。</w:t>
            </w:r>
          </w:p>
          <w:p>
            <w:pPr>
              <w:tabs>
                <w:tab w:val="left" w:pos="1080"/>
                <w:tab w:val="left" w:pos="5400"/>
              </w:tabs>
              <w:ind w:firstLine="480"/>
            </w:pPr>
            <w:r>
              <w:rPr>
                <w:rFonts w:hint="eastAsia"/>
              </w:rPr>
              <w:t>生活垃圾处理参照执行《城市生活垃圾处理及污染防治技术政策》（建城[2000]120号）和《生活垃圾处理技术指南》（建城[2010]61 号）以及国家、省市关于固体废物污染环境防治的法律法规。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0" w:hRule="atLeast"/>
          <w:jc w:val="center"/>
        </w:trPr>
        <w:tc>
          <w:tcPr>
            <w:tcW w:w="363" w:type="pct"/>
            <w:vAlign w:val="center"/>
          </w:tcPr>
          <w:p>
            <w:pPr>
              <w:pStyle w:val="52"/>
            </w:pPr>
            <w:r>
              <w:t>总量</w:t>
            </w:r>
          </w:p>
          <w:p>
            <w:pPr>
              <w:pStyle w:val="52"/>
            </w:pPr>
            <w:r>
              <w:t>控制</w:t>
            </w:r>
          </w:p>
          <w:p>
            <w:pPr>
              <w:pStyle w:val="52"/>
            </w:pPr>
            <w:r>
              <w:t>指标</w:t>
            </w:r>
          </w:p>
        </w:tc>
        <w:tc>
          <w:tcPr>
            <w:tcW w:w="4637" w:type="pct"/>
            <w:vAlign w:val="center"/>
          </w:tcPr>
          <w:p>
            <w:pPr>
              <w:adjustRightInd w:val="0"/>
              <w:snapToGrid w:val="0"/>
              <w:ind w:firstLine="480"/>
            </w:pPr>
            <w:r>
              <w:rPr>
                <w:rFonts w:hint="eastAsia"/>
                <w:snapToGrid w:val="0"/>
                <w:lang w:bidi="ar"/>
              </w:rPr>
              <w:t>根据国家污染物总量控制要求，结合本项目特征污染物，确定COD</w:t>
            </w:r>
            <w:r>
              <w:rPr>
                <w:rFonts w:hint="eastAsia"/>
                <w:snapToGrid w:val="0"/>
                <w:vertAlign w:val="subscript"/>
                <w:lang w:bidi="ar"/>
              </w:rPr>
              <w:t>Cr</w:t>
            </w:r>
            <w:r>
              <w:rPr>
                <w:rFonts w:hint="eastAsia"/>
                <w:snapToGrid w:val="0"/>
                <w:lang w:bidi="ar"/>
              </w:rPr>
              <w:t>和 NH</w:t>
            </w:r>
            <w:r>
              <w:rPr>
                <w:rFonts w:hint="eastAsia"/>
                <w:snapToGrid w:val="0"/>
                <w:vertAlign w:val="subscript"/>
                <w:lang w:bidi="ar"/>
              </w:rPr>
              <w:t>3</w:t>
            </w:r>
            <w:r>
              <w:rPr>
                <w:rFonts w:hint="eastAsia"/>
                <w:snapToGrid w:val="0"/>
                <w:lang w:bidi="ar"/>
              </w:rPr>
              <w:t>-N为总量控制指标。项目生产废水经预处理达标后，排入市政污水管网后纳入元洪投资区污水处理厂集中处理。总量排放情况详见表3.10-1、表3.10-2。</w:t>
            </w:r>
          </w:p>
          <w:p>
            <w:pPr>
              <w:pStyle w:val="43"/>
              <w:spacing w:before="120" w:beforeLines="50" w:line="240" w:lineRule="auto"/>
            </w:pPr>
            <w:r>
              <w:t>表3.</w:t>
            </w:r>
            <w:r>
              <w:rPr>
                <w:rFonts w:hint="eastAsia"/>
              </w:rPr>
              <w:t>10-1</w:t>
            </w:r>
            <w:r>
              <w:t xml:space="preserve">  </w:t>
            </w:r>
            <w:r>
              <w:rPr>
                <w:rFonts w:hint="eastAsia"/>
              </w:rPr>
              <w:t>生活</w:t>
            </w:r>
            <w:r>
              <w:t>废水排放总量一览表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679"/>
              <w:gridCol w:w="1679"/>
              <w:gridCol w:w="1680"/>
              <w:gridCol w:w="16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3358" w:type="dxa"/>
                  <w:gridSpan w:val="2"/>
                  <w:vAlign w:val="center"/>
                </w:tcPr>
                <w:p>
                  <w:pPr>
                    <w:spacing w:line="240" w:lineRule="auto"/>
                    <w:ind w:firstLine="0" w:firstLineChars="0"/>
                    <w:jc w:val="center"/>
                    <w:rPr>
                      <w:sz w:val="21"/>
                    </w:rPr>
                  </w:pPr>
                  <w:r>
                    <w:rPr>
                      <w:sz w:val="21"/>
                    </w:rPr>
                    <w:t>项目</w:t>
                  </w:r>
                </w:p>
              </w:tc>
              <w:tc>
                <w:tcPr>
                  <w:tcW w:w="1679" w:type="dxa"/>
                  <w:vAlign w:val="center"/>
                </w:tcPr>
                <w:p>
                  <w:pPr>
                    <w:spacing w:line="240" w:lineRule="auto"/>
                    <w:ind w:firstLine="0" w:firstLineChars="0"/>
                    <w:jc w:val="center"/>
                    <w:rPr>
                      <w:sz w:val="21"/>
                    </w:rPr>
                  </w:pPr>
                  <w:r>
                    <w:rPr>
                      <w:sz w:val="21"/>
                    </w:rPr>
                    <w:t>排入外环境浓度（mg/</w:t>
                  </w:r>
                  <w:r>
                    <w:rPr>
                      <w:rFonts w:hint="eastAsia"/>
                      <w:sz w:val="21"/>
                    </w:rPr>
                    <w:t>L</w:t>
                  </w:r>
                </w:p>
              </w:tc>
              <w:tc>
                <w:tcPr>
                  <w:tcW w:w="1680" w:type="dxa"/>
                  <w:vAlign w:val="center"/>
                </w:tcPr>
                <w:p>
                  <w:pPr>
                    <w:spacing w:line="240" w:lineRule="auto"/>
                    <w:ind w:firstLine="0" w:firstLineChars="0"/>
                    <w:jc w:val="center"/>
                    <w:rPr>
                      <w:sz w:val="21"/>
                    </w:rPr>
                  </w:pPr>
                  <w:r>
                    <w:rPr>
                      <w:sz w:val="21"/>
                    </w:rPr>
                    <w:t>排放量（t/a）</w:t>
                  </w:r>
                </w:p>
              </w:tc>
              <w:tc>
                <w:tcPr>
                  <w:tcW w:w="1680" w:type="dxa"/>
                  <w:vAlign w:val="center"/>
                </w:tcPr>
                <w:p>
                  <w:pPr>
                    <w:spacing w:line="240" w:lineRule="auto"/>
                    <w:ind w:firstLine="0" w:firstLineChars="0"/>
                    <w:jc w:val="center"/>
                    <w:rPr>
                      <w:sz w:val="21"/>
                    </w:rPr>
                  </w:pPr>
                  <w:r>
                    <w:rPr>
                      <w:sz w:val="21"/>
                    </w:rPr>
                    <w:t>总量控制指标（t/a）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9" w:type="dxa"/>
                  <w:vMerge w:val="restart"/>
                  <w:vAlign w:val="center"/>
                </w:tcPr>
                <w:p>
                  <w:pPr>
                    <w:spacing w:line="240" w:lineRule="auto"/>
                    <w:ind w:firstLine="0" w:firstLineChars="0"/>
                    <w:jc w:val="center"/>
                    <w:rPr>
                      <w:sz w:val="21"/>
                    </w:rPr>
                  </w:pPr>
                  <w:r>
                    <w:rPr>
                      <w:rFonts w:hint="eastAsia"/>
                      <w:sz w:val="21"/>
                    </w:rPr>
                    <w:t>生活废水（234t/a）</w:t>
                  </w:r>
                </w:p>
              </w:tc>
              <w:tc>
                <w:tcPr>
                  <w:tcW w:w="1679" w:type="dxa"/>
                  <w:vAlign w:val="center"/>
                </w:tcPr>
                <w:p>
                  <w:pPr>
                    <w:spacing w:line="240" w:lineRule="auto"/>
                    <w:ind w:firstLine="0" w:firstLineChars="0"/>
                    <w:jc w:val="center"/>
                    <w:rPr>
                      <w:sz w:val="21"/>
                    </w:rPr>
                  </w:pPr>
                  <w:r>
                    <w:rPr>
                      <w:rFonts w:hint="eastAsia"/>
                      <w:sz w:val="21"/>
                    </w:rPr>
                    <w:t>COD</w:t>
                  </w:r>
                  <w:r>
                    <w:rPr>
                      <w:rFonts w:hint="eastAsia"/>
                      <w:vertAlign w:val="subscript"/>
                      <w:lang w:val="en-GB"/>
                    </w:rPr>
                    <w:t>Cr</w:t>
                  </w:r>
                </w:p>
              </w:tc>
              <w:tc>
                <w:tcPr>
                  <w:tcW w:w="1679" w:type="dxa"/>
                  <w:vAlign w:val="center"/>
                </w:tcPr>
                <w:p>
                  <w:pPr>
                    <w:spacing w:line="240" w:lineRule="auto"/>
                    <w:ind w:firstLine="0" w:firstLineChars="0"/>
                    <w:jc w:val="center"/>
                    <w:rPr>
                      <w:sz w:val="21"/>
                    </w:rPr>
                  </w:pPr>
                  <w:r>
                    <w:rPr>
                      <w:rFonts w:hint="eastAsia"/>
                      <w:sz w:val="21"/>
                    </w:rPr>
                    <w:t>50</w:t>
                  </w:r>
                </w:p>
              </w:tc>
              <w:tc>
                <w:tcPr>
                  <w:tcW w:w="1680" w:type="dxa"/>
                  <w:vAlign w:val="center"/>
                </w:tcPr>
                <w:p>
                  <w:pPr>
                    <w:spacing w:line="240" w:lineRule="auto"/>
                    <w:ind w:firstLine="0" w:firstLineChars="0"/>
                    <w:jc w:val="center"/>
                    <w:rPr>
                      <w:sz w:val="21"/>
                    </w:rPr>
                  </w:pPr>
                  <w:r>
                    <w:rPr>
                      <w:rFonts w:hint="eastAsia"/>
                      <w:sz w:val="21"/>
                    </w:rPr>
                    <w:t>0.012</w:t>
                  </w:r>
                </w:p>
              </w:tc>
              <w:tc>
                <w:tcPr>
                  <w:tcW w:w="1680" w:type="dxa"/>
                  <w:vAlign w:val="center"/>
                </w:tcPr>
                <w:p>
                  <w:pPr>
                    <w:spacing w:line="240" w:lineRule="auto"/>
                    <w:ind w:firstLine="0" w:firstLineChars="0"/>
                    <w:jc w:val="center"/>
                    <w:rPr>
                      <w:sz w:val="21"/>
                    </w:rPr>
                  </w:pPr>
                  <w:r>
                    <w:rPr>
                      <w:rFonts w:hint="eastAsia"/>
                      <w:sz w:val="21"/>
                    </w:rPr>
                    <w:t>0.012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679" w:type="dxa"/>
                  <w:vMerge w:val="continue"/>
                  <w:vAlign w:val="center"/>
                </w:tcPr>
                <w:p>
                  <w:pPr>
                    <w:spacing w:line="240" w:lineRule="auto"/>
                    <w:ind w:firstLine="0" w:firstLineChars="0"/>
                    <w:jc w:val="center"/>
                    <w:rPr>
                      <w:sz w:val="21"/>
                    </w:rPr>
                  </w:pPr>
                </w:p>
              </w:tc>
              <w:tc>
                <w:tcPr>
                  <w:tcW w:w="1679" w:type="dxa"/>
                  <w:vAlign w:val="center"/>
                </w:tcPr>
                <w:p>
                  <w:pPr>
                    <w:spacing w:line="240" w:lineRule="auto"/>
                    <w:ind w:firstLine="0" w:firstLineChars="0"/>
                    <w:jc w:val="center"/>
                    <w:rPr>
                      <w:sz w:val="21"/>
                    </w:rPr>
                  </w:pPr>
                  <w:r>
                    <w:rPr>
                      <w:sz w:val="21"/>
                    </w:rPr>
                    <w:t>NH</w:t>
                  </w:r>
                  <w:r>
                    <w:rPr>
                      <w:sz w:val="21"/>
                      <w:vertAlign w:val="subscript"/>
                    </w:rPr>
                    <w:t>3</w:t>
                  </w:r>
                  <w:r>
                    <w:rPr>
                      <w:sz w:val="21"/>
                    </w:rPr>
                    <w:t>-N</w:t>
                  </w:r>
                </w:p>
              </w:tc>
              <w:tc>
                <w:tcPr>
                  <w:tcW w:w="1679" w:type="dxa"/>
                  <w:vAlign w:val="center"/>
                </w:tcPr>
                <w:p>
                  <w:pPr>
                    <w:spacing w:line="240" w:lineRule="auto"/>
                    <w:ind w:firstLine="0" w:firstLineChars="0"/>
                    <w:jc w:val="center"/>
                    <w:rPr>
                      <w:sz w:val="21"/>
                    </w:rPr>
                  </w:pPr>
                  <w:r>
                    <w:rPr>
                      <w:rFonts w:hint="eastAsia"/>
                      <w:sz w:val="21"/>
                    </w:rPr>
                    <w:t>5</w:t>
                  </w:r>
                </w:p>
              </w:tc>
              <w:tc>
                <w:tcPr>
                  <w:tcW w:w="1680" w:type="dxa"/>
                  <w:vAlign w:val="center"/>
                </w:tcPr>
                <w:p>
                  <w:pPr>
                    <w:spacing w:line="240" w:lineRule="auto"/>
                    <w:ind w:firstLine="0" w:firstLineChars="0"/>
                    <w:jc w:val="center"/>
                    <w:rPr>
                      <w:sz w:val="21"/>
                    </w:rPr>
                  </w:pPr>
                  <w:r>
                    <w:rPr>
                      <w:rFonts w:hint="eastAsia"/>
                      <w:sz w:val="21"/>
                    </w:rPr>
                    <w:t>0.001</w:t>
                  </w:r>
                </w:p>
              </w:tc>
              <w:tc>
                <w:tcPr>
                  <w:tcW w:w="1680" w:type="dxa"/>
                  <w:vAlign w:val="center"/>
                </w:tcPr>
                <w:p>
                  <w:pPr>
                    <w:spacing w:line="240" w:lineRule="auto"/>
                    <w:ind w:firstLine="0" w:firstLineChars="0"/>
                    <w:jc w:val="center"/>
                    <w:rPr>
                      <w:sz w:val="21"/>
                    </w:rPr>
                  </w:pPr>
                  <w:r>
                    <w:rPr>
                      <w:rFonts w:hint="eastAsia"/>
                      <w:sz w:val="21"/>
                    </w:rPr>
                    <w:t>0.001</w:t>
                  </w:r>
                </w:p>
              </w:tc>
            </w:tr>
          </w:tbl>
          <w:p>
            <w:pPr>
              <w:pStyle w:val="43"/>
              <w:spacing w:before="120" w:beforeLines="50" w:line="240" w:lineRule="auto"/>
              <w:ind w:firstLine="480"/>
            </w:pPr>
            <w:r>
              <w:t>表3.</w:t>
            </w:r>
            <w:r>
              <w:rPr>
                <w:rFonts w:hint="eastAsia"/>
              </w:rPr>
              <w:t xml:space="preserve">10-2  </w:t>
            </w:r>
            <w:r>
              <w:t>生产废水排放总量一览表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679"/>
              <w:gridCol w:w="1679"/>
              <w:gridCol w:w="1680"/>
              <w:gridCol w:w="16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8" w:type="dxa"/>
                  <w:gridSpan w:val="2"/>
                  <w:vAlign w:val="center"/>
                </w:tcPr>
                <w:p>
                  <w:pPr>
                    <w:spacing w:line="240" w:lineRule="auto"/>
                    <w:ind w:firstLine="0" w:firstLineChars="0"/>
                    <w:jc w:val="center"/>
                    <w:rPr>
                      <w:sz w:val="21"/>
                    </w:rPr>
                  </w:pPr>
                  <w:r>
                    <w:rPr>
                      <w:sz w:val="21"/>
                    </w:rPr>
                    <w:t>项目</w:t>
                  </w:r>
                </w:p>
              </w:tc>
              <w:tc>
                <w:tcPr>
                  <w:tcW w:w="1679" w:type="dxa"/>
                  <w:vAlign w:val="center"/>
                </w:tcPr>
                <w:p>
                  <w:pPr>
                    <w:spacing w:line="240" w:lineRule="auto"/>
                    <w:ind w:firstLine="0" w:firstLineChars="0"/>
                    <w:jc w:val="center"/>
                    <w:rPr>
                      <w:sz w:val="21"/>
                    </w:rPr>
                  </w:pPr>
                  <w:r>
                    <w:rPr>
                      <w:rFonts w:hint="eastAsia"/>
                      <w:sz w:val="21"/>
                    </w:rPr>
                    <w:t>排入外环境</w:t>
                  </w:r>
                  <w:r>
                    <w:rPr>
                      <w:sz w:val="21"/>
                    </w:rPr>
                    <w:t>浓度（mg/</w:t>
                  </w:r>
                  <w:r>
                    <w:rPr>
                      <w:rFonts w:hint="eastAsia"/>
                      <w:sz w:val="21"/>
                    </w:rPr>
                    <w:t>L</w:t>
                  </w:r>
                </w:p>
              </w:tc>
              <w:tc>
                <w:tcPr>
                  <w:tcW w:w="1680" w:type="dxa"/>
                  <w:vAlign w:val="center"/>
                </w:tcPr>
                <w:p>
                  <w:pPr>
                    <w:spacing w:line="240" w:lineRule="auto"/>
                    <w:ind w:firstLine="0" w:firstLineChars="0"/>
                    <w:jc w:val="center"/>
                    <w:rPr>
                      <w:sz w:val="21"/>
                    </w:rPr>
                  </w:pPr>
                  <w:r>
                    <w:rPr>
                      <w:sz w:val="21"/>
                    </w:rPr>
                    <w:t>排放量（t/a）</w:t>
                  </w:r>
                </w:p>
              </w:tc>
              <w:tc>
                <w:tcPr>
                  <w:tcW w:w="1680" w:type="dxa"/>
                  <w:vAlign w:val="center"/>
                </w:tcPr>
                <w:p>
                  <w:pPr>
                    <w:spacing w:line="240" w:lineRule="auto"/>
                    <w:ind w:firstLine="0" w:firstLineChars="0"/>
                    <w:jc w:val="center"/>
                    <w:rPr>
                      <w:sz w:val="21"/>
                    </w:rPr>
                  </w:pPr>
                  <w:r>
                    <w:rPr>
                      <w:sz w:val="21"/>
                    </w:rPr>
                    <w:t>总量控制指标（t/a）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9" w:type="dxa"/>
                  <w:vMerge w:val="restart"/>
                  <w:vAlign w:val="center"/>
                </w:tcPr>
                <w:p>
                  <w:pPr>
                    <w:spacing w:line="240" w:lineRule="auto"/>
                    <w:ind w:firstLine="0" w:firstLineChars="0"/>
                    <w:jc w:val="center"/>
                    <w:rPr>
                      <w:sz w:val="21"/>
                    </w:rPr>
                  </w:pPr>
                  <w:r>
                    <w:rPr>
                      <w:rFonts w:hint="eastAsia"/>
                      <w:sz w:val="21"/>
                    </w:rPr>
                    <w:t>生产废水（2380.2t/a）</w:t>
                  </w:r>
                </w:p>
              </w:tc>
              <w:tc>
                <w:tcPr>
                  <w:tcW w:w="1679" w:type="dxa"/>
                  <w:vAlign w:val="center"/>
                </w:tcPr>
                <w:p>
                  <w:pPr>
                    <w:spacing w:line="240" w:lineRule="auto"/>
                    <w:ind w:firstLine="0" w:firstLineChars="0"/>
                    <w:jc w:val="center"/>
                    <w:rPr>
                      <w:sz w:val="21"/>
                    </w:rPr>
                  </w:pPr>
                  <w:r>
                    <w:rPr>
                      <w:rFonts w:hint="eastAsia"/>
                      <w:sz w:val="21"/>
                    </w:rPr>
                    <w:t>COD</w:t>
                  </w:r>
                  <w:r>
                    <w:rPr>
                      <w:rFonts w:hint="eastAsia"/>
                      <w:vertAlign w:val="subscript"/>
                      <w:lang w:val="en-GB"/>
                    </w:rPr>
                    <w:t>Cr</w:t>
                  </w:r>
                </w:p>
              </w:tc>
              <w:tc>
                <w:tcPr>
                  <w:tcW w:w="1679" w:type="dxa"/>
                  <w:vAlign w:val="center"/>
                </w:tcPr>
                <w:p>
                  <w:pPr>
                    <w:spacing w:line="240" w:lineRule="auto"/>
                    <w:ind w:firstLine="0" w:firstLineChars="0"/>
                    <w:jc w:val="center"/>
                    <w:rPr>
                      <w:sz w:val="21"/>
                    </w:rPr>
                  </w:pPr>
                  <w:r>
                    <w:rPr>
                      <w:rFonts w:hint="eastAsia"/>
                      <w:sz w:val="21"/>
                    </w:rPr>
                    <w:t>50</w:t>
                  </w:r>
                </w:p>
              </w:tc>
              <w:tc>
                <w:tcPr>
                  <w:tcW w:w="1680" w:type="dxa"/>
                  <w:vAlign w:val="center"/>
                </w:tcPr>
                <w:p>
                  <w:pPr>
                    <w:spacing w:line="240" w:lineRule="auto"/>
                    <w:ind w:firstLine="0" w:firstLineChars="0"/>
                    <w:jc w:val="center"/>
                    <w:rPr>
                      <w:sz w:val="21"/>
                    </w:rPr>
                  </w:pPr>
                  <w:r>
                    <w:rPr>
                      <w:rFonts w:hint="eastAsia"/>
                      <w:sz w:val="21"/>
                    </w:rPr>
                    <w:t>0.119</w:t>
                  </w:r>
                </w:p>
              </w:tc>
              <w:tc>
                <w:tcPr>
                  <w:tcW w:w="1680" w:type="dxa"/>
                  <w:vAlign w:val="center"/>
                </w:tcPr>
                <w:p>
                  <w:pPr>
                    <w:spacing w:line="240" w:lineRule="auto"/>
                    <w:ind w:firstLine="0" w:firstLineChars="0"/>
                    <w:jc w:val="center"/>
                    <w:rPr>
                      <w:sz w:val="21"/>
                    </w:rPr>
                  </w:pPr>
                  <w:r>
                    <w:rPr>
                      <w:rFonts w:hint="eastAsia"/>
                      <w:sz w:val="21"/>
                    </w:rPr>
                    <w:t>0.119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9" w:type="dxa"/>
                  <w:vMerge w:val="continue"/>
                  <w:vAlign w:val="center"/>
                </w:tcPr>
                <w:p>
                  <w:pPr>
                    <w:spacing w:line="240" w:lineRule="auto"/>
                    <w:ind w:firstLine="0" w:firstLineChars="0"/>
                    <w:jc w:val="center"/>
                    <w:rPr>
                      <w:sz w:val="21"/>
                    </w:rPr>
                  </w:pPr>
                </w:p>
              </w:tc>
              <w:tc>
                <w:tcPr>
                  <w:tcW w:w="1679" w:type="dxa"/>
                  <w:vAlign w:val="center"/>
                </w:tcPr>
                <w:p>
                  <w:pPr>
                    <w:spacing w:line="240" w:lineRule="auto"/>
                    <w:ind w:firstLine="0" w:firstLineChars="0"/>
                    <w:jc w:val="center"/>
                    <w:rPr>
                      <w:sz w:val="21"/>
                    </w:rPr>
                  </w:pPr>
                  <w:r>
                    <w:rPr>
                      <w:sz w:val="21"/>
                    </w:rPr>
                    <w:t>NH</w:t>
                  </w:r>
                  <w:r>
                    <w:rPr>
                      <w:sz w:val="21"/>
                      <w:vertAlign w:val="subscript"/>
                    </w:rPr>
                    <w:t>3</w:t>
                  </w:r>
                  <w:r>
                    <w:rPr>
                      <w:sz w:val="21"/>
                    </w:rPr>
                    <w:t>-N</w:t>
                  </w:r>
                </w:p>
              </w:tc>
              <w:tc>
                <w:tcPr>
                  <w:tcW w:w="1679" w:type="dxa"/>
                  <w:vAlign w:val="center"/>
                </w:tcPr>
                <w:p>
                  <w:pPr>
                    <w:spacing w:line="240" w:lineRule="auto"/>
                    <w:ind w:firstLine="0" w:firstLineChars="0"/>
                    <w:jc w:val="center"/>
                    <w:rPr>
                      <w:sz w:val="21"/>
                    </w:rPr>
                  </w:pPr>
                  <w:r>
                    <w:rPr>
                      <w:rFonts w:hint="eastAsia"/>
                      <w:sz w:val="21"/>
                    </w:rPr>
                    <w:t>5</w:t>
                  </w:r>
                </w:p>
              </w:tc>
              <w:tc>
                <w:tcPr>
                  <w:tcW w:w="1680" w:type="dxa"/>
                  <w:vAlign w:val="center"/>
                </w:tcPr>
                <w:p>
                  <w:pPr>
                    <w:spacing w:line="240" w:lineRule="auto"/>
                    <w:ind w:firstLine="0" w:firstLineChars="0"/>
                    <w:jc w:val="center"/>
                    <w:rPr>
                      <w:sz w:val="21"/>
                    </w:rPr>
                  </w:pPr>
                  <w:r>
                    <w:rPr>
                      <w:rFonts w:hint="eastAsia"/>
                      <w:sz w:val="21"/>
                    </w:rPr>
                    <w:t>0.012</w:t>
                  </w:r>
                </w:p>
              </w:tc>
              <w:tc>
                <w:tcPr>
                  <w:tcW w:w="1680" w:type="dxa"/>
                  <w:vAlign w:val="center"/>
                </w:tcPr>
                <w:p>
                  <w:pPr>
                    <w:spacing w:line="240" w:lineRule="auto"/>
                    <w:ind w:firstLine="0" w:firstLineChars="0"/>
                    <w:jc w:val="center"/>
                    <w:rPr>
                      <w:sz w:val="21"/>
                    </w:rPr>
                  </w:pPr>
                  <w:r>
                    <w:rPr>
                      <w:rFonts w:hint="eastAsia"/>
                      <w:sz w:val="21"/>
                    </w:rPr>
                    <w:t>0.012</w:t>
                  </w:r>
                </w:p>
              </w:tc>
            </w:tr>
          </w:tbl>
          <w:p>
            <w:pPr>
              <w:spacing w:before="240" w:beforeLines="100"/>
              <w:ind w:firstLine="480"/>
              <w:jc w:val="left"/>
            </w:pPr>
            <w:r>
              <w:rPr>
                <w:rFonts w:hint="eastAsia"/>
              </w:rPr>
              <w:t>本项目生活污水中的COD</w:t>
            </w:r>
            <w:r>
              <w:rPr>
                <w:rFonts w:hint="eastAsia"/>
                <w:vertAlign w:val="subscript"/>
              </w:rPr>
              <w:t>Cr</w:t>
            </w:r>
            <w:r>
              <w:rPr>
                <w:rFonts w:hint="eastAsia"/>
              </w:rPr>
              <w:t>、NH</w:t>
            </w:r>
            <w:r>
              <w:rPr>
                <w:rFonts w:hint="eastAsia"/>
                <w:vertAlign w:val="subscript"/>
              </w:rPr>
              <w:t>3</w:t>
            </w:r>
            <w:r>
              <w:rPr>
                <w:rFonts w:hint="eastAsia"/>
              </w:rPr>
              <w:t>-N不计入总量控制，直接由元洪投资区污水处理厂调剂。本项目需要进行总量控制的污染物主要是生产废水中的COD</w:t>
            </w:r>
            <w:r>
              <w:rPr>
                <w:rFonts w:hint="eastAsia"/>
                <w:vertAlign w:val="subscript"/>
              </w:rPr>
              <w:t>Cr</w:t>
            </w:r>
            <w:r>
              <w:rPr>
                <w:rFonts w:hint="eastAsia"/>
              </w:rPr>
              <w:t>、NH</w:t>
            </w:r>
            <w:r>
              <w:rPr>
                <w:rFonts w:hint="eastAsia"/>
                <w:vertAlign w:val="subscript"/>
              </w:rPr>
              <w:t>3</w:t>
            </w:r>
            <w:r>
              <w:rPr>
                <w:rFonts w:hint="eastAsia"/>
              </w:rPr>
              <w:t>-N。</w:t>
            </w:r>
          </w:p>
          <w:p>
            <w:pPr>
              <w:pStyle w:val="2"/>
              <w:ind w:firstLine="480" w:firstLineChars="200"/>
              <w:jc w:val="left"/>
              <w:rPr>
                <w:b w:val="0"/>
              </w:rPr>
            </w:pPr>
            <w:r>
              <w:rPr>
                <w:rFonts w:hint="eastAsia"/>
                <w:b w:val="0"/>
              </w:rPr>
              <w:t>经核算，该项目达产后全厂生产废水中污染物指标COD</w:t>
            </w:r>
            <w:r>
              <w:rPr>
                <w:rFonts w:hint="eastAsia"/>
                <w:vertAlign w:val="subscript"/>
              </w:rPr>
              <w:t>Cr</w:t>
            </w:r>
            <w:r>
              <w:rPr>
                <w:rFonts w:hint="eastAsia"/>
                <w:b w:val="0"/>
              </w:rPr>
              <w:t>≤0.119t/a、NH</w:t>
            </w:r>
            <w:r>
              <w:rPr>
                <w:rFonts w:hint="eastAsia"/>
                <w:b w:val="0"/>
                <w:vertAlign w:val="subscript"/>
              </w:rPr>
              <w:t>3</w:t>
            </w:r>
            <w:r>
              <w:rPr>
                <w:rFonts w:hint="eastAsia"/>
                <w:b w:val="0"/>
              </w:rPr>
              <w:t>-N≤0.012t/a。根据《福建省建设项目主要污染物排放总量指标管理办法（行）》（闽环发[2014]13号）可知，项目位于福州元洪投资区（租赁福清市鸿昌食品有限公司1号车间1层），不属于重点流域上游的水污染型工业企业，不属于化学需氧量、氨氮主要排放行业，因此，该项目新增排污权指标按倍量交易。项目所需COD</w:t>
            </w:r>
            <w:r>
              <w:rPr>
                <w:rFonts w:hint="eastAsia"/>
                <w:b w:val="0"/>
                <w:vertAlign w:val="subscript"/>
              </w:rPr>
              <w:t>Cr</w:t>
            </w:r>
            <w:r>
              <w:rPr>
                <w:rFonts w:hint="eastAsia"/>
                <w:b w:val="0"/>
              </w:rPr>
              <w:t>、NH</w:t>
            </w:r>
            <w:r>
              <w:rPr>
                <w:rFonts w:hint="eastAsia"/>
                <w:b w:val="0"/>
                <w:vertAlign w:val="subscript"/>
              </w:rPr>
              <w:t>3</w:t>
            </w:r>
            <w:r>
              <w:rPr>
                <w:rFonts w:hint="eastAsia"/>
                <w:b w:val="0"/>
              </w:rPr>
              <w:t>-N总量需通过海峡交易市场购买获取。</w:t>
            </w:r>
          </w:p>
        </w:tc>
      </w:tr>
    </w:tbl>
    <w:p>
      <w:pPr>
        <w:ind w:firstLine="720"/>
        <w:jc w:val="center"/>
        <w:outlineLvl w:val="0"/>
        <w:rPr>
          <w:rStyle w:val="46"/>
        </w:rPr>
      </w:pPr>
      <w:r>
        <w:rPr>
          <w:snapToGrid w:val="0"/>
          <w:sz w:val="36"/>
          <w:szCs w:val="36"/>
        </w:rPr>
        <w:br w:type="page"/>
      </w:r>
      <w:r>
        <w:rPr>
          <w:rStyle w:val="46"/>
        </w:rPr>
        <w:t>四、主要环境影响和保护措施</w:t>
      </w:r>
    </w:p>
    <w:tbl>
      <w:tblPr>
        <w:tblStyle w:val="29"/>
        <w:tblpPr w:leftFromText="180" w:rightFromText="180" w:vertAnchor="text" w:tblpXSpec="center" w:tblpY="1"/>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266"/>
        <w:gridCol w:w="88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902" w:hRule="atLeast"/>
        </w:trPr>
        <w:tc>
          <w:tcPr>
            <w:tcW w:w="146" w:type="pct"/>
            <w:tcMar>
              <w:left w:w="28" w:type="dxa"/>
              <w:right w:w="28" w:type="dxa"/>
            </w:tcMar>
            <w:vAlign w:val="center"/>
          </w:tcPr>
          <w:p>
            <w:pPr>
              <w:pStyle w:val="52"/>
            </w:pPr>
            <w:r>
              <w:t>施工</w:t>
            </w:r>
          </w:p>
          <w:p>
            <w:pPr>
              <w:pStyle w:val="52"/>
            </w:pPr>
            <w:r>
              <w:t>期环</w:t>
            </w:r>
          </w:p>
          <w:p>
            <w:pPr>
              <w:pStyle w:val="52"/>
            </w:pPr>
            <w:r>
              <w:t>境保</w:t>
            </w:r>
          </w:p>
          <w:p>
            <w:pPr>
              <w:pStyle w:val="52"/>
            </w:pPr>
            <w:r>
              <w:t>护措</w:t>
            </w:r>
          </w:p>
          <w:p>
            <w:pPr>
              <w:pStyle w:val="52"/>
            </w:pPr>
            <w:r>
              <w:t>施</w:t>
            </w:r>
          </w:p>
        </w:tc>
        <w:tc>
          <w:tcPr>
            <w:tcW w:w="4854" w:type="pct"/>
            <w:vAlign w:val="center"/>
          </w:tcPr>
          <w:p>
            <w:pPr>
              <w:pStyle w:val="5"/>
              <w:spacing w:before="120" w:afterLines="0"/>
            </w:pPr>
            <w:bookmarkStart w:id="28" w:name="_Toc533600581"/>
            <w:bookmarkStart w:id="29" w:name="_Toc529317075"/>
            <w:r>
              <w:t>4.</w:t>
            </w:r>
            <w:r>
              <w:rPr>
                <w:rFonts w:hint="eastAsia"/>
              </w:rPr>
              <w:t>1</w:t>
            </w:r>
            <w:r>
              <w:t>施工期水污染防治措施</w:t>
            </w:r>
            <w:bookmarkEnd w:id="28"/>
            <w:bookmarkEnd w:id="29"/>
            <w:r>
              <w:rPr>
                <w:rFonts w:hint="eastAsia"/>
              </w:rPr>
              <w:t>及影响分析</w:t>
            </w:r>
          </w:p>
          <w:p>
            <w:pPr>
              <w:ind w:firstLine="480"/>
              <w:rPr>
                <w:szCs w:val="22"/>
              </w:rPr>
            </w:pPr>
            <w:r>
              <w:rPr>
                <w:rFonts w:hint="eastAsia"/>
                <w:szCs w:val="22"/>
              </w:rPr>
              <w:t>本项目利用</w:t>
            </w:r>
            <w:r>
              <w:rPr>
                <w:szCs w:val="22"/>
              </w:rPr>
              <w:t>现有的厂房进行生产</w:t>
            </w:r>
            <w:r>
              <w:rPr>
                <w:rFonts w:hint="eastAsia"/>
                <w:szCs w:val="22"/>
              </w:rPr>
              <w:t>，施工期主要是新增生产设备的安装调试及附属设备的完善，不进行大规模土建工程，施工期时间短暂且产生的污染物较少，对周边环境影响较小且是暂时的，随着项目建设完成而终止，因此本评价不作详细评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18" w:hRule="atLeast"/>
        </w:trPr>
        <w:tc>
          <w:tcPr>
            <w:tcW w:w="146" w:type="pct"/>
            <w:tcMar>
              <w:left w:w="28" w:type="dxa"/>
              <w:right w:w="28" w:type="dxa"/>
            </w:tcMar>
            <w:vAlign w:val="center"/>
          </w:tcPr>
          <w:p>
            <w:pPr>
              <w:pStyle w:val="52"/>
            </w:pPr>
            <w:r>
              <w:t>运营</w:t>
            </w:r>
          </w:p>
          <w:p>
            <w:pPr>
              <w:pStyle w:val="52"/>
            </w:pPr>
            <w:r>
              <w:t>期环</w:t>
            </w:r>
          </w:p>
          <w:p>
            <w:pPr>
              <w:pStyle w:val="52"/>
            </w:pPr>
            <w:r>
              <w:t>境影</w:t>
            </w:r>
          </w:p>
          <w:p>
            <w:pPr>
              <w:pStyle w:val="52"/>
            </w:pPr>
            <w:r>
              <w:t>响和</w:t>
            </w:r>
          </w:p>
          <w:p>
            <w:pPr>
              <w:pStyle w:val="52"/>
            </w:pPr>
            <w:r>
              <w:t>保护</w:t>
            </w:r>
          </w:p>
          <w:p>
            <w:pPr>
              <w:pStyle w:val="52"/>
            </w:pPr>
            <w:r>
              <w:t>措施</w:t>
            </w:r>
          </w:p>
        </w:tc>
        <w:tc>
          <w:tcPr>
            <w:tcW w:w="4854" w:type="pct"/>
            <w:vAlign w:val="center"/>
          </w:tcPr>
          <w:p>
            <w:pPr>
              <w:pStyle w:val="5"/>
              <w:spacing w:before="120" w:afterLines="0"/>
            </w:pPr>
            <w:r>
              <w:t>4.</w:t>
            </w:r>
            <w:r>
              <w:rPr>
                <w:rFonts w:hint="eastAsia"/>
              </w:rPr>
              <w:t>2</w:t>
            </w:r>
            <w:r>
              <w:t>运营期废气</w:t>
            </w:r>
          </w:p>
          <w:p>
            <w:pPr>
              <w:pStyle w:val="5"/>
              <w:spacing w:beforeLines="0" w:afterLines="0"/>
              <w:ind w:firstLine="482" w:firstLineChars="200"/>
              <w:rPr>
                <w:sz w:val="24"/>
              </w:rPr>
            </w:pPr>
            <w:r>
              <w:rPr>
                <w:rFonts w:hint="eastAsia"/>
                <w:sz w:val="24"/>
              </w:rPr>
              <w:t>1、</w:t>
            </w:r>
            <w:r>
              <w:rPr>
                <w:sz w:val="24"/>
              </w:rPr>
              <w:t>废气源强分析</w:t>
            </w:r>
          </w:p>
          <w:p>
            <w:pPr>
              <w:ind w:firstLine="480"/>
              <w:rPr>
                <w:bCs/>
              </w:rPr>
            </w:pPr>
            <w:r>
              <w:rPr>
                <w:rFonts w:hint="eastAsia"/>
                <w:bCs/>
              </w:rPr>
              <w:t>根据工艺流程分析，项目主要废气污染源为：一体化污水处理设备恶臭（NH</w:t>
            </w:r>
            <w:r>
              <w:rPr>
                <w:rFonts w:hint="eastAsia"/>
                <w:bCs/>
                <w:vertAlign w:val="subscript"/>
              </w:rPr>
              <w:t>3</w:t>
            </w:r>
            <w:r>
              <w:rPr>
                <w:rFonts w:hint="eastAsia"/>
                <w:bCs/>
              </w:rPr>
              <w:t>、H</w:t>
            </w:r>
            <w:r>
              <w:rPr>
                <w:rFonts w:hint="eastAsia"/>
                <w:bCs/>
                <w:vertAlign w:val="subscript"/>
              </w:rPr>
              <w:t>2</w:t>
            </w:r>
            <w:r>
              <w:rPr>
                <w:rFonts w:hint="eastAsia"/>
                <w:bCs/>
              </w:rPr>
              <w:t>S、臭气浓度）。</w:t>
            </w:r>
          </w:p>
          <w:p>
            <w:pPr>
              <w:ind w:firstLine="480"/>
              <w:rPr>
                <w:bCs/>
              </w:rPr>
            </w:pPr>
            <w:r>
              <w:rPr>
                <w:rFonts w:hint="eastAsia"/>
              </w:rPr>
              <w:t>（1）</w:t>
            </w:r>
            <w:r>
              <w:rPr>
                <w:rFonts w:hint="eastAsia"/>
                <w:bCs/>
              </w:rPr>
              <w:t>一体化污水处理设备恶臭</w:t>
            </w:r>
          </w:p>
          <w:p>
            <w:pPr>
              <w:ind w:firstLine="480"/>
              <w:rPr>
                <w:kern w:val="0"/>
                <w:lang w:bidi="ar"/>
              </w:rPr>
            </w:pPr>
            <w:r>
              <w:rPr>
                <w:rFonts w:hint="eastAsia"/>
                <w:kern w:val="0"/>
                <w:lang w:bidi="ar"/>
              </w:rPr>
              <w:t>一体化污水处理设备产生的废气污染物主要为厌氧池、缺氧池、接触氧化池及污泥池等各处理单元产生的NH</w:t>
            </w:r>
            <w:r>
              <w:rPr>
                <w:rFonts w:hint="eastAsia"/>
                <w:kern w:val="0"/>
                <w:vertAlign w:val="subscript"/>
                <w:lang w:bidi="ar"/>
              </w:rPr>
              <w:t>3</w:t>
            </w:r>
            <w:r>
              <w:rPr>
                <w:rFonts w:hint="eastAsia"/>
                <w:kern w:val="0"/>
                <w:lang w:bidi="ar"/>
              </w:rPr>
              <w:t>、H</w:t>
            </w:r>
            <w:r>
              <w:rPr>
                <w:rFonts w:hint="eastAsia"/>
                <w:kern w:val="0"/>
                <w:vertAlign w:val="subscript"/>
                <w:lang w:bidi="ar"/>
              </w:rPr>
              <w:t>2</w:t>
            </w:r>
            <w:r>
              <w:rPr>
                <w:rFonts w:hint="eastAsia"/>
                <w:kern w:val="0"/>
                <w:lang w:bidi="ar"/>
              </w:rPr>
              <w:t>S及臭气浓度，由于恶臭物质的逸出和扩散机理比较复杂，废气源强难于准确计算，一体化污水处理设备废气源强采用类比法，参照美国 EPA对城市污水处理厂恶臭污染物产生情况的研究成果：每处理1g的BOD</w:t>
            </w:r>
            <w:r>
              <w:rPr>
                <w:rFonts w:hint="eastAsia"/>
                <w:kern w:val="0"/>
                <w:vertAlign w:val="subscript"/>
                <w:lang w:bidi="ar"/>
              </w:rPr>
              <w:t>5</w:t>
            </w:r>
            <w:r>
              <w:rPr>
                <w:rFonts w:hint="eastAsia"/>
                <w:kern w:val="0"/>
                <w:lang w:bidi="ar"/>
              </w:rPr>
              <w:t>，可产生0.0031g的NH</w:t>
            </w:r>
            <w:r>
              <w:rPr>
                <w:rFonts w:hint="eastAsia"/>
                <w:kern w:val="0"/>
                <w:vertAlign w:val="subscript"/>
                <w:lang w:bidi="ar"/>
              </w:rPr>
              <w:t>3</w:t>
            </w:r>
            <w:r>
              <w:rPr>
                <w:rFonts w:hint="eastAsia"/>
                <w:kern w:val="0"/>
                <w:lang w:bidi="ar"/>
              </w:rPr>
              <w:t>、0.00012g的 H</w:t>
            </w:r>
            <w:r>
              <w:rPr>
                <w:rFonts w:hint="eastAsia"/>
                <w:kern w:val="0"/>
                <w:vertAlign w:val="subscript"/>
                <w:lang w:bidi="ar"/>
              </w:rPr>
              <w:t>2</w:t>
            </w:r>
            <w:r>
              <w:rPr>
                <w:rFonts w:hint="eastAsia"/>
                <w:kern w:val="0"/>
                <w:lang w:bidi="ar"/>
              </w:rPr>
              <w:t>S。根据废水污染源分析，</w:t>
            </w:r>
            <w:bookmarkStart w:id="30" w:name="OLE_LINK35"/>
            <w:bookmarkStart w:id="31" w:name="OLE_LINK34"/>
            <w:r>
              <w:rPr>
                <w:rFonts w:hint="eastAsia"/>
                <w:kern w:val="0"/>
                <w:lang w:bidi="ar"/>
              </w:rPr>
              <w:t>污水站BOD</w:t>
            </w:r>
            <w:r>
              <w:rPr>
                <w:rFonts w:hint="eastAsia"/>
                <w:kern w:val="0"/>
                <w:vertAlign w:val="subscript"/>
                <w:lang w:bidi="ar"/>
              </w:rPr>
              <w:t>5</w:t>
            </w:r>
            <w:r>
              <w:rPr>
                <w:rFonts w:hint="eastAsia"/>
                <w:kern w:val="0"/>
                <w:lang w:bidi="ar"/>
              </w:rPr>
              <w:t>处理量为2.428t/a，则污水站恶臭产生源强为NH</w:t>
            </w:r>
            <w:r>
              <w:rPr>
                <w:rFonts w:hint="eastAsia"/>
                <w:kern w:val="0"/>
                <w:vertAlign w:val="subscript"/>
                <w:lang w:bidi="ar"/>
              </w:rPr>
              <w:t>3</w:t>
            </w:r>
            <w:r>
              <w:rPr>
                <w:rFonts w:hint="eastAsia"/>
                <w:kern w:val="0"/>
                <w:lang w:bidi="ar"/>
              </w:rPr>
              <w:t>：0.008t/a，H</w:t>
            </w:r>
            <w:r>
              <w:rPr>
                <w:rFonts w:hint="eastAsia"/>
                <w:kern w:val="0"/>
                <w:vertAlign w:val="subscript"/>
                <w:lang w:bidi="ar"/>
              </w:rPr>
              <w:t>2</w:t>
            </w:r>
            <w:r>
              <w:rPr>
                <w:rFonts w:hint="eastAsia"/>
                <w:kern w:val="0"/>
                <w:lang w:bidi="ar"/>
              </w:rPr>
              <w:t>S：0.0003t/a。</w:t>
            </w:r>
          </w:p>
          <w:bookmarkEnd w:id="30"/>
          <w:bookmarkEnd w:id="31"/>
          <w:p>
            <w:pPr>
              <w:ind w:firstLine="480"/>
              <w:rPr>
                <w:kern w:val="0"/>
                <w:lang w:bidi="ar"/>
              </w:rPr>
            </w:pPr>
            <w:r>
              <w:rPr>
                <w:rFonts w:hint="eastAsia"/>
                <w:kern w:val="0"/>
                <w:lang w:bidi="ar"/>
              </w:rPr>
              <w:t>由于臭气浓度的产生量难以定量分析，本评价只对其进行定性分析。</w:t>
            </w:r>
          </w:p>
          <w:p>
            <w:pPr>
              <w:ind w:firstLine="480"/>
              <w:rPr>
                <w:kern w:val="0"/>
                <w:lang w:bidi="ar"/>
              </w:rPr>
            </w:pPr>
            <w:r>
              <w:rPr>
                <w:rFonts w:hint="eastAsia"/>
              </w:rPr>
              <w:t>项目污水处理设施采用一体化设备，污水处理各构筑物为全封闭型设施，平时均为密闭状态</w:t>
            </w:r>
            <w:r>
              <w:rPr>
                <w:rFonts w:hint="eastAsia"/>
                <w:kern w:val="0"/>
                <w:lang w:bidi="ar"/>
              </w:rPr>
              <w:t>，定期喷洒除臭剂处理后，项目H</w:t>
            </w:r>
            <w:r>
              <w:rPr>
                <w:rFonts w:hint="eastAsia"/>
                <w:kern w:val="0"/>
                <w:vertAlign w:val="subscript"/>
                <w:lang w:bidi="ar"/>
              </w:rPr>
              <w:t>2</w:t>
            </w:r>
            <w:r>
              <w:rPr>
                <w:rFonts w:hint="eastAsia"/>
                <w:kern w:val="0"/>
                <w:lang w:bidi="ar"/>
              </w:rPr>
              <w:t>S、NH</w:t>
            </w:r>
            <w:r>
              <w:rPr>
                <w:rFonts w:hint="eastAsia"/>
                <w:kern w:val="0"/>
                <w:vertAlign w:val="subscript"/>
                <w:lang w:bidi="ar"/>
              </w:rPr>
              <w:t>3</w:t>
            </w:r>
            <w:r>
              <w:rPr>
                <w:rFonts w:hint="eastAsia"/>
                <w:kern w:val="0"/>
                <w:lang w:bidi="ar"/>
              </w:rPr>
              <w:t>、恶臭的排放对环境影响较小。</w:t>
            </w:r>
          </w:p>
          <w:p>
            <w:pPr>
              <w:ind w:firstLine="480"/>
              <w:rPr>
                <w:kern w:val="0"/>
                <w:lang w:bidi="ar"/>
              </w:rPr>
            </w:pPr>
            <w:r>
              <w:rPr>
                <w:rFonts w:hint="eastAsia"/>
                <w:kern w:val="0"/>
                <w:lang w:bidi="ar"/>
              </w:rPr>
              <w:t>建设项目无组织废气产生及排放情况见表4.2-1。</w:t>
            </w:r>
          </w:p>
          <w:p>
            <w:pPr>
              <w:pStyle w:val="2"/>
              <w:spacing w:line="240" w:lineRule="auto"/>
              <w:jc w:val="center"/>
              <w:rPr>
                <w:lang w:bidi="ar"/>
              </w:rPr>
            </w:pPr>
            <w:r>
              <w:rPr>
                <w:rFonts w:hint="eastAsia"/>
                <w:lang w:bidi="ar"/>
              </w:rPr>
              <w:t>表4.2-1  项目无组织废气产生及排放情况一览表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693"/>
              <w:gridCol w:w="1990"/>
              <w:gridCol w:w="1804"/>
              <w:gridCol w:w="15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1" w:type="dxa"/>
                  <w:vAlign w:val="center"/>
                </w:tcPr>
                <w:p>
                  <w:pPr>
                    <w:spacing w:line="240" w:lineRule="auto"/>
                    <w:ind w:firstLine="0" w:firstLineChars="0"/>
                    <w:jc w:val="center"/>
                    <w:rPr>
                      <w:sz w:val="21"/>
                    </w:rPr>
                  </w:pPr>
                  <w:r>
                    <w:rPr>
                      <w:rFonts w:hint="eastAsia"/>
                      <w:sz w:val="21"/>
                    </w:rPr>
                    <w:t>来源</w:t>
                  </w:r>
                </w:p>
              </w:tc>
              <w:tc>
                <w:tcPr>
                  <w:tcW w:w="1693" w:type="dxa"/>
                  <w:vAlign w:val="center"/>
                </w:tcPr>
                <w:p>
                  <w:pPr>
                    <w:spacing w:line="240" w:lineRule="auto"/>
                    <w:ind w:firstLine="0" w:firstLineChars="0"/>
                    <w:jc w:val="center"/>
                    <w:rPr>
                      <w:sz w:val="21"/>
                    </w:rPr>
                  </w:pPr>
                  <w:r>
                    <w:rPr>
                      <w:rFonts w:hint="eastAsia"/>
                      <w:sz w:val="21"/>
                    </w:rPr>
                    <w:t>污染物名称</w:t>
                  </w:r>
                </w:p>
              </w:tc>
              <w:tc>
                <w:tcPr>
                  <w:tcW w:w="1990" w:type="dxa"/>
                  <w:vAlign w:val="center"/>
                </w:tcPr>
                <w:p>
                  <w:pPr>
                    <w:spacing w:line="240" w:lineRule="auto"/>
                    <w:ind w:firstLine="0" w:firstLineChars="0"/>
                    <w:jc w:val="center"/>
                    <w:rPr>
                      <w:sz w:val="21"/>
                    </w:rPr>
                  </w:pPr>
                  <w:r>
                    <w:rPr>
                      <w:sz w:val="21"/>
                    </w:rPr>
                    <w:t>产生速率kg/h</w:t>
                  </w:r>
                </w:p>
              </w:tc>
              <w:tc>
                <w:tcPr>
                  <w:tcW w:w="1804" w:type="dxa"/>
                  <w:vAlign w:val="center"/>
                </w:tcPr>
                <w:p>
                  <w:pPr>
                    <w:spacing w:line="240" w:lineRule="auto"/>
                    <w:ind w:firstLine="0" w:firstLineChars="0"/>
                    <w:jc w:val="center"/>
                    <w:rPr>
                      <w:sz w:val="21"/>
                    </w:rPr>
                  </w:pPr>
                  <w:r>
                    <w:rPr>
                      <w:rFonts w:hint="eastAsia"/>
                      <w:sz w:val="21"/>
                    </w:rPr>
                    <w:t>排放量t/a</w:t>
                  </w:r>
                </w:p>
              </w:tc>
              <w:tc>
                <w:tcPr>
                  <w:tcW w:w="1597" w:type="dxa"/>
                  <w:vAlign w:val="center"/>
                </w:tcPr>
                <w:p>
                  <w:pPr>
                    <w:spacing w:line="240" w:lineRule="auto"/>
                    <w:ind w:firstLine="0" w:firstLineChars="0"/>
                    <w:jc w:val="center"/>
                    <w:rPr>
                      <w:sz w:val="21"/>
                    </w:rPr>
                  </w:pPr>
                  <w:r>
                    <w:rPr>
                      <w:rFonts w:hint="eastAsia"/>
                      <w:sz w:val="21"/>
                    </w:rPr>
                    <w:t>排放</w:t>
                  </w:r>
                  <w:r>
                    <w:rPr>
                      <w:sz w:val="21"/>
                    </w:rPr>
                    <w:t>速率kg/h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1" w:type="dxa"/>
                  <w:vMerge w:val="restart"/>
                  <w:vAlign w:val="center"/>
                </w:tcPr>
                <w:p>
                  <w:pPr>
                    <w:spacing w:line="240" w:lineRule="auto"/>
                    <w:ind w:firstLine="0" w:firstLineChars="0"/>
                    <w:jc w:val="center"/>
                    <w:rPr>
                      <w:sz w:val="21"/>
                    </w:rPr>
                  </w:pPr>
                  <w:r>
                    <w:rPr>
                      <w:rFonts w:hint="eastAsia"/>
                      <w:sz w:val="21"/>
                    </w:rPr>
                    <w:t>一体化污水处理设备周边</w:t>
                  </w:r>
                </w:p>
              </w:tc>
              <w:tc>
                <w:tcPr>
                  <w:tcW w:w="1693" w:type="dxa"/>
                  <w:vAlign w:val="center"/>
                </w:tcPr>
                <w:p>
                  <w:pPr>
                    <w:spacing w:line="240" w:lineRule="auto"/>
                    <w:ind w:firstLine="0" w:firstLineChars="0"/>
                    <w:jc w:val="center"/>
                    <w:rPr>
                      <w:sz w:val="21"/>
                    </w:rPr>
                  </w:pPr>
                  <w:r>
                    <w:rPr>
                      <w:rFonts w:hint="eastAsia"/>
                      <w:sz w:val="21"/>
                    </w:rPr>
                    <w:t>H</w:t>
                  </w:r>
                  <w:r>
                    <w:rPr>
                      <w:rFonts w:hint="eastAsia"/>
                      <w:sz w:val="21"/>
                      <w:vertAlign w:val="subscript"/>
                    </w:rPr>
                    <w:t>2</w:t>
                  </w:r>
                  <w:r>
                    <w:rPr>
                      <w:rFonts w:hint="eastAsia"/>
                      <w:sz w:val="21"/>
                    </w:rPr>
                    <w:t>S</w:t>
                  </w:r>
                </w:p>
              </w:tc>
              <w:tc>
                <w:tcPr>
                  <w:tcW w:w="1990" w:type="dxa"/>
                  <w:vAlign w:val="center"/>
                </w:tcPr>
                <w:p>
                  <w:pPr>
                    <w:spacing w:line="240" w:lineRule="auto"/>
                    <w:ind w:firstLine="0" w:firstLineChars="0"/>
                    <w:jc w:val="center"/>
                    <w:rPr>
                      <w:sz w:val="21"/>
                    </w:rPr>
                  </w:pPr>
                  <w:r>
                    <w:rPr>
                      <w:rFonts w:hint="eastAsia"/>
                      <w:sz w:val="21"/>
                    </w:rPr>
                    <w:t>/</w:t>
                  </w:r>
                </w:p>
              </w:tc>
              <w:tc>
                <w:tcPr>
                  <w:tcW w:w="1804" w:type="dxa"/>
                  <w:vAlign w:val="center"/>
                </w:tcPr>
                <w:p>
                  <w:pPr>
                    <w:spacing w:line="240" w:lineRule="auto"/>
                    <w:ind w:firstLine="0" w:firstLineChars="0"/>
                    <w:jc w:val="center"/>
                    <w:rPr>
                      <w:sz w:val="21"/>
                    </w:rPr>
                  </w:pPr>
                  <w:r>
                    <w:rPr>
                      <w:rFonts w:hint="eastAsia"/>
                      <w:sz w:val="21"/>
                    </w:rPr>
                    <w:t>0.0003</w:t>
                  </w:r>
                </w:p>
              </w:tc>
              <w:tc>
                <w:tcPr>
                  <w:tcW w:w="1597" w:type="dxa"/>
                  <w:vAlign w:val="center"/>
                </w:tcPr>
                <w:p>
                  <w:pPr>
                    <w:spacing w:line="240" w:lineRule="auto"/>
                    <w:ind w:firstLine="0" w:firstLineChars="0"/>
                    <w:jc w:val="center"/>
                    <w:rPr>
                      <w:sz w:val="21"/>
                    </w:rPr>
                  </w:pPr>
                  <w:r>
                    <w:rPr>
                      <w:rFonts w:hint="eastAsia"/>
                      <w:sz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1" w:type="dxa"/>
                  <w:vMerge w:val="continue"/>
                  <w:vAlign w:val="center"/>
                </w:tcPr>
                <w:p>
                  <w:pPr>
                    <w:spacing w:line="240" w:lineRule="auto"/>
                    <w:ind w:firstLine="0" w:firstLineChars="0"/>
                    <w:jc w:val="center"/>
                    <w:rPr>
                      <w:sz w:val="21"/>
                    </w:rPr>
                  </w:pPr>
                </w:p>
              </w:tc>
              <w:tc>
                <w:tcPr>
                  <w:tcW w:w="1693" w:type="dxa"/>
                  <w:vAlign w:val="center"/>
                </w:tcPr>
                <w:p>
                  <w:pPr>
                    <w:spacing w:line="240" w:lineRule="auto"/>
                    <w:ind w:firstLine="0" w:firstLineChars="0"/>
                    <w:jc w:val="center"/>
                    <w:rPr>
                      <w:sz w:val="21"/>
                    </w:rPr>
                  </w:pPr>
                  <w:r>
                    <w:rPr>
                      <w:rFonts w:hint="eastAsia"/>
                      <w:sz w:val="21"/>
                    </w:rPr>
                    <w:t>NH</w:t>
                  </w:r>
                  <w:r>
                    <w:rPr>
                      <w:rFonts w:hint="eastAsia"/>
                      <w:sz w:val="21"/>
                      <w:vertAlign w:val="subscript"/>
                    </w:rPr>
                    <w:t>3</w:t>
                  </w:r>
                </w:p>
              </w:tc>
              <w:tc>
                <w:tcPr>
                  <w:tcW w:w="1990" w:type="dxa"/>
                  <w:vAlign w:val="center"/>
                </w:tcPr>
                <w:p>
                  <w:pPr>
                    <w:spacing w:line="240" w:lineRule="auto"/>
                    <w:ind w:firstLine="0" w:firstLineChars="0"/>
                    <w:jc w:val="center"/>
                    <w:rPr>
                      <w:sz w:val="21"/>
                    </w:rPr>
                  </w:pPr>
                  <w:r>
                    <w:rPr>
                      <w:rFonts w:hint="eastAsia"/>
                      <w:sz w:val="21"/>
                    </w:rPr>
                    <w:t>/</w:t>
                  </w:r>
                </w:p>
              </w:tc>
              <w:tc>
                <w:tcPr>
                  <w:tcW w:w="1804" w:type="dxa"/>
                  <w:vAlign w:val="center"/>
                </w:tcPr>
                <w:p>
                  <w:pPr>
                    <w:spacing w:line="240" w:lineRule="auto"/>
                    <w:ind w:firstLine="0" w:firstLineChars="0"/>
                    <w:jc w:val="center"/>
                    <w:rPr>
                      <w:sz w:val="21"/>
                    </w:rPr>
                  </w:pPr>
                  <w:r>
                    <w:rPr>
                      <w:rFonts w:hint="eastAsia"/>
                      <w:sz w:val="21"/>
                    </w:rPr>
                    <w:t>0.008</w:t>
                  </w:r>
                </w:p>
              </w:tc>
              <w:tc>
                <w:tcPr>
                  <w:tcW w:w="1597" w:type="dxa"/>
                  <w:vAlign w:val="center"/>
                </w:tcPr>
                <w:p>
                  <w:pPr>
                    <w:spacing w:line="240" w:lineRule="auto"/>
                    <w:ind w:firstLine="0" w:firstLineChars="0"/>
                    <w:jc w:val="center"/>
                    <w:rPr>
                      <w:sz w:val="21"/>
                    </w:rPr>
                  </w:pPr>
                  <w:r>
                    <w:rPr>
                      <w:rFonts w:hint="eastAsia"/>
                      <w:sz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721" w:type="dxa"/>
                  <w:vMerge w:val="continue"/>
                  <w:vAlign w:val="center"/>
                </w:tcPr>
                <w:p>
                  <w:pPr>
                    <w:spacing w:line="240" w:lineRule="auto"/>
                    <w:ind w:firstLine="0" w:firstLineChars="0"/>
                    <w:jc w:val="center"/>
                    <w:rPr>
                      <w:sz w:val="21"/>
                    </w:rPr>
                  </w:pPr>
                </w:p>
              </w:tc>
              <w:tc>
                <w:tcPr>
                  <w:tcW w:w="1693" w:type="dxa"/>
                  <w:vAlign w:val="center"/>
                </w:tcPr>
                <w:p>
                  <w:pPr>
                    <w:spacing w:line="240" w:lineRule="auto"/>
                    <w:ind w:firstLine="0" w:firstLineChars="0"/>
                    <w:jc w:val="center"/>
                    <w:rPr>
                      <w:sz w:val="21"/>
                    </w:rPr>
                  </w:pPr>
                  <w:r>
                    <w:rPr>
                      <w:rFonts w:hint="eastAsia"/>
                      <w:sz w:val="21"/>
                    </w:rPr>
                    <w:t>臭气浓度</w:t>
                  </w:r>
                </w:p>
              </w:tc>
              <w:tc>
                <w:tcPr>
                  <w:tcW w:w="1990" w:type="dxa"/>
                  <w:vAlign w:val="center"/>
                </w:tcPr>
                <w:p>
                  <w:pPr>
                    <w:spacing w:line="240" w:lineRule="auto"/>
                    <w:ind w:firstLine="0" w:firstLineChars="0"/>
                    <w:jc w:val="center"/>
                    <w:rPr>
                      <w:sz w:val="21"/>
                    </w:rPr>
                  </w:pPr>
                  <w:r>
                    <w:rPr>
                      <w:rFonts w:hint="eastAsia"/>
                      <w:sz w:val="21"/>
                    </w:rPr>
                    <w:t>/</w:t>
                  </w:r>
                </w:p>
              </w:tc>
              <w:tc>
                <w:tcPr>
                  <w:tcW w:w="1804" w:type="dxa"/>
                  <w:vAlign w:val="center"/>
                </w:tcPr>
                <w:p>
                  <w:pPr>
                    <w:spacing w:line="240" w:lineRule="auto"/>
                    <w:ind w:firstLine="0" w:firstLineChars="0"/>
                    <w:jc w:val="center"/>
                    <w:rPr>
                      <w:sz w:val="21"/>
                    </w:rPr>
                  </w:pPr>
                  <w:r>
                    <w:rPr>
                      <w:rFonts w:hint="eastAsia"/>
                      <w:sz w:val="21"/>
                    </w:rPr>
                    <w:t>/</w:t>
                  </w:r>
                </w:p>
              </w:tc>
              <w:tc>
                <w:tcPr>
                  <w:tcW w:w="1597" w:type="dxa"/>
                  <w:vAlign w:val="center"/>
                </w:tcPr>
                <w:p>
                  <w:pPr>
                    <w:spacing w:line="240" w:lineRule="auto"/>
                    <w:ind w:firstLine="0" w:firstLineChars="0"/>
                    <w:jc w:val="center"/>
                    <w:rPr>
                      <w:sz w:val="21"/>
                    </w:rPr>
                  </w:pPr>
                  <w:r>
                    <w:rPr>
                      <w:rFonts w:hint="eastAsia"/>
                      <w:sz w:val="21"/>
                    </w:rPr>
                    <w:t>/</w:t>
                  </w:r>
                </w:p>
              </w:tc>
            </w:tr>
          </w:tbl>
          <w:p>
            <w:pPr>
              <w:tabs>
                <w:tab w:val="left" w:pos="5400"/>
              </w:tabs>
              <w:spacing w:before="240" w:beforeLines="100"/>
              <w:ind w:firstLine="482"/>
              <w:outlineLvl w:val="2"/>
              <w:rPr>
                <w:b/>
              </w:rPr>
            </w:pPr>
            <w:r>
              <w:rPr>
                <w:rFonts w:hint="eastAsia"/>
                <w:b/>
                <w:bCs/>
              </w:rPr>
              <w:t>2、</w:t>
            </w:r>
            <w:r>
              <w:rPr>
                <w:rFonts w:hint="eastAsia"/>
                <w:b/>
              </w:rPr>
              <w:t>环境防护</w:t>
            </w:r>
            <w:r>
              <w:rPr>
                <w:b/>
              </w:rPr>
              <w:t>距离分析</w:t>
            </w:r>
          </w:p>
          <w:p>
            <w:pPr>
              <w:pStyle w:val="2"/>
              <w:ind w:firstLine="480" w:firstLineChars="200"/>
              <w:jc w:val="left"/>
              <w:rPr>
                <w:b w:val="0"/>
              </w:rPr>
            </w:pPr>
            <w:r>
              <w:rPr>
                <w:rFonts w:hint="eastAsia"/>
                <w:b w:val="0"/>
              </w:rPr>
              <w:t>本次项目主要对一体化污水处理设备产生的H</w:t>
            </w:r>
            <w:r>
              <w:rPr>
                <w:rFonts w:hint="eastAsia"/>
                <w:b w:val="0"/>
                <w:vertAlign w:val="subscript"/>
              </w:rPr>
              <w:t>2</w:t>
            </w:r>
            <w:r>
              <w:rPr>
                <w:rFonts w:hint="eastAsia"/>
                <w:b w:val="0"/>
              </w:rPr>
              <w:t>S、NH</w:t>
            </w:r>
            <w:r>
              <w:rPr>
                <w:rFonts w:hint="eastAsia"/>
                <w:b w:val="0"/>
                <w:vertAlign w:val="subscript"/>
              </w:rPr>
              <w:t>3</w:t>
            </w:r>
            <w:r>
              <w:rPr>
                <w:rFonts w:hint="eastAsia"/>
                <w:b w:val="0"/>
              </w:rPr>
              <w:t>进行环境影响分析。</w:t>
            </w:r>
          </w:p>
          <w:p>
            <w:pPr>
              <w:ind w:firstLine="480"/>
            </w:pPr>
            <w:bookmarkStart w:id="32" w:name="OLE_LINK31"/>
            <w:bookmarkStart w:id="33" w:name="OLE_LINK30"/>
            <w:r>
              <w:rPr>
                <w:rFonts w:hint="eastAsia"/>
              </w:rPr>
              <w:t>(1)大气防护距离的分析</w:t>
            </w:r>
          </w:p>
          <w:bookmarkEnd w:id="32"/>
          <w:bookmarkEnd w:id="33"/>
          <w:p>
            <w:pPr>
              <w:pStyle w:val="5"/>
              <w:spacing w:beforeLines="0" w:afterLines="0"/>
              <w:ind w:firstLine="480" w:firstLineChars="200"/>
              <w:rPr>
                <w:b w:val="0"/>
                <w:bCs w:val="0"/>
                <w:sz w:val="24"/>
              </w:rPr>
            </w:pPr>
            <w:r>
              <w:rPr>
                <w:rFonts w:hint="eastAsia"/>
                <w:b w:val="0"/>
                <w:bCs w:val="0"/>
                <w:sz w:val="24"/>
              </w:rPr>
              <w:t>根据《环境影响评价技术导则   大气环境》(HJ2.2-2018)中8.7.5.1，“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pPr>
              <w:pStyle w:val="5"/>
              <w:spacing w:beforeLines="0" w:afterLines="0"/>
              <w:ind w:firstLine="480" w:firstLineChars="200"/>
              <w:rPr>
                <w:b w:val="0"/>
                <w:sz w:val="24"/>
              </w:rPr>
            </w:pPr>
            <w:r>
              <w:rPr>
                <w:rFonts w:hint="eastAsia"/>
                <w:b w:val="0"/>
                <w:sz w:val="24"/>
              </w:rPr>
              <w:t>本项目排放的NH</w:t>
            </w:r>
            <w:r>
              <w:rPr>
                <w:rFonts w:hint="eastAsia"/>
                <w:b w:val="0"/>
                <w:sz w:val="24"/>
                <w:vertAlign w:val="subscript"/>
              </w:rPr>
              <w:t>3</w:t>
            </w:r>
            <w:r>
              <w:rPr>
                <w:rFonts w:hint="eastAsia"/>
                <w:b w:val="0"/>
                <w:sz w:val="24"/>
              </w:rPr>
              <w:t>、H</w:t>
            </w:r>
            <w:r>
              <w:rPr>
                <w:rFonts w:hint="eastAsia"/>
                <w:b w:val="0"/>
                <w:sz w:val="24"/>
                <w:vertAlign w:val="subscript"/>
              </w:rPr>
              <w:t>2</w:t>
            </w:r>
            <w:r>
              <w:rPr>
                <w:rFonts w:hint="eastAsia"/>
                <w:b w:val="0"/>
                <w:sz w:val="24"/>
              </w:rPr>
              <w:t>S污染物厂界浓度限值远小于《恶臭污染物排放标准》(GB14554-93)中表1无组织排放的新扩改建二级限值要求，故项目无需设置大气环境防护距离。</w:t>
            </w:r>
          </w:p>
          <w:p>
            <w:pPr>
              <w:ind w:firstLine="480"/>
            </w:pPr>
            <w:r>
              <w:rPr>
                <w:rFonts w:hint="eastAsia"/>
              </w:rPr>
              <w:t>(2) 卫生防护距离分析</w:t>
            </w:r>
          </w:p>
          <w:p>
            <w:pPr>
              <w:pStyle w:val="5"/>
              <w:spacing w:beforeLines="0" w:afterLines="0"/>
              <w:ind w:firstLine="480" w:firstLineChars="200"/>
              <w:jc w:val="left"/>
              <w:rPr>
                <w:b w:val="0"/>
                <w:kern w:val="28"/>
                <w:sz w:val="24"/>
              </w:rPr>
            </w:pPr>
            <w:r>
              <w:rPr>
                <w:rFonts w:hint="eastAsia"/>
                <w:b w:val="0"/>
                <w:kern w:val="28"/>
                <w:sz w:val="24"/>
              </w:rPr>
              <w:t>根据《大气有害物质无组织排放卫生防护距离推导技术导则》(GBT 39499-2020对“特征大气有害物质”的定义为：“有关行业企业在正常生产时通过无组织排放形式扩散到周边的有毒有害大气污染物”；根据《建设项目环境影响报告表编制技术指南(污染影响类(试行))》，废气中有毒有害污染物指纳入《有毒有害大气污染物名录》的污染物(不包括无排放标准的污染物)，具体包括：二氯甲烷、甲醛、三氯甲烷、三氯乙烯、四氯乙烯、乙醛、镉及其化合物、铬及其化合物、汞及其化合物、铅及其化合物、砷及其化合物，本项目废气污染物为</w:t>
            </w:r>
            <w:r>
              <w:rPr>
                <w:rFonts w:hint="eastAsia"/>
                <w:b w:val="0"/>
                <w:sz w:val="24"/>
              </w:rPr>
              <w:t>NH</w:t>
            </w:r>
            <w:r>
              <w:rPr>
                <w:rFonts w:hint="eastAsia"/>
                <w:b w:val="0"/>
                <w:sz w:val="24"/>
                <w:vertAlign w:val="subscript"/>
              </w:rPr>
              <w:t>3</w:t>
            </w:r>
            <w:r>
              <w:rPr>
                <w:rFonts w:hint="eastAsia"/>
                <w:b w:val="0"/>
                <w:sz w:val="24"/>
              </w:rPr>
              <w:t>、H</w:t>
            </w:r>
            <w:r>
              <w:rPr>
                <w:rFonts w:hint="eastAsia"/>
                <w:b w:val="0"/>
                <w:sz w:val="24"/>
                <w:vertAlign w:val="subscript"/>
              </w:rPr>
              <w:t>2</w:t>
            </w:r>
            <w:r>
              <w:rPr>
                <w:rFonts w:hint="eastAsia"/>
                <w:b w:val="0"/>
                <w:sz w:val="24"/>
              </w:rPr>
              <w:t>S</w:t>
            </w:r>
            <w:r>
              <w:rPr>
                <w:rFonts w:hint="eastAsia"/>
                <w:b w:val="0"/>
                <w:kern w:val="28"/>
                <w:sz w:val="24"/>
              </w:rPr>
              <w:t>和臭气浓度，不含有毒有害污染物。根据废气源强分析可知项目污水处理设施采用一体化设备，污水处理各构筑物为全封闭型设施，平时均为密闭状态，定期喷洒除臭剂处理后，对周边大气环境影响很小且排放浓度</w:t>
            </w:r>
            <w:r>
              <w:rPr>
                <w:rFonts w:hint="eastAsia"/>
                <w:b w:val="0"/>
                <w:sz w:val="24"/>
              </w:rPr>
              <w:t>远小于其</w:t>
            </w:r>
            <w:r>
              <w:rPr>
                <w:rFonts w:hint="eastAsia"/>
                <w:b w:val="0"/>
                <w:kern w:val="28"/>
                <w:sz w:val="24"/>
              </w:rPr>
              <w:t>标准限值。故项目无需设置卫生防护距离。</w:t>
            </w:r>
          </w:p>
          <w:p>
            <w:pPr>
              <w:pStyle w:val="5"/>
              <w:spacing w:beforeLines="0" w:afterLines="0"/>
              <w:ind w:firstLine="482" w:firstLineChars="200"/>
              <w:jc w:val="left"/>
              <w:rPr>
                <w:sz w:val="24"/>
              </w:rPr>
            </w:pPr>
            <w:r>
              <w:rPr>
                <w:rFonts w:hint="eastAsia"/>
                <w:sz w:val="24"/>
              </w:rPr>
              <w:t>3</w:t>
            </w:r>
            <w:r>
              <w:rPr>
                <w:sz w:val="24"/>
              </w:rPr>
              <w:t>、废气治理措施可行性分析</w:t>
            </w:r>
          </w:p>
          <w:p>
            <w:pPr>
              <w:ind w:firstLine="480"/>
              <w:jc w:val="left"/>
              <w:rPr>
                <w:bCs/>
              </w:rPr>
            </w:pPr>
            <w:r>
              <w:rPr>
                <w:rFonts w:hint="eastAsia"/>
                <w:bCs/>
              </w:rPr>
              <w:t>为了减少生产过程的恶臭对环境的污染，提出以下措施：</w:t>
            </w:r>
          </w:p>
          <w:p>
            <w:pPr>
              <w:ind w:firstLine="480"/>
              <w:jc w:val="left"/>
            </w:pPr>
            <w:r>
              <w:rPr>
                <w:rFonts w:hint="eastAsia"/>
              </w:rPr>
              <w:t>（1）生产过程中恶臭措施可行性</w:t>
            </w:r>
          </w:p>
          <w:p>
            <w:pPr>
              <w:widowControl/>
              <w:shd w:val="clear" w:color="auto" w:fill="FFFFFF"/>
              <w:ind w:firstLine="480"/>
              <w:jc w:val="left"/>
            </w:pPr>
            <w:r>
              <w:rPr>
                <w:rFonts w:hint="eastAsia"/>
              </w:rPr>
              <w:t>本项目一体化污水处理设备处理污水过程中产生恶臭气体，主要来源于污水、污泥中有机物的分解、发酵过程中散发的恶臭物质，主要成分为</w:t>
            </w:r>
            <w:bookmarkStart w:id="34" w:name="OLE_LINK9"/>
            <w:bookmarkStart w:id="35" w:name="OLE_LINK8"/>
            <w:r>
              <w:rPr>
                <w:rFonts w:hint="eastAsia"/>
              </w:rPr>
              <w:t>NH</w:t>
            </w:r>
            <w:r>
              <w:rPr>
                <w:rFonts w:hint="eastAsia"/>
                <w:vertAlign w:val="subscript"/>
              </w:rPr>
              <w:t>3</w:t>
            </w:r>
            <w:r>
              <w:rPr>
                <w:rFonts w:hint="eastAsia"/>
              </w:rPr>
              <w:t>、H</w:t>
            </w:r>
            <w:r>
              <w:rPr>
                <w:rFonts w:hint="eastAsia"/>
                <w:vertAlign w:val="subscript"/>
              </w:rPr>
              <w:t>2</w:t>
            </w:r>
            <w:r>
              <w:rPr>
                <w:rFonts w:hint="eastAsia"/>
              </w:rPr>
              <w:t>S</w:t>
            </w:r>
            <w:bookmarkEnd w:id="34"/>
            <w:bookmarkEnd w:id="35"/>
            <w:r>
              <w:rPr>
                <w:rFonts w:hint="eastAsia"/>
              </w:rPr>
              <w:t>等，随季节温度的变化臭气强度有所变化，</w:t>
            </w:r>
            <w:bookmarkStart w:id="36" w:name="OLE_LINK36"/>
            <w:bookmarkStart w:id="37" w:name="OLE_LINK39"/>
            <w:r>
              <w:rPr>
                <w:rFonts w:hint="eastAsia"/>
              </w:rPr>
              <w:t xml:space="preserve">根据《排污许可证申请与核发技术规范 </w:t>
            </w:r>
            <w:bookmarkStart w:id="38" w:name="OLE_LINK14"/>
            <w:r>
              <w:rPr>
                <w:rFonts w:hint="eastAsia"/>
              </w:rPr>
              <w:t>食品制造工业</w:t>
            </w:r>
            <w:bookmarkEnd w:id="38"/>
            <w:r>
              <w:rPr>
                <w:rFonts w:hint="eastAsia"/>
              </w:rPr>
              <w:t>—方便食品、食品及饲料添加剂制造工业》（HJ1030.3-2019）中表</w:t>
            </w:r>
            <w:bookmarkEnd w:id="36"/>
            <w:bookmarkEnd w:id="37"/>
            <w:r>
              <w:rPr>
                <w:rFonts w:hint="eastAsia"/>
              </w:rPr>
              <w:t>6-1对厂区综合污水处理站提出的无组织排放控制要求为：“产生恶臭气体区域加罩或者加盖；投放除臭剂；收集恶臭气体经处理（喷淋塔除臭、活性炭吸附、生物除臭等）后排放”，</w:t>
            </w:r>
            <w:bookmarkStart w:id="39" w:name="OLE_LINK12"/>
            <w:r>
              <w:rPr>
                <w:rFonts w:hint="eastAsia"/>
              </w:rPr>
              <w:t>本项目一体化污水处理设备</w:t>
            </w:r>
            <w:bookmarkEnd w:id="39"/>
            <w:r>
              <w:rPr>
                <w:rFonts w:hint="eastAsia"/>
              </w:rPr>
              <w:t>采取加盖密闭，定期喷洒高效的除臭剂为可行技术，少量无组织排放的臭气浓度可满足《恶臭污染物排放标准》(GB14554-93)中表1无组织排放的新扩改建二级限值。</w:t>
            </w:r>
          </w:p>
          <w:p>
            <w:pPr>
              <w:ind w:firstLine="482"/>
              <w:rPr>
                <w:b/>
              </w:rPr>
            </w:pPr>
            <w:r>
              <w:rPr>
                <w:rFonts w:hint="eastAsia"/>
                <w:b/>
              </w:rPr>
              <w:t>4、自行监测要求</w:t>
            </w:r>
          </w:p>
          <w:p>
            <w:pPr>
              <w:pStyle w:val="5"/>
              <w:spacing w:before="120" w:after="120"/>
              <w:ind w:firstLine="480" w:firstLineChars="200"/>
              <w:rPr>
                <w:b w:val="0"/>
                <w:bCs w:val="0"/>
                <w:sz w:val="24"/>
              </w:rPr>
            </w:pPr>
            <w:r>
              <w:rPr>
                <w:rFonts w:hint="eastAsia"/>
                <w:b w:val="0"/>
                <w:bCs w:val="0"/>
                <w:sz w:val="24"/>
              </w:rPr>
              <w:t>根据《排污单位自行监测技术指南 食品制造》（HJ1084-2020）要求，项目废气自行监测要求见表</w:t>
            </w:r>
            <w:r>
              <w:rPr>
                <w:b w:val="0"/>
                <w:bCs w:val="0"/>
                <w:sz w:val="24"/>
              </w:rPr>
              <w:t>4.2-2</w:t>
            </w:r>
            <w:r>
              <w:rPr>
                <w:rFonts w:hint="eastAsia"/>
                <w:b w:val="0"/>
                <w:bCs w:val="0"/>
                <w:sz w:val="24"/>
              </w:rPr>
              <w:t>。</w:t>
            </w:r>
          </w:p>
          <w:p>
            <w:pPr>
              <w:pStyle w:val="2"/>
              <w:spacing w:line="240" w:lineRule="auto"/>
              <w:jc w:val="center"/>
            </w:pPr>
            <w:r>
              <w:rPr>
                <w:rFonts w:hint="eastAsia"/>
              </w:rPr>
              <w:t>表4.2-2  废气监测计划一览表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2202"/>
              <w:gridCol w:w="2202"/>
              <w:gridCol w:w="22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2199" w:type="dxa"/>
                  <w:vAlign w:val="center"/>
                </w:tcPr>
                <w:p>
                  <w:pPr>
                    <w:pStyle w:val="2"/>
                    <w:spacing w:line="240" w:lineRule="auto"/>
                    <w:jc w:val="center"/>
                    <w:outlineLvl w:val="3"/>
                    <w:rPr>
                      <w:b w:val="0"/>
                      <w:sz w:val="21"/>
                    </w:rPr>
                  </w:pPr>
                  <w:r>
                    <w:rPr>
                      <w:rFonts w:hint="eastAsia"/>
                      <w:b w:val="0"/>
                      <w:sz w:val="21"/>
                    </w:rPr>
                    <w:t>排放形式</w:t>
                  </w:r>
                </w:p>
              </w:tc>
              <w:tc>
                <w:tcPr>
                  <w:tcW w:w="2202" w:type="dxa"/>
                  <w:vAlign w:val="center"/>
                </w:tcPr>
                <w:p>
                  <w:pPr>
                    <w:pStyle w:val="2"/>
                    <w:spacing w:line="240" w:lineRule="auto"/>
                    <w:jc w:val="center"/>
                    <w:outlineLvl w:val="3"/>
                    <w:rPr>
                      <w:b w:val="0"/>
                      <w:sz w:val="21"/>
                    </w:rPr>
                  </w:pPr>
                  <w:r>
                    <w:rPr>
                      <w:b w:val="0"/>
                      <w:sz w:val="21"/>
                    </w:rPr>
                    <w:t>监测点位</w:t>
                  </w:r>
                </w:p>
              </w:tc>
              <w:tc>
                <w:tcPr>
                  <w:tcW w:w="2202" w:type="dxa"/>
                  <w:vAlign w:val="center"/>
                </w:tcPr>
                <w:p>
                  <w:pPr>
                    <w:pStyle w:val="2"/>
                    <w:spacing w:line="240" w:lineRule="auto"/>
                    <w:jc w:val="center"/>
                    <w:outlineLvl w:val="3"/>
                    <w:rPr>
                      <w:b w:val="0"/>
                      <w:sz w:val="21"/>
                    </w:rPr>
                  </w:pPr>
                  <w:r>
                    <w:rPr>
                      <w:b w:val="0"/>
                      <w:sz w:val="21"/>
                    </w:rPr>
                    <w:t>监测项目</w:t>
                  </w:r>
                </w:p>
              </w:tc>
              <w:tc>
                <w:tcPr>
                  <w:tcW w:w="2202" w:type="dxa"/>
                  <w:vAlign w:val="center"/>
                </w:tcPr>
                <w:p>
                  <w:pPr>
                    <w:pStyle w:val="2"/>
                    <w:spacing w:line="240" w:lineRule="auto"/>
                    <w:jc w:val="center"/>
                    <w:outlineLvl w:val="3"/>
                    <w:rPr>
                      <w:b w:val="0"/>
                      <w:sz w:val="21"/>
                    </w:rPr>
                  </w:pPr>
                  <w:r>
                    <w:rPr>
                      <w:b w:val="0"/>
                      <w:sz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9" w:type="dxa"/>
                  <w:vAlign w:val="center"/>
                </w:tcPr>
                <w:p>
                  <w:pPr>
                    <w:pStyle w:val="2"/>
                    <w:spacing w:line="240" w:lineRule="auto"/>
                    <w:jc w:val="center"/>
                    <w:outlineLvl w:val="3"/>
                    <w:rPr>
                      <w:b w:val="0"/>
                      <w:sz w:val="21"/>
                    </w:rPr>
                  </w:pPr>
                  <w:r>
                    <w:rPr>
                      <w:rFonts w:hint="eastAsia"/>
                      <w:b w:val="0"/>
                      <w:sz w:val="21"/>
                    </w:rPr>
                    <w:t>无组织</w:t>
                  </w:r>
                </w:p>
              </w:tc>
              <w:tc>
                <w:tcPr>
                  <w:tcW w:w="2202" w:type="dxa"/>
                  <w:vAlign w:val="center"/>
                </w:tcPr>
                <w:p>
                  <w:pPr>
                    <w:pStyle w:val="2"/>
                    <w:spacing w:line="240" w:lineRule="auto"/>
                    <w:jc w:val="center"/>
                    <w:outlineLvl w:val="3"/>
                    <w:rPr>
                      <w:b w:val="0"/>
                      <w:sz w:val="21"/>
                    </w:rPr>
                  </w:pPr>
                  <w:r>
                    <w:rPr>
                      <w:rFonts w:hint="eastAsia"/>
                      <w:b w:val="0"/>
                      <w:sz w:val="21"/>
                    </w:rPr>
                    <w:t>一体化污水处理设备区周边</w:t>
                  </w:r>
                </w:p>
              </w:tc>
              <w:tc>
                <w:tcPr>
                  <w:tcW w:w="2202" w:type="dxa"/>
                  <w:vAlign w:val="center"/>
                </w:tcPr>
                <w:p>
                  <w:pPr>
                    <w:pStyle w:val="2"/>
                    <w:spacing w:line="240" w:lineRule="auto"/>
                    <w:jc w:val="center"/>
                    <w:outlineLvl w:val="3"/>
                    <w:rPr>
                      <w:b w:val="0"/>
                      <w:sz w:val="21"/>
                    </w:rPr>
                  </w:pPr>
                  <w:r>
                    <w:rPr>
                      <w:rFonts w:hint="eastAsia"/>
                      <w:b w:val="0"/>
                      <w:sz w:val="21"/>
                    </w:rPr>
                    <w:t>NH</w:t>
                  </w:r>
                  <w:r>
                    <w:rPr>
                      <w:rFonts w:hint="eastAsia"/>
                      <w:b w:val="0"/>
                      <w:sz w:val="21"/>
                      <w:vertAlign w:val="subscript"/>
                    </w:rPr>
                    <w:t>3</w:t>
                  </w:r>
                  <w:r>
                    <w:rPr>
                      <w:rFonts w:hint="eastAsia"/>
                      <w:b w:val="0"/>
                      <w:sz w:val="21"/>
                    </w:rPr>
                    <w:t>、H</w:t>
                  </w:r>
                  <w:r>
                    <w:rPr>
                      <w:rFonts w:hint="eastAsia"/>
                      <w:b w:val="0"/>
                      <w:sz w:val="21"/>
                      <w:vertAlign w:val="subscript"/>
                    </w:rPr>
                    <w:t>2</w:t>
                  </w:r>
                  <w:r>
                    <w:rPr>
                      <w:rFonts w:hint="eastAsia"/>
                      <w:b w:val="0"/>
                      <w:sz w:val="21"/>
                    </w:rPr>
                    <w:t>S、臭气浓度</w:t>
                  </w:r>
                </w:p>
              </w:tc>
              <w:tc>
                <w:tcPr>
                  <w:tcW w:w="2202" w:type="dxa"/>
                  <w:vAlign w:val="center"/>
                </w:tcPr>
                <w:p>
                  <w:pPr>
                    <w:pStyle w:val="2"/>
                    <w:spacing w:line="240" w:lineRule="auto"/>
                    <w:jc w:val="center"/>
                    <w:outlineLvl w:val="3"/>
                    <w:rPr>
                      <w:b w:val="0"/>
                      <w:sz w:val="21"/>
                    </w:rPr>
                  </w:pPr>
                  <w:r>
                    <w:rPr>
                      <w:rFonts w:hint="eastAsia"/>
                      <w:b w:val="0"/>
                      <w:sz w:val="21"/>
                    </w:rPr>
                    <w:t>1次/年</w:t>
                  </w:r>
                </w:p>
              </w:tc>
            </w:tr>
          </w:tbl>
          <w:p>
            <w:pPr>
              <w:pStyle w:val="5"/>
              <w:spacing w:before="240" w:beforeLines="100" w:afterLines="0"/>
            </w:pPr>
            <w:r>
              <w:t>4.</w:t>
            </w:r>
            <w:r>
              <w:rPr>
                <w:rFonts w:hint="eastAsia"/>
              </w:rPr>
              <w:t>3</w:t>
            </w:r>
            <w:r>
              <w:t>运营期废水</w:t>
            </w:r>
          </w:p>
          <w:p>
            <w:pPr>
              <w:pStyle w:val="5"/>
              <w:spacing w:beforeLines="0" w:afterLines="0"/>
              <w:ind w:firstLine="482" w:firstLineChars="200"/>
              <w:rPr>
                <w:sz w:val="24"/>
              </w:rPr>
            </w:pPr>
            <w:r>
              <w:rPr>
                <w:rFonts w:hint="eastAsia"/>
                <w:sz w:val="24"/>
              </w:rPr>
              <w:t>1、</w:t>
            </w:r>
            <w:r>
              <w:rPr>
                <w:sz w:val="24"/>
              </w:rPr>
              <w:t>废</w:t>
            </w:r>
            <w:r>
              <w:rPr>
                <w:rFonts w:hint="eastAsia"/>
                <w:sz w:val="24"/>
              </w:rPr>
              <w:t>水</w:t>
            </w:r>
            <w:r>
              <w:rPr>
                <w:sz w:val="24"/>
              </w:rPr>
              <w:t>源强分析</w:t>
            </w:r>
          </w:p>
          <w:p>
            <w:pPr>
              <w:pStyle w:val="5"/>
              <w:spacing w:before="120" w:after="120"/>
              <w:ind w:firstLine="480" w:firstLineChars="200"/>
              <w:rPr>
                <w:b w:val="0"/>
                <w:bCs w:val="0"/>
                <w:sz w:val="24"/>
              </w:rPr>
            </w:pPr>
            <w:r>
              <w:rPr>
                <w:rFonts w:hint="eastAsia"/>
                <w:b w:val="0"/>
                <w:bCs w:val="0"/>
                <w:sz w:val="24"/>
              </w:rPr>
              <w:t>项目外排废水主要为员工生活污水和生产废水。</w:t>
            </w:r>
          </w:p>
          <w:p>
            <w:pPr>
              <w:ind w:firstLine="480"/>
            </w:pPr>
            <w:r>
              <w:rPr>
                <w:rFonts w:hint="eastAsia"/>
              </w:rPr>
              <w:t>①生活用水</w:t>
            </w:r>
          </w:p>
          <w:p>
            <w:pPr>
              <w:ind w:firstLine="480"/>
            </w:pPr>
            <w:r>
              <w:rPr>
                <w:rFonts w:hint="eastAsia"/>
              </w:rPr>
              <w:t>根据前文2.6水平衡分析，项目生活污水产生量为0.9t/d(234t/a)。</w:t>
            </w:r>
            <w:r>
              <w:t>生活污水的主要污染物为 CODcr、BOD</w:t>
            </w:r>
            <w:r>
              <w:rPr>
                <w:vertAlign w:val="subscript"/>
              </w:rPr>
              <w:t>5</w:t>
            </w:r>
            <w:r>
              <w:t>、SS、NH</w:t>
            </w:r>
            <w:r>
              <w:rPr>
                <w:vertAlign w:val="subscript"/>
              </w:rPr>
              <w:t>3</w:t>
            </w:r>
            <w:r>
              <w:t>-N 等，参考《给排水设计手册》（第五册城镇排水）典型的生活污水水质，主要污染物浓度选取CODcr：400mg/L、BOD</w:t>
            </w:r>
            <w:r>
              <w:rPr>
                <w:vertAlign w:val="subscript"/>
              </w:rPr>
              <w:t>5</w:t>
            </w:r>
            <w:r>
              <w:t>：250mg/L、SS：220mg/L、NH</w:t>
            </w:r>
            <w:r>
              <w:rPr>
                <w:vertAlign w:val="subscript"/>
              </w:rPr>
              <w:t>3</w:t>
            </w:r>
            <w:r>
              <w:t>-N：35mg/L、总氮：</w:t>
            </w:r>
            <w:r>
              <w:rPr>
                <w:rFonts w:hint="eastAsia"/>
              </w:rPr>
              <w:t>60</w:t>
            </w:r>
            <w:r>
              <w:t xml:space="preserve"> mg/L、总磷</w:t>
            </w:r>
            <w:r>
              <w:rPr>
                <w:rFonts w:hint="eastAsia"/>
              </w:rPr>
              <w:t>5</w:t>
            </w:r>
            <w:r>
              <w:t xml:space="preserve"> mg/L。生活污水经化粪池预处理，CODcr、BOD</w:t>
            </w:r>
            <w:r>
              <w:rPr>
                <w:vertAlign w:val="subscript"/>
              </w:rPr>
              <w:t>5</w:t>
            </w:r>
            <w:r>
              <w:rPr>
                <w:rFonts w:hint="eastAsia"/>
              </w:rPr>
              <w:t>、SS、</w:t>
            </w:r>
            <w:r>
              <w:t>NH</w:t>
            </w:r>
            <w:r>
              <w:rPr>
                <w:vertAlign w:val="subscript"/>
              </w:rPr>
              <w:t>3</w:t>
            </w:r>
            <w:r>
              <w:t>-N的去除率参照</w:t>
            </w:r>
            <w:r>
              <w:rPr>
                <w:rFonts w:hint="eastAsia"/>
                <w:kern w:val="0"/>
                <w:szCs w:val="21"/>
              </w:rPr>
              <w:t>《化粪池原理及水污染物去除率》、</w:t>
            </w:r>
            <w:r>
              <w:t>总氮、总磷的去除率参照</w:t>
            </w:r>
            <w:r>
              <w:rPr>
                <w:rFonts w:hint="eastAsia"/>
              </w:rPr>
              <w:t>《村镇生活污染防治最佳可行技术指南(试行)XH-BAT-9)中的数据:TN(总氮):不大于 10%(本项目取5%)，TP(总磷)不大于20%(本项目取10%),</w:t>
            </w:r>
            <w:r>
              <w:rPr>
                <w:rFonts w:hint="eastAsia"/>
                <w:kern w:val="0"/>
                <w:szCs w:val="21"/>
              </w:rPr>
              <w:t>分别为：15%、9%、30%、3%、5%、10%。</w:t>
            </w:r>
            <w:r>
              <w:t>则项目生活污水经化粪池处理后，COD</w:t>
            </w:r>
            <w:r>
              <w:rPr>
                <w:rFonts w:hint="eastAsia"/>
              </w:rPr>
              <w:t>cr</w:t>
            </w:r>
            <w:r>
              <w:t>、BOD</w:t>
            </w:r>
            <w:r>
              <w:rPr>
                <w:vertAlign w:val="subscript"/>
              </w:rPr>
              <w:t>5</w:t>
            </w:r>
            <w:r>
              <w:t>、SS、NH</w:t>
            </w:r>
            <w:r>
              <w:rPr>
                <w:vertAlign w:val="subscript"/>
              </w:rPr>
              <w:t>3</w:t>
            </w:r>
            <w:r>
              <w:t>-N、总氮、总磷排放浓度为</w:t>
            </w:r>
            <w:r>
              <w:rPr>
                <w:rFonts w:hint="eastAsia"/>
              </w:rPr>
              <w:t>340</w:t>
            </w:r>
            <w:r>
              <w:t>mg/L、</w:t>
            </w:r>
            <w:r>
              <w:rPr>
                <w:rFonts w:hint="eastAsia"/>
              </w:rPr>
              <w:t>227.5</w:t>
            </w:r>
            <w:r>
              <w:t>mg/L、</w:t>
            </w:r>
            <w:r>
              <w:rPr>
                <w:rFonts w:hint="eastAsia"/>
              </w:rPr>
              <w:t>154</w:t>
            </w:r>
            <w:r>
              <w:t>mg/L、</w:t>
            </w:r>
            <w:r>
              <w:rPr>
                <w:rFonts w:hint="eastAsia"/>
              </w:rPr>
              <w:t>33.95</w:t>
            </w:r>
            <w:r>
              <w:t>mg/L、</w:t>
            </w:r>
            <w:r>
              <w:rPr>
                <w:rFonts w:hint="eastAsia"/>
              </w:rPr>
              <w:t>57、4.5，产生量为</w:t>
            </w:r>
            <w:r>
              <w:t>CODcr：</w:t>
            </w:r>
            <w:r>
              <w:rPr>
                <w:rFonts w:hint="eastAsia"/>
              </w:rPr>
              <w:t>0.119t/a，</w:t>
            </w:r>
            <w:r>
              <w:t>BOD</w:t>
            </w:r>
            <w:r>
              <w:rPr>
                <w:vertAlign w:val="subscript"/>
              </w:rPr>
              <w:t>5</w:t>
            </w:r>
            <w:r>
              <w:t>：</w:t>
            </w:r>
            <w:r>
              <w:rPr>
                <w:rFonts w:hint="eastAsia"/>
              </w:rPr>
              <w:t>0.074t/a，SS：0.065t/a，NH</w:t>
            </w:r>
            <w:r>
              <w:rPr>
                <w:rFonts w:hint="eastAsia"/>
                <w:vertAlign w:val="subscript"/>
              </w:rPr>
              <w:t>3</w:t>
            </w:r>
            <w:r>
              <w:rPr>
                <w:rFonts w:hint="eastAsia"/>
              </w:rPr>
              <w:t>-N：0.010t/a，总氮：0.018t/a，总磷：0.001t/a。生活污水统一经化粪池预处理后接</w:t>
            </w:r>
            <w:bookmarkStart w:id="40" w:name="OLE_LINK19"/>
            <w:bookmarkStart w:id="41" w:name="OLE_LINK37"/>
            <w:r>
              <w:rPr>
                <w:rFonts w:hint="eastAsia"/>
              </w:rPr>
              <w:t>入市政污水管网，纳入元洪投资区污水处理厂集中处理</w:t>
            </w:r>
            <w:bookmarkEnd w:id="40"/>
            <w:bookmarkEnd w:id="41"/>
            <w:r>
              <w:rPr>
                <w:rFonts w:hint="eastAsia"/>
              </w:rPr>
              <w:t>。</w:t>
            </w:r>
          </w:p>
          <w:p>
            <w:pPr>
              <w:ind w:firstLine="480"/>
            </w:pPr>
            <w:r>
              <w:rPr>
                <w:rFonts w:hint="eastAsia"/>
              </w:rPr>
              <w:t>②生产用水</w:t>
            </w:r>
          </w:p>
          <w:p>
            <w:pPr>
              <w:ind w:firstLine="480"/>
            </w:pPr>
            <w:r>
              <w:rPr>
                <w:rFonts w:hint="eastAsia"/>
              </w:rPr>
              <w:t>项目生产用水主要有大米生产用水（大米在清洗浸泡工序、磨浆工序用水与清洗用水），生产废水产生量为2380.2t/a。</w:t>
            </w:r>
          </w:p>
          <w:p>
            <w:pPr>
              <w:ind w:firstLine="480"/>
            </w:pPr>
            <w:bookmarkStart w:id="42" w:name="OLE_LINK13"/>
            <w:r>
              <w:rPr>
                <w:rFonts w:hint="eastAsia"/>
              </w:rPr>
              <w:t>根据《排放源统计调查产排污核算方法和系数手册》中“米、面制品制造行业系数手册”，化学需氧量为15092.75g/t-产品，氨氮为36.57g/t-产品，总氮为115.93g/t-产品，总磷为216.57g/t-产品；主要污染物产生浓度为COD</w:t>
            </w:r>
            <w:r>
              <w:rPr>
                <w:rFonts w:hint="eastAsia"/>
                <w:vertAlign w:val="subscript"/>
              </w:rPr>
              <w:t>cr</w:t>
            </w:r>
            <w:r>
              <w:rPr>
                <w:rFonts w:hint="eastAsia"/>
              </w:rPr>
              <w:t>：10147mg/L、氨氮：24.6mg/L、总氮：77.9mg/L、总磷：145.6mg/L。根据调查类似大米清洗废水项目，大米清洗废水中还含有 SS、BOD</w:t>
            </w:r>
            <w:r>
              <w:rPr>
                <w:rFonts w:hint="eastAsia"/>
                <w:vertAlign w:val="subscript"/>
              </w:rPr>
              <w:t>5</w:t>
            </w:r>
            <w:r>
              <w:rPr>
                <w:rFonts w:hint="eastAsia"/>
              </w:rPr>
              <w:t>，参考《食品工业废水处理》（唐受印、戴有芝、刘忠义、周作明等编）中关于米面制品生产废水水质的数据，大米清洗废水中的污染物浓度约为 BOD</w:t>
            </w:r>
            <w:r>
              <w:rPr>
                <w:rFonts w:hint="eastAsia"/>
                <w:vertAlign w:val="subscript"/>
              </w:rPr>
              <w:t>5</w:t>
            </w:r>
            <w:r>
              <w:rPr>
                <w:rFonts w:hint="eastAsia"/>
              </w:rPr>
              <w:t>：1200mg/L，SS：800mg/L。</w:t>
            </w:r>
            <w:bookmarkEnd w:id="42"/>
          </w:p>
          <w:p>
            <w:pPr>
              <w:ind w:firstLine="480"/>
            </w:pPr>
            <w:r>
              <w:rPr>
                <w:rFonts w:hint="eastAsia"/>
              </w:rPr>
              <w:t xml:space="preserve">本项目生产废水污染物产排汇总表如下： </w:t>
            </w:r>
          </w:p>
          <w:p>
            <w:pPr>
              <w:spacing w:line="240" w:lineRule="auto"/>
              <w:ind w:firstLine="0" w:firstLineChars="0"/>
              <w:jc w:val="center"/>
              <w:rPr>
                <w:b/>
              </w:rPr>
            </w:pPr>
            <w:r>
              <w:rPr>
                <w:rFonts w:hint="eastAsia"/>
                <w:b/>
              </w:rPr>
              <w:t>表4.3-1 项目生产废水污染物产排汇总表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404"/>
              <w:gridCol w:w="899"/>
              <w:gridCol w:w="958"/>
              <w:gridCol w:w="13"/>
              <w:gridCol w:w="1123"/>
              <w:gridCol w:w="6"/>
              <w:gridCol w:w="1280"/>
              <w:gridCol w:w="991"/>
              <w:gridCol w:w="8"/>
              <w:gridCol w:w="11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7" w:type="dxa"/>
                  <w:gridSpan w:val="2"/>
                  <w:vAlign w:val="center"/>
                </w:tcPr>
                <w:p>
                  <w:pPr>
                    <w:spacing w:line="240" w:lineRule="auto"/>
                    <w:ind w:firstLine="0" w:firstLineChars="0"/>
                    <w:jc w:val="center"/>
                    <w:rPr>
                      <w:sz w:val="21"/>
                    </w:rPr>
                  </w:pPr>
                  <w:r>
                    <w:rPr>
                      <w:rFonts w:hint="eastAsia"/>
                      <w:sz w:val="21"/>
                    </w:rPr>
                    <w:t>项目</w:t>
                  </w:r>
                </w:p>
              </w:tc>
              <w:tc>
                <w:tcPr>
                  <w:tcW w:w="899" w:type="dxa"/>
                  <w:vAlign w:val="center"/>
                </w:tcPr>
                <w:p>
                  <w:pPr>
                    <w:spacing w:line="240" w:lineRule="auto"/>
                    <w:ind w:firstLine="0" w:firstLineChars="0"/>
                    <w:jc w:val="center"/>
                    <w:rPr>
                      <w:sz w:val="21"/>
                    </w:rPr>
                  </w:pPr>
                  <w:r>
                    <w:rPr>
                      <w:rFonts w:hint="eastAsia"/>
                      <w:sz w:val="21"/>
                    </w:rPr>
                    <w:t>COD</w:t>
                  </w:r>
                  <w:r>
                    <w:rPr>
                      <w:rFonts w:hint="eastAsia"/>
                      <w:sz w:val="21"/>
                      <w:vertAlign w:val="subscript"/>
                    </w:rPr>
                    <w:t>cr</w:t>
                  </w:r>
                </w:p>
              </w:tc>
              <w:tc>
                <w:tcPr>
                  <w:tcW w:w="971" w:type="dxa"/>
                  <w:gridSpan w:val="2"/>
                  <w:vAlign w:val="center"/>
                </w:tcPr>
                <w:p>
                  <w:pPr>
                    <w:spacing w:line="240" w:lineRule="auto"/>
                    <w:ind w:firstLine="0" w:firstLineChars="0"/>
                    <w:jc w:val="center"/>
                    <w:rPr>
                      <w:sz w:val="21"/>
                      <w:vertAlign w:val="subscript"/>
                    </w:rPr>
                  </w:pPr>
                  <w:r>
                    <w:rPr>
                      <w:rFonts w:hint="eastAsia"/>
                      <w:sz w:val="21"/>
                    </w:rPr>
                    <w:t>BOD</w:t>
                  </w:r>
                  <w:r>
                    <w:rPr>
                      <w:rFonts w:hint="eastAsia"/>
                      <w:sz w:val="21"/>
                      <w:vertAlign w:val="subscript"/>
                    </w:rPr>
                    <w:t>5</w:t>
                  </w:r>
                </w:p>
              </w:tc>
              <w:tc>
                <w:tcPr>
                  <w:tcW w:w="1129" w:type="dxa"/>
                  <w:gridSpan w:val="2"/>
                  <w:vAlign w:val="center"/>
                </w:tcPr>
                <w:p>
                  <w:pPr>
                    <w:spacing w:line="240" w:lineRule="auto"/>
                    <w:ind w:firstLine="0" w:firstLineChars="0"/>
                    <w:jc w:val="center"/>
                    <w:rPr>
                      <w:sz w:val="21"/>
                    </w:rPr>
                  </w:pPr>
                  <w:r>
                    <w:rPr>
                      <w:rFonts w:hint="eastAsia"/>
                      <w:sz w:val="21"/>
                    </w:rPr>
                    <w:t>SS</w:t>
                  </w:r>
                </w:p>
              </w:tc>
              <w:tc>
                <w:tcPr>
                  <w:tcW w:w="1280" w:type="dxa"/>
                  <w:vAlign w:val="center"/>
                </w:tcPr>
                <w:p>
                  <w:pPr>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999" w:type="dxa"/>
                  <w:gridSpan w:val="2"/>
                  <w:vAlign w:val="center"/>
                </w:tcPr>
                <w:p>
                  <w:pPr>
                    <w:spacing w:line="240" w:lineRule="auto"/>
                    <w:ind w:firstLine="0" w:firstLineChars="0"/>
                    <w:jc w:val="center"/>
                    <w:rPr>
                      <w:sz w:val="21"/>
                    </w:rPr>
                  </w:pPr>
                  <w:r>
                    <w:rPr>
                      <w:rFonts w:hint="eastAsia"/>
                      <w:sz w:val="21"/>
                    </w:rPr>
                    <w:t>总氮</w:t>
                  </w:r>
                </w:p>
              </w:tc>
              <w:tc>
                <w:tcPr>
                  <w:tcW w:w="1130" w:type="dxa"/>
                  <w:vAlign w:val="center"/>
                </w:tcPr>
                <w:p>
                  <w:pPr>
                    <w:spacing w:line="240" w:lineRule="auto"/>
                    <w:ind w:firstLine="0" w:firstLineChars="0"/>
                    <w:jc w:val="center"/>
                    <w:rPr>
                      <w:sz w:val="21"/>
                    </w:rPr>
                  </w:pPr>
                  <w:r>
                    <w:rPr>
                      <w:rFonts w:hint="eastAsia"/>
                      <w:sz w:val="21"/>
                    </w:rPr>
                    <w:t>总磷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3" w:type="dxa"/>
                  <w:vMerge w:val="restart"/>
                  <w:vAlign w:val="center"/>
                </w:tcPr>
                <w:p>
                  <w:pPr>
                    <w:spacing w:line="240" w:lineRule="auto"/>
                    <w:ind w:firstLine="0" w:firstLineChars="0"/>
                    <w:jc w:val="center"/>
                    <w:rPr>
                      <w:sz w:val="21"/>
                    </w:rPr>
                  </w:pPr>
                  <w:r>
                    <w:rPr>
                      <w:rFonts w:hint="eastAsia"/>
                      <w:sz w:val="21"/>
                    </w:rPr>
                    <w:t>生产</w:t>
                  </w:r>
                </w:p>
                <w:p>
                  <w:pPr>
                    <w:spacing w:line="240" w:lineRule="auto"/>
                    <w:ind w:firstLine="0" w:firstLineChars="0"/>
                    <w:jc w:val="center"/>
                    <w:rPr>
                      <w:sz w:val="21"/>
                    </w:rPr>
                  </w:pPr>
                  <w:r>
                    <w:rPr>
                      <w:rFonts w:hint="eastAsia"/>
                      <w:sz w:val="21"/>
                    </w:rPr>
                    <w:t>废水</w:t>
                  </w:r>
                </w:p>
              </w:tc>
              <w:tc>
                <w:tcPr>
                  <w:tcW w:w="1404" w:type="dxa"/>
                  <w:vAlign w:val="center"/>
                </w:tcPr>
                <w:p>
                  <w:pPr>
                    <w:spacing w:line="240" w:lineRule="auto"/>
                    <w:ind w:firstLine="0" w:firstLineChars="0"/>
                    <w:jc w:val="center"/>
                    <w:rPr>
                      <w:sz w:val="21"/>
                    </w:rPr>
                  </w:pPr>
                  <w:r>
                    <w:rPr>
                      <w:sz w:val="21"/>
                    </w:rPr>
                    <w:t>废水量（</w:t>
                  </w:r>
                  <w:r>
                    <w:rPr>
                      <w:rFonts w:hint="eastAsia"/>
                    </w:rPr>
                    <w:t>m</w:t>
                  </w:r>
                  <w:r>
                    <w:rPr>
                      <w:rFonts w:hint="eastAsia"/>
                      <w:vertAlign w:val="superscript"/>
                    </w:rPr>
                    <w:t>3</w:t>
                  </w:r>
                  <w:r>
                    <w:rPr>
                      <w:rFonts w:hint="eastAsia"/>
                    </w:rPr>
                    <w:t>/a</w:t>
                  </w:r>
                  <w:r>
                    <w:rPr>
                      <w:sz w:val="21"/>
                    </w:rPr>
                    <w:t>）</w:t>
                  </w:r>
                </w:p>
              </w:tc>
              <w:tc>
                <w:tcPr>
                  <w:tcW w:w="6408" w:type="dxa"/>
                  <w:gridSpan w:val="9"/>
                  <w:vAlign w:val="center"/>
                </w:tcPr>
                <w:p>
                  <w:pPr>
                    <w:spacing w:line="240" w:lineRule="auto"/>
                    <w:ind w:firstLine="0" w:firstLineChars="0"/>
                    <w:jc w:val="center"/>
                    <w:rPr>
                      <w:sz w:val="21"/>
                    </w:rPr>
                  </w:pPr>
                  <w:r>
                    <w:rPr>
                      <w:rFonts w:hint="eastAsia"/>
                      <w:sz w:val="21"/>
                    </w:rPr>
                    <w:t>2380.2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993" w:type="dxa"/>
                  <w:vMerge w:val="continue"/>
                  <w:vAlign w:val="center"/>
                </w:tcPr>
                <w:p>
                  <w:pPr>
                    <w:spacing w:line="240" w:lineRule="auto"/>
                    <w:ind w:firstLine="0" w:firstLineChars="0"/>
                    <w:jc w:val="center"/>
                    <w:rPr>
                      <w:sz w:val="21"/>
                    </w:rPr>
                  </w:pPr>
                </w:p>
              </w:tc>
              <w:tc>
                <w:tcPr>
                  <w:tcW w:w="1404" w:type="dxa"/>
                  <w:vAlign w:val="center"/>
                </w:tcPr>
                <w:p>
                  <w:pPr>
                    <w:spacing w:line="240" w:lineRule="auto"/>
                    <w:ind w:firstLine="0" w:firstLineChars="0"/>
                    <w:jc w:val="center"/>
                    <w:rPr>
                      <w:sz w:val="21"/>
                    </w:rPr>
                  </w:pPr>
                  <w:r>
                    <w:rPr>
                      <w:sz w:val="21"/>
                    </w:rPr>
                    <w:t>产生浓度（</w:t>
                  </w:r>
                  <w:r>
                    <w:rPr>
                      <w:rFonts w:hint="eastAsia"/>
                    </w:rPr>
                    <w:t>mg/L</w:t>
                  </w:r>
                  <w:r>
                    <w:rPr>
                      <w:sz w:val="21"/>
                    </w:rPr>
                    <w:t>）</w:t>
                  </w:r>
                </w:p>
              </w:tc>
              <w:tc>
                <w:tcPr>
                  <w:tcW w:w="899" w:type="dxa"/>
                  <w:vAlign w:val="center"/>
                </w:tcPr>
                <w:p>
                  <w:pPr>
                    <w:spacing w:line="240" w:lineRule="auto"/>
                    <w:ind w:firstLine="0" w:firstLineChars="0"/>
                    <w:jc w:val="center"/>
                    <w:rPr>
                      <w:sz w:val="21"/>
                    </w:rPr>
                  </w:pPr>
                  <w:r>
                    <w:rPr>
                      <w:rFonts w:hint="eastAsia"/>
                      <w:sz w:val="21"/>
                    </w:rPr>
                    <w:t>10147</w:t>
                  </w:r>
                </w:p>
              </w:tc>
              <w:tc>
                <w:tcPr>
                  <w:tcW w:w="958" w:type="dxa"/>
                  <w:vAlign w:val="center"/>
                </w:tcPr>
                <w:p>
                  <w:pPr>
                    <w:spacing w:line="240" w:lineRule="auto"/>
                    <w:ind w:firstLine="0" w:firstLineChars="0"/>
                    <w:jc w:val="center"/>
                    <w:rPr>
                      <w:sz w:val="21"/>
                    </w:rPr>
                  </w:pPr>
                  <w:r>
                    <w:rPr>
                      <w:rFonts w:hint="eastAsia"/>
                      <w:sz w:val="21"/>
                    </w:rPr>
                    <w:t>1200</w:t>
                  </w:r>
                </w:p>
              </w:tc>
              <w:tc>
                <w:tcPr>
                  <w:tcW w:w="1136" w:type="dxa"/>
                  <w:gridSpan w:val="2"/>
                  <w:vAlign w:val="center"/>
                </w:tcPr>
                <w:p>
                  <w:pPr>
                    <w:spacing w:line="240" w:lineRule="auto"/>
                    <w:ind w:firstLine="0" w:firstLineChars="0"/>
                    <w:jc w:val="center"/>
                    <w:rPr>
                      <w:sz w:val="21"/>
                    </w:rPr>
                  </w:pPr>
                  <w:r>
                    <w:rPr>
                      <w:rFonts w:hint="eastAsia"/>
                      <w:sz w:val="21"/>
                    </w:rPr>
                    <w:t>800</w:t>
                  </w:r>
                </w:p>
              </w:tc>
              <w:tc>
                <w:tcPr>
                  <w:tcW w:w="1286" w:type="dxa"/>
                  <w:gridSpan w:val="2"/>
                  <w:vAlign w:val="center"/>
                </w:tcPr>
                <w:p>
                  <w:pPr>
                    <w:spacing w:line="240" w:lineRule="auto"/>
                    <w:ind w:firstLine="0" w:firstLineChars="0"/>
                    <w:jc w:val="center"/>
                    <w:rPr>
                      <w:sz w:val="21"/>
                    </w:rPr>
                  </w:pPr>
                  <w:r>
                    <w:rPr>
                      <w:rFonts w:hint="eastAsia"/>
                      <w:sz w:val="21"/>
                    </w:rPr>
                    <w:t>24.6</w:t>
                  </w:r>
                </w:p>
              </w:tc>
              <w:tc>
                <w:tcPr>
                  <w:tcW w:w="991" w:type="dxa"/>
                  <w:vAlign w:val="center"/>
                </w:tcPr>
                <w:p>
                  <w:pPr>
                    <w:spacing w:line="240" w:lineRule="auto"/>
                    <w:ind w:firstLine="0" w:firstLineChars="0"/>
                    <w:jc w:val="center"/>
                    <w:rPr>
                      <w:sz w:val="21"/>
                    </w:rPr>
                  </w:pPr>
                  <w:r>
                    <w:rPr>
                      <w:rFonts w:hint="eastAsia"/>
                      <w:sz w:val="21"/>
                    </w:rPr>
                    <w:t>77.9</w:t>
                  </w:r>
                </w:p>
              </w:tc>
              <w:tc>
                <w:tcPr>
                  <w:tcW w:w="1138" w:type="dxa"/>
                  <w:gridSpan w:val="2"/>
                  <w:vAlign w:val="center"/>
                </w:tcPr>
                <w:p>
                  <w:pPr>
                    <w:spacing w:line="240" w:lineRule="auto"/>
                    <w:ind w:firstLine="0" w:firstLineChars="0"/>
                    <w:jc w:val="center"/>
                    <w:rPr>
                      <w:sz w:val="21"/>
                    </w:rPr>
                  </w:pPr>
                  <w:r>
                    <w:rPr>
                      <w:rFonts w:hint="eastAsia"/>
                      <w:sz w:val="21"/>
                    </w:rPr>
                    <w:t>145.6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3" w:type="dxa"/>
                  <w:vMerge w:val="continue"/>
                  <w:vAlign w:val="center"/>
                </w:tcPr>
                <w:p>
                  <w:pPr>
                    <w:spacing w:line="240" w:lineRule="auto"/>
                    <w:ind w:firstLine="0" w:firstLineChars="0"/>
                    <w:jc w:val="center"/>
                    <w:rPr>
                      <w:sz w:val="21"/>
                    </w:rPr>
                  </w:pPr>
                </w:p>
              </w:tc>
              <w:tc>
                <w:tcPr>
                  <w:tcW w:w="1404" w:type="dxa"/>
                  <w:vAlign w:val="center"/>
                </w:tcPr>
                <w:p>
                  <w:pPr>
                    <w:spacing w:line="240" w:lineRule="auto"/>
                    <w:ind w:firstLine="0" w:firstLineChars="0"/>
                    <w:jc w:val="center"/>
                    <w:rPr>
                      <w:sz w:val="21"/>
                    </w:rPr>
                  </w:pPr>
                  <w:r>
                    <w:rPr>
                      <w:sz w:val="21"/>
                    </w:rPr>
                    <w:t>产生量（t/a）</w:t>
                  </w:r>
                </w:p>
              </w:tc>
              <w:tc>
                <w:tcPr>
                  <w:tcW w:w="899" w:type="dxa"/>
                  <w:vAlign w:val="center"/>
                </w:tcPr>
                <w:p>
                  <w:pPr>
                    <w:spacing w:line="240" w:lineRule="auto"/>
                    <w:ind w:firstLine="0" w:firstLineChars="0"/>
                    <w:jc w:val="center"/>
                    <w:rPr>
                      <w:sz w:val="21"/>
                    </w:rPr>
                  </w:pPr>
                  <w:r>
                    <w:rPr>
                      <w:rFonts w:hint="eastAsia"/>
                      <w:sz w:val="21"/>
                    </w:rPr>
                    <w:t>24.152</w:t>
                  </w:r>
                </w:p>
              </w:tc>
              <w:tc>
                <w:tcPr>
                  <w:tcW w:w="958" w:type="dxa"/>
                  <w:vAlign w:val="center"/>
                </w:tcPr>
                <w:p>
                  <w:pPr>
                    <w:spacing w:line="240" w:lineRule="auto"/>
                    <w:ind w:firstLine="0" w:firstLineChars="0"/>
                    <w:jc w:val="center"/>
                    <w:rPr>
                      <w:sz w:val="21"/>
                    </w:rPr>
                  </w:pPr>
                  <w:r>
                    <w:rPr>
                      <w:rFonts w:hint="eastAsia"/>
                      <w:sz w:val="21"/>
                    </w:rPr>
                    <w:t>2.856</w:t>
                  </w:r>
                </w:p>
              </w:tc>
              <w:tc>
                <w:tcPr>
                  <w:tcW w:w="1136" w:type="dxa"/>
                  <w:gridSpan w:val="2"/>
                  <w:vAlign w:val="center"/>
                </w:tcPr>
                <w:p>
                  <w:pPr>
                    <w:spacing w:line="240" w:lineRule="auto"/>
                    <w:ind w:firstLine="0" w:firstLineChars="0"/>
                    <w:jc w:val="center"/>
                  </w:pPr>
                  <w:r>
                    <w:rPr>
                      <w:rFonts w:hint="eastAsia"/>
                      <w:sz w:val="21"/>
                    </w:rPr>
                    <w:t>1.904</w:t>
                  </w:r>
                </w:p>
              </w:tc>
              <w:tc>
                <w:tcPr>
                  <w:tcW w:w="1286" w:type="dxa"/>
                  <w:gridSpan w:val="2"/>
                  <w:vAlign w:val="center"/>
                </w:tcPr>
                <w:p>
                  <w:pPr>
                    <w:spacing w:line="240" w:lineRule="auto"/>
                    <w:ind w:firstLine="0" w:firstLineChars="0"/>
                    <w:jc w:val="center"/>
                    <w:rPr>
                      <w:sz w:val="21"/>
                    </w:rPr>
                  </w:pPr>
                  <w:r>
                    <w:rPr>
                      <w:rFonts w:hint="eastAsia"/>
                      <w:sz w:val="21"/>
                    </w:rPr>
                    <w:t>0.059</w:t>
                  </w:r>
                </w:p>
              </w:tc>
              <w:tc>
                <w:tcPr>
                  <w:tcW w:w="991" w:type="dxa"/>
                  <w:vAlign w:val="center"/>
                </w:tcPr>
                <w:p>
                  <w:pPr>
                    <w:spacing w:line="240" w:lineRule="auto"/>
                    <w:ind w:firstLine="0" w:firstLineChars="0"/>
                    <w:jc w:val="center"/>
                    <w:rPr>
                      <w:sz w:val="21"/>
                    </w:rPr>
                  </w:pPr>
                  <w:r>
                    <w:rPr>
                      <w:rFonts w:hint="eastAsia"/>
                      <w:sz w:val="21"/>
                    </w:rPr>
                    <w:t>0.185</w:t>
                  </w:r>
                </w:p>
              </w:tc>
              <w:tc>
                <w:tcPr>
                  <w:tcW w:w="1138" w:type="dxa"/>
                  <w:gridSpan w:val="2"/>
                  <w:vAlign w:val="center"/>
                </w:tcPr>
                <w:p>
                  <w:pPr>
                    <w:spacing w:line="240" w:lineRule="auto"/>
                    <w:ind w:firstLine="0" w:firstLineChars="0"/>
                    <w:jc w:val="center"/>
                    <w:rPr>
                      <w:sz w:val="21"/>
                    </w:rPr>
                  </w:pPr>
                  <w:r>
                    <w:rPr>
                      <w:rFonts w:hint="eastAsia"/>
                      <w:sz w:val="21"/>
                    </w:rPr>
                    <w:t>0.347</w:t>
                  </w:r>
                </w:p>
              </w:tc>
            </w:tr>
          </w:tbl>
          <w:p>
            <w:pPr>
              <w:spacing w:before="240" w:beforeLines="100"/>
              <w:ind w:firstLine="480"/>
              <w:jc w:val="left"/>
            </w:pPr>
            <w:r>
              <w:rPr>
                <w:rFonts w:hint="eastAsia"/>
              </w:rPr>
              <w:t>根据《</w:t>
            </w:r>
            <w:bookmarkStart w:id="43" w:name="OLE_LINK11"/>
            <w:r>
              <w:rPr>
                <w:rFonts w:hint="eastAsia"/>
              </w:rPr>
              <w:t>厌氧-缺氧-好氧活性污泥法污水处理工程技术规范</w:t>
            </w:r>
            <w:bookmarkEnd w:id="43"/>
            <w:r>
              <w:rPr>
                <w:rFonts w:hint="eastAsia"/>
              </w:rPr>
              <w:t>》、《环境工程设计手册》（修订版）及工程设计经验，结合企业实际，</w:t>
            </w:r>
            <w:bookmarkStart w:id="44" w:name="OLE_LINK5"/>
            <w:bookmarkStart w:id="45" w:name="OLE_LINK4"/>
            <w:r>
              <w:rPr>
                <w:rFonts w:hint="eastAsia"/>
              </w:rPr>
              <w:t>一体化污水处理设备各单元设计的处理效率如下</w:t>
            </w:r>
            <w:bookmarkEnd w:id="44"/>
            <w:bookmarkEnd w:id="45"/>
            <w:r>
              <w:rPr>
                <w:rFonts w:hint="eastAsia"/>
              </w:rPr>
              <w:t>。</w:t>
            </w:r>
          </w:p>
          <w:p>
            <w:pPr>
              <w:pStyle w:val="103"/>
              <w:spacing w:before="120"/>
              <w:rPr>
                <w:rFonts w:eastAsia="宋体"/>
                <w:color w:val="auto"/>
              </w:rPr>
            </w:pPr>
            <w:r>
              <w:rPr>
                <w:rFonts w:eastAsia="宋体"/>
                <w:color w:val="auto"/>
              </w:rPr>
              <w:t>表4</w:t>
            </w:r>
            <w:r>
              <w:rPr>
                <w:rFonts w:hint="eastAsia" w:eastAsia="宋体"/>
                <w:color w:val="auto"/>
              </w:rPr>
              <w:t>.3-2</w:t>
            </w:r>
            <w:r>
              <w:rPr>
                <w:rFonts w:eastAsia="宋体"/>
                <w:color w:val="auto"/>
              </w:rPr>
              <w:t xml:space="preserve">  </w:t>
            </w:r>
            <w:r>
              <w:rPr>
                <w:rFonts w:hint="eastAsia" w:eastAsia="宋体"/>
                <w:color w:val="auto"/>
              </w:rPr>
              <w:t>一体化污水处理设备主要污染物去除效果一览表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899"/>
              <w:gridCol w:w="958"/>
              <w:gridCol w:w="13"/>
              <w:gridCol w:w="1403"/>
              <w:gridCol w:w="1006"/>
              <w:gridCol w:w="1262"/>
              <w:gridCol w:w="8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2397" w:type="dxa"/>
                  <w:vAlign w:val="center"/>
                </w:tcPr>
                <w:p>
                  <w:pPr>
                    <w:spacing w:line="240" w:lineRule="auto"/>
                    <w:ind w:firstLine="0" w:firstLineChars="0"/>
                    <w:jc w:val="center"/>
                    <w:rPr>
                      <w:sz w:val="21"/>
                    </w:rPr>
                  </w:pPr>
                  <w:r>
                    <w:rPr>
                      <w:rFonts w:hint="eastAsia"/>
                      <w:sz w:val="21"/>
                    </w:rPr>
                    <w:t>处理单元</w:t>
                  </w:r>
                </w:p>
              </w:tc>
              <w:tc>
                <w:tcPr>
                  <w:tcW w:w="899" w:type="dxa"/>
                  <w:vAlign w:val="center"/>
                </w:tcPr>
                <w:p>
                  <w:pPr>
                    <w:spacing w:line="240" w:lineRule="auto"/>
                    <w:ind w:firstLine="0" w:firstLineChars="0"/>
                    <w:jc w:val="center"/>
                    <w:rPr>
                      <w:sz w:val="21"/>
                    </w:rPr>
                  </w:pPr>
                  <w:r>
                    <w:rPr>
                      <w:rFonts w:hint="eastAsia"/>
                      <w:sz w:val="21"/>
                    </w:rPr>
                    <w:t>COD</w:t>
                  </w:r>
                  <w:r>
                    <w:rPr>
                      <w:rFonts w:hint="eastAsia"/>
                      <w:sz w:val="21"/>
                      <w:vertAlign w:val="subscript"/>
                    </w:rPr>
                    <w:t>cr</w:t>
                  </w:r>
                </w:p>
              </w:tc>
              <w:tc>
                <w:tcPr>
                  <w:tcW w:w="971" w:type="dxa"/>
                  <w:gridSpan w:val="2"/>
                  <w:vAlign w:val="center"/>
                </w:tcPr>
                <w:p>
                  <w:pPr>
                    <w:spacing w:line="240" w:lineRule="auto"/>
                    <w:ind w:firstLine="0" w:firstLineChars="0"/>
                    <w:jc w:val="center"/>
                    <w:rPr>
                      <w:sz w:val="21"/>
                      <w:vertAlign w:val="subscript"/>
                    </w:rPr>
                  </w:pPr>
                  <w:r>
                    <w:rPr>
                      <w:rFonts w:hint="eastAsia"/>
                      <w:sz w:val="21"/>
                    </w:rPr>
                    <w:t>BOD</w:t>
                  </w:r>
                  <w:r>
                    <w:rPr>
                      <w:rFonts w:hint="eastAsia"/>
                      <w:sz w:val="21"/>
                      <w:vertAlign w:val="subscript"/>
                    </w:rPr>
                    <w:t>5</w:t>
                  </w:r>
                </w:p>
              </w:tc>
              <w:tc>
                <w:tcPr>
                  <w:tcW w:w="1403" w:type="dxa"/>
                  <w:vAlign w:val="center"/>
                </w:tcPr>
                <w:p>
                  <w:pPr>
                    <w:spacing w:line="240" w:lineRule="auto"/>
                    <w:ind w:firstLine="0" w:firstLineChars="0"/>
                    <w:jc w:val="center"/>
                    <w:rPr>
                      <w:sz w:val="21"/>
                    </w:rPr>
                  </w:pPr>
                  <w:r>
                    <w:rPr>
                      <w:rFonts w:hint="eastAsia"/>
                      <w:sz w:val="21"/>
                    </w:rPr>
                    <w:t>SS</w:t>
                  </w:r>
                </w:p>
              </w:tc>
              <w:tc>
                <w:tcPr>
                  <w:tcW w:w="1006" w:type="dxa"/>
                  <w:vAlign w:val="center"/>
                </w:tcPr>
                <w:p>
                  <w:pPr>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1262" w:type="dxa"/>
                  <w:vAlign w:val="center"/>
                </w:tcPr>
                <w:p>
                  <w:pPr>
                    <w:spacing w:line="240" w:lineRule="auto"/>
                    <w:ind w:firstLine="0" w:firstLineChars="0"/>
                    <w:jc w:val="center"/>
                    <w:rPr>
                      <w:sz w:val="21"/>
                    </w:rPr>
                  </w:pPr>
                  <w:r>
                    <w:rPr>
                      <w:rFonts w:hint="eastAsia"/>
                      <w:sz w:val="21"/>
                    </w:rPr>
                    <w:t>总氮</w:t>
                  </w:r>
                </w:p>
              </w:tc>
              <w:tc>
                <w:tcPr>
                  <w:tcW w:w="867" w:type="dxa"/>
                  <w:vAlign w:val="center"/>
                </w:tcPr>
                <w:p>
                  <w:pPr>
                    <w:spacing w:line="240" w:lineRule="auto"/>
                    <w:ind w:firstLine="0" w:firstLineChars="0"/>
                    <w:jc w:val="center"/>
                    <w:rPr>
                      <w:sz w:val="21"/>
                    </w:rPr>
                  </w:pPr>
                  <w:r>
                    <w:rPr>
                      <w:rFonts w:hint="eastAsia"/>
                      <w:sz w:val="21"/>
                    </w:rPr>
                    <w:t>总磷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397" w:type="dxa"/>
                  <w:vAlign w:val="center"/>
                </w:tcPr>
                <w:p>
                  <w:pPr>
                    <w:spacing w:line="240" w:lineRule="auto"/>
                    <w:ind w:firstLine="0" w:firstLineChars="0"/>
                    <w:jc w:val="center"/>
                    <w:rPr>
                      <w:sz w:val="21"/>
                    </w:rPr>
                  </w:pPr>
                  <w:r>
                    <w:rPr>
                      <w:rFonts w:hint="eastAsia"/>
                      <w:sz w:val="21"/>
                    </w:rPr>
                    <w:t>格栅</w:t>
                  </w:r>
                  <w:r>
                    <w:rPr>
                      <w:sz w:val="21"/>
                    </w:rPr>
                    <w:t>井</w:t>
                  </w:r>
                  <w:r>
                    <w:rPr>
                      <w:rFonts w:hint="eastAsia"/>
                      <w:sz w:val="21"/>
                    </w:rPr>
                    <w:t>+调节池</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rPr>
                      <w:sz w:val="21"/>
                    </w:rP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2397" w:type="dxa"/>
                  <w:vAlign w:val="center"/>
                </w:tcPr>
                <w:p>
                  <w:pPr>
                    <w:spacing w:line="240" w:lineRule="auto"/>
                    <w:ind w:firstLine="0" w:firstLineChars="0"/>
                    <w:jc w:val="center"/>
                    <w:rPr>
                      <w:sz w:val="21"/>
                    </w:rPr>
                  </w:pPr>
                  <w:r>
                    <w:rPr>
                      <w:rFonts w:hint="eastAsia"/>
                      <w:sz w:val="21"/>
                    </w:rPr>
                    <w:t>混凝</w:t>
                  </w:r>
                  <w:r>
                    <w:rPr>
                      <w:sz w:val="21"/>
                    </w:rPr>
                    <w:t>反应器</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2397" w:type="dxa"/>
                  <w:vAlign w:val="center"/>
                </w:tcPr>
                <w:p>
                  <w:pPr>
                    <w:spacing w:line="240" w:lineRule="auto"/>
                    <w:ind w:firstLine="0" w:firstLineChars="0"/>
                    <w:jc w:val="center"/>
                    <w:rPr>
                      <w:sz w:val="21"/>
                    </w:rPr>
                  </w:pPr>
                  <w:r>
                    <w:rPr>
                      <w:rFonts w:hint="eastAsia"/>
                      <w:sz w:val="21"/>
                    </w:rPr>
                    <w:t>中间池</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rPr>
                      <w:sz w:val="21"/>
                    </w:rP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2397" w:type="dxa"/>
                  <w:vAlign w:val="center"/>
                </w:tcPr>
                <w:p>
                  <w:pPr>
                    <w:spacing w:line="240" w:lineRule="auto"/>
                    <w:ind w:firstLine="0" w:firstLineChars="0"/>
                    <w:jc w:val="center"/>
                    <w:rPr>
                      <w:sz w:val="21"/>
                      <w:vertAlign w:val="superscript"/>
                    </w:rPr>
                  </w:pPr>
                  <w:r>
                    <w:rPr>
                      <w:rFonts w:hint="eastAsia"/>
                      <w:sz w:val="21"/>
                    </w:rPr>
                    <w:t>A</w:t>
                  </w:r>
                  <w:r>
                    <w:rPr>
                      <w:rFonts w:hint="eastAsia"/>
                      <w:sz w:val="21"/>
                      <w:vertAlign w:val="superscript"/>
                    </w:rPr>
                    <w:t>2</w:t>
                  </w:r>
                  <w:r>
                    <w:rPr>
                      <w:rFonts w:hint="eastAsia"/>
                      <w:sz w:val="21"/>
                    </w:rPr>
                    <w:t>/O</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rPr>
                      <w:sz w:val="21"/>
                    </w:rP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2397" w:type="dxa"/>
                  <w:vAlign w:val="center"/>
                </w:tcPr>
                <w:p>
                  <w:pPr>
                    <w:spacing w:line="240" w:lineRule="auto"/>
                    <w:ind w:firstLine="0" w:firstLineChars="0"/>
                    <w:jc w:val="center"/>
                    <w:rPr>
                      <w:sz w:val="21"/>
                    </w:rPr>
                  </w:pPr>
                  <w:r>
                    <w:rPr>
                      <w:rFonts w:hint="eastAsia"/>
                      <w:sz w:val="21"/>
                    </w:rPr>
                    <w:t>沉淀池</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rPr>
                      <w:sz w:val="21"/>
                    </w:rP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45" w:hRule="atLeast"/>
                <w:jc w:val="center"/>
              </w:trPr>
              <w:tc>
                <w:tcPr>
                  <w:tcW w:w="2397" w:type="dxa"/>
                  <w:vAlign w:val="center"/>
                </w:tcPr>
                <w:p>
                  <w:pPr>
                    <w:spacing w:line="240" w:lineRule="auto"/>
                    <w:ind w:firstLine="0" w:firstLineChars="0"/>
                    <w:jc w:val="center"/>
                    <w:rPr>
                      <w:sz w:val="21"/>
                    </w:rPr>
                  </w:pPr>
                  <w:r>
                    <w:rPr>
                      <w:rFonts w:hint="eastAsia"/>
                      <w:sz w:val="21"/>
                    </w:rPr>
                    <w:t>本项目去除效率取</w:t>
                  </w:r>
                </w:p>
              </w:tc>
              <w:tc>
                <w:tcPr>
                  <w:tcW w:w="899" w:type="dxa"/>
                  <w:vAlign w:val="center"/>
                </w:tcPr>
                <w:p>
                  <w:pPr>
                    <w:spacing w:line="240" w:lineRule="auto"/>
                    <w:ind w:firstLine="0" w:firstLineChars="0"/>
                    <w:jc w:val="center"/>
                    <w:rPr>
                      <w:sz w:val="21"/>
                    </w:rPr>
                  </w:pPr>
                </w:p>
              </w:tc>
              <w:tc>
                <w:tcPr>
                  <w:tcW w:w="958" w:type="dxa"/>
                  <w:vAlign w:val="center"/>
                </w:tcPr>
                <w:p>
                  <w:pPr>
                    <w:spacing w:line="240" w:lineRule="auto"/>
                    <w:ind w:firstLine="0" w:firstLineChars="0"/>
                    <w:jc w:val="center"/>
                    <w:rPr>
                      <w:sz w:val="21"/>
                    </w:rPr>
                  </w:pPr>
                </w:p>
              </w:tc>
              <w:tc>
                <w:tcPr>
                  <w:tcW w:w="1416" w:type="dxa"/>
                  <w:gridSpan w:val="2"/>
                  <w:vAlign w:val="center"/>
                </w:tcPr>
                <w:p>
                  <w:pPr>
                    <w:spacing w:line="240" w:lineRule="auto"/>
                    <w:ind w:firstLine="0" w:firstLineChars="0"/>
                    <w:jc w:val="center"/>
                    <w:rPr>
                      <w:sz w:val="21"/>
                    </w:rPr>
                  </w:pPr>
                </w:p>
              </w:tc>
              <w:tc>
                <w:tcPr>
                  <w:tcW w:w="1006" w:type="dxa"/>
                  <w:vAlign w:val="center"/>
                </w:tcPr>
                <w:p>
                  <w:pPr>
                    <w:spacing w:line="240" w:lineRule="auto"/>
                    <w:ind w:firstLine="0" w:firstLineChars="0"/>
                    <w:jc w:val="center"/>
                    <w:rPr>
                      <w:sz w:val="21"/>
                    </w:rPr>
                  </w:pPr>
                </w:p>
              </w:tc>
              <w:tc>
                <w:tcPr>
                  <w:tcW w:w="1262" w:type="dxa"/>
                  <w:vAlign w:val="center"/>
                </w:tcPr>
                <w:p>
                  <w:pPr>
                    <w:spacing w:line="240" w:lineRule="auto"/>
                    <w:ind w:firstLine="0" w:firstLineChars="0"/>
                    <w:jc w:val="center"/>
                    <w:rPr>
                      <w:sz w:val="21"/>
                    </w:rPr>
                  </w:pPr>
                </w:p>
              </w:tc>
              <w:tc>
                <w:tcPr>
                  <w:tcW w:w="867" w:type="dxa"/>
                  <w:vAlign w:val="center"/>
                </w:tcPr>
                <w:p>
                  <w:pPr>
                    <w:spacing w:line="240" w:lineRule="auto"/>
                    <w:ind w:firstLine="0" w:firstLineChars="0"/>
                    <w:jc w:val="center"/>
                    <w:rPr>
                      <w:sz w:val="21"/>
                    </w:rPr>
                  </w:pPr>
                </w:p>
              </w:tc>
            </w:tr>
          </w:tbl>
          <w:p>
            <w:pPr>
              <w:pStyle w:val="103"/>
              <w:spacing w:before="120"/>
              <w:rPr>
                <w:rFonts w:eastAsia="宋体"/>
                <w:color w:val="auto"/>
              </w:rPr>
            </w:pPr>
            <w:r>
              <w:rPr>
                <w:rFonts w:eastAsia="宋体"/>
                <w:color w:val="auto"/>
              </w:rPr>
              <w:t>表4</w:t>
            </w:r>
            <w:r>
              <w:rPr>
                <w:rFonts w:hint="eastAsia" w:eastAsia="宋体"/>
                <w:color w:val="auto"/>
              </w:rPr>
              <w:t>.3-3</w:t>
            </w:r>
            <w:r>
              <w:rPr>
                <w:rFonts w:eastAsia="宋体"/>
                <w:color w:val="auto"/>
              </w:rPr>
              <w:t xml:space="preserve">  </w:t>
            </w:r>
            <w:r>
              <w:rPr>
                <w:rFonts w:hint="eastAsia" w:eastAsia="宋体"/>
                <w:color w:val="auto"/>
              </w:rPr>
              <w:t>废水</w:t>
            </w:r>
            <w:r>
              <w:rPr>
                <w:rFonts w:eastAsia="宋体"/>
                <w:color w:val="auto"/>
              </w:rPr>
              <w:t>污染物产</w:t>
            </w:r>
            <w:r>
              <w:rPr>
                <w:rFonts w:hint="eastAsia" w:eastAsia="宋体"/>
                <w:color w:val="auto"/>
              </w:rPr>
              <w:t>排</w:t>
            </w:r>
            <w:r>
              <w:rPr>
                <w:rFonts w:eastAsia="宋体"/>
                <w:color w:val="auto"/>
              </w:rPr>
              <w:t>情况</w:t>
            </w:r>
            <w:r>
              <w:rPr>
                <w:rFonts w:hint="eastAsia" w:eastAsia="宋体"/>
                <w:color w:val="auto"/>
              </w:rPr>
              <w:t>汇总</w:t>
            </w:r>
            <w:r>
              <w:rPr>
                <w:rFonts w:eastAsia="宋体"/>
                <w:color w:val="auto"/>
              </w:rPr>
              <w:t>一览表</w:t>
            </w:r>
          </w:p>
          <w:tbl>
            <w:tblPr>
              <w:tblStyle w:val="29"/>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616"/>
              <w:gridCol w:w="947"/>
              <w:gridCol w:w="1174"/>
              <w:gridCol w:w="1100"/>
              <w:gridCol w:w="1190"/>
              <w:gridCol w:w="1228"/>
              <w:gridCol w:w="1276"/>
              <w:gridCol w:w="1274"/>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97" w:hRule="exact"/>
                <w:jc w:val="center"/>
              </w:trPr>
              <w:tc>
                <w:tcPr>
                  <w:tcW w:w="616" w:type="dxa"/>
                  <w:vMerge w:val="restart"/>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排放源</w:t>
                  </w:r>
                </w:p>
              </w:tc>
              <w:tc>
                <w:tcPr>
                  <w:tcW w:w="947" w:type="dxa"/>
                  <w:vMerge w:val="restart"/>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污染物名称</w:t>
                  </w:r>
                </w:p>
              </w:tc>
              <w:tc>
                <w:tcPr>
                  <w:tcW w:w="2274" w:type="dxa"/>
                  <w:gridSpan w:val="2"/>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产生情况</w:t>
                  </w:r>
                </w:p>
              </w:tc>
              <w:tc>
                <w:tcPr>
                  <w:tcW w:w="2418" w:type="dxa"/>
                  <w:gridSpan w:val="2"/>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厂内处理后排放情况</w:t>
                  </w:r>
                </w:p>
              </w:tc>
              <w:tc>
                <w:tcPr>
                  <w:tcW w:w="2550" w:type="dxa"/>
                  <w:gridSpan w:val="2"/>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排入外环境情况</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615" w:hRule="atLeas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vMerge w:val="continue"/>
                  <w:tcBorders>
                    <w:tl2br w:val="nil"/>
                    <w:tr2bl w:val="nil"/>
                  </w:tcBorders>
                  <w:vAlign w:val="center"/>
                </w:tcPr>
                <w:p>
                  <w:pPr>
                    <w:spacing w:line="240" w:lineRule="auto"/>
                    <w:ind w:firstLine="0" w:firstLineChars="0"/>
                    <w:jc w:val="center"/>
                    <w:rPr>
                      <w:rFonts w:cs="宋体"/>
                      <w:sz w:val="21"/>
                      <w:szCs w:val="21"/>
                    </w:rPr>
                  </w:pPr>
                </w:p>
              </w:tc>
              <w:tc>
                <w:tcPr>
                  <w:tcW w:w="1174" w:type="dxa"/>
                  <w:tcBorders>
                    <w:tl2br w:val="nil"/>
                    <w:tr2bl w:val="nil"/>
                  </w:tcBorders>
                  <w:vAlign w:val="center"/>
                </w:tcPr>
                <w:p>
                  <w:pPr>
                    <w:pStyle w:val="52"/>
                    <w:rPr>
                      <w:rFonts w:cs="宋体"/>
                    </w:rPr>
                  </w:pPr>
                  <w:r>
                    <w:rPr>
                      <w:rFonts w:hint="eastAsia"/>
                    </w:rPr>
                    <w:t>产生浓度（</w:t>
                  </w:r>
                  <w:r>
                    <w:t>mg/L</w:t>
                  </w:r>
                  <w:r>
                    <w:rPr>
                      <w:rFonts w:hint="eastAsia"/>
                    </w:rPr>
                    <w:t>）</w:t>
                  </w:r>
                </w:p>
              </w:tc>
              <w:tc>
                <w:tcPr>
                  <w:tcW w:w="1100" w:type="dxa"/>
                  <w:tcBorders>
                    <w:tl2br w:val="nil"/>
                    <w:tr2bl w:val="nil"/>
                  </w:tcBorders>
                  <w:vAlign w:val="center"/>
                </w:tcPr>
                <w:p>
                  <w:pPr>
                    <w:pStyle w:val="52"/>
                    <w:rPr>
                      <w:rFonts w:cs="宋体"/>
                    </w:rPr>
                  </w:pPr>
                  <w:r>
                    <w:rPr>
                      <w:rFonts w:hint="eastAsia"/>
                    </w:rPr>
                    <w:t>产生量（</w:t>
                  </w:r>
                  <w:r>
                    <w:t>t/a</w:t>
                  </w:r>
                  <w:r>
                    <w:rPr>
                      <w:rFonts w:hint="eastAsia"/>
                    </w:rPr>
                    <w:t>）</w:t>
                  </w:r>
                </w:p>
              </w:tc>
              <w:tc>
                <w:tcPr>
                  <w:tcW w:w="1190" w:type="dxa"/>
                  <w:tcBorders>
                    <w:tl2br w:val="nil"/>
                    <w:tr2bl w:val="nil"/>
                  </w:tcBorders>
                  <w:vAlign w:val="center"/>
                </w:tcPr>
                <w:p>
                  <w:pPr>
                    <w:pStyle w:val="52"/>
                    <w:rPr>
                      <w:rFonts w:cs="宋体"/>
                    </w:rPr>
                  </w:pPr>
                  <w:r>
                    <w:rPr>
                      <w:rFonts w:hint="eastAsia"/>
                    </w:rPr>
                    <w:t>入管浓度（</w:t>
                  </w:r>
                  <w:r>
                    <w:t>mg/L</w:t>
                  </w:r>
                  <w:r>
                    <w:rPr>
                      <w:rFonts w:hint="eastAsia"/>
                    </w:rPr>
                    <w:t>）</w:t>
                  </w:r>
                </w:p>
              </w:tc>
              <w:tc>
                <w:tcPr>
                  <w:tcW w:w="1228" w:type="dxa"/>
                  <w:tcBorders>
                    <w:tl2br w:val="nil"/>
                    <w:tr2bl w:val="nil"/>
                  </w:tcBorders>
                  <w:vAlign w:val="center"/>
                </w:tcPr>
                <w:p>
                  <w:pPr>
                    <w:pStyle w:val="52"/>
                    <w:rPr>
                      <w:rFonts w:cs="宋体"/>
                    </w:rPr>
                  </w:pPr>
                  <w:r>
                    <w:rPr>
                      <w:rFonts w:hint="eastAsia"/>
                    </w:rPr>
                    <w:t>入管排放量（</w:t>
                  </w:r>
                  <w:r>
                    <w:t>t/a</w:t>
                  </w:r>
                  <w:r>
                    <w:rPr>
                      <w:rFonts w:hint="eastAsia"/>
                    </w:rPr>
                    <w:t>）</w:t>
                  </w:r>
                </w:p>
              </w:tc>
              <w:tc>
                <w:tcPr>
                  <w:tcW w:w="1276" w:type="dxa"/>
                  <w:tcBorders>
                    <w:tl2br w:val="nil"/>
                    <w:tr2bl w:val="nil"/>
                  </w:tcBorders>
                  <w:vAlign w:val="center"/>
                </w:tcPr>
                <w:p>
                  <w:pPr>
                    <w:pStyle w:val="52"/>
                    <w:rPr>
                      <w:rFonts w:cs="宋体"/>
                    </w:rPr>
                  </w:pPr>
                  <w:r>
                    <w:rPr>
                      <w:rFonts w:hint="eastAsia"/>
                    </w:rPr>
                    <w:t>外排浓度（</w:t>
                  </w:r>
                  <w:r>
                    <w:t>mg/L</w:t>
                  </w:r>
                  <w:r>
                    <w:rPr>
                      <w:rFonts w:hint="eastAsia"/>
                    </w:rPr>
                    <w:t>）</w:t>
                  </w:r>
                </w:p>
              </w:tc>
              <w:tc>
                <w:tcPr>
                  <w:tcW w:w="1274" w:type="dxa"/>
                  <w:tcBorders>
                    <w:tl2br w:val="nil"/>
                    <w:tr2bl w:val="nil"/>
                  </w:tcBorders>
                  <w:vAlign w:val="center"/>
                </w:tcPr>
                <w:p>
                  <w:pPr>
                    <w:pStyle w:val="52"/>
                    <w:rPr>
                      <w:rFonts w:cs="宋体"/>
                    </w:rPr>
                  </w:pPr>
                  <w:r>
                    <w:rPr>
                      <w:rFonts w:hint="eastAsia"/>
                    </w:rPr>
                    <w:t>外排量（</w:t>
                  </w:r>
                  <w:r>
                    <w:t>t/a</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restart"/>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生活污水</w:t>
                  </w:r>
                </w:p>
              </w:tc>
              <w:tc>
                <w:tcPr>
                  <w:tcW w:w="947" w:type="dxa"/>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废水量</w:t>
                  </w:r>
                </w:p>
              </w:tc>
              <w:tc>
                <w:tcPr>
                  <w:tcW w:w="1174"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w:t>
                  </w:r>
                </w:p>
              </w:tc>
              <w:tc>
                <w:tcPr>
                  <w:tcW w:w="1100"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234</w:t>
                  </w:r>
                </w:p>
              </w:tc>
              <w:tc>
                <w:tcPr>
                  <w:tcW w:w="1190"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w:t>
                  </w:r>
                </w:p>
              </w:tc>
              <w:tc>
                <w:tcPr>
                  <w:tcW w:w="1228"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234</w:t>
                  </w:r>
                </w:p>
              </w:tc>
              <w:tc>
                <w:tcPr>
                  <w:tcW w:w="1276"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w:t>
                  </w:r>
                </w:p>
              </w:tc>
              <w:tc>
                <w:tcPr>
                  <w:tcW w:w="1274"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234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rPr>
                      <w:vertAlign w:val="subscript"/>
                    </w:rPr>
                  </w:pPr>
                  <w:r>
                    <w:t>COD</w:t>
                  </w:r>
                  <w:r>
                    <w:rPr>
                      <w:vertAlign w:val="subscript"/>
                    </w:rPr>
                    <w:t>cr</w:t>
                  </w:r>
                </w:p>
              </w:tc>
              <w:tc>
                <w:tcPr>
                  <w:tcW w:w="1174" w:type="dxa"/>
                  <w:tcBorders>
                    <w:tl2br w:val="nil"/>
                    <w:tr2bl w:val="nil"/>
                  </w:tcBorders>
                  <w:vAlign w:val="center"/>
                </w:tcPr>
                <w:p>
                  <w:pPr>
                    <w:pStyle w:val="52"/>
                  </w:pPr>
                  <w:r>
                    <w:rPr>
                      <w:rFonts w:hint="eastAsia"/>
                    </w:rPr>
                    <w:t>400</w:t>
                  </w:r>
                </w:p>
              </w:tc>
              <w:tc>
                <w:tcPr>
                  <w:tcW w:w="1100" w:type="dxa"/>
                  <w:tcBorders>
                    <w:tl2br w:val="nil"/>
                    <w:tr2bl w:val="nil"/>
                  </w:tcBorders>
                  <w:vAlign w:val="center"/>
                </w:tcPr>
                <w:p>
                  <w:pPr>
                    <w:pStyle w:val="52"/>
                  </w:pPr>
                  <w:r>
                    <w:rPr>
                      <w:rFonts w:hint="eastAsia"/>
                    </w:rPr>
                    <w:t>0.094</w:t>
                  </w:r>
                </w:p>
              </w:tc>
              <w:tc>
                <w:tcPr>
                  <w:tcW w:w="1190" w:type="dxa"/>
                  <w:tcBorders>
                    <w:tl2br w:val="nil"/>
                    <w:tr2bl w:val="nil"/>
                  </w:tcBorders>
                  <w:vAlign w:val="center"/>
                </w:tcPr>
                <w:p>
                  <w:pPr>
                    <w:pStyle w:val="52"/>
                  </w:pPr>
                  <w:r>
                    <w:rPr>
                      <w:rFonts w:hint="eastAsia"/>
                    </w:rPr>
                    <w:t>340</w:t>
                  </w:r>
                </w:p>
              </w:tc>
              <w:tc>
                <w:tcPr>
                  <w:tcW w:w="1228" w:type="dxa"/>
                  <w:tcBorders>
                    <w:tl2br w:val="nil"/>
                    <w:tr2bl w:val="nil"/>
                  </w:tcBorders>
                  <w:vAlign w:val="center"/>
                </w:tcPr>
                <w:p>
                  <w:pPr>
                    <w:pStyle w:val="52"/>
                  </w:pPr>
                  <w:r>
                    <w:rPr>
                      <w:rFonts w:hint="eastAsia"/>
                    </w:rPr>
                    <w:t>0.080</w:t>
                  </w:r>
                </w:p>
              </w:tc>
              <w:tc>
                <w:tcPr>
                  <w:tcW w:w="1276" w:type="dxa"/>
                  <w:tcBorders>
                    <w:tl2br w:val="nil"/>
                    <w:tr2bl w:val="nil"/>
                  </w:tcBorders>
                  <w:vAlign w:val="center"/>
                </w:tcPr>
                <w:p>
                  <w:pPr>
                    <w:pStyle w:val="52"/>
                  </w:pPr>
                  <w:r>
                    <w:rPr>
                      <w:rFonts w:hint="eastAsia"/>
                    </w:rPr>
                    <w:t>50</w:t>
                  </w:r>
                </w:p>
              </w:tc>
              <w:tc>
                <w:tcPr>
                  <w:tcW w:w="1274" w:type="dxa"/>
                  <w:tcBorders>
                    <w:tl2br w:val="nil"/>
                    <w:tr2bl w:val="nil"/>
                  </w:tcBorders>
                  <w:vAlign w:val="center"/>
                </w:tcPr>
                <w:p>
                  <w:pPr>
                    <w:pStyle w:val="52"/>
                  </w:pPr>
                  <w:r>
                    <w:rPr>
                      <w:rFonts w:hint="eastAsia"/>
                    </w:rPr>
                    <w:t>0.012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BOD</w:t>
                  </w:r>
                  <w:r>
                    <w:rPr>
                      <w:vertAlign w:val="subscript"/>
                    </w:rPr>
                    <w:t>5</w:t>
                  </w:r>
                </w:p>
              </w:tc>
              <w:tc>
                <w:tcPr>
                  <w:tcW w:w="1174" w:type="dxa"/>
                  <w:tcBorders>
                    <w:tl2br w:val="nil"/>
                    <w:tr2bl w:val="nil"/>
                  </w:tcBorders>
                  <w:vAlign w:val="center"/>
                </w:tcPr>
                <w:p>
                  <w:pPr>
                    <w:pStyle w:val="52"/>
                  </w:pPr>
                  <w:r>
                    <w:rPr>
                      <w:rFonts w:hint="eastAsia"/>
                    </w:rPr>
                    <w:t>250</w:t>
                  </w:r>
                </w:p>
              </w:tc>
              <w:tc>
                <w:tcPr>
                  <w:tcW w:w="1100" w:type="dxa"/>
                  <w:tcBorders>
                    <w:tl2br w:val="nil"/>
                    <w:tr2bl w:val="nil"/>
                  </w:tcBorders>
                  <w:vAlign w:val="center"/>
                </w:tcPr>
                <w:p>
                  <w:pPr>
                    <w:pStyle w:val="52"/>
                  </w:pPr>
                  <w:r>
                    <w:rPr>
                      <w:rFonts w:hint="eastAsia"/>
                    </w:rPr>
                    <w:t>0.059</w:t>
                  </w:r>
                </w:p>
              </w:tc>
              <w:tc>
                <w:tcPr>
                  <w:tcW w:w="1190" w:type="dxa"/>
                  <w:tcBorders>
                    <w:tl2br w:val="nil"/>
                    <w:tr2bl w:val="nil"/>
                  </w:tcBorders>
                  <w:vAlign w:val="center"/>
                </w:tcPr>
                <w:p>
                  <w:pPr>
                    <w:pStyle w:val="52"/>
                  </w:pPr>
                  <w:r>
                    <w:rPr>
                      <w:rFonts w:hint="eastAsia"/>
                    </w:rPr>
                    <w:t>227.5</w:t>
                  </w:r>
                </w:p>
              </w:tc>
              <w:tc>
                <w:tcPr>
                  <w:tcW w:w="1228" w:type="dxa"/>
                  <w:tcBorders>
                    <w:tl2br w:val="nil"/>
                    <w:tr2bl w:val="nil"/>
                  </w:tcBorders>
                  <w:vAlign w:val="center"/>
                </w:tcPr>
                <w:p>
                  <w:pPr>
                    <w:pStyle w:val="52"/>
                  </w:pPr>
                  <w:r>
                    <w:rPr>
                      <w:rFonts w:hint="eastAsia"/>
                    </w:rPr>
                    <w:t>0.053</w:t>
                  </w:r>
                </w:p>
              </w:tc>
              <w:tc>
                <w:tcPr>
                  <w:tcW w:w="1276" w:type="dxa"/>
                  <w:tcBorders>
                    <w:tl2br w:val="nil"/>
                    <w:tr2bl w:val="nil"/>
                  </w:tcBorders>
                  <w:vAlign w:val="center"/>
                </w:tcPr>
                <w:p>
                  <w:pPr>
                    <w:pStyle w:val="52"/>
                  </w:pPr>
                  <w:r>
                    <w:rPr>
                      <w:rFonts w:hint="eastAsia"/>
                    </w:rPr>
                    <w:t>10</w:t>
                  </w:r>
                </w:p>
              </w:tc>
              <w:tc>
                <w:tcPr>
                  <w:tcW w:w="1274" w:type="dxa"/>
                  <w:tcBorders>
                    <w:tl2br w:val="nil"/>
                    <w:tr2bl w:val="nil"/>
                  </w:tcBorders>
                  <w:vAlign w:val="center"/>
                </w:tcPr>
                <w:p>
                  <w:pPr>
                    <w:pStyle w:val="52"/>
                  </w:pPr>
                  <w:r>
                    <w:rPr>
                      <w:rFonts w:hint="eastAsia"/>
                    </w:rPr>
                    <w:t>0.002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SS</w:t>
                  </w:r>
                </w:p>
              </w:tc>
              <w:tc>
                <w:tcPr>
                  <w:tcW w:w="1174" w:type="dxa"/>
                  <w:tcBorders>
                    <w:tl2br w:val="nil"/>
                    <w:tr2bl w:val="nil"/>
                  </w:tcBorders>
                  <w:vAlign w:val="center"/>
                </w:tcPr>
                <w:p>
                  <w:pPr>
                    <w:pStyle w:val="52"/>
                  </w:pPr>
                  <w:r>
                    <w:rPr>
                      <w:rFonts w:hint="eastAsia"/>
                    </w:rPr>
                    <w:t>220</w:t>
                  </w:r>
                </w:p>
              </w:tc>
              <w:tc>
                <w:tcPr>
                  <w:tcW w:w="1100" w:type="dxa"/>
                  <w:tcBorders>
                    <w:tl2br w:val="nil"/>
                    <w:tr2bl w:val="nil"/>
                  </w:tcBorders>
                  <w:vAlign w:val="center"/>
                </w:tcPr>
                <w:p>
                  <w:pPr>
                    <w:pStyle w:val="52"/>
                  </w:pPr>
                  <w:r>
                    <w:rPr>
                      <w:rFonts w:hint="eastAsia"/>
                    </w:rPr>
                    <w:t>0.051</w:t>
                  </w:r>
                </w:p>
              </w:tc>
              <w:tc>
                <w:tcPr>
                  <w:tcW w:w="1190" w:type="dxa"/>
                  <w:tcBorders>
                    <w:tl2br w:val="nil"/>
                    <w:tr2bl w:val="nil"/>
                  </w:tcBorders>
                  <w:vAlign w:val="center"/>
                </w:tcPr>
                <w:p>
                  <w:pPr>
                    <w:pStyle w:val="52"/>
                  </w:pPr>
                  <w:r>
                    <w:rPr>
                      <w:rFonts w:hint="eastAsia"/>
                    </w:rPr>
                    <w:t>154</w:t>
                  </w:r>
                </w:p>
              </w:tc>
              <w:tc>
                <w:tcPr>
                  <w:tcW w:w="1228" w:type="dxa"/>
                  <w:tcBorders>
                    <w:tl2br w:val="nil"/>
                    <w:tr2bl w:val="nil"/>
                  </w:tcBorders>
                  <w:vAlign w:val="center"/>
                </w:tcPr>
                <w:p>
                  <w:pPr>
                    <w:pStyle w:val="52"/>
                  </w:pPr>
                  <w:r>
                    <w:rPr>
                      <w:rFonts w:hint="eastAsia"/>
                    </w:rPr>
                    <w:t>0.036</w:t>
                  </w:r>
                </w:p>
              </w:tc>
              <w:tc>
                <w:tcPr>
                  <w:tcW w:w="1276" w:type="dxa"/>
                  <w:tcBorders>
                    <w:tl2br w:val="nil"/>
                    <w:tr2bl w:val="nil"/>
                  </w:tcBorders>
                  <w:vAlign w:val="center"/>
                </w:tcPr>
                <w:p>
                  <w:pPr>
                    <w:pStyle w:val="52"/>
                  </w:pPr>
                  <w:r>
                    <w:rPr>
                      <w:rFonts w:hint="eastAsia"/>
                    </w:rPr>
                    <w:t>10</w:t>
                  </w:r>
                </w:p>
              </w:tc>
              <w:tc>
                <w:tcPr>
                  <w:tcW w:w="1274" w:type="dxa"/>
                  <w:tcBorders>
                    <w:tl2br w:val="nil"/>
                    <w:tr2bl w:val="nil"/>
                  </w:tcBorders>
                  <w:vAlign w:val="center"/>
                </w:tcPr>
                <w:p>
                  <w:pPr>
                    <w:pStyle w:val="52"/>
                  </w:pPr>
                  <w:r>
                    <w:rPr>
                      <w:rFonts w:hint="eastAsia"/>
                    </w:rPr>
                    <w:t>0.002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NH</w:t>
                  </w:r>
                  <w:r>
                    <w:rPr>
                      <w:vertAlign w:val="subscript"/>
                    </w:rPr>
                    <w:t>3</w:t>
                  </w:r>
                  <w:r>
                    <w:t>-N</w:t>
                  </w:r>
                </w:p>
              </w:tc>
              <w:tc>
                <w:tcPr>
                  <w:tcW w:w="1174" w:type="dxa"/>
                  <w:tcBorders>
                    <w:tl2br w:val="nil"/>
                    <w:tr2bl w:val="nil"/>
                  </w:tcBorders>
                  <w:vAlign w:val="center"/>
                </w:tcPr>
                <w:p>
                  <w:pPr>
                    <w:pStyle w:val="52"/>
                  </w:pPr>
                  <w:r>
                    <w:rPr>
                      <w:rFonts w:hint="eastAsia"/>
                    </w:rPr>
                    <w:t>35</w:t>
                  </w:r>
                </w:p>
              </w:tc>
              <w:tc>
                <w:tcPr>
                  <w:tcW w:w="1100" w:type="dxa"/>
                  <w:tcBorders>
                    <w:tl2br w:val="nil"/>
                    <w:tr2bl w:val="nil"/>
                  </w:tcBorders>
                  <w:vAlign w:val="center"/>
                </w:tcPr>
                <w:p>
                  <w:pPr>
                    <w:pStyle w:val="52"/>
                  </w:pPr>
                  <w:r>
                    <w:rPr>
                      <w:rFonts w:hint="eastAsia"/>
                    </w:rPr>
                    <w:t>0.008</w:t>
                  </w:r>
                </w:p>
              </w:tc>
              <w:tc>
                <w:tcPr>
                  <w:tcW w:w="1190" w:type="dxa"/>
                  <w:tcBorders>
                    <w:tl2br w:val="nil"/>
                    <w:tr2bl w:val="nil"/>
                  </w:tcBorders>
                  <w:vAlign w:val="center"/>
                </w:tcPr>
                <w:p>
                  <w:pPr>
                    <w:pStyle w:val="52"/>
                  </w:pPr>
                  <w:r>
                    <w:rPr>
                      <w:rFonts w:hint="eastAsia"/>
                    </w:rPr>
                    <w:t>33.95</w:t>
                  </w:r>
                </w:p>
              </w:tc>
              <w:tc>
                <w:tcPr>
                  <w:tcW w:w="1228" w:type="dxa"/>
                  <w:tcBorders>
                    <w:tl2br w:val="nil"/>
                    <w:tr2bl w:val="nil"/>
                  </w:tcBorders>
                  <w:vAlign w:val="center"/>
                </w:tcPr>
                <w:p>
                  <w:pPr>
                    <w:pStyle w:val="52"/>
                  </w:pPr>
                  <w:r>
                    <w:rPr>
                      <w:rFonts w:hint="eastAsia"/>
                    </w:rPr>
                    <w:t>0.008</w:t>
                  </w:r>
                </w:p>
              </w:tc>
              <w:tc>
                <w:tcPr>
                  <w:tcW w:w="1276" w:type="dxa"/>
                  <w:tcBorders>
                    <w:tl2br w:val="nil"/>
                    <w:tr2bl w:val="nil"/>
                  </w:tcBorders>
                  <w:vAlign w:val="center"/>
                </w:tcPr>
                <w:p>
                  <w:pPr>
                    <w:pStyle w:val="52"/>
                  </w:pPr>
                  <w:r>
                    <w:rPr>
                      <w:rFonts w:hint="eastAsia"/>
                    </w:rPr>
                    <w:t>5</w:t>
                  </w:r>
                </w:p>
              </w:tc>
              <w:tc>
                <w:tcPr>
                  <w:tcW w:w="1274" w:type="dxa"/>
                  <w:tcBorders>
                    <w:tl2br w:val="nil"/>
                    <w:tr2bl w:val="nil"/>
                  </w:tcBorders>
                  <w:vAlign w:val="center"/>
                </w:tcPr>
                <w:p>
                  <w:pPr>
                    <w:pStyle w:val="52"/>
                  </w:pPr>
                  <w:r>
                    <w:rPr>
                      <w:rFonts w:hint="eastAsia"/>
                    </w:rPr>
                    <w:t>0.001</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总氮</w:t>
                  </w:r>
                </w:p>
              </w:tc>
              <w:tc>
                <w:tcPr>
                  <w:tcW w:w="1174" w:type="dxa"/>
                  <w:tcBorders>
                    <w:tl2br w:val="nil"/>
                    <w:tr2bl w:val="nil"/>
                  </w:tcBorders>
                  <w:vAlign w:val="center"/>
                </w:tcPr>
                <w:p>
                  <w:pPr>
                    <w:pStyle w:val="52"/>
                  </w:pPr>
                  <w:r>
                    <w:rPr>
                      <w:rFonts w:hint="eastAsia"/>
                    </w:rPr>
                    <w:t>60</w:t>
                  </w:r>
                </w:p>
              </w:tc>
              <w:tc>
                <w:tcPr>
                  <w:tcW w:w="1100" w:type="dxa"/>
                  <w:tcBorders>
                    <w:tl2br w:val="nil"/>
                    <w:tr2bl w:val="nil"/>
                  </w:tcBorders>
                  <w:vAlign w:val="center"/>
                </w:tcPr>
                <w:p>
                  <w:pPr>
                    <w:pStyle w:val="52"/>
                  </w:pPr>
                  <w:r>
                    <w:rPr>
                      <w:rFonts w:hint="eastAsia"/>
                    </w:rPr>
                    <w:t>0.014</w:t>
                  </w:r>
                </w:p>
              </w:tc>
              <w:tc>
                <w:tcPr>
                  <w:tcW w:w="1190" w:type="dxa"/>
                  <w:tcBorders>
                    <w:tl2br w:val="nil"/>
                    <w:tr2bl w:val="nil"/>
                  </w:tcBorders>
                  <w:vAlign w:val="center"/>
                </w:tcPr>
                <w:p>
                  <w:pPr>
                    <w:pStyle w:val="52"/>
                  </w:pPr>
                  <w:r>
                    <w:rPr>
                      <w:rFonts w:hint="eastAsia"/>
                    </w:rPr>
                    <w:t>57</w:t>
                  </w:r>
                </w:p>
              </w:tc>
              <w:tc>
                <w:tcPr>
                  <w:tcW w:w="1228" w:type="dxa"/>
                  <w:tcBorders>
                    <w:tl2br w:val="nil"/>
                    <w:tr2bl w:val="nil"/>
                  </w:tcBorders>
                  <w:vAlign w:val="center"/>
                </w:tcPr>
                <w:p>
                  <w:pPr>
                    <w:pStyle w:val="52"/>
                  </w:pPr>
                  <w:r>
                    <w:rPr>
                      <w:rFonts w:hint="eastAsia"/>
                    </w:rPr>
                    <w:t>0.013</w:t>
                  </w:r>
                </w:p>
              </w:tc>
              <w:tc>
                <w:tcPr>
                  <w:tcW w:w="1276" w:type="dxa"/>
                  <w:tcBorders>
                    <w:tl2br w:val="nil"/>
                    <w:tr2bl w:val="nil"/>
                  </w:tcBorders>
                  <w:vAlign w:val="center"/>
                </w:tcPr>
                <w:p>
                  <w:pPr>
                    <w:pStyle w:val="52"/>
                  </w:pPr>
                  <w:r>
                    <w:rPr>
                      <w:rFonts w:hint="eastAsia"/>
                    </w:rPr>
                    <w:t>15</w:t>
                  </w:r>
                </w:p>
              </w:tc>
              <w:tc>
                <w:tcPr>
                  <w:tcW w:w="1274" w:type="dxa"/>
                  <w:tcBorders>
                    <w:tl2br w:val="nil"/>
                    <w:tr2bl w:val="nil"/>
                  </w:tcBorders>
                  <w:vAlign w:val="center"/>
                </w:tcPr>
                <w:p>
                  <w:pPr>
                    <w:pStyle w:val="52"/>
                  </w:pPr>
                  <w:r>
                    <w:rPr>
                      <w:rFonts w:hint="eastAsia"/>
                    </w:rPr>
                    <w:t>0.004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总磷</w:t>
                  </w:r>
                </w:p>
              </w:tc>
              <w:tc>
                <w:tcPr>
                  <w:tcW w:w="1174" w:type="dxa"/>
                  <w:tcBorders>
                    <w:tl2br w:val="nil"/>
                    <w:tr2bl w:val="nil"/>
                  </w:tcBorders>
                  <w:vAlign w:val="center"/>
                </w:tcPr>
                <w:p>
                  <w:pPr>
                    <w:pStyle w:val="52"/>
                  </w:pPr>
                  <w:r>
                    <w:rPr>
                      <w:rFonts w:hint="eastAsia"/>
                    </w:rPr>
                    <w:t>5</w:t>
                  </w:r>
                </w:p>
              </w:tc>
              <w:tc>
                <w:tcPr>
                  <w:tcW w:w="1100" w:type="dxa"/>
                  <w:tcBorders>
                    <w:tl2br w:val="nil"/>
                    <w:tr2bl w:val="nil"/>
                  </w:tcBorders>
                  <w:vAlign w:val="center"/>
                </w:tcPr>
                <w:p>
                  <w:pPr>
                    <w:pStyle w:val="52"/>
                  </w:pPr>
                  <w:r>
                    <w:rPr>
                      <w:rFonts w:hint="eastAsia"/>
                    </w:rPr>
                    <w:t>0.001</w:t>
                  </w:r>
                </w:p>
              </w:tc>
              <w:tc>
                <w:tcPr>
                  <w:tcW w:w="1190" w:type="dxa"/>
                  <w:tcBorders>
                    <w:tl2br w:val="nil"/>
                    <w:tr2bl w:val="nil"/>
                  </w:tcBorders>
                  <w:vAlign w:val="center"/>
                </w:tcPr>
                <w:p>
                  <w:pPr>
                    <w:pStyle w:val="52"/>
                  </w:pPr>
                  <w:r>
                    <w:rPr>
                      <w:rFonts w:hint="eastAsia"/>
                    </w:rPr>
                    <w:t>4.5</w:t>
                  </w:r>
                </w:p>
              </w:tc>
              <w:tc>
                <w:tcPr>
                  <w:tcW w:w="1228" w:type="dxa"/>
                  <w:tcBorders>
                    <w:tl2br w:val="nil"/>
                    <w:tr2bl w:val="nil"/>
                  </w:tcBorders>
                  <w:vAlign w:val="center"/>
                </w:tcPr>
                <w:p>
                  <w:pPr>
                    <w:pStyle w:val="52"/>
                  </w:pPr>
                  <w:r>
                    <w:rPr>
                      <w:rFonts w:hint="eastAsia"/>
                    </w:rPr>
                    <w:t>0.001</w:t>
                  </w:r>
                </w:p>
              </w:tc>
              <w:tc>
                <w:tcPr>
                  <w:tcW w:w="1276" w:type="dxa"/>
                  <w:tcBorders>
                    <w:tl2br w:val="nil"/>
                    <w:tr2bl w:val="nil"/>
                  </w:tcBorders>
                  <w:vAlign w:val="center"/>
                </w:tcPr>
                <w:p>
                  <w:pPr>
                    <w:pStyle w:val="52"/>
                  </w:pPr>
                  <w:r>
                    <w:rPr>
                      <w:rFonts w:hint="eastAsia"/>
                    </w:rPr>
                    <w:t>0.5</w:t>
                  </w:r>
                </w:p>
              </w:tc>
              <w:tc>
                <w:tcPr>
                  <w:tcW w:w="1274" w:type="dxa"/>
                  <w:tcBorders>
                    <w:tl2br w:val="nil"/>
                    <w:tr2bl w:val="nil"/>
                  </w:tcBorders>
                  <w:vAlign w:val="center"/>
                </w:tcPr>
                <w:p>
                  <w:pPr>
                    <w:pStyle w:val="52"/>
                  </w:pPr>
                  <w:r>
                    <w:rPr>
                      <w:rFonts w:hint="eastAsia"/>
                    </w:rPr>
                    <w:t>0.000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restart"/>
                  <w:tcBorders>
                    <w:tl2br w:val="nil"/>
                    <w:tr2bl w:val="nil"/>
                  </w:tcBorders>
                  <w:vAlign w:val="center"/>
                </w:tcPr>
                <w:p>
                  <w:pPr>
                    <w:spacing w:line="240" w:lineRule="auto"/>
                    <w:ind w:firstLine="0" w:firstLineChars="0"/>
                    <w:jc w:val="center"/>
                    <w:rPr>
                      <w:rFonts w:cs="宋体"/>
                      <w:sz w:val="21"/>
                      <w:szCs w:val="21"/>
                    </w:rPr>
                  </w:pPr>
                  <w:r>
                    <w:rPr>
                      <w:rFonts w:hint="eastAsia" w:cs="宋体"/>
                      <w:sz w:val="21"/>
                      <w:szCs w:val="21"/>
                    </w:rPr>
                    <w:t>生产废水</w:t>
                  </w:r>
                </w:p>
              </w:tc>
              <w:tc>
                <w:tcPr>
                  <w:tcW w:w="947" w:type="dxa"/>
                  <w:tcBorders>
                    <w:tl2br w:val="nil"/>
                    <w:tr2bl w:val="nil"/>
                  </w:tcBorders>
                  <w:vAlign w:val="center"/>
                </w:tcPr>
                <w:p>
                  <w:pPr>
                    <w:widowControl/>
                    <w:spacing w:line="240" w:lineRule="auto"/>
                    <w:ind w:firstLine="0" w:firstLineChars="0"/>
                    <w:jc w:val="center"/>
                    <w:textAlignment w:val="center"/>
                    <w:rPr>
                      <w:rFonts w:cs="宋体"/>
                      <w:kern w:val="0"/>
                      <w:sz w:val="21"/>
                      <w:szCs w:val="21"/>
                      <w:lang w:bidi="ar"/>
                    </w:rPr>
                  </w:pPr>
                  <w:r>
                    <w:rPr>
                      <w:rFonts w:hint="eastAsia" w:cs="宋体"/>
                      <w:kern w:val="0"/>
                      <w:sz w:val="21"/>
                      <w:szCs w:val="21"/>
                      <w:lang w:bidi="ar"/>
                    </w:rPr>
                    <w:t>废水量</w:t>
                  </w:r>
                </w:p>
              </w:tc>
              <w:tc>
                <w:tcPr>
                  <w:tcW w:w="1174"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p>
              </w:tc>
              <w:tc>
                <w:tcPr>
                  <w:tcW w:w="1100"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2380.2</w:t>
                  </w:r>
                </w:p>
              </w:tc>
              <w:tc>
                <w:tcPr>
                  <w:tcW w:w="1190"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p>
              </w:tc>
              <w:tc>
                <w:tcPr>
                  <w:tcW w:w="1228"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2380.2</w:t>
                  </w:r>
                </w:p>
              </w:tc>
              <w:tc>
                <w:tcPr>
                  <w:tcW w:w="1276"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p>
              </w:tc>
              <w:tc>
                <w:tcPr>
                  <w:tcW w:w="1274" w:type="dxa"/>
                  <w:tcBorders>
                    <w:tl2br w:val="nil"/>
                    <w:tr2bl w:val="nil"/>
                  </w:tcBorders>
                  <w:vAlign w:val="center"/>
                </w:tcPr>
                <w:p>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2380.2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widowControl/>
                    <w:spacing w:line="240" w:lineRule="auto"/>
                    <w:ind w:firstLine="0" w:firstLineChars="0"/>
                    <w:jc w:val="center"/>
                    <w:textAlignment w:val="center"/>
                    <w:rPr>
                      <w:rFonts w:cs="宋体"/>
                      <w:sz w:val="21"/>
                      <w:szCs w:val="21"/>
                    </w:rPr>
                  </w:pPr>
                  <w:r>
                    <w:rPr>
                      <w:rFonts w:hint="eastAsia" w:cs="宋体"/>
                      <w:kern w:val="0"/>
                      <w:sz w:val="21"/>
                      <w:szCs w:val="21"/>
                      <w:lang w:bidi="ar"/>
                    </w:rPr>
                    <w:t>pH</w:t>
                  </w:r>
                </w:p>
              </w:tc>
              <w:tc>
                <w:tcPr>
                  <w:tcW w:w="1174"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5-6</w:t>
                  </w:r>
                </w:p>
              </w:tc>
              <w:tc>
                <w:tcPr>
                  <w:tcW w:w="1100"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w:t>
                  </w:r>
                </w:p>
              </w:tc>
              <w:tc>
                <w:tcPr>
                  <w:tcW w:w="1190"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5-6</w:t>
                  </w:r>
                </w:p>
              </w:tc>
              <w:tc>
                <w:tcPr>
                  <w:tcW w:w="1228" w:type="dxa"/>
                  <w:tcBorders>
                    <w:tl2br w:val="nil"/>
                    <w:tr2bl w:val="nil"/>
                  </w:tcBorders>
                  <w:vAlign w:val="center"/>
                </w:tcPr>
                <w:p>
                  <w:pPr>
                    <w:widowControl/>
                    <w:spacing w:line="240" w:lineRule="auto"/>
                    <w:ind w:firstLine="0" w:firstLineChars="0"/>
                    <w:jc w:val="center"/>
                    <w:textAlignment w:val="center"/>
                    <w:rPr>
                      <w:sz w:val="21"/>
                      <w:szCs w:val="21"/>
                    </w:rPr>
                  </w:pPr>
                  <w:r>
                    <w:rPr>
                      <w:kern w:val="0"/>
                      <w:sz w:val="21"/>
                      <w:szCs w:val="21"/>
                      <w:lang w:bidi="ar"/>
                    </w:rPr>
                    <w:t>/</w:t>
                  </w:r>
                </w:p>
              </w:tc>
              <w:tc>
                <w:tcPr>
                  <w:tcW w:w="1276" w:type="dxa"/>
                  <w:tcBorders>
                    <w:tl2br w:val="nil"/>
                    <w:tr2bl w:val="nil"/>
                  </w:tcBorders>
                  <w:vAlign w:val="center"/>
                </w:tcPr>
                <w:p>
                  <w:pPr>
                    <w:widowControl/>
                    <w:spacing w:line="240" w:lineRule="auto"/>
                    <w:ind w:firstLine="0" w:firstLineChars="0"/>
                    <w:jc w:val="center"/>
                    <w:textAlignment w:val="center"/>
                    <w:rPr>
                      <w:sz w:val="21"/>
                      <w:szCs w:val="21"/>
                    </w:rPr>
                  </w:pPr>
                  <w:r>
                    <w:rPr>
                      <w:rFonts w:hint="eastAsia"/>
                      <w:kern w:val="0"/>
                      <w:sz w:val="21"/>
                      <w:szCs w:val="21"/>
                      <w:lang w:bidi="ar"/>
                    </w:rPr>
                    <w:t>6-9</w:t>
                  </w:r>
                </w:p>
              </w:tc>
              <w:tc>
                <w:tcPr>
                  <w:tcW w:w="1274" w:type="dxa"/>
                  <w:tcBorders>
                    <w:tl2br w:val="nil"/>
                    <w:tr2bl w:val="nil"/>
                  </w:tcBorders>
                  <w:vAlign w:val="center"/>
                </w:tcPr>
                <w:p>
                  <w:pPr>
                    <w:widowControl/>
                    <w:spacing w:line="240" w:lineRule="auto"/>
                    <w:ind w:firstLine="0" w:firstLineChars="0"/>
                    <w:jc w:val="center"/>
                    <w:textAlignment w:val="center"/>
                    <w:rPr>
                      <w:sz w:val="21"/>
                      <w:szCs w:val="21"/>
                    </w:rPr>
                  </w:pPr>
                  <w:r>
                    <w:rPr>
                      <w:kern w:val="0"/>
                      <w:sz w:val="21"/>
                      <w:szCs w:val="21"/>
                      <w:lang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rPr>
                      <w:vertAlign w:val="subscript"/>
                    </w:rPr>
                  </w:pPr>
                  <w:r>
                    <w:t>COD</w:t>
                  </w:r>
                  <w:r>
                    <w:rPr>
                      <w:vertAlign w:val="subscript"/>
                    </w:rPr>
                    <w:t>cr</w:t>
                  </w:r>
                </w:p>
              </w:tc>
              <w:tc>
                <w:tcPr>
                  <w:tcW w:w="1174" w:type="dxa"/>
                  <w:tcBorders>
                    <w:tl2br w:val="nil"/>
                    <w:tr2bl w:val="nil"/>
                  </w:tcBorders>
                  <w:vAlign w:val="center"/>
                </w:tcPr>
                <w:p>
                  <w:pPr>
                    <w:pStyle w:val="52"/>
                  </w:pPr>
                  <w:r>
                    <w:rPr>
                      <w:rFonts w:hint="eastAsia"/>
                    </w:rPr>
                    <w:t>10147</w:t>
                  </w:r>
                </w:p>
              </w:tc>
              <w:tc>
                <w:tcPr>
                  <w:tcW w:w="1100" w:type="dxa"/>
                  <w:tcBorders>
                    <w:tl2br w:val="nil"/>
                    <w:tr2bl w:val="nil"/>
                  </w:tcBorders>
                  <w:vAlign w:val="center"/>
                </w:tcPr>
                <w:p>
                  <w:pPr>
                    <w:pStyle w:val="52"/>
                  </w:pPr>
                  <w:r>
                    <w:rPr>
                      <w:rFonts w:hint="eastAsia"/>
                    </w:rPr>
                    <w:t>24.152</w:t>
                  </w:r>
                </w:p>
              </w:tc>
              <w:tc>
                <w:tcPr>
                  <w:tcW w:w="1190" w:type="dxa"/>
                  <w:tcBorders>
                    <w:tl2br w:val="nil"/>
                    <w:tr2bl w:val="nil"/>
                  </w:tcBorders>
                  <w:vAlign w:val="center"/>
                </w:tcPr>
                <w:p>
                  <w:pPr>
                    <w:pStyle w:val="52"/>
                  </w:pPr>
                  <w:r>
                    <w:rPr>
                      <w:rFonts w:hint="eastAsia"/>
                    </w:rPr>
                    <w:t>487.056</w:t>
                  </w:r>
                </w:p>
              </w:tc>
              <w:tc>
                <w:tcPr>
                  <w:tcW w:w="1228" w:type="dxa"/>
                  <w:tcBorders>
                    <w:tl2br w:val="nil"/>
                    <w:tr2bl w:val="nil"/>
                  </w:tcBorders>
                  <w:vAlign w:val="center"/>
                </w:tcPr>
                <w:p>
                  <w:pPr>
                    <w:pStyle w:val="52"/>
                  </w:pPr>
                  <w:r>
                    <w:rPr>
                      <w:rFonts w:hint="eastAsia"/>
                    </w:rPr>
                    <w:t>1.159</w:t>
                  </w:r>
                </w:p>
              </w:tc>
              <w:tc>
                <w:tcPr>
                  <w:tcW w:w="1276" w:type="dxa"/>
                  <w:tcBorders>
                    <w:tl2br w:val="nil"/>
                    <w:tr2bl w:val="nil"/>
                  </w:tcBorders>
                  <w:vAlign w:val="center"/>
                </w:tcPr>
                <w:p>
                  <w:pPr>
                    <w:pStyle w:val="52"/>
                  </w:pPr>
                  <w:r>
                    <w:rPr>
                      <w:rFonts w:hint="eastAsia"/>
                    </w:rPr>
                    <w:t>50</w:t>
                  </w:r>
                </w:p>
              </w:tc>
              <w:tc>
                <w:tcPr>
                  <w:tcW w:w="1274" w:type="dxa"/>
                  <w:tcBorders>
                    <w:tl2br w:val="nil"/>
                    <w:tr2bl w:val="nil"/>
                  </w:tcBorders>
                  <w:vAlign w:val="center"/>
                </w:tcPr>
                <w:p>
                  <w:pPr>
                    <w:pStyle w:val="52"/>
                  </w:pPr>
                  <w:r>
                    <w:rPr>
                      <w:rFonts w:hint="eastAsia"/>
                    </w:rPr>
                    <w:t>0.119</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BOD</w:t>
                  </w:r>
                  <w:r>
                    <w:rPr>
                      <w:vertAlign w:val="subscript"/>
                    </w:rPr>
                    <w:t>5</w:t>
                  </w:r>
                </w:p>
              </w:tc>
              <w:tc>
                <w:tcPr>
                  <w:tcW w:w="1174" w:type="dxa"/>
                  <w:tcBorders>
                    <w:tl2br w:val="nil"/>
                    <w:tr2bl w:val="nil"/>
                  </w:tcBorders>
                  <w:vAlign w:val="center"/>
                </w:tcPr>
                <w:p>
                  <w:pPr>
                    <w:pStyle w:val="52"/>
                  </w:pPr>
                  <w:r>
                    <w:rPr>
                      <w:rFonts w:hint="eastAsia"/>
                    </w:rPr>
                    <w:t>1200</w:t>
                  </w:r>
                </w:p>
              </w:tc>
              <w:tc>
                <w:tcPr>
                  <w:tcW w:w="1100" w:type="dxa"/>
                  <w:tcBorders>
                    <w:tl2br w:val="nil"/>
                    <w:tr2bl w:val="nil"/>
                  </w:tcBorders>
                  <w:vAlign w:val="center"/>
                </w:tcPr>
                <w:p>
                  <w:pPr>
                    <w:pStyle w:val="52"/>
                  </w:pPr>
                  <w:r>
                    <w:rPr>
                      <w:rFonts w:hint="eastAsia"/>
                    </w:rPr>
                    <w:t>2.856</w:t>
                  </w:r>
                </w:p>
              </w:tc>
              <w:tc>
                <w:tcPr>
                  <w:tcW w:w="1190" w:type="dxa"/>
                  <w:tcBorders>
                    <w:tl2br w:val="nil"/>
                    <w:tr2bl w:val="nil"/>
                  </w:tcBorders>
                  <w:vAlign w:val="center"/>
                </w:tcPr>
                <w:p>
                  <w:pPr>
                    <w:pStyle w:val="52"/>
                  </w:pPr>
                  <w:r>
                    <w:rPr>
                      <w:rFonts w:hint="eastAsia"/>
                    </w:rPr>
                    <w:t>180</w:t>
                  </w:r>
                </w:p>
              </w:tc>
              <w:tc>
                <w:tcPr>
                  <w:tcW w:w="1228" w:type="dxa"/>
                  <w:tcBorders>
                    <w:tl2br w:val="nil"/>
                    <w:tr2bl w:val="nil"/>
                  </w:tcBorders>
                  <w:vAlign w:val="center"/>
                </w:tcPr>
                <w:p>
                  <w:pPr>
                    <w:pStyle w:val="52"/>
                  </w:pPr>
                  <w:r>
                    <w:rPr>
                      <w:rFonts w:hint="eastAsia"/>
                    </w:rPr>
                    <w:t>0.428</w:t>
                  </w:r>
                </w:p>
              </w:tc>
              <w:tc>
                <w:tcPr>
                  <w:tcW w:w="1276" w:type="dxa"/>
                  <w:tcBorders>
                    <w:tl2br w:val="nil"/>
                    <w:tr2bl w:val="nil"/>
                  </w:tcBorders>
                  <w:vAlign w:val="center"/>
                </w:tcPr>
                <w:p>
                  <w:pPr>
                    <w:pStyle w:val="52"/>
                  </w:pPr>
                  <w:r>
                    <w:rPr>
                      <w:rFonts w:hint="eastAsia"/>
                    </w:rPr>
                    <w:t>10</w:t>
                  </w:r>
                </w:p>
              </w:tc>
              <w:tc>
                <w:tcPr>
                  <w:tcW w:w="1274" w:type="dxa"/>
                  <w:tcBorders>
                    <w:tl2br w:val="nil"/>
                    <w:tr2bl w:val="nil"/>
                  </w:tcBorders>
                  <w:vAlign w:val="center"/>
                </w:tcPr>
                <w:p>
                  <w:pPr>
                    <w:pStyle w:val="52"/>
                  </w:pPr>
                  <w:r>
                    <w:rPr>
                      <w:rFonts w:hint="eastAsia"/>
                    </w:rPr>
                    <w:t>0.024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SS</w:t>
                  </w:r>
                </w:p>
              </w:tc>
              <w:tc>
                <w:tcPr>
                  <w:tcW w:w="1174" w:type="dxa"/>
                  <w:tcBorders>
                    <w:tl2br w:val="nil"/>
                    <w:tr2bl w:val="nil"/>
                  </w:tcBorders>
                  <w:vAlign w:val="center"/>
                </w:tcPr>
                <w:p>
                  <w:pPr>
                    <w:pStyle w:val="52"/>
                  </w:pPr>
                  <w:r>
                    <w:rPr>
                      <w:rFonts w:hint="eastAsia"/>
                    </w:rPr>
                    <w:t>800</w:t>
                  </w:r>
                </w:p>
              </w:tc>
              <w:tc>
                <w:tcPr>
                  <w:tcW w:w="1100" w:type="dxa"/>
                  <w:tcBorders>
                    <w:tl2br w:val="nil"/>
                    <w:tr2bl w:val="nil"/>
                  </w:tcBorders>
                  <w:vAlign w:val="center"/>
                </w:tcPr>
                <w:p>
                  <w:pPr>
                    <w:pStyle w:val="52"/>
                  </w:pPr>
                  <w:r>
                    <w:rPr>
                      <w:rFonts w:hint="eastAsia"/>
                    </w:rPr>
                    <w:t>1.904</w:t>
                  </w:r>
                </w:p>
              </w:tc>
              <w:tc>
                <w:tcPr>
                  <w:tcW w:w="1190" w:type="dxa"/>
                  <w:tcBorders>
                    <w:tl2br w:val="nil"/>
                    <w:tr2bl w:val="nil"/>
                  </w:tcBorders>
                  <w:vAlign w:val="center"/>
                </w:tcPr>
                <w:p>
                  <w:pPr>
                    <w:pStyle w:val="52"/>
                  </w:pPr>
                  <w:r>
                    <w:rPr>
                      <w:rFonts w:hint="eastAsia"/>
                    </w:rPr>
                    <w:t>240</w:t>
                  </w:r>
                </w:p>
              </w:tc>
              <w:tc>
                <w:tcPr>
                  <w:tcW w:w="1228" w:type="dxa"/>
                  <w:tcBorders>
                    <w:tl2br w:val="nil"/>
                    <w:tr2bl w:val="nil"/>
                  </w:tcBorders>
                  <w:vAlign w:val="center"/>
                </w:tcPr>
                <w:p>
                  <w:pPr>
                    <w:pStyle w:val="52"/>
                  </w:pPr>
                  <w:r>
                    <w:rPr>
                      <w:rFonts w:hint="eastAsia"/>
                    </w:rPr>
                    <w:t>0.571</w:t>
                  </w:r>
                </w:p>
              </w:tc>
              <w:tc>
                <w:tcPr>
                  <w:tcW w:w="1276" w:type="dxa"/>
                  <w:tcBorders>
                    <w:tl2br w:val="nil"/>
                    <w:tr2bl w:val="nil"/>
                  </w:tcBorders>
                  <w:vAlign w:val="center"/>
                </w:tcPr>
                <w:p>
                  <w:pPr>
                    <w:pStyle w:val="52"/>
                  </w:pPr>
                  <w:r>
                    <w:rPr>
                      <w:rFonts w:hint="eastAsia"/>
                    </w:rPr>
                    <w:t>10</w:t>
                  </w:r>
                </w:p>
              </w:tc>
              <w:tc>
                <w:tcPr>
                  <w:tcW w:w="1274" w:type="dxa"/>
                  <w:tcBorders>
                    <w:tl2br w:val="nil"/>
                    <w:tr2bl w:val="nil"/>
                  </w:tcBorders>
                  <w:vAlign w:val="center"/>
                </w:tcPr>
                <w:p>
                  <w:pPr>
                    <w:pStyle w:val="52"/>
                  </w:pPr>
                  <w:r>
                    <w:rPr>
                      <w:rFonts w:hint="eastAsia"/>
                    </w:rPr>
                    <w:t>0.024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NH</w:t>
                  </w:r>
                  <w:r>
                    <w:rPr>
                      <w:vertAlign w:val="subscript"/>
                    </w:rPr>
                    <w:t>3</w:t>
                  </w:r>
                  <w:r>
                    <w:t>-N</w:t>
                  </w:r>
                </w:p>
              </w:tc>
              <w:tc>
                <w:tcPr>
                  <w:tcW w:w="1174" w:type="dxa"/>
                  <w:tcBorders>
                    <w:tl2br w:val="nil"/>
                    <w:tr2bl w:val="nil"/>
                  </w:tcBorders>
                  <w:vAlign w:val="center"/>
                </w:tcPr>
                <w:p>
                  <w:pPr>
                    <w:pStyle w:val="52"/>
                  </w:pPr>
                  <w:r>
                    <w:rPr>
                      <w:rFonts w:hint="eastAsia"/>
                    </w:rPr>
                    <w:t>24.6</w:t>
                  </w:r>
                </w:p>
              </w:tc>
              <w:tc>
                <w:tcPr>
                  <w:tcW w:w="1100" w:type="dxa"/>
                  <w:tcBorders>
                    <w:tl2br w:val="nil"/>
                    <w:tr2bl w:val="nil"/>
                  </w:tcBorders>
                  <w:vAlign w:val="center"/>
                </w:tcPr>
                <w:p>
                  <w:pPr>
                    <w:pStyle w:val="52"/>
                  </w:pPr>
                  <w:r>
                    <w:rPr>
                      <w:rFonts w:hint="eastAsia"/>
                    </w:rPr>
                    <w:t>0.059</w:t>
                  </w:r>
                </w:p>
              </w:tc>
              <w:tc>
                <w:tcPr>
                  <w:tcW w:w="1190" w:type="dxa"/>
                  <w:tcBorders>
                    <w:tl2br w:val="nil"/>
                    <w:tr2bl w:val="nil"/>
                  </w:tcBorders>
                  <w:vAlign w:val="center"/>
                </w:tcPr>
                <w:p>
                  <w:pPr>
                    <w:pStyle w:val="52"/>
                  </w:pPr>
                  <w:r>
                    <w:rPr>
                      <w:rFonts w:hint="eastAsia"/>
                    </w:rPr>
                    <w:t>4.92</w:t>
                  </w:r>
                </w:p>
              </w:tc>
              <w:tc>
                <w:tcPr>
                  <w:tcW w:w="1228" w:type="dxa"/>
                  <w:tcBorders>
                    <w:tl2br w:val="nil"/>
                    <w:tr2bl w:val="nil"/>
                  </w:tcBorders>
                  <w:vAlign w:val="center"/>
                </w:tcPr>
                <w:p>
                  <w:pPr>
                    <w:pStyle w:val="52"/>
                  </w:pPr>
                  <w:r>
                    <w:rPr>
                      <w:rFonts w:hint="eastAsia"/>
                    </w:rPr>
                    <w:t>0.012</w:t>
                  </w:r>
                </w:p>
              </w:tc>
              <w:tc>
                <w:tcPr>
                  <w:tcW w:w="1276" w:type="dxa"/>
                  <w:tcBorders>
                    <w:tl2br w:val="nil"/>
                    <w:tr2bl w:val="nil"/>
                  </w:tcBorders>
                  <w:vAlign w:val="center"/>
                </w:tcPr>
                <w:p>
                  <w:pPr>
                    <w:pStyle w:val="52"/>
                  </w:pPr>
                  <w:r>
                    <w:rPr>
                      <w:rFonts w:hint="eastAsia"/>
                    </w:rPr>
                    <w:t>5</w:t>
                  </w:r>
                </w:p>
              </w:tc>
              <w:tc>
                <w:tcPr>
                  <w:tcW w:w="1274" w:type="dxa"/>
                  <w:tcBorders>
                    <w:tl2br w:val="nil"/>
                    <w:tr2bl w:val="nil"/>
                  </w:tcBorders>
                  <w:vAlign w:val="center"/>
                </w:tcPr>
                <w:p>
                  <w:pPr>
                    <w:pStyle w:val="52"/>
                  </w:pPr>
                  <w:r>
                    <w:rPr>
                      <w:rFonts w:hint="eastAsia"/>
                    </w:rPr>
                    <w:t>0.012</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总氮</w:t>
                  </w:r>
                </w:p>
              </w:tc>
              <w:tc>
                <w:tcPr>
                  <w:tcW w:w="1174" w:type="dxa"/>
                  <w:tcBorders>
                    <w:tl2br w:val="nil"/>
                    <w:tr2bl w:val="nil"/>
                  </w:tcBorders>
                  <w:vAlign w:val="center"/>
                </w:tcPr>
                <w:p>
                  <w:pPr>
                    <w:pStyle w:val="52"/>
                  </w:pPr>
                  <w:r>
                    <w:rPr>
                      <w:rFonts w:hint="eastAsia"/>
                    </w:rPr>
                    <w:t>77.9</w:t>
                  </w:r>
                </w:p>
              </w:tc>
              <w:tc>
                <w:tcPr>
                  <w:tcW w:w="1100" w:type="dxa"/>
                  <w:tcBorders>
                    <w:tl2br w:val="nil"/>
                    <w:tr2bl w:val="nil"/>
                  </w:tcBorders>
                  <w:vAlign w:val="center"/>
                </w:tcPr>
                <w:p>
                  <w:pPr>
                    <w:pStyle w:val="52"/>
                  </w:pPr>
                  <w:r>
                    <w:rPr>
                      <w:rFonts w:hint="eastAsia"/>
                    </w:rPr>
                    <w:t>0.185</w:t>
                  </w:r>
                </w:p>
              </w:tc>
              <w:tc>
                <w:tcPr>
                  <w:tcW w:w="1190" w:type="dxa"/>
                  <w:tcBorders>
                    <w:tl2br w:val="nil"/>
                    <w:tr2bl w:val="nil"/>
                  </w:tcBorders>
                  <w:vAlign w:val="center"/>
                </w:tcPr>
                <w:p>
                  <w:pPr>
                    <w:pStyle w:val="52"/>
                  </w:pPr>
                  <w:r>
                    <w:rPr>
                      <w:rFonts w:hint="eastAsia"/>
                    </w:rPr>
                    <w:t>23.37</w:t>
                  </w:r>
                </w:p>
              </w:tc>
              <w:tc>
                <w:tcPr>
                  <w:tcW w:w="1228" w:type="dxa"/>
                  <w:tcBorders>
                    <w:tl2br w:val="nil"/>
                    <w:tr2bl w:val="nil"/>
                  </w:tcBorders>
                  <w:vAlign w:val="center"/>
                </w:tcPr>
                <w:p>
                  <w:pPr>
                    <w:pStyle w:val="52"/>
                  </w:pPr>
                  <w:r>
                    <w:rPr>
                      <w:rFonts w:hint="eastAsia"/>
                    </w:rPr>
                    <w:t>0.056</w:t>
                  </w:r>
                </w:p>
              </w:tc>
              <w:tc>
                <w:tcPr>
                  <w:tcW w:w="1276" w:type="dxa"/>
                  <w:tcBorders>
                    <w:tl2br w:val="nil"/>
                    <w:tr2bl w:val="nil"/>
                  </w:tcBorders>
                  <w:vAlign w:val="center"/>
                </w:tcPr>
                <w:p>
                  <w:pPr>
                    <w:pStyle w:val="52"/>
                  </w:pPr>
                  <w:r>
                    <w:rPr>
                      <w:rFonts w:hint="eastAsia"/>
                    </w:rPr>
                    <w:t>15</w:t>
                  </w:r>
                </w:p>
              </w:tc>
              <w:tc>
                <w:tcPr>
                  <w:tcW w:w="1274" w:type="dxa"/>
                  <w:tcBorders>
                    <w:tl2br w:val="nil"/>
                    <w:tr2bl w:val="nil"/>
                  </w:tcBorders>
                  <w:vAlign w:val="center"/>
                </w:tcPr>
                <w:p>
                  <w:pPr>
                    <w:pStyle w:val="52"/>
                  </w:pPr>
                  <w:r>
                    <w:rPr>
                      <w:rFonts w:hint="eastAsia"/>
                    </w:rPr>
                    <w:t>0.036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616" w:type="dxa"/>
                  <w:vMerge w:val="continue"/>
                  <w:tcBorders>
                    <w:tl2br w:val="nil"/>
                    <w:tr2bl w:val="nil"/>
                  </w:tcBorders>
                  <w:vAlign w:val="center"/>
                </w:tcPr>
                <w:p>
                  <w:pPr>
                    <w:spacing w:line="240" w:lineRule="auto"/>
                    <w:ind w:firstLine="0" w:firstLineChars="0"/>
                    <w:jc w:val="center"/>
                    <w:rPr>
                      <w:rFonts w:cs="宋体"/>
                      <w:sz w:val="21"/>
                      <w:szCs w:val="21"/>
                    </w:rPr>
                  </w:pPr>
                </w:p>
              </w:tc>
              <w:tc>
                <w:tcPr>
                  <w:tcW w:w="947" w:type="dxa"/>
                  <w:tcBorders>
                    <w:tl2br w:val="nil"/>
                    <w:tr2bl w:val="nil"/>
                  </w:tcBorders>
                  <w:vAlign w:val="center"/>
                </w:tcPr>
                <w:p>
                  <w:pPr>
                    <w:pStyle w:val="52"/>
                  </w:pPr>
                  <w:r>
                    <w:t>总磷</w:t>
                  </w:r>
                </w:p>
              </w:tc>
              <w:tc>
                <w:tcPr>
                  <w:tcW w:w="1174" w:type="dxa"/>
                  <w:tcBorders>
                    <w:tl2br w:val="nil"/>
                    <w:tr2bl w:val="nil"/>
                  </w:tcBorders>
                  <w:vAlign w:val="center"/>
                </w:tcPr>
                <w:p>
                  <w:pPr>
                    <w:pStyle w:val="52"/>
                  </w:pPr>
                  <w:r>
                    <w:rPr>
                      <w:rFonts w:hint="eastAsia"/>
                    </w:rPr>
                    <w:t>145.6</w:t>
                  </w:r>
                </w:p>
              </w:tc>
              <w:tc>
                <w:tcPr>
                  <w:tcW w:w="1100" w:type="dxa"/>
                  <w:tcBorders>
                    <w:tl2br w:val="nil"/>
                    <w:tr2bl w:val="nil"/>
                  </w:tcBorders>
                  <w:vAlign w:val="center"/>
                </w:tcPr>
                <w:p>
                  <w:pPr>
                    <w:pStyle w:val="52"/>
                  </w:pPr>
                  <w:r>
                    <w:rPr>
                      <w:rFonts w:hint="eastAsia"/>
                    </w:rPr>
                    <w:t>0.347</w:t>
                  </w:r>
                </w:p>
              </w:tc>
              <w:tc>
                <w:tcPr>
                  <w:tcW w:w="1190" w:type="dxa"/>
                  <w:tcBorders>
                    <w:tl2br w:val="nil"/>
                    <w:tr2bl w:val="nil"/>
                  </w:tcBorders>
                  <w:vAlign w:val="center"/>
                </w:tcPr>
                <w:p>
                  <w:pPr>
                    <w:pStyle w:val="52"/>
                  </w:pPr>
                  <w:r>
                    <w:rPr>
                      <w:rFonts w:hint="eastAsia"/>
                    </w:rPr>
                    <w:t>7.28</w:t>
                  </w:r>
                </w:p>
              </w:tc>
              <w:tc>
                <w:tcPr>
                  <w:tcW w:w="1228" w:type="dxa"/>
                  <w:tcBorders>
                    <w:tl2br w:val="nil"/>
                    <w:tr2bl w:val="nil"/>
                  </w:tcBorders>
                  <w:vAlign w:val="center"/>
                </w:tcPr>
                <w:p>
                  <w:pPr>
                    <w:pStyle w:val="52"/>
                  </w:pPr>
                  <w:r>
                    <w:rPr>
                      <w:rFonts w:hint="eastAsia"/>
                    </w:rPr>
                    <w:t>0.017</w:t>
                  </w:r>
                </w:p>
              </w:tc>
              <w:tc>
                <w:tcPr>
                  <w:tcW w:w="1276" w:type="dxa"/>
                  <w:tcBorders>
                    <w:tl2br w:val="nil"/>
                    <w:tr2bl w:val="nil"/>
                  </w:tcBorders>
                  <w:vAlign w:val="center"/>
                </w:tcPr>
                <w:p>
                  <w:pPr>
                    <w:pStyle w:val="52"/>
                  </w:pPr>
                  <w:r>
                    <w:rPr>
                      <w:rFonts w:hint="eastAsia"/>
                    </w:rPr>
                    <w:t>0.5</w:t>
                  </w:r>
                </w:p>
              </w:tc>
              <w:tc>
                <w:tcPr>
                  <w:tcW w:w="1274" w:type="dxa"/>
                  <w:tcBorders>
                    <w:tl2br w:val="nil"/>
                    <w:tr2bl w:val="nil"/>
                  </w:tcBorders>
                  <w:vAlign w:val="center"/>
                </w:tcPr>
                <w:p>
                  <w:pPr>
                    <w:pStyle w:val="52"/>
                  </w:pPr>
                  <w:r>
                    <w:rPr>
                      <w:rFonts w:hint="eastAsia"/>
                    </w:rPr>
                    <w:t>0.001</w:t>
                  </w:r>
                </w:p>
              </w:tc>
            </w:tr>
          </w:tbl>
          <w:p>
            <w:pPr>
              <w:pStyle w:val="103"/>
              <w:spacing w:before="120"/>
              <w:rPr>
                <w:rFonts w:eastAsia="宋体"/>
                <w:color w:val="auto"/>
              </w:rPr>
            </w:pPr>
            <w:r>
              <w:rPr>
                <w:rFonts w:eastAsia="宋体"/>
                <w:color w:val="auto"/>
              </w:rPr>
              <w:t>表4</w:t>
            </w:r>
            <w:r>
              <w:rPr>
                <w:rFonts w:hint="eastAsia" w:eastAsia="宋体"/>
                <w:color w:val="auto"/>
              </w:rPr>
              <w:t>.3</w:t>
            </w:r>
            <w:r>
              <w:rPr>
                <w:rFonts w:eastAsia="宋体"/>
                <w:color w:val="auto"/>
              </w:rPr>
              <w:t>-</w:t>
            </w:r>
            <w:r>
              <w:rPr>
                <w:rFonts w:hint="eastAsia" w:eastAsia="宋体"/>
                <w:color w:val="auto"/>
              </w:rPr>
              <w:t>4</w:t>
            </w:r>
            <w:r>
              <w:rPr>
                <w:rFonts w:eastAsia="宋体"/>
                <w:color w:val="auto"/>
              </w:rPr>
              <w:t xml:space="preserve">  项目废水治理设施基本情况一览表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97"/>
              <w:gridCol w:w="926"/>
              <w:gridCol w:w="725"/>
              <w:gridCol w:w="1061"/>
              <w:gridCol w:w="1259"/>
              <w:gridCol w:w="753"/>
              <w:gridCol w:w="1100"/>
              <w:gridCol w:w="993"/>
              <w:gridCol w:w="7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restart"/>
                  <w:noWrap/>
                  <w:vAlign w:val="center"/>
                </w:tcPr>
                <w:p>
                  <w:pPr>
                    <w:widowControl/>
                    <w:spacing w:line="240" w:lineRule="auto"/>
                    <w:ind w:firstLine="0" w:firstLineChars="0"/>
                    <w:jc w:val="center"/>
                    <w:rPr>
                      <w:kern w:val="0"/>
                      <w:sz w:val="21"/>
                      <w:szCs w:val="21"/>
                    </w:rPr>
                  </w:pPr>
                  <w:r>
                    <w:rPr>
                      <w:kern w:val="0"/>
                      <w:sz w:val="21"/>
                      <w:szCs w:val="21"/>
                    </w:rPr>
                    <w:t>产排污环节</w:t>
                  </w:r>
                </w:p>
              </w:tc>
              <w:tc>
                <w:tcPr>
                  <w:tcW w:w="497" w:type="dxa"/>
                  <w:vMerge w:val="restart"/>
                  <w:noWrap/>
                  <w:vAlign w:val="center"/>
                </w:tcPr>
                <w:p>
                  <w:pPr>
                    <w:widowControl/>
                    <w:spacing w:line="240" w:lineRule="auto"/>
                    <w:ind w:firstLine="0" w:firstLineChars="0"/>
                    <w:jc w:val="center"/>
                    <w:rPr>
                      <w:kern w:val="0"/>
                      <w:sz w:val="21"/>
                      <w:szCs w:val="21"/>
                    </w:rPr>
                  </w:pPr>
                  <w:r>
                    <w:rPr>
                      <w:kern w:val="0"/>
                      <w:sz w:val="21"/>
                      <w:szCs w:val="21"/>
                    </w:rPr>
                    <w:t>类别</w:t>
                  </w:r>
                </w:p>
              </w:tc>
              <w:tc>
                <w:tcPr>
                  <w:tcW w:w="926" w:type="dxa"/>
                  <w:vMerge w:val="restart"/>
                  <w:noWrap/>
                  <w:vAlign w:val="center"/>
                </w:tcPr>
                <w:p>
                  <w:pPr>
                    <w:widowControl/>
                    <w:spacing w:line="240" w:lineRule="auto"/>
                    <w:ind w:firstLine="0" w:firstLineChars="0"/>
                    <w:jc w:val="center"/>
                    <w:rPr>
                      <w:kern w:val="0"/>
                      <w:sz w:val="21"/>
                      <w:szCs w:val="21"/>
                    </w:rPr>
                  </w:pPr>
                  <w:r>
                    <w:rPr>
                      <w:kern w:val="0"/>
                      <w:sz w:val="21"/>
                      <w:szCs w:val="21"/>
                    </w:rPr>
                    <w:t>污染物种类</w:t>
                  </w:r>
                </w:p>
              </w:tc>
              <w:tc>
                <w:tcPr>
                  <w:tcW w:w="725" w:type="dxa"/>
                  <w:vMerge w:val="restart"/>
                  <w:noWrap/>
                  <w:vAlign w:val="center"/>
                </w:tcPr>
                <w:p>
                  <w:pPr>
                    <w:widowControl/>
                    <w:spacing w:line="240" w:lineRule="auto"/>
                    <w:ind w:firstLine="0" w:firstLineChars="0"/>
                    <w:jc w:val="center"/>
                    <w:rPr>
                      <w:kern w:val="0"/>
                      <w:sz w:val="21"/>
                      <w:szCs w:val="21"/>
                    </w:rPr>
                  </w:pPr>
                  <w:r>
                    <w:rPr>
                      <w:kern w:val="0"/>
                      <w:sz w:val="21"/>
                      <w:szCs w:val="21"/>
                    </w:rPr>
                    <w:t>排放方式</w:t>
                  </w:r>
                </w:p>
              </w:tc>
              <w:tc>
                <w:tcPr>
                  <w:tcW w:w="1061" w:type="dxa"/>
                  <w:vMerge w:val="restart"/>
                  <w:noWrap/>
                  <w:vAlign w:val="center"/>
                </w:tcPr>
                <w:p>
                  <w:pPr>
                    <w:widowControl/>
                    <w:spacing w:line="240" w:lineRule="auto"/>
                    <w:ind w:firstLine="0" w:firstLineChars="0"/>
                    <w:jc w:val="center"/>
                    <w:rPr>
                      <w:kern w:val="0"/>
                      <w:sz w:val="21"/>
                      <w:szCs w:val="21"/>
                    </w:rPr>
                  </w:pPr>
                  <w:r>
                    <w:rPr>
                      <w:kern w:val="0"/>
                      <w:sz w:val="21"/>
                      <w:szCs w:val="21"/>
                    </w:rPr>
                    <w:t>排放去向</w:t>
                  </w:r>
                </w:p>
              </w:tc>
              <w:tc>
                <w:tcPr>
                  <w:tcW w:w="1259" w:type="dxa"/>
                  <w:vMerge w:val="restart"/>
                  <w:noWrap/>
                  <w:vAlign w:val="center"/>
                </w:tcPr>
                <w:p>
                  <w:pPr>
                    <w:widowControl/>
                    <w:spacing w:line="240" w:lineRule="auto"/>
                    <w:ind w:firstLine="0" w:firstLineChars="0"/>
                    <w:jc w:val="center"/>
                    <w:rPr>
                      <w:kern w:val="0"/>
                      <w:sz w:val="21"/>
                      <w:szCs w:val="21"/>
                    </w:rPr>
                  </w:pPr>
                  <w:r>
                    <w:rPr>
                      <w:kern w:val="0"/>
                      <w:sz w:val="21"/>
                      <w:szCs w:val="21"/>
                    </w:rPr>
                    <w:t>排放规律</w:t>
                  </w:r>
                </w:p>
              </w:tc>
              <w:tc>
                <w:tcPr>
                  <w:tcW w:w="3559" w:type="dxa"/>
                  <w:gridSpan w:val="4"/>
                  <w:noWrap/>
                  <w:vAlign w:val="center"/>
                </w:tcPr>
                <w:p>
                  <w:pPr>
                    <w:widowControl/>
                    <w:spacing w:line="240" w:lineRule="auto"/>
                    <w:ind w:firstLine="0" w:firstLineChars="0"/>
                    <w:jc w:val="center"/>
                    <w:rPr>
                      <w:kern w:val="0"/>
                      <w:sz w:val="21"/>
                      <w:szCs w:val="21"/>
                    </w:rPr>
                  </w:pPr>
                  <w:r>
                    <w:rPr>
                      <w:kern w:val="0"/>
                      <w:sz w:val="21"/>
                      <w:szCs w:val="21"/>
                    </w:rPr>
                    <w:t>治理设施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8" w:type="dxa"/>
                  <w:vMerge w:val="continue"/>
                  <w:vAlign w:val="center"/>
                </w:tcPr>
                <w:p>
                  <w:pPr>
                    <w:widowControl/>
                    <w:spacing w:line="240" w:lineRule="auto"/>
                    <w:ind w:firstLine="0" w:firstLineChars="0"/>
                    <w:jc w:val="center"/>
                    <w:rPr>
                      <w:kern w:val="0"/>
                      <w:sz w:val="21"/>
                      <w:szCs w:val="21"/>
                    </w:rPr>
                  </w:pPr>
                </w:p>
              </w:tc>
              <w:tc>
                <w:tcPr>
                  <w:tcW w:w="497" w:type="dxa"/>
                  <w:vMerge w:val="continue"/>
                  <w:vAlign w:val="center"/>
                </w:tcPr>
                <w:p>
                  <w:pPr>
                    <w:widowControl/>
                    <w:spacing w:line="240" w:lineRule="auto"/>
                    <w:ind w:firstLine="0" w:firstLineChars="0"/>
                    <w:jc w:val="center"/>
                    <w:rPr>
                      <w:kern w:val="0"/>
                      <w:sz w:val="21"/>
                      <w:szCs w:val="21"/>
                    </w:rPr>
                  </w:pPr>
                </w:p>
              </w:tc>
              <w:tc>
                <w:tcPr>
                  <w:tcW w:w="926" w:type="dxa"/>
                  <w:vMerge w:val="continue"/>
                  <w:vAlign w:val="center"/>
                </w:tcPr>
                <w:p>
                  <w:pPr>
                    <w:widowControl/>
                    <w:spacing w:line="240" w:lineRule="auto"/>
                    <w:ind w:firstLine="0" w:firstLineChars="0"/>
                    <w:jc w:val="center"/>
                    <w:rPr>
                      <w:kern w:val="0"/>
                      <w:sz w:val="21"/>
                      <w:szCs w:val="21"/>
                    </w:rPr>
                  </w:pPr>
                </w:p>
              </w:tc>
              <w:tc>
                <w:tcPr>
                  <w:tcW w:w="725" w:type="dxa"/>
                  <w:vMerge w:val="continue"/>
                  <w:vAlign w:val="center"/>
                </w:tcPr>
                <w:p>
                  <w:pPr>
                    <w:widowControl/>
                    <w:spacing w:line="240" w:lineRule="auto"/>
                    <w:ind w:firstLine="0" w:firstLineChars="0"/>
                    <w:jc w:val="center"/>
                    <w:rPr>
                      <w:kern w:val="0"/>
                      <w:sz w:val="21"/>
                      <w:szCs w:val="21"/>
                    </w:rPr>
                  </w:pPr>
                </w:p>
              </w:tc>
              <w:tc>
                <w:tcPr>
                  <w:tcW w:w="1061" w:type="dxa"/>
                  <w:vMerge w:val="continue"/>
                  <w:vAlign w:val="center"/>
                </w:tcPr>
                <w:p>
                  <w:pPr>
                    <w:widowControl/>
                    <w:spacing w:line="240" w:lineRule="auto"/>
                    <w:ind w:firstLine="0" w:firstLineChars="0"/>
                    <w:jc w:val="center"/>
                    <w:rPr>
                      <w:kern w:val="0"/>
                      <w:sz w:val="21"/>
                      <w:szCs w:val="21"/>
                    </w:rPr>
                  </w:pPr>
                </w:p>
              </w:tc>
              <w:tc>
                <w:tcPr>
                  <w:tcW w:w="1259" w:type="dxa"/>
                  <w:vMerge w:val="continue"/>
                  <w:vAlign w:val="center"/>
                </w:tcPr>
                <w:p>
                  <w:pPr>
                    <w:widowControl/>
                    <w:spacing w:line="240" w:lineRule="auto"/>
                    <w:ind w:firstLine="0" w:firstLineChars="0"/>
                    <w:jc w:val="center"/>
                    <w:rPr>
                      <w:kern w:val="0"/>
                      <w:sz w:val="21"/>
                      <w:szCs w:val="21"/>
                    </w:rPr>
                  </w:pPr>
                </w:p>
              </w:tc>
              <w:tc>
                <w:tcPr>
                  <w:tcW w:w="753" w:type="dxa"/>
                  <w:noWrap/>
                  <w:vAlign w:val="center"/>
                </w:tcPr>
                <w:p>
                  <w:pPr>
                    <w:widowControl/>
                    <w:spacing w:line="240" w:lineRule="auto"/>
                    <w:ind w:firstLine="0" w:firstLineChars="0"/>
                    <w:jc w:val="center"/>
                    <w:rPr>
                      <w:kern w:val="0"/>
                      <w:sz w:val="21"/>
                      <w:szCs w:val="21"/>
                    </w:rPr>
                  </w:pPr>
                  <w:r>
                    <w:rPr>
                      <w:kern w:val="0"/>
                      <w:sz w:val="21"/>
                      <w:szCs w:val="21"/>
                    </w:rPr>
                    <w:t>处理能力</w:t>
                  </w:r>
                </w:p>
              </w:tc>
              <w:tc>
                <w:tcPr>
                  <w:tcW w:w="1100" w:type="dxa"/>
                  <w:noWrap/>
                  <w:vAlign w:val="center"/>
                </w:tcPr>
                <w:p>
                  <w:pPr>
                    <w:widowControl/>
                    <w:spacing w:line="240" w:lineRule="auto"/>
                    <w:ind w:firstLine="0" w:firstLineChars="0"/>
                    <w:jc w:val="center"/>
                    <w:rPr>
                      <w:kern w:val="0"/>
                      <w:sz w:val="21"/>
                      <w:szCs w:val="21"/>
                    </w:rPr>
                  </w:pPr>
                  <w:r>
                    <w:rPr>
                      <w:kern w:val="0"/>
                      <w:sz w:val="21"/>
                      <w:szCs w:val="21"/>
                    </w:rPr>
                    <w:t>治理工艺</w:t>
                  </w:r>
                </w:p>
              </w:tc>
              <w:tc>
                <w:tcPr>
                  <w:tcW w:w="993" w:type="dxa"/>
                  <w:noWrap/>
                  <w:vAlign w:val="center"/>
                </w:tcPr>
                <w:p>
                  <w:pPr>
                    <w:widowControl/>
                    <w:spacing w:line="240" w:lineRule="auto"/>
                    <w:ind w:firstLine="0" w:firstLineChars="0"/>
                    <w:jc w:val="center"/>
                    <w:rPr>
                      <w:kern w:val="0"/>
                      <w:sz w:val="21"/>
                      <w:szCs w:val="21"/>
                    </w:rPr>
                  </w:pPr>
                  <w:r>
                    <w:rPr>
                      <w:kern w:val="0"/>
                      <w:sz w:val="21"/>
                      <w:szCs w:val="21"/>
                    </w:rPr>
                    <w:t>治理效率%</w:t>
                  </w:r>
                </w:p>
              </w:tc>
              <w:tc>
                <w:tcPr>
                  <w:tcW w:w="713" w:type="dxa"/>
                  <w:noWrap/>
                  <w:vAlign w:val="center"/>
                </w:tcPr>
                <w:p>
                  <w:pPr>
                    <w:widowControl/>
                    <w:spacing w:line="240" w:lineRule="auto"/>
                    <w:ind w:firstLine="0" w:firstLineChars="0"/>
                    <w:jc w:val="center"/>
                    <w:rPr>
                      <w:kern w:val="0"/>
                      <w:sz w:val="21"/>
                      <w:szCs w:val="21"/>
                    </w:rPr>
                  </w:pPr>
                  <w:r>
                    <w:rPr>
                      <w:kern w:val="0"/>
                      <w:sz w:val="21"/>
                      <w:szCs w:val="21"/>
                    </w:rPr>
                    <w:t>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restart"/>
                  <w:noWrap/>
                  <w:vAlign w:val="center"/>
                </w:tcPr>
                <w:p>
                  <w:pPr>
                    <w:spacing w:line="240" w:lineRule="auto"/>
                    <w:ind w:firstLine="0" w:firstLineChars="0"/>
                    <w:jc w:val="center"/>
                    <w:rPr>
                      <w:kern w:val="0"/>
                      <w:sz w:val="21"/>
                      <w:szCs w:val="21"/>
                    </w:rPr>
                  </w:pPr>
                  <w:r>
                    <w:rPr>
                      <w:kern w:val="0"/>
                      <w:sz w:val="21"/>
                      <w:szCs w:val="21"/>
                    </w:rPr>
                    <w:t>职工生活</w:t>
                  </w:r>
                </w:p>
              </w:tc>
              <w:tc>
                <w:tcPr>
                  <w:tcW w:w="497" w:type="dxa"/>
                  <w:vMerge w:val="restart"/>
                  <w:noWrap/>
                  <w:vAlign w:val="center"/>
                </w:tcPr>
                <w:p>
                  <w:pPr>
                    <w:spacing w:line="240" w:lineRule="auto"/>
                    <w:ind w:firstLine="0" w:firstLineChars="0"/>
                    <w:jc w:val="center"/>
                    <w:rPr>
                      <w:kern w:val="0"/>
                      <w:sz w:val="21"/>
                      <w:szCs w:val="21"/>
                    </w:rPr>
                  </w:pPr>
                  <w:r>
                    <w:rPr>
                      <w:kern w:val="0"/>
                      <w:sz w:val="21"/>
                      <w:szCs w:val="21"/>
                    </w:rPr>
                    <w:t>生活污水</w:t>
                  </w:r>
                </w:p>
              </w:tc>
              <w:tc>
                <w:tcPr>
                  <w:tcW w:w="926" w:type="dxa"/>
                  <w:noWrap/>
                  <w:vAlign w:val="center"/>
                </w:tcPr>
                <w:p>
                  <w:pPr>
                    <w:widowControl/>
                    <w:spacing w:line="240" w:lineRule="auto"/>
                    <w:ind w:firstLine="0" w:firstLineChars="0"/>
                    <w:jc w:val="center"/>
                    <w:rPr>
                      <w:sz w:val="21"/>
                      <w:szCs w:val="21"/>
                    </w:rPr>
                  </w:pPr>
                  <w:r>
                    <w:rPr>
                      <w:sz w:val="21"/>
                      <w:szCs w:val="21"/>
                    </w:rPr>
                    <w:t>p</w:t>
                  </w:r>
                  <w:r>
                    <w:rPr>
                      <w:rFonts w:hint="eastAsia"/>
                      <w:sz w:val="21"/>
                      <w:szCs w:val="21"/>
                    </w:rPr>
                    <w:t>H</w:t>
                  </w:r>
                </w:p>
              </w:tc>
              <w:tc>
                <w:tcPr>
                  <w:tcW w:w="725" w:type="dxa"/>
                  <w:vMerge w:val="restart"/>
                  <w:noWrap/>
                  <w:vAlign w:val="center"/>
                </w:tcPr>
                <w:p>
                  <w:pPr>
                    <w:spacing w:line="240" w:lineRule="auto"/>
                    <w:ind w:firstLine="0" w:firstLineChars="0"/>
                    <w:jc w:val="center"/>
                    <w:rPr>
                      <w:kern w:val="0"/>
                      <w:sz w:val="21"/>
                      <w:szCs w:val="21"/>
                    </w:rPr>
                  </w:pPr>
                  <w:r>
                    <w:rPr>
                      <w:kern w:val="0"/>
                      <w:sz w:val="21"/>
                      <w:szCs w:val="21"/>
                    </w:rPr>
                    <w:t>间接排放</w:t>
                  </w:r>
                </w:p>
              </w:tc>
              <w:tc>
                <w:tcPr>
                  <w:tcW w:w="1061" w:type="dxa"/>
                  <w:vMerge w:val="restart"/>
                  <w:noWrap/>
                  <w:vAlign w:val="center"/>
                </w:tcPr>
                <w:p>
                  <w:pPr>
                    <w:spacing w:line="240" w:lineRule="auto"/>
                    <w:ind w:firstLine="0" w:firstLineChars="0"/>
                    <w:jc w:val="center"/>
                    <w:rPr>
                      <w:kern w:val="0"/>
                      <w:sz w:val="21"/>
                      <w:szCs w:val="21"/>
                    </w:rPr>
                  </w:pPr>
                  <w:r>
                    <w:rPr>
                      <w:rFonts w:hint="eastAsia"/>
                      <w:kern w:val="0"/>
                      <w:sz w:val="21"/>
                      <w:szCs w:val="21"/>
                    </w:rPr>
                    <w:t>接入市政污水网管，纳入元洪投资区污水处理厂集中处理</w:t>
                  </w:r>
                </w:p>
              </w:tc>
              <w:tc>
                <w:tcPr>
                  <w:tcW w:w="1259" w:type="dxa"/>
                  <w:vMerge w:val="restart"/>
                  <w:noWrap/>
                  <w:vAlign w:val="center"/>
                </w:tcPr>
                <w:p>
                  <w:pPr>
                    <w:spacing w:line="240" w:lineRule="auto"/>
                    <w:ind w:firstLine="0" w:firstLineChars="0"/>
                    <w:jc w:val="center"/>
                    <w:rPr>
                      <w:kern w:val="0"/>
                      <w:sz w:val="21"/>
                      <w:szCs w:val="21"/>
                    </w:rPr>
                  </w:pPr>
                  <w:r>
                    <w:rPr>
                      <w:kern w:val="0"/>
                      <w:sz w:val="21"/>
                      <w:szCs w:val="21"/>
                    </w:rPr>
                    <w:t>连续排放，流量不稳定，但有规律，且不属于周期性规律</w:t>
                  </w:r>
                </w:p>
              </w:tc>
              <w:tc>
                <w:tcPr>
                  <w:tcW w:w="753" w:type="dxa"/>
                  <w:vMerge w:val="restart"/>
                  <w:noWrap/>
                  <w:vAlign w:val="center"/>
                </w:tcPr>
                <w:p>
                  <w:pPr>
                    <w:spacing w:line="240" w:lineRule="auto"/>
                    <w:ind w:firstLine="0" w:firstLineChars="0"/>
                    <w:jc w:val="center"/>
                    <w:rPr>
                      <w:kern w:val="0"/>
                      <w:sz w:val="21"/>
                      <w:szCs w:val="21"/>
                      <w:vertAlign w:val="superscript"/>
                    </w:rPr>
                  </w:pPr>
                  <w:r>
                    <w:rPr>
                      <w:rFonts w:hint="eastAsia"/>
                      <w:kern w:val="0"/>
                      <w:sz w:val="21"/>
                      <w:szCs w:val="21"/>
                    </w:rPr>
                    <w:t>100t/d</w:t>
                  </w:r>
                </w:p>
              </w:tc>
              <w:tc>
                <w:tcPr>
                  <w:tcW w:w="1100" w:type="dxa"/>
                  <w:vMerge w:val="restart"/>
                  <w:noWrap/>
                  <w:vAlign w:val="center"/>
                </w:tcPr>
                <w:p>
                  <w:pPr>
                    <w:spacing w:line="240" w:lineRule="auto"/>
                    <w:ind w:firstLine="0" w:firstLineChars="0"/>
                    <w:jc w:val="center"/>
                    <w:rPr>
                      <w:kern w:val="0"/>
                      <w:sz w:val="21"/>
                      <w:szCs w:val="21"/>
                    </w:rPr>
                  </w:pPr>
                  <w:r>
                    <w:rPr>
                      <w:kern w:val="0"/>
                      <w:sz w:val="21"/>
                      <w:szCs w:val="21"/>
                    </w:rPr>
                    <w:t>化粪池</w:t>
                  </w: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w:t>
                  </w:r>
                </w:p>
              </w:tc>
              <w:tc>
                <w:tcPr>
                  <w:tcW w:w="713" w:type="dxa"/>
                  <w:vMerge w:val="restart"/>
                  <w:noWrap/>
                  <w:vAlign w:val="center"/>
                </w:tcPr>
                <w:p>
                  <w:pPr>
                    <w:spacing w:line="240" w:lineRule="auto"/>
                    <w:ind w:firstLine="0" w:firstLineChars="0"/>
                    <w:jc w:val="center"/>
                    <w:rPr>
                      <w:kern w:val="0"/>
                      <w:sz w:val="21"/>
                      <w:szCs w:val="21"/>
                    </w:rPr>
                  </w:pPr>
                  <w:r>
                    <w:rPr>
                      <w:kern w:val="0"/>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kern w:val="0"/>
                      <w:sz w:val="21"/>
                      <w:szCs w:val="21"/>
                    </w:rPr>
                  </w:pPr>
                  <w:r>
                    <w:rPr>
                      <w:sz w:val="21"/>
                      <w:szCs w:val="21"/>
                    </w:rPr>
                    <w:t>COD</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15</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kern w:val="0"/>
                      <w:sz w:val="21"/>
                      <w:szCs w:val="21"/>
                    </w:rPr>
                  </w:pPr>
                  <w:r>
                    <w:rPr>
                      <w:sz w:val="21"/>
                      <w:szCs w:val="21"/>
                    </w:rPr>
                    <w:t>BOD</w:t>
                  </w:r>
                  <w:r>
                    <w:rPr>
                      <w:sz w:val="21"/>
                      <w:szCs w:val="21"/>
                      <w:vertAlign w:val="subscript"/>
                    </w:rPr>
                    <w:t>5</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9</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SS</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30</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3</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总氮</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5</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总磷</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10</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restart"/>
                  <w:noWrap/>
                  <w:vAlign w:val="center"/>
                </w:tcPr>
                <w:p>
                  <w:pPr>
                    <w:spacing w:line="240" w:lineRule="auto"/>
                    <w:ind w:firstLine="0" w:firstLineChars="0"/>
                    <w:jc w:val="center"/>
                    <w:rPr>
                      <w:kern w:val="0"/>
                      <w:sz w:val="21"/>
                      <w:szCs w:val="21"/>
                    </w:rPr>
                  </w:pPr>
                  <w:r>
                    <w:rPr>
                      <w:rFonts w:hint="eastAsia"/>
                      <w:kern w:val="0"/>
                      <w:sz w:val="21"/>
                      <w:szCs w:val="21"/>
                    </w:rPr>
                    <w:t>生产</w:t>
                  </w:r>
                </w:p>
              </w:tc>
              <w:tc>
                <w:tcPr>
                  <w:tcW w:w="497" w:type="dxa"/>
                  <w:vMerge w:val="restart"/>
                  <w:noWrap/>
                  <w:vAlign w:val="center"/>
                </w:tcPr>
                <w:p>
                  <w:pPr>
                    <w:spacing w:line="240" w:lineRule="auto"/>
                    <w:ind w:firstLine="0" w:firstLineChars="0"/>
                    <w:jc w:val="center"/>
                    <w:rPr>
                      <w:kern w:val="0"/>
                      <w:sz w:val="21"/>
                      <w:szCs w:val="21"/>
                    </w:rPr>
                  </w:pPr>
                  <w:r>
                    <w:rPr>
                      <w:rFonts w:hint="eastAsia"/>
                      <w:kern w:val="0"/>
                      <w:sz w:val="21"/>
                      <w:szCs w:val="21"/>
                    </w:rPr>
                    <w:t>生产废水</w:t>
                  </w:r>
                </w:p>
              </w:tc>
              <w:tc>
                <w:tcPr>
                  <w:tcW w:w="926" w:type="dxa"/>
                  <w:noWrap/>
                  <w:vAlign w:val="center"/>
                </w:tcPr>
                <w:p>
                  <w:pPr>
                    <w:widowControl/>
                    <w:spacing w:line="240" w:lineRule="auto"/>
                    <w:ind w:firstLine="0" w:firstLineChars="0"/>
                    <w:jc w:val="center"/>
                    <w:rPr>
                      <w:sz w:val="21"/>
                      <w:szCs w:val="21"/>
                    </w:rPr>
                  </w:pPr>
                  <w:r>
                    <w:rPr>
                      <w:sz w:val="21"/>
                      <w:szCs w:val="21"/>
                    </w:rPr>
                    <w:t>p</w:t>
                  </w:r>
                  <w:r>
                    <w:rPr>
                      <w:rFonts w:hint="eastAsia"/>
                      <w:sz w:val="21"/>
                      <w:szCs w:val="21"/>
                    </w:rPr>
                    <w:t>H</w:t>
                  </w:r>
                </w:p>
              </w:tc>
              <w:tc>
                <w:tcPr>
                  <w:tcW w:w="725" w:type="dxa"/>
                  <w:vMerge w:val="restart"/>
                  <w:noWrap/>
                  <w:vAlign w:val="center"/>
                </w:tcPr>
                <w:p>
                  <w:pPr>
                    <w:spacing w:line="240" w:lineRule="auto"/>
                    <w:ind w:firstLine="0" w:firstLineChars="0"/>
                    <w:jc w:val="center"/>
                    <w:rPr>
                      <w:kern w:val="0"/>
                      <w:sz w:val="21"/>
                      <w:szCs w:val="21"/>
                    </w:rPr>
                  </w:pPr>
                  <w:r>
                    <w:rPr>
                      <w:kern w:val="0"/>
                      <w:sz w:val="21"/>
                      <w:szCs w:val="21"/>
                    </w:rPr>
                    <w:t>间接排放</w:t>
                  </w:r>
                </w:p>
              </w:tc>
              <w:tc>
                <w:tcPr>
                  <w:tcW w:w="1061" w:type="dxa"/>
                  <w:vMerge w:val="restart"/>
                  <w:noWrap/>
                  <w:vAlign w:val="center"/>
                </w:tcPr>
                <w:p>
                  <w:pPr>
                    <w:spacing w:line="240" w:lineRule="auto"/>
                    <w:ind w:firstLine="0" w:firstLineChars="0"/>
                    <w:jc w:val="center"/>
                    <w:rPr>
                      <w:kern w:val="0"/>
                      <w:sz w:val="21"/>
                      <w:szCs w:val="21"/>
                    </w:rPr>
                  </w:pPr>
                  <w:r>
                    <w:rPr>
                      <w:rFonts w:hint="eastAsia"/>
                      <w:kern w:val="0"/>
                      <w:sz w:val="21"/>
                      <w:szCs w:val="21"/>
                    </w:rPr>
                    <w:t>接入市政污水管网，纳入元洪投资区污水处理厂集中处理</w:t>
                  </w:r>
                </w:p>
              </w:tc>
              <w:tc>
                <w:tcPr>
                  <w:tcW w:w="1259" w:type="dxa"/>
                  <w:vMerge w:val="restart"/>
                  <w:noWrap/>
                  <w:vAlign w:val="center"/>
                </w:tcPr>
                <w:p>
                  <w:pPr>
                    <w:spacing w:line="240" w:lineRule="auto"/>
                    <w:ind w:firstLine="0" w:firstLineChars="0"/>
                    <w:jc w:val="center"/>
                    <w:rPr>
                      <w:kern w:val="0"/>
                      <w:sz w:val="21"/>
                      <w:szCs w:val="21"/>
                    </w:rPr>
                  </w:pPr>
                  <w:r>
                    <w:rPr>
                      <w:kern w:val="0"/>
                      <w:sz w:val="21"/>
                      <w:szCs w:val="21"/>
                    </w:rPr>
                    <w:t>连续排放，流量稳定</w:t>
                  </w:r>
                </w:p>
              </w:tc>
              <w:tc>
                <w:tcPr>
                  <w:tcW w:w="753" w:type="dxa"/>
                  <w:vMerge w:val="restart"/>
                  <w:noWrap/>
                  <w:vAlign w:val="center"/>
                </w:tcPr>
                <w:p>
                  <w:pPr>
                    <w:spacing w:line="240" w:lineRule="auto"/>
                    <w:ind w:firstLine="0" w:firstLineChars="0"/>
                    <w:jc w:val="center"/>
                    <w:rPr>
                      <w:kern w:val="0"/>
                      <w:sz w:val="21"/>
                      <w:szCs w:val="21"/>
                    </w:rPr>
                  </w:pPr>
                  <w:r>
                    <w:rPr>
                      <w:rFonts w:hint="eastAsia"/>
                      <w:kern w:val="0"/>
                      <w:sz w:val="21"/>
                      <w:szCs w:val="21"/>
                    </w:rPr>
                    <w:t>22t/d</w:t>
                  </w:r>
                </w:p>
              </w:tc>
              <w:tc>
                <w:tcPr>
                  <w:tcW w:w="1100" w:type="dxa"/>
                  <w:vMerge w:val="restart"/>
                  <w:noWrap/>
                  <w:vAlign w:val="center"/>
                </w:tcPr>
                <w:p>
                  <w:pPr>
                    <w:spacing w:line="240" w:lineRule="auto"/>
                    <w:ind w:firstLine="0" w:firstLineChars="0"/>
                    <w:jc w:val="center"/>
                    <w:rPr>
                      <w:kern w:val="0"/>
                      <w:sz w:val="21"/>
                      <w:szCs w:val="21"/>
                    </w:rPr>
                  </w:pPr>
                  <w:r>
                    <w:rPr>
                      <w:rFonts w:hint="eastAsia"/>
                      <w:sz w:val="21"/>
                      <w:szCs w:val="21"/>
                    </w:rPr>
                    <w:t>格栅+调节池+混凝反应器+中间池+厌氧池+缺氧池+好氧化池+沉淀池+清水池</w:t>
                  </w: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w:t>
                  </w:r>
                </w:p>
              </w:tc>
              <w:tc>
                <w:tcPr>
                  <w:tcW w:w="713" w:type="dxa"/>
                  <w:vMerge w:val="restart"/>
                  <w:noWrap/>
                  <w:vAlign w:val="center"/>
                </w:tcPr>
                <w:p>
                  <w:pPr>
                    <w:spacing w:line="240" w:lineRule="auto"/>
                    <w:ind w:firstLine="0" w:firstLineChars="0"/>
                    <w:jc w:val="center"/>
                    <w:rPr>
                      <w:kern w:val="0"/>
                      <w:sz w:val="21"/>
                      <w:szCs w:val="21"/>
                    </w:rPr>
                  </w:pPr>
                  <w:r>
                    <w:rPr>
                      <w:kern w:val="0"/>
                      <w:sz w:val="21"/>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COD</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95.2</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BOD</w:t>
                  </w:r>
                  <w:r>
                    <w:rPr>
                      <w:sz w:val="21"/>
                      <w:szCs w:val="21"/>
                      <w:vertAlign w:val="subscript"/>
                    </w:rPr>
                    <w:t>5</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85</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SS</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70</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80</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总氮</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70</w:t>
                  </w:r>
                </w:p>
              </w:tc>
              <w:tc>
                <w:tcPr>
                  <w:tcW w:w="713" w:type="dxa"/>
                  <w:vMerge w:val="continue"/>
                  <w:noWrap/>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8" w:type="dxa"/>
                  <w:vMerge w:val="continue"/>
                  <w:noWrap/>
                  <w:vAlign w:val="center"/>
                </w:tcPr>
                <w:p>
                  <w:pPr>
                    <w:widowControl/>
                    <w:spacing w:line="240" w:lineRule="auto"/>
                    <w:ind w:firstLine="0" w:firstLineChars="0"/>
                    <w:jc w:val="center"/>
                    <w:rPr>
                      <w:kern w:val="0"/>
                      <w:sz w:val="21"/>
                      <w:szCs w:val="21"/>
                    </w:rPr>
                  </w:pPr>
                </w:p>
              </w:tc>
              <w:tc>
                <w:tcPr>
                  <w:tcW w:w="497" w:type="dxa"/>
                  <w:vMerge w:val="continue"/>
                  <w:noWrap/>
                  <w:vAlign w:val="center"/>
                </w:tcPr>
                <w:p>
                  <w:pPr>
                    <w:widowControl/>
                    <w:spacing w:line="240" w:lineRule="auto"/>
                    <w:ind w:firstLine="0" w:firstLineChars="0"/>
                    <w:jc w:val="center"/>
                    <w:rPr>
                      <w:kern w:val="0"/>
                      <w:sz w:val="21"/>
                      <w:szCs w:val="21"/>
                    </w:rPr>
                  </w:pPr>
                </w:p>
              </w:tc>
              <w:tc>
                <w:tcPr>
                  <w:tcW w:w="926" w:type="dxa"/>
                  <w:noWrap/>
                  <w:vAlign w:val="center"/>
                </w:tcPr>
                <w:p>
                  <w:pPr>
                    <w:widowControl/>
                    <w:spacing w:line="240" w:lineRule="auto"/>
                    <w:ind w:firstLine="0" w:firstLineChars="0"/>
                    <w:jc w:val="center"/>
                    <w:rPr>
                      <w:sz w:val="21"/>
                      <w:szCs w:val="21"/>
                    </w:rPr>
                  </w:pPr>
                  <w:r>
                    <w:rPr>
                      <w:sz w:val="21"/>
                      <w:szCs w:val="21"/>
                    </w:rPr>
                    <w:t>总磷</w:t>
                  </w:r>
                </w:p>
              </w:tc>
              <w:tc>
                <w:tcPr>
                  <w:tcW w:w="725" w:type="dxa"/>
                  <w:vMerge w:val="continue"/>
                  <w:noWrap/>
                  <w:vAlign w:val="center"/>
                </w:tcPr>
                <w:p>
                  <w:pPr>
                    <w:widowControl/>
                    <w:spacing w:line="240" w:lineRule="auto"/>
                    <w:ind w:firstLine="0" w:firstLineChars="0"/>
                    <w:jc w:val="center"/>
                    <w:rPr>
                      <w:kern w:val="0"/>
                      <w:sz w:val="21"/>
                      <w:szCs w:val="21"/>
                    </w:rPr>
                  </w:pPr>
                </w:p>
              </w:tc>
              <w:tc>
                <w:tcPr>
                  <w:tcW w:w="1061" w:type="dxa"/>
                  <w:vMerge w:val="continue"/>
                  <w:noWrap/>
                  <w:vAlign w:val="center"/>
                </w:tcPr>
                <w:p>
                  <w:pPr>
                    <w:widowControl/>
                    <w:spacing w:line="240" w:lineRule="auto"/>
                    <w:ind w:firstLine="0" w:firstLineChars="0"/>
                    <w:jc w:val="center"/>
                    <w:rPr>
                      <w:kern w:val="0"/>
                      <w:sz w:val="21"/>
                      <w:szCs w:val="21"/>
                    </w:rPr>
                  </w:pPr>
                </w:p>
              </w:tc>
              <w:tc>
                <w:tcPr>
                  <w:tcW w:w="1259" w:type="dxa"/>
                  <w:vMerge w:val="continue"/>
                  <w:noWrap/>
                  <w:vAlign w:val="center"/>
                </w:tcPr>
                <w:p>
                  <w:pPr>
                    <w:widowControl/>
                    <w:spacing w:line="240" w:lineRule="auto"/>
                    <w:ind w:firstLine="0" w:firstLineChars="0"/>
                    <w:jc w:val="center"/>
                    <w:rPr>
                      <w:kern w:val="0"/>
                      <w:sz w:val="21"/>
                      <w:szCs w:val="21"/>
                    </w:rPr>
                  </w:pPr>
                </w:p>
              </w:tc>
              <w:tc>
                <w:tcPr>
                  <w:tcW w:w="753" w:type="dxa"/>
                  <w:vMerge w:val="continue"/>
                  <w:noWrap/>
                  <w:vAlign w:val="center"/>
                </w:tcPr>
                <w:p>
                  <w:pPr>
                    <w:widowControl/>
                    <w:spacing w:line="240" w:lineRule="auto"/>
                    <w:ind w:firstLine="0" w:firstLineChars="0"/>
                    <w:jc w:val="center"/>
                    <w:rPr>
                      <w:kern w:val="0"/>
                      <w:sz w:val="21"/>
                      <w:szCs w:val="21"/>
                    </w:rPr>
                  </w:pPr>
                </w:p>
              </w:tc>
              <w:tc>
                <w:tcPr>
                  <w:tcW w:w="1100" w:type="dxa"/>
                  <w:vMerge w:val="continue"/>
                  <w:noWrap/>
                  <w:vAlign w:val="center"/>
                </w:tcPr>
                <w:p>
                  <w:pPr>
                    <w:widowControl/>
                    <w:spacing w:line="240" w:lineRule="auto"/>
                    <w:ind w:firstLine="0" w:firstLineChars="0"/>
                    <w:jc w:val="center"/>
                    <w:rPr>
                      <w:kern w:val="0"/>
                      <w:sz w:val="21"/>
                      <w:szCs w:val="21"/>
                    </w:rPr>
                  </w:pPr>
                </w:p>
              </w:tc>
              <w:tc>
                <w:tcPr>
                  <w:tcW w:w="993" w:type="dxa"/>
                  <w:noWrap/>
                  <w:vAlign w:val="center"/>
                </w:tcPr>
                <w:p>
                  <w:pPr>
                    <w:widowControl/>
                    <w:spacing w:line="240" w:lineRule="auto"/>
                    <w:ind w:firstLine="0" w:firstLineChars="0"/>
                    <w:jc w:val="center"/>
                    <w:rPr>
                      <w:kern w:val="0"/>
                      <w:sz w:val="21"/>
                      <w:szCs w:val="21"/>
                    </w:rPr>
                  </w:pPr>
                  <w:r>
                    <w:rPr>
                      <w:rFonts w:hint="eastAsia"/>
                      <w:kern w:val="0"/>
                      <w:sz w:val="21"/>
                      <w:szCs w:val="21"/>
                    </w:rPr>
                    <w:t>95</w:t>
                  </w:r>
                </w:p>
              </w:tc>
              <w:tc>
                <w:tcPr>
                  <w:tcW w:w="713" w:type="dxa"/>
                  <w:vMerge w:val="continue"/>
                  <w:noWrap/>
                  <w:vAlign w:val="center"/>
                </w:tcPr>
                <w:p>
                  <w:pPr>
                    <w:widowControl/>
                    <w:spacing w:line="240" w:lineRule="auto"/>
                    <w:ind w:firstLine="0" w:firstLineChars="0"/>
                    <w:jc w:val="center"/>
                    <w:rPr>
                      <w:kern w:val="0"/>
                      <w:sz w:val="21"/>
                      <w:szCs w:val="21"/>
                    </w:rPr>
                  </w:pPr>
                </w:p>
              </w:tc>
            </w:tr>
          </w:tbl>
          <w:p>
            <w:pPr>
              <w:pStyle w:val="103"/>
              <w:spacing w:before="120"/>
              <w:rPr>
                <w:rFonts w:eastAsia="宋体"/>
                <w:color w:val="auto"/>
              </w:rPr>
            </w:pPr>
            <w:r>
              <w:rPr>
                <w:rFonts w:eastAsia="宋体"/>
                <w:color w:val="auto"/>
              </w:rPr>
              <w:t>表4</w:t>
            </w:r>
            <w:r>
              <w:rPr>
                <w:rFonts w:hint="eastAsia" w:eastAsia="宋体"/>
                <w:color w:val="auto"/>
              </w:rPr>
              <w:t>.3</w:t>
            </w:r>
            <w:r>
              <w:rPr>
                <w:rFonts w:eastAsia="宋体"/>
                <w:color w:val="auto"/>
              </w:rPr>
              <w:t>-</w:t>
            </w:r>
            <w:r>
              <w:rPr>
                <w:rFonts w:hint="eastAsia" w:eastAsia="宋体"/>
                <w:color w:val="auto"/>
              </w:rPr>
              <w:t>5</w:t>
            </w:r>
            <w:r>
              <w:rPr>
                <w:rFonts w:eastAsia="宋体"/>
                <w:color w:val="auto"/>
              </w:rPr>
              <w:t xml:space="preserve">  废水排放口基本情况、排放标准一览表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86"/>
              <w:gridCol w:w="932"/>
              <w:gridCol w:w="1979"/>
              <w:gridCol w:w="2000"/>
              <w:gridCol w:w="288"/>
              <w:gridCol w:w="21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exact"/>
                <w:jc w:val="center"/>
              </w:trPr>
              <w:tc>
                <w:tcPr>
                  <w:tcW w:w="1487" w:type="dxa"/>
                  <w:vMerge w:val="restart"/>
                  <w:noWrap/>
                  <w:vAlign w:val="center"/>
                </w:tcPr>
                <w:p>
                  <w:pPr>
                    <w:widowControl/>
                    <w:spacing w:line="240" w:lineRule="auto"/>
                    <w:ind w:firstLine="0" w:firstLineChars="0"/>
                    <w:jc w:val="center"/>
                    <w:rPr>
                      <w:kern w:val="0"/>
                      <w:sz w:val="21"/>
                      <w:szCs w:val="21"/>
                    </w:rPr>
                  </w:pPr>
                  <w:r>
                    <w:rPr>
                      <w:kern w:val="0"/>
                      <w:sz w:val="21"/>
                      <w:szCs w:val="21"/>
                    </w:rPr>
                    <w:t>废水排放口编号</w:t>
                  </w:r>
                </w:p>
              </w:tc>
              <w:tc>
                <w:tcPr>
                  <w:tcW w:w="5199" w:type="dxa"/>
                  <w:gridSpan w:val="4"/>
                  <w:noWrap/>
                  <w:vAlign w:val="center"/>
                </w:tcPr>
                <w:p>
                  <w:pPr>
                    <w:widowControl/>
                    <w:spacing w:line="240" w:lineRule="auto"/>
                    <w:ind w:firstLine="0" w:firstLineChars="0"/>
                    <w:jc w:val="center"/>
                    <w:rPr>
                      <w:kern w:val="0"/>
                      <w:sz w:val="21"/>
                      <w:szCs w:val="21"/>
                    </w:rPr>
                  </w:pPr>
                  <w:r>
                    <w:rPr>
                      <w:kern w:val="0"/>
                      <w:sz w:val="21"/>
                      <w:szCs w:val="21"/>
                    </w:rPr>
                    <w:t>排放口基本情况</w:t>
                  </w:r>
                </w:p>
              </w:tc>
              <w:tc>
                <w:tcPr>
                  <w:tcW w:w="2120" w:type="dxa"/>
                  <w:vMerge w:val="restart"/>
                  <w:noWrap/>
                  <w:vAlign w:val="center"/>
                </w:tcPr>
                <w:p>
                  <w:pPr>
                    <w:widowControl/>
                    <w:spacing w:line="240" w:lineRule="auto"/>
                    <w:ind w:firstLine="0" w:firstLineChars="0"/>
                    <w:jc w:val="center"/>
                    <w:rPr>
                      <w:kern w:val="0"/>
                      <w:sz w:val="21"/>
                      <w:szCs w:val="21"/>
                    </w:rPr>
                  </w:pPr>
                  <w:r>
                    <w:rPr>
                      <w:kern w:val="0"/>
                      <w:sz w:val="21"/>
                      <w:szCs w:val="21"/>
                    </w:rPr>
                    <w:t>排放标准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487" w:type="dxa"/>
                  <w:vMerge w:val="continue"/>
                  <w:vAlign w:val="center"/>
                </w:tcPr>
                <w:p>
                  <w:pPr>
                    <w:widowControl/>
                    <w:spacing w:line="240" w:lineRule="auto"/>
                    <w:ind w:firstLine="0" w:firstLineChars="0"/>
                    <w:jc w:val="center"/>
                    <w:rPr>
                      <w:kern w:val="0"/>
                      <w:sz w:val="21"/>
                      <w:szCs w:val="21"/>
                    </w:rPr>
                  </w:pPr>
                </w:p>
              </w:tc>
              <w:tc>
                <w:tcPr>
                  <w:tcW w:w="932" w:type="dxa"/>
                  <w:vMerge w:val="restart"/>
                  <w:noWrap/>
                  <w:vAlign w:val="center"/>
                </w:tcPr>
                <w:p>
                  <w:pPr>
                    <w:widowControl/>
                    <w:spacing w:line="240" w:lineRule="auto"/>
                    <w:ind w:firstLine="0" w:firstLineChars="0"/>
                    <w:jc w:val="center"/>
                    <w:rPr>
                      <w:kern w:val="0"/>
                      <w:sz w:val="21"/>
                      <w:szCs w:val="21"/>
                    </w:rPr>
                  </w:pPr>
                  <w:r>
                    <w:rPr>
                      <w:kern w:val="0"/>
                      <w:sz w:val="21"/>
                      <w:szCs w:val="21"/>
                    </w:rPr>
                    <w:t>类型</w:t>
                  </w:r>
                </w:p>
              </w:tc>
              <w:tc>
                <w:tcPr>
                  <w:tcW w:w="4267" w:type="dxa"/>
                  <w:gridSpan w:val="3"/>
                  <w:noWrap/>
                  <w:vAlign w:val="center"/>
                </w:tcPr>
                <w:p>
                  <w:pPr>
                    <w:widowControl/>
                    <w:spacing w:line="240" w:lineRule="auto"/>
                    <w:ind w:firstLine="0" w:firstLineChars="0"/>
                    <w:jc w:val="center"/>
                    <w:rPr>
                      <w:kern w:val="0"/>
                      <w:sz w:val="21"/>
                      <w:szCs w:val="21"/>
                    </w:rPr>
                  </w:pPr>
                  <w:r>
                    <w:rPr>
                      <w:kern w:val="0"/>
                      <w:sz w:val="21"/>
                      <w:szCs w:val="21"/>
                    </w:rPr>
                    <w:t>地理坐标</w:t>
                  </w:r>
                </w:p>
              </w:tc>
              <w:tc>
                <w:tcPr>
                  <w:tcW w:w="2120" w:type="dxa"/>
                  <w:vMerge w:val="continue"/>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exact"/>
                <w:jc w:val="center"/>
              </w:trPr>
              <w:tc>
                <w:tcPr>
                  <w:tcW w:w="1487" w:type="dxa"/>
                  <w:vMerge w:val="continue"/>
                  <w:vAlign w:val="center"/>
                </w:tcPr>
                <w:p>
                  <w:pPr>
                    <w:widowControl/>
                    <w:spacing w:line="240" w:lineRule="auto"/>
                    <w:ind w:firstLine="0" w:firstLineChars="0"/>
                    <w:jc w:val="center"/>
                    <w:rPr>
                      <w:kern w:val="0"/>
                      <w:sz w:val="21"/>
                      <w:szCs w:val="21"/>
                    </w:rPr>
                  </w:pPr>
                </w:p>
              </w:tc>
              <w:tc>
                <w:tcPr>
                  <w:tcW w:w="932" w:type="dxa"/>
                  <w:vMerge w:val="continue"/>
                  <w:noWrap/>
                  <w:vAlign w:val="center"/>
                </w:tcPr>
                <w:p>
                  <w:pPr>
                    <w:widowControl/>
                    <w:spacing w:line="240" w:lineRule="auto"/>
                    <w:ind w:firstLine="0" w:firstLineChars="0"/>
                    <w:jc w:val="center"/>
                    <w:rPr>
                      <w:kern w:val="0"/>
                      <w:sz w:val="21"/>
                      <w:szCs w:val="21"/>
                    </w:rPr>
                  </w:pPr>
                </w:p>
              </w:tc>
              <w:tc>
                <w:tcPr>
                  <w:tcW w:w="1979" w:type="dxa"/>
                  <w:noWrap/>
                  <w:vAlign w:val="center"/>
                </w:tcPr>
                <w:p>
                  <w:pPr>
                    <w:widowControl/>
                    <w:spacing w:line="240" w:lineRule="auto"/>
                    <w:ind w:firstLine="0" w:firstLineChars="0"/>
                    <w:jc w:val="center"/>
                    <w:rPr>
                      <w:kern w:val="0"/>
                      <w:sz w:val="21"/>
                      <w:szCs w:val="21"/>
                    </w:rPr>
                  </w:pPr>
                  <w:r>
                    <w:rPr>
                      <w:kern w:val="0"/>
                      <w:sz w:val="21"/>
                      <w:szCs w:val="21"/>
                    </w:rPr>
                    <w:t>经度</w:t>
                  </w:r>
                </w:p>
              </w:tc>
              <w:tc>
                <w:tcPr>
                  <w:tcW w:w="2288" w:type="dxa"/>
                  <w:gridSpan w:val="2"/>
                  <w:noWrap/>
                  <w:vAlign w:val="center"/>
                </w:tcPr>
                <w:p>
                  <w:pPr>
                    <w:widowControl/>
                    <w:spacing w:line="240" w:lineRule="auto"/>
                    <w:ind w:firstLine="0" w:firstLineChars="0"/>
                    <w:jc w:val="center"/>
                    <w:rPr>
                      <w:kern w:val="0"/>
                      <w:sz w:val="21"/>
                      <w:szCs w:val="21"/>
                    </w:rPr>
                  </w:pPr>
                  <w:r>
                    <w:rPr>
                      <w:kern w:val="0"/>
                      <w:sz w:val="21"/>
                      <w:szCs w:val="21"/>
                    </w:rPr>
                    <w:t>纬度</w:t>
                  </w:r>
                </w:p>
              </w:tc>
              <w:tc>
                <w:tcPr>
                  <w:tcW w:w="2120" w:type="dxa"/>
                  <w:vMerge w:val="continue"/>
                  <w:vAlign w:val="center"/>
                </w:tcPr>
                <w:p>
                  <w:pPr>
                    <w:widowControl/>
                    <w:spacing w:line="240" w:lineRule="auto"/>
                    <w:ind w:firstLine="0" w:firstLineChars="0"/>
                    <w:jc w:val="center"/>
                    <w:rPr>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1085" w:hRule="exact"/>
                <w:jc w:val="center"/>
              </w:trPr>
              <w:tc>
                <w:tcPr>
                  <w:tcW w:w="1487" w:type="dxa"/>
                  <w:noWrap/>
                  <w:vAlign w:val="center"/>
                </w:tcPr>
                <w:p>
                  <w:pPr>
                    <w:widowControl/>
                    <w:spacing w:line="240" w:lineRule="auto"/>
                    <w:ind w:firstLine="0" w:firstLineChars="0"/>
                    <w:jc w:val="center"/>
                    <w:rPr>
                      <w:kern w:val="0"/>
                      <w:sz w:val="21"/>
                      <w:szCs w:val="21"/>
                    </w:rPr>
                  </w:pPr>
                  <w:r>
                    <w:rPr>
                      <w:kern w:val="0"/>
                      <w:sz w:val="21"/>
                      <w:szCs w:val="21"/>
                    </w:rPr>
                    <w:t>生活污水排放口DW001</w:t>
                  </w:r>
                </w:p>
              </w:tc>
              <w:tc>
                <w:tcPr>
                  <w:tcW w:w="932" w:type="dxa"/>
                  <w:noWrap/>
                  <w:vAlign w:val="center"/>
                </w:tcPr>
                <w:p>
                  <w:pPr>
                    <w:widowControl/>
                    <w:spacing w:line="240" w:lineRule="auto"/>
                    <w:ind w:firstLine="0" w:firstLineChars="0"/>
                    <w:jc w:val="center"/>
                    <w:rPr>
                      <w:kern w:val="0"/>
                      <w:sz w:val="21"/>
                      <w:szCs w:val="21"/>
                    </w:rPr>
                  </w:pPr>
                  <w:r>
                    <w:rPr>
                      <w:kern w:val="0"/>
                      <w:sz w:val="21"/>
                      <w:szCs w:val="21"/>
                    </w:rPr>
                    <w:t>一般排放口</w:t>
                  </w:r>
                </w:p>
              </w:tc>
              <w:tc>
                <w:tcPr>
                  <w:tcW w:w="1979" w:type="dxa"/>
                  <w:noWrap/>
                  <w:vAlign w:val="center"/>
                </w:tcPr>
                <w:p>
                  <w:pPr>
                    <w:spacing w:line="240" w:lineRule="auto"/>
                    <w:ind w:firstLine="0" w:firstLineChars="0"/>
                    <w:jc w:val="center"/>
                    <w:textAlignment w:val="center"/>
                    <w:rPr>
                      <w:kern w:val="0"/>
                      <w:sz w:val="21"/>
                      <w:szCs w:val="21"/>
                    </w:rPr>
                  </w:pPr>
                  <w:r>
                    <w:rPr>
                      <w:rFonts w:hint="eastAsia"/>
                      <w:sz w:val="21"/>
                      <w:szCs w:val="18"/>
                      <w:lang w:bidi="en-US"/>
                    </w:rPr>
                    <w:t>119°2′16.145″</w:t>
                  </w:r>
                </w:p>
              </w:tc>
              <w:tc>
                <w:tcPr>
                  <w:tcW w:w="2000" w:type="dxa"/>
                  <w:noWrap/>
                  <w:vAlign w:val="center"/>
                </w:tcPr>
                <w:p>
                  <w:pPr>
                    <w:spacing w:line="240" w:lineRule="auto"/>
                    <w:ind w:firstLine="0" w:firstLineChars="0"/>
                    <w:jc w:val="center"/>
                    <w:textAlignment w:val="center"/>
                    <w:rPr>
                      <w:kern w:val="0"/>
                      <w:sz w:val="21"/>
                      <w:szCs w:val="21"/>
                    </w:rPr>
                  </w:pPr>
                  <w:r>
                    <w:rPr>
                      <w:rFonts w:hint="eastAsia"/>
                      <w:sz w:val="21"/>
                      <w:szCs w:val="18"/>
                      <w:lang w:bidi="en-US"/>
                    </w:rPr>
                    <w:t>25°17′51.109″</w:t>
                  </w:r>
                </w:p>
              </w:tc>
              <w:tc>
                <w:tcPr>
                  <w:tcW w:w="2408" w:type="dxa"/>
                  <w:gridSpan w:val="2"/>
                  <w:vMerge w:val="restart"/>
                  <w:noWrap/>
                  <w:vAlign w:val="center"/>
                </w:tcPr>
                <w:p>
                  <w:pPr>
                    <w:widowControl/>
                    <w:spacing w:line="240" w:lineRule="auto"/>
                    <w:ind w:firstLine="0" w:firstLineChars="0"/>
                    <w:jc w:val="center"/>
                    <w:rPr>
                      <w:kern w:val="0"/>
                      <w:sz w:val="21"/>
                      <w:szCs w:val="21"/>
                    </w:rPr>
                  </w:pPr>
                  <w:r>
                    <w:rPr>
                      <w:rFonts w:hint="eastAsia"/>
                      <w:kern w:val="0"/>
                      <w:sz w:val="21"/>
                      <w:szCs w:val="21"/>
                    </w:rPr>
                    <w:t>《污水综合排放标准》（GB8978-1996）中表 4 三级标准，其中NH</w:t>
                  </w:r>
                  <w:r>
                    <w:rPr>
                      <w:rFonts w:hint="eastAsia"/>
                      <w:kern w:val="0"/>
                      <w:sz w:val="21"/>
                      <w:szCs w:val="21"/>
                      <w:vertAlign w:val="subscript"/>
                    </w:rPr>
                    <w:t>3</w:t>
                  </w:r>
                  <w:r>
                    <w:rPr>
                      <w:rFonts w:hint="eastAsia"/>
                      <w:kern w:val="0"/>
                      <w:sz w:val="21"/>
                      <w:szCs w:val="21"/>
                    </w:rPr>
                    <w:t>-N、TN、TP 参照《污水排入城镇下水道水质标准》（GB/T31962-2015）表 1 中 B 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1085" w:hRule="exact"/>
                <w:jc w:val="center"/>
              </w:trPr>
              <w:tc>
                <w:tcPr>
                  <w:tcW w:w="1487" w:type="dxa"/>
                  <w:noWrap/>
                  <w:vAlign w:val="center"/>
                </w:tcPr>
                <w:p>
                  <w:pPr>
                    <w:widowControl/>
                    <w:spacing w:line="240" w:lineRule="auto"/>
                    <w:ind w:firstLine="0" w:firstLineChars="0"/>
                    <w:jc w:val="center"/>
                    <w:rPr>
                      <w:kern w:val="0"/>
                      <w:sz w:val="21"/>
                      <w:szCs w:val="21"/>
                    </w:rPr>
                  </w:pPr>
                  <w:r>
                    <w:rPr>
                      <w:rFonts w:hint="eastAsia"/>
                      <w:kern w:val="0"/>
                      <w:sz w:val="21"/>
                      <w:szCs w:val="21"/>
                    </w:rPr>
                    <w:t>生产废水排放口DW002</w:t>
                  </w:r>
                </w:p>
              </w:tc>
              <w:tc>
                <w:tcPr>
                  <w:tcW w:w="932" w:type="dxa"/>
                  <w:noWrap/>
                  <w:vAlign w:val="center"/>
                </w:tcPr>
                <w:p>
                  <w:pPr>
                    <w:widowControl/>
                    <w:spacing w:line="240" w:lineRule="auto"/>
                    <w:ind w:firstLine="0" w:firstLineChars="0"/>
                    <w:jc w:val="center"/>
                    <w:rPr>
                      <w:kern w:val="0"/>
                      <w:sz w:val="21"/>
                      <w:szCs w:val="21"/>
                    </w:rPr>
                  </w:pPr>
                  <w:r>
                    <w:rPr>
                      <w:kern w:val="0"/>
                      <w:sz w:val="21"/>
                      <w:szCs w:val="21"/>
                    </w:rPr>
                    <w:t>一般排放口</w:t>
                  </w:r>
                </w:p>
              </w:tc>
              <w:tc>
                <w:tcPr>
                  <w:tcW w:w="1979" w:type="dxa"/>
                  <w:noWrap/>
                  <w:vAlign w:val="center"/>
                </w:tcPr>
                <w:p>
                  <w:pPr>
                    <w:spacing w:line="240" w:lineRule="auto"/>
                    <w:ind w:firstLine="0" w:firstLineChars="0"/>
                    <w:jc w:val="center"/>
                    <w:textAlignment w:val="center"/>
                    <w:rPr>
                      <w:sz w:val="21"/>
                      <w:szCs w:val="18"/>
                      <w:lang w:bidi="en-US"/>
                    </w:rPr>
                  </w:pPr>
                  <w:r>
                    <w:rPr>
                      <w:rFonts w:hint="eastAsia"/>
                      <w:sz w:val="21"/>
                      <w:szCs w:val="18"/>
                      <w:lang w:bidi="en-US"/>
                    </w:rPr>
                    <w:t>119°2′20.365″</w:t>
                  </w:r>
                </w:p>
              </w:tc>
              <w:tc>
                <w:tcPr>
                  <w:tcW w:w="2000" w:type="dxa"/>
                  <w:noWrap/>
                  <w:vAlign w:val="center"/>
                </w:tcPr>
                <w:p>
                  <w:pPr>
                    <w:spacing w:line="240" w:lineRule="auto"/>
                    <w:ind w:firstLine="0" w:firstLineChars="0"/>
                    <w:jc w:val="center"/>
                    <w:textAlignment w:val="center"/>
                    <w:rPr>
                      <w:sz w:val="21"/>
                      <w:szCs w:val="18"/>
                      <w:lang w:bidi="en-US"/>
                    </w:rPr>
                  </w:pPr>
                  <w:r>
                    <w:rPr>
                      <w:rFonts w:hint="eastAsia"/>
                      <w:sz w:val="21"/>
                      <w:szCs w:val="18"/>
                      <w:lang w:bidi="en-US"/>
                    </w:rPr>
                    <w:t>25°17′50.793″</w:t>
                  </w:r>
                </w:p>
              </w:tc>
              <w:tc>
                <w:tcPr>
                  <w:tcW w:w="2408" w:type="dxa"/>
                  <w:gridSpan w:val="2"/>
                  <w:vMerge w:val="continue"/>
                  <w:noWrap/>
                  <w:vAlign w:val="center"/>
                </w:tcPr>
                <w:p>
                  <w:pPr>
                    <w:widowControl/>
                    <w:spacing w:line="240" w:lineRule="auto"/>
                    <w:ind w:firstLine="0" w:firstLineChars="0"/>
                    <w:jc w:val="center"/>
                    <w:rPr>
                      <w:kern w:val="0"/>
                      <w:sz w:val="21"/>
                      <w:szCs w:val="21"/>
                    </w:rPr>
                  </w:pPr>
                </w:p>
              </w:tc>
            </w:tr>
          </w:tbl>
          <w:p>
            <w:pPr>
              <w:keepNext/>
              <w:keepLines/>
              <w:spacing w:before="240" w:beforeLines="100"/>
              <w:ind w:firstLine="482"/>
              <w:outlineLvl w:val="1"/>
              <w:rPr>
                <w:b/>
                <w:bCs/>
              </w:rPr>
            </w:pPr>
            <w:r>
              <w:rPr>
                <w:rFonts w:hint="eastAsia"/>
                <w:b/>
                <w:bCs/>
              </w:rPr>
              <w:t>2、废水治理设施可行性</w:t>
            </w:r>
          </w:p>
          <w:p>
            <w:pPr>
              <w:pStyle w:val="2"/>
              <w:ind w:firstLine="480" w:firstLineChars="200"/>
              <w:rPr>
                <w:b w:val="0"/>
              </w:rPr>
            </w:pPr>
            <w:r>
              <w:rPr>
                <w:rFonts w:hint="eastAsia"/>
                <w:b w:val="0"/>
              </w:rPr>
              <w:t>项目外排废水主要为员工生活污水和生产废水。项目员工生活污水经厂区化粪池处理后排入市政污水管网，纳入元洪投资区污水处理厂处理；项目生产废水经“栅+调节池+中间池+混凝反应器+厌氧池+缺氧池+好氧化池+沉淀池+清水池”处理后排入市政污水管网，纳入元洪投资区污水处理厂处理。项目生活污水和生产废水的排放不会对周围水环境产生不利影响。</w:t>
            </w:r>
          </w:p>
          <w:p>
            <w:pPr>
              <w:pStyle w:val="2"/>
              <w:ind w:firstLine="480" w:firstLineChars="200"/>
              <w:rPr>
                <w:b w:val="0"/>
              </w:rPr>
            </w:pPr>
            <w:r>
              <w:rPr>
                <w:rFonts w:hint="eastAsia"/>
                <w:b w:val="0"/>
              </w:rPr>
              <w:t>（1）废水可行性分析</w:t>
            </w:r>
          </w:p>
          <w:p>
            <w:pPr>
              <w:pStyle w:val="2"/>
              <w:ind w:firstLine="480" w:firstLineChars="200"/>
              <w:rPr>
                <w:b w:val="0"/>
              </w:rPr>
            </w:pPr>
            <w:r>
              <w:rPr>
                <w:rFonts w:hint="eastAsia"/>
                <w:b w:val="0"/>
              </w:rPr>
              <w:t>项目废水污染治理设施可行技术参照《排污许可证申请与核发技术规范 食品制造工业—方便食品、食品及饲料添加剂制造工业》（HJ1030.3-2019）附录 A 方便食品、食品及饲料添加剂制造工业废水污染防治可行技术参考表；项目废水污染防治可行性分析见表 4.3-6。</w:t>
            </w:r>
          </w:p>
          <w:p>
            <w:pPr>
              <w:spacing w:before="120" w:beforeLines="50" w:line="240" w:lineRule="auto"/>
              <w:ind w:firstLine="0" w:firstLineChars="0"/>
              <w:jc w:val="center"/>
              <w:rPr>
                <w:b/>
                <w:bCs/>
              </w:rPr>
            </w:pPr>
            <w:r>
              <w:rPr>
                <w:rFonts w:hint="eastAsia"/>
                <w:b/>
                <w:bCs/>
              </w:rPr>
              <w:t>表4.3-6 与参照的废水污染防治可行性技术比较分析</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936"/>
              <w:gridCol w:w="1134"/>
              <w:gridCol w:w="1700"/>
              <w:gridCol w:w="28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157" w:type="dxa"/>
                  <w:vAlign w:val="center"/>
                </w:tcPr>
                <w:p>
                  <w:pPr>
                    <w:spacing w:line="240" w:lineRule="auto"/>
                    <w:ind w:firstLine="0" w:firstLineChars="0"/>
                    <w:jc w:val="center"/>
                    <w:rPr>
                      <w:bCs/>
                      <w:sz w:val="21"/>
                    </w:rPr>
                  </w:pPr>
                  <w:r>
                    <w:rPr>
                      <w:rFonts w:hint="eastAsia"/>
                      <w:bCs/>
                      <w:sz w:val="21"/>
                    </w:rPr>
                    <w:t>废水</w:t>
                  </w:r>
                  <w:r>
                    <w:rPr>
                      <w:bCs/>
                      <w:sz w:val="21"/>
                    </w:rPr>
                    <w:t>类型</w:t>
                  </w:r>
                </w:p>
              </w:tc>
              <w:tc>
                <w:tcPr>
                  <w:tcW w:w="1936" w:type="dxa"/>
                  <w:vAlign w:val="center"/>
                </w:tcPr>
                <w:p>
                  <w:pPr>
                    <w:spacing w:line="240" w:lineRule="auto"/>
                    <w:ind w:firstLine="0" w:firstLineChars="0"/>
                    <w:jc w:val="center"/>
                    <w:rPr>
                      <w:bCs/>
                      <w:sz w:val="21"/>
                    </w:rPr>
                  </w:pPr>
                  <w:r>
                    <w:rPr>
                      <w:rFonts w:hint="eastAsia"/>
                      <w:bCs/>
                      <w:sz w:val="21"/>
                    </w:rPr>
                    <w:t>污染</w:t>
                  </w:r>
                  <w:r>
                    <w:rPr>
                      <w:bCs/>
                      <w:sz w:val="21"/>
                    </w:rPr>
                    <w:t>控制项目</w:t>
                  </w:r>
                </w:p>
              </w:tc>
              <w:tc>
                <w:tcPr>
                  <w:tcW w:w="1134" w:type="dxa"/>
                  <w:vAlign w:val="center"/>
                </w:tcPr>
                <w:p>
                  <w:pPr>
                    <w:spacing w:line="240" w:lineRule="auto"/>
                    <w:ind w:firstLine="0" w:firstLineChars="0"/>
                    <w:jc w:val="center"/>
                    <w:rPr>
                      <w:bCs/>
                      <w:sz w:val="21"/>
                    </w:rPr>
                  </w:pPr>
                  <w:r>
                    <w:rPr>
                      <w:bCs/>
                      <w:sz w:val="21"/>
                    </w:rPr>
                    <w:t>排放去向</w:t>
                  </w:r>
                </w:p>
              </w:tc>
              <w:tc>
                <w:tcPr>
                  <w:tcW w:w="1700" w:type="dxa"/>
                  <w:vAlign w:val="center"/>
                </w:tcPr>
                <w:p>
                  <w:pPr>
                    <w:spacing w:line="240" w:lineRule="auto"/>
                    <w:ind w:firstLine="0" w:firstLineChars="0"/>
                    <w:jc w:val="center"/>
                    <w:rPr>
                      <w:bCs/>
                      <w:sz w:val="21"/>
                    </w:rPr>
                  </w:pPr>
                  <w:r>
                    <w:rPr>
                      <w:rFonts w:hint="eastAsia"/>
                      <w:bCs/>
                      <w:sz w:val="21"/>
                    </w:rPr>
                    <w:t>污染物排放监控位置</w:t>
                  </w:r>
                </w:p>
              </w:tc>
              <w:tc>
                <w:tcPr>
                  <w:tcW w:w="2878" w:type="dxa"/>
                  <w:vAlign w:val="center"/>
                </w:tcPr>
                <w:p>
                  <w:pPr>
                    <w:spacing w:line="240" w:lineRule="auto"/>
                    <w:ind w:firstLine="0" w:firstLineChars="0"/>
                    <w:jc w:val="center"/>
                    <w:rPr>
                      <w:bCs/>
                      <w:sz w:val="21"/>
                    </w:rPr>
                  </w:pPr>
                  <w:r>
                    <w:rPr>
                      <w:rFonts w:hint="eastAsia"/>
                      <w:bCs/>
                      <w:sz w:val="21"/>
                    </w:rPr>
                    <w:t>可行技术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vAlign w:val="center"/>
                </w:tcPr>
                <w:p>
                  <w:pPr>
                    <w:spacing w:line="240" w:lineRule="auto"/>
                    <w:ind w:firstLine="0" w:firstLineChars="0"/>
                    <w:jc w:val="center"/>
                    <w:rPr>
                      <w:bCs/>
                      <w:sz w:val="21"/>
                    </w:rPr>
                  </w:pPr>
                  <w:r>
                    <w:rPr>
                      <w:rFonts w:hint="eastAsia"/>
                      <w:bCs/>
                      <w:sz w:val="21"/>
                    </w:rPr>
                    <w:t>一体化污水处理设备的综合污水（生产废水）</w:t>
                  </w:r>
                </w:p>
              </w:tc>
              <w:tc>
                <w:tcPr>
                  <w:tcW w:w="1936" w:type="dxa"/>
                  <w:vAlign w:val="center"/>
                </w:tcPr>
                <w:p>
                  <w:pPr>
                    <w:spacing w:line="240" w:lineRule="auto"/>
                    <w:ind w:firstLine="0" w:firstLineChars="0"/>
                    <w:jc w:val="center"/>
                    <w:rPr>
                      <w:bCs/>
                      <w:sz w:val="21"/>
                    </w:rPr>
                  </w:pPr>
                  <w:r>
                    <w:rPr>
                      <w:rFonts w:hint="eastAsia"/>
                      <w:bCs/>
                      <w:sz w:val="21"/>
                    </w:rPr>
                    <w:t>pH 值、化学需氧量（CODcr）、氨氮、悬浮物、五日生化需氧量（BOD</w:t>
                  </w:r>
                  <w:r>
                    <w:rPr>
                      <w:rFonts w:hint="eastAsia"/>
                      <w:bCs/>
                      <w:sz w:val="21"/>
                      <w:vertAlign w:val="subscript"/>
                    </w:rPr>
                    <w:t>5</w:t>
                  </w:r>
                  <w:r>
                    <w:rPr>
                      <w:rFonts w:hint="eastAsia"/>
                      <w:bCs/>
                      <w:sz w:val="21"/>
                    </w:rPr>
                    <w:t>）、磷酸盐（总磷）</w:t>
                  </w:r>
                </w:p>
              </w:tc>
              <w:tc>
                <w:tcPr>
                  <w:tcW w:w="1134" w:type="dxa"/>
                  <w:vAlign w:val="center"/>
                </w:tcPr>
                <w:p>
                  <w:pPr>
                    <w:spacing w:line="240" w:lineRule="auto"/>
                    <w:ind w:firstLine="0" w:firstLineChars="0"/>
                    <w:jc w:val="center"/>
                    <w:rPr>
                      <w:bCs/>
                      <w:sz w:val="21"/>
                    </w:rPr>
                  </w:pPr>
                  <w:r>
                    <w:rPr>
                      <w:rFonts w:hint="eastAsia"/>
                      <w:bCs/>
                      <w:sz w:val="21"/>
                    </w:rPr>
                    <w:t>间接排放</w:t>
                  </w:r>
                </w:p>
              </w:tc>
              <w:tc>
                <w:tcPr>
                  <w:tcW w:w="1700" w:type="dxa"/>
                  <w:vAlign w:val="center"/>
                </w:tcPr>
                <w:p>
                  <w:pPr>
                    <w:spacing w:line="240" w:lineRule="auto"/>
                    <w:ind w:firstLine="0" w:firstLineChars="0"/>
                    <w:jc w:val="center"/>
                    <w:rPr>
                      <w:bCs/>
                      <w:sz w:val="21"/>
                    </w:rPr>
                  </w:pPr>
                  <w:r>
                    <w:rPr>
                      <w:rFonts w:hint="eastAsia"/>
                      <w:bCs/>
                      <w:sz w:val="21"/>
                    </w:rPr>
                    <w:t>废水总排放口</w:t>
                  </w:r>
                </w:p>
              </w:tc>
              <w:tc>
                <w:tcPr>
                  <w:tcW w:w="2878" w:type="dxa"/>
                  <w:vAlign w:val="center"/>
                </w:tcPr>
                <w:p>
                  <w:pPr>
                    <w:spacing w:line="240" w:lineRule="auto"/>
                    <w:ind w:firstLine="0" w:firstLineChars="0"/>
                    <w:jc w:val="left"/>
                    <w:rPr>
                      <w:sz w:val="21"/>
                      <w:szCs w:val="21"/>
                    </w:rPr>
                  </w:pPr>
                  <w:r>
                    <w:rPr>
                      <w:rFonts w:hint="eastAsia"/>
                      <w:sz w:val="21"/>
                      <w:szCs w:val="21"/>
                    </w:rPr>
                    <w:t>1）预处理：粗（细）格栅；竖流或辐流式沉淀、混凝沉淀；气浮</w:t>
                  </w:r>
                </w:p>
                <w:p>
                  <w:pPr>
                    <w:spacing w:line="240" w:lineRule="auto"/>
                    <w:ind w:firstLine="0" w:firstLineChars="0"/>
                    <w:jc w:val="left"/>
                    <w:rPr>
                      <w:bCs/>
                      <w:sz w:val="21"/>
                      <w:szCs w:val="21"/>
                    </w:rPr>
                  </w:pPr>
                  <w:r>
                    <w:rPr>
                      <w:rFonts w:hint="eastAsia"/>
                      <w:sz w:val="21"/>
                      <w:szCs w:val="21"/>
                    </w:rPr>
                    <w:t>2）生化处理：升流式厌氧污泥床（UASB）；IC 反应器或水解酸化技术；厌氧滤池（AF）；活性污泥法；氧化沟及其各类改型工艺；生物接触氧化法；序批式活性污泥法（SBR）；缺氧/好氧活性污泥法（A/O 法）；厌氧-缺氧-好氧活性污泥法（A</w:t>
                  </w:r>
                  <w:r>
                    <w:rPr>
                      <w:rFonts w:hint="eastAsia"/>
                      <w:sz w:val="21"/>
                      <w:szCs w:val="21"/>
                      <w:vertAlign w:val="superscript"/>
                    </w:rPr>
                    <w:t>2</w:t>
                  </w:r>
                  <w:r>
                    <w:rPr>
                      <w:rFonts w:hint="eastAsia"/>
                      <w:sz w:val="21"/>
                      <w:szCs w:val="21"/>
                    </w:rPr>
                    <w:t>/O 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1157" w:type="dxa"/>
                  <w:vAlign w:val="center"/>
                </w:tcPr>
                <w:p>
                  <w:pPr>
                    <w:spacing w:line="240" w:lineRule="auto"/>
                    <w:ind w:firstLine="0" w:firstLineChars="0"/>
                    <w:jc w:val="center"/>
                    <w:rPr>
                      <w:bCs/>
                      <w:sz w:val="21"/>
                    </w:rPr>
                  </w:pPr>
                  <w:r>
                    <w:rPr>
                      <w:rFonts w:hint="eastAsia"/>
                      <w:bCs/>
                      <w:sz w:val="21"/>
                    </w:rPr>
                    <w:t>生活污水（仅单独排放时）</w:t>
                  </w:r>
                </w:p>
              </w:tc>
              <w:tc>
                <w:tcPr>
                  <w:tcW w:w="1936" w:type="dxa"/>
                  <w:vAlign w:val="center"/>
                </w:tcPr>
                <w:p>
                  <w:pPr>
                    <w:spacing w:line="240" w:lineRule="auto"/>
                    <w:ind w:firstLine="0" w:firstLineChars="0"/>
                    <w:jc w:val="center"/>
                    <w:rPr>
                      <w:bCs/>
                      <w:sz w:val="21"/>
                    </w:rPr>
                  </w:pPr>
                  <w:r>
                    <w:rPr>
                      <w:rFonts w:hint="eastAsia"/>
                      <w:bCs/>
                      <w:sz w:val="21"/>
                    </w:rPr>
                    <w:t>pH 值、化学需氧量（CODcr）、氨氮、悬浮物、五日生化需氧量（BOD</w:t>
                  </w:r>
                  <w:r>
                    <w:rPr>
                      <w:rFonts w:hint="eastAsia"/>
                      <w:bCs/>
                      <w:sz w:val="21"/>
                      <w:vertAlign w:val="subscript"/>
                    </w:rPr>
                    <w:t>5</w:t>
                  </w:r>
                  <w:r>
                    <w:rPr>
                      <w:rFonts w:hint="eastAsia"/>
                      <w:bCs/>
                      <w:sz w:val="21"/>
                    </w:rPr>
                    <w:t>）、磷酸盐（总磷）</w:t>
                  </w:r>
                </w:p>
              </w:tc>
              <w:tc>
                <w:tcPr>
                  <w:tcW w:w="1134" w:type="dxa"/>
                  <w:vAlign w:val="center"/>
                </w:tcPr>
                <w:p>
                  <w:pPr>
                    <w:spacing w:line="240" w:lineRule="auto"/>
                    <w:ind w:firstLine="0" w:firstLineChars="0"/>
                    <w:jc w:val="center"/>
                    <w:rPr>
                      <w:bCs/>
                      <w:sz w:val="21"/>
                    </w:rPr>
                  </w:pPr>
                  <w:r>
                    <w:rPr>
                      <w:rFonts w:hint="eastAsia"/>
                      <w:bCs/>
                      <w:sz w:val="21"/>
                    </w:rPr>
                    <w:t>间接排放</w:t>
                  </w:r>
                </w:p>
              </w:tc>
              <w:tc>
                <w:tcPr>
                  <w:tcW w:w="1700" w:type="dxa"/>
                  <w:vAlign w:val="center"/>
                </w:tcPr>
                <w:p>
                  <w:pPr>
                    <w:spacing w:line="240" w:lineRule="auto"/>
                    <w:ind w:firstLine="0" w:firstLineChars="0"/>
                    <w:jc w:val="center"/>
                    <w:rPr>
                      <w:bCs/>
                      <w:sz w:val="21"/>
                    </w:rPr>
                  </w:pPr>
                  <w:r>
                    <w:rPr>
                      <w:rFonts w:hint="eastAsia"/>
                      <w:bCs/>
                      <w:sz w:val="21"/>
                    </w:rPr>
                    <w:t>生活污水排放口</w:t>
                  </w:r>
                </w:p>
              </w:tc>
              <w:tc>
                <w:tcPr>
                  <w:tcW w:w="2878" w:type="dxa"/>
                  <w:vAlign w:val="center"/>
                </w:tcPr>
                <w:p>
                  <w:pPr>
                    <w:spacing w:line="240" w:lineRule="auto"/>
                    <w:ind w:firstLine="0" w:firstLineChars="0"/>
                    <w:jc w:val="center"/>
                    <w:rPr>
                      <w:sz w:val="21"/>
                      <w:szCs w:val="21"/>
                    </w:rPr>
                  </w:pPr>
                </w:p>
              </w:tc>
            </w:tr>
          </w:tbl>
          <w:p>
            <w:pPr>
              <w:spacing w:before="240" w:beforeLines="100"/>
              <w:ind w:firstLine="482"/>
              <w:jc w:val="left"/>
              <w:rPr>
                <w:bCs/>
              </w:rPr>
            </w:pPr>
            <w:r>
              <w:rPr>
                <w:rFonts w:hint="eastAsia"/>
                <w:b/>
                <w:bCs/>
              </w:rPr>
              <w:t>①三级化粪池化粪工作原理：</w:t>
            </w:r>
            <w:r>
              <w:rPr>
                <w:rFonts w:hint="eastAsia"/>
                <w:bCs/>
              </w:rPr>
              <w:t>新鲜粪便由厕所管道进入第一池，池内粪便产生沼气开始发酵分解，因比重不同粪便可分为三层，上层为比较浓的粪渣垃圾，下层为块状或颗粒状粪渣，中层为比较清的粪液，在上层粪便和下层粪渣中含细菌和寄生虫卵最多，中层含虫卵最少，初步发酵的中层粪液经过化粪管流到第二格池，第二格池内再化酵分解沉淀后溢流到第三格，第三格池再经过沉淀过滤后清水排放。第1池、第2池、第 3池的容积比应为2：1：3，粪便在第一池需停留20天，第二池停留10天，第三池容积至少是二池之和。</w:t>
            </w:r>
            <w:r>
              <w:rPr>
                <w:rFonts w:hint="eastAsia" w:cs="宋体"/>
              </w:rPr>
              <w:t>本项目出租方化粪池设计容积（见附件11）为120m³/d，实际生活污水排放量为0.9m³/d。根据污水处理量测算，出租方现有化粪池能够充分满足本项目污水处理需求。</w:t>
            </w:r>
            <w:r>
              <w:rPr>
                <w:rFonts w:hint="eastAsia"/>
                <w:bCs/>
              </w:rPr>
              <w:t>项目生活污水经化粪池处理后可达标排放，治理技术可行。</w:t>
            </w:r>
            <w:r>
              <w:rPr>
                <w:bCs/>
              </w:rPr>
              <w:drawing>
                <wp:inline distT="0" distB="0" distL="0" distR="0">
                  <wp:extent cx="5543550" cy="1524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5548170" cy="1525270"/>
                          </a:xfrm>
                          <a:prstGeom prst="rect">
                            <a:avLst/>
                          </a:prstGeom>
                        </pic:spPr>
                      </pic:pic>
                    </a:graphicData>
                  </a:graphic>
                </wp:inline>
              </w:drawing>
            </w:r>
          </w:p>
          <w:p>
            <w:pPr>
              <w:pStyle w:val="5"/>
              <w:spacing w:beforeLines="0" w:after="120" w:line="240" w:lineRule="auto"/>
              <w:jc w:val="center"/>
              <w:rPr>
                <w:sz w:val="24"/>
              </w:rPr>
            </w:pPr>
            <w:r>
              <w:rPr>
                <w:rFonts w:hint="eastAsia"/>
                <w:sz w:val="24"/>
              </w:rPr>
              <w:t>图4.3-1化粪池处理工艺流程图</w:t>
            </w:r>
          </w:p>
          <w:p>
            <w:pPr>
              <w:ind w:firstLine="482"/>
              <w:jc w:val="left"/>
              <w:rPr>
                <w:bCs/>
              </w:rPr>
            </w:pPr>
            <w:r>
              <w:rPr>
                <w:rFonts w:hint="eastAsia"/>
                <w:b/>
                <w:bCs/>
              </w:rPr>
              <w:t>②一体化污水处理设备工艺可行性分析：</w:t>
            </w:r>
            <w:r>
              <w:rPr>
                <w:rFonts w:hint="eastAsia"/>
                <w:bCs/>
              </w:rPr>
              <w:t>本项目生产废水经过“格栅+调节池+混凝反应器+中间水池+厌氧池+缺氧池+好氧化池+沉淀池+清水池”处理，参照表 4.3-5，项目生产废水处理工艺属于可行技术。</w:t>
            </w:r>
            <w:r>
              <w:rPr>
                <w:bCs/>
              </w:rPr>
              <w:drawing>
                <wp:inline distT="0" distB="0" distL="0" distR="0">
                  <wp:extent cx="5541645" cy="2623185"/>
                  <wp:effectExtent l="0" t="0" r="190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5541971" cy="2623293"/>
                          </a:xfrm>
                          <a:prstGeom prst="rect">
                            <a:avLst/>
                          </a:prstGeom>
                        </pic:spPr>
                      </pic:pic>
                    </a:graphicData>
                  </a:graphic>
                </wp:inline>
              </w:drawing>
            </w:r>
          </w:p>
          <w:p>
            <w:pPr>
              <w:pStyle w:val="5"/>
              <w:spacing w:beforeLines="0" w:after="120" w:line="240" w:lineRule="auto"/>
              <w:jc w:val="center"/>
              <w:rPr>
                <w:sz w:val="24"/>
              </w:rPr>
            </w:pPr>
            <w:r>
              <w:rPr>
                <w:rFonts w:hint="eastAsia"/>
                <w:sz w:val="24"/>
              </w:rPr>
              <w:t>图 4.3-2 生产废水处理工艺流程图</w:t>
            </w:r>
          </w:p>
          <w:p>
            <w:pPr>
              <w:pStyle w:val="5"/>
              <w:spacing w:beforeLines="0" w:afterLines="0"/>
              <w:ind w:firstLine="482" w:firstLineChars="200"/>
              <w:jc w:val="left"/>
              <w:rPr>
                <w:sz w:val="24"/>
              </w:rPr>
            </w:pPr>
            <w:r>
              <w:rPr>
                <w:rFonts w:hint="eastAsia"/>
                <w:sz w:val="24"/>
              </w:rPr>
              <w:t>废水处理工艺简述：</w:t>
            </w:r>
          </w:p>
          <w:p>
            <w:pPr>
              <w:pStyle w:val="5"/>
              <w:spacing w:beforeLines="0" w:afterLines="0"/>
              <w:ind w:firstLine="480" w:firstLineChars="200"/>
              <w:jc w:val="left"/>
              <w:rPr>
                <w:b w:val="0"/>
                <w:sz w:val="24"/>
              </w:rPr>
            </w:pPr>
            <w:r>
              <w:rPr>
                <w:rFonts w:hint="eastAsia"/>
                <w:b w:val="0"/>
                <w:sz w:val="24"/>
              </w:rPr>
              <w:t>1、项目生产污水经管网汇集到一体化污水处理设备的格栅，通过自然沉淀去除米渣、淀粉颗粒等比重较大的悬浮物，沉淀物由泵抽至污泥池，出水自流入调节池。</w:t>
            </w:r>
          </w:p>
          <w:p>
            <w:pPr>
              <w:pStyle w:val="5"/>
              <w:spacing w:beforeLines="0" w:afterLines="0"/>
              <w:ind w:firstLine="480" w:firstLineChars="200"/>
              <w:jc w:val="left"/>
              <w:rPr>
                <w:b w:val="0"/>
                <w:sz w:val="24"/>
              </w:rPr>
            </w:pPr>
            <w:r>
              <w:rPr>
                <w:rFonts w:hint="eastAsia"/>
                <w:b w:val="0"/>
                <w:sz w:val="24"/>
              </w:rPr>
              <w:t>2、调节池的作用是：由于车间生产的因素，废水排放时间不均匀，污水的排放量大小不一，水质变化较大，需设置一个调节池来调节水质水量以保证整套设施的正常运行，减轻对后续设施带来的冲击负荷。调节池内设置预曝气，充氧搅拌能使污水充分地均质均量，并防止淤泥在调节池内沉积。</w:t>
            </w:r>
          </w:p>
          <w:p>
            <w:pPr>
              <w:pStyle w:val="5"/>
              <w:spacing w:beforeLines="0" w:afterLines="0"/>
              <w:ind w:firstLine="480" w:firstLineChars="200"/>
              <w:jc w:val="left"/>
              <w:rPr>
                <w:b w:val="0"/>
                <w:sz w:val="24"/>
              </w:rPr>
            </w:pPr>
            <w:r>
              <w:rPr>
                <w:rFonts w:hint="eastAsia"/>
                <w:b w:val="0"/>
                <w:sz w:val="24"/>
              </w:rPr>
              <w:t>3、废水先通过混凝反应器来去除废水中的悬浮物，再用泵提升至混凝反应器，泵前加入一号药（PAC），进入混凝反应状态，混凝反应时废水经“破乳”电性中和吸附作用，形成细小矾花，机前加入二号药（PAM），依靠二号药的絮凝作用，通过混凝反应器里面的斜管填料把水和污泥分离开。</w:t>
            </w:r>
          </w:p>
          <w:p>
            <w:pPr>
              <w:pStyle w:val="5"/>
              <w:spacing w:beforeLines="0" w:afterLines="0"/>
              <w:ind w:firstLine="480" w:firstLineChars="200"/>
              <w:jc w:val="left"/>
              <w:rPr>
                <w:b w:val="0"/>
                <w:sz w:val="24"/>
              </w:rPr>
            </w:pPr>
            <w:r>
              <w:rPr>
                <w:rFonts w:hint="eastAsia"/>
                <w:b w:val="0"/>
                <w:sz w:val="24"/>
              </w:rPr>
              <w:t>4、厌氧池采用上流式反应器，污水在无氧或缺氧的条件下，由兼性菌和厌氧菌降解废水中的有机物，使高浓度污水得到有效净化，厌氧池内设有内回流装置，以减轻高浓度污水的冲击， 厌氧池出水自流进入缺氧池。</w:t>
            </w:r>
          </w:p>
          <w:p>
            <w:pPr>
              <w:pStyle w:val="5"/>
              <w:spacing w:beforeLines="0" w:afterLines="0"/>
              <w:ind w:firstLine="480" w:firstLineChars="200"/>
              <w:jc w:val="left"/>
              <w:rPr>
                <w:b w:val="0"/>
                <w:sz w:val="24"/>
              </w:rPr>
            </w:pPr>
            <w:r>
              <w:rPr>
                <w:rFonts w:hint="eastAsia"/>
                <w:b w:val="0"/>
                <w:sz w:val="24"/>
              </w:rPr>
              <w:t>5、废水进入缺氧池中与回流混合液进行反硝化反应，达到脱氮目的，且利用兼氧微生物的作用，降解COD，提高B/C值，从而降低后续好氧段的负荷，提高可生化性，出水自流入接触氧化池。</w:t>
            </w:r>
          </w:p>
          <w:p>
            <w:pPr>
              <w:pStyle w:val="5"/>
              <w:spacing w:beforeLines="0" w:afterLines="0"/>
              <w:ind w:firstLine="480" w:firstLineChars="200"/>
              <w:jc w:val="left"/>
              <w:rPr>
                <w:b w:val="0"/>
                <w:sz w:val="24"/>
              </w:rPr>
            </w:pPr>
            <w:r>
              <w:rPr>
                <w:rFonts w:hint="eastAsia"/>
                <w:b w:val="0"/>
                <w:sz w:val="24"/>
              </w:rPr>
              <w:t>6、好氧化池中的好氧微生物在曝气充氧的状态下，可将污水中的有机物分解成CO</w:t>
            </w:r>
            <w:r>
              <w:rPr>
                <w:rFonts w:hint="eastAsia"/>
                <w:b w:val="0"/>
                <w:sz w:val="24"/>
                <w:vertAlign w:val="subscript"/>
              </w:rPr>
              <w:t>2</w:t>
            </w:r>
            <w:r>
              <w:rPr>
                <w:rFonts w:hint="eastAsia"/>
                <w:b w:val="0"/>
                <w:sz w:val="24"/>
              </w:rPr>
              <w:t>和H</w:t>
            </w:r>
            <w:r>
              <w:rPr>
                <w:rFonts w:hint="eastAsia"/>
                <w:b w:val="0"/>
                <w:sz w:val="24"/>
                <w:vertAlign w:val="subscript"/>
              </w:rPr>
              <w:t>2</w:t>
            </w:r>
            <w:r>
              <w:rPr>
                <w:rFonts w:hint="eastAsia"/>
                <w:b w:val="0"/>
                <w:sz w:val="24"/>
              </w:rPr>
              <w:t>O，同时设回流将部分处理水回流至缺氧池，在反硝化菌的作用下，利用原废水中较高浓度的有机物提供的电子，把好氧段硝化反应产生的硝酸和亚硝酸离子进行还原成气态氮，从而实现脱氮目的。</w:t>
            </w:r>
          </w:p>
          <w:p>
            <w:pPr>
              <w:pStyle w:val="5"/>
              <w:spacing w:beforeLines="0" w:afterLines="0"/>
              <w:ind w:firstLine="480" w:firstLineChars="200"/>
              <w:jc w:val="left"/>
              <w:rPr>
                <w:b w:val="0"/>
                <w:sz w:val="24"/>
              </w:rPr>
            </w:pPr>
            <w:r>
              <w:rPr>
                <w:rFonts w:hint="eastAsia"/>
                <w:b w:val="0"/>
                <w:sz w:val="24"/>
              </w:rPr>
              <w:t>7、好氧化池处理后的出水自流入沉淀池，进行泥水分离。沉淀池的污泥一部分回到缺氧池，剩余污泥当天清理外运，沉淀后的上清液通过排放口达标排放。</w:t>
            </w:r>
          </w:p>
          <w:p>
            <w:pPr>
              <w:pStyle w:val="5"/>
              <w:spacing w:beforeLines="0" w:afterLines="0"/>
              <w:ind w:firstLine="480" w:firstLineChars="200"/>
              <w:jc w:val="left"/>
              <w:rPr>
                <w:b w:val="0"/>
                <w:sz w:val="24"/>
              </w:rPr>
            </w:pPr>
            <w:r>
              <w:rPr>
                <w:rFonts w:hint="eastAsia"/>
                <w:b w:val="0"/>
                <w:sz w:val="24"/>
              </w:rPr>
              <w:t>8、污泥处置：本系统污泥主要来自平流气浮池的浮渣及生化处理系统的剩余污泥，这些污泥均每天外运处理处置。</w:t>
            </w:r>
          </w:p>
          <w:p>
            <w:pPr>
              <w:pStyle w:val="5"/>
              <w:spacing w:beforeLines="0" w:afterLines="0"/>
              <w:ind w:firstLine="480" w:firstLineChars="200"/>
              <w:jc w:val="left"/>
              <w:rPr>
                <w:b w:val="0"/>
                <w:sz w:val="24"/>
              </w:rPr>
            </w:pPr>
            <w:r>
              <w:rPr>
                <w:rFonts w:hint="eastAsia"/>
                <w:b w:val="0"/>
                <w:sz w:val="24"/>
              </w:rPr>
              <w:t>（2）污水处理厂基本情况</w:t>
            </w:r>
          </w:p>
          <w:p>
            <w:pPr>
              <w:pStyle w:val="5"/>
              <w:spacing w:beforeLines="0" w:afterLines="0"/>
              <w:ind w:firstLine="480" w:firstLineChars="200"/>
              <w:jc w:val="left"/>
              <w:rPr>
                <w:b w:val="0"/>
                <w:sz w:val="24"/>
              </w:rPr>
            </w:pPr>
            <w:r>
              <w:rPr>
                <w:rFonts w:hint="eastAsia"/>
                <w:b w:val="0"/>
                <w:sz w:val="24"/>
              </w:rPr>
              <w:t>①元洪投资区污水处理厂概况</w:t>
            </w:r>
          </w:p>
          <w:p>
            <w:pPr>
              <w:pStyle w:val="5"/>
              <w:spacing w:beforeLines="0" w:afterLines="0"/>
              <w:ind w:firstLine="480" w:firstLineChars="200"/>
              <w:jc w:val="left"/>
              <w:rPr>
                <w:b w:val="0"/>
                <w:sz w:val="24"/>
              </w:rPr>
            </w:pPr>
            <w:r>
              <w:rPr>
                <w:rFonts w:hint="eastAsia"/>
                <w:b w:val="0"/>
                <w:sz w:val="24"/>
              </w:rPr>
              <w:t>元洪投资区污水处理厂设计处理能力3万m</w:t>
            </w:r>
            <w:r>
              <w:rPr>
                <w:rFonts w:hint="eastAsia"/>
                <w:b w:val="0"/>
                <w:sz w:val="24"/>
                <w:vertAlign w:val="superscript"/>
              </w:rPr>
              <w:t>3</w:t>
            </w:r>
            <w:r>
              <w:rPr>
                <w:rFonts w:hint="eastAsia"/>
                <w:b w:val="0"/>
                <w:sz w:val="24"/>
              </w:rPr>
              <w:t>/d，一期1万m</w:t>
            </w:r>
            <w:r>
              <w:rPr>
                <w:rFonts w:hint="eastAsia"/>
                <w:b w:val="0"/>
                <w:sz w:val="24"/>
                <w:vertAlign w:val="superscript"/>
              </w:rPr>
              <w:t>3</w:t>
            </w:r>
            <w:r>
              <w:rPr>
                <w:rFonts w:hint="eastAsia"/>
                <w:b w:val="0"/>
                <w:sz w:val="24"/>
              </w:rPr>
              <w:t>/d于2011年10月建成投入生产；二期规模2万m</w:t>
            </w:r>
            <w:r>
              <w:rPr>
                <w:rFonts w:hint="eastAsia"/>
                <w:b w:val="0"/>
                <w:sz w:val="24"/>
                <w:vertAlign w:val="superscript"/>
              </w:rPr>
              <w:t>3</w:t>
            </w:r>
            <w:r>
              <w:rPr>
                <w:rFonts w:hint="eastAsia"/>
                <w:b w:val="0"/>
                <w:sz w:val="24"/>
              </w:rPr>
              <w:t>/d于2017年初投入使用。三期扩建工程于2023年5月完工，6月进入运营三期规模1万m</w:t>
            </w:r>
            <w:r>
              <w:rPr>
                <w:rFonts w:hint="eastAsia"/>
                <w:b w:val="0"/>
                <w:sz w:val="24"/>
                <w:vertAlign w:val="superscript"/>
              </w:rPr>
              <w:t>3</w:t>
            </w:r>
            <w:r>
              <w:rPr>
                <w:rFonts w:hint="eastAsia"/>
                <w:b w:val="0"/>
                <w:sz w:val="24"/>
              </w:rPr>
              <w:t>/d，共计4万m</w:t>
            </w:r>
            <w:r>
              <w:rPr>
                <w:rFonts w:hint="eastAsia"/>
                <w:b w:val="0"/>
                <w:sz w:val="24"/>
                <w:vertAlign w:val="superscript"/>
              </w:rPr>
              <w:t>3</w:t>
            </w:r>
            <w:r>
              <w:rPr>
                <w:rFonts w:hint="eastAsia"/>
                <w:b w:val="0"/>
                <w:sz w:val="24"/>
              </w:rPr>
              <w:t>/d，一期工程污水处理主要工艺为水解池+改进型SBR池+高密度澄清池工艺；二期、三期工程污水处理工艺为水解池+改良型卡式氧化沟+二沉池+高密度澄清池工艺，污水处理后利用现有元洪码头栈桥下排放口排放，污水排放执行《城镇污水处理厂污染物排放标准》（GB18918-2002）中一级A标准。</w:t>
            </w:r>
          </w:p>
          <w:p>
            <w:pPr>
              <w:pStyle w:val="5"/>
              <w:spacing w:beforeLines="0" w:afterLines="0"/>
              <w:ind w:firstLine="480" w:firstLineChars="200"/>
              <w:jc w:val="left"/>
              <w:rPr>
                <w:b w:val="0"/>
                <w:sz w:val="24"/>
              </w:rPr>
            </w:pPr>
            <w:r>
              <w:rPr>
                <w:rFonts w:hint="eastAsia"/>
                <w:b w:val="0"/>
                <w:sz w:val="24"/>
              </w:rPr>
              <w:t>②污水量影响分析</w:t>
            </w:r>
          </w:p>
          <w:p>
            <w:pPr>
              <w:pStyle w:val="5"/>
              <w:spacing w:beforeLines="0" w:afterLines="0"/>
              <w:ind w:firstLine="480" w:firstLineChars="200"/>
              <w:jc w:val="left"/>
              <w:rPr>
                <w:b w:val="0"/>
                <w:sz w:val="24"/>
              </w:rPr>
            </w:pPr>
            <w:r>
              <w:rPr>
                <w:rFonts w:hint="eastAsia"/>
                <w:b w:val="0"/>
                <w:sz w:val="24"/>
              </w:rPr>
              <w:t>元洪投资区污水处理厂现状废水处理规模为4万m</w:t>
            </w:r>
            <w:r>
              <w:rPr>
                <w:rFonts w:hint="eastAsia"/>
                <w:b w:val="0"/>
                <w:sz w:val="24"/>
                <w:vertAlign w:val="superscript"/>
              </w:rPr>
              <w:t>3</w:t>
            </w:r>
            <w:r>
              <w:rPr>
                <w:rFonts w:hint="eastAsia"/>
                <w:b w:val="0"/>
                <w:sz w:val="24"/>
              </w:rPr>
              <w:t>/d；依据福建省污染源监测信息综合发布平台公示的《福州富春紫光污水处理有限公司2023年自行监测年度报告》(即元洪投资区污水处理厂)可知，2023年该污水厂全年污水处理量为1349.5657m</w:t>
            </w:r>
            <w:r>
              <w:rPr>
                <w:rFonts w:hint="eastAsia"/>
                <w:b w:val="0"/>
                <w:sz w:val="24"/>
                <w:vertAlign w:val="superscript"/>
              </w:rPr>
              <w:t>3</w:t>
            </w:r>
            <w:r>
              <w:rPr>
                <w:rFonts w:hint="eastAsia"/>
                <w:b w:val="0"/>
                <w:sz w:val="24"/>
              </w:rPr>
              <w:t>，日处理规模为36974.4m</w:t>
            </w:r>
            <w:r>
              <w:rPr>
                <w:rFonts w:hint="eastAsia"/>
                <w:b w:val="0"/>
                <w:sz w:val="24"/>
                <w:vertAlign w:val="superscript"/>
              </w:rPr>
              <w:t>3</w:t>
            </w:r>
            <w:r>
              <w:rPr>
                <w:rFonts w:hint="eastAsia"/>
                <w:b w:val="0"/>
                <w:sz w:val="24"/>
              </w:rPr>
              <w:t>/d，剩余处理余量约3025.6m</w:t>
            </w:r>
            <w:r>
              <w:rPr>
                <w:rFonts w:hint="eastAsia"/>
                <w:b w:val="0"/>
                <w:sz w:val="24"/>
                <w:vertAlign w:val="superscript"/>
              </w:rPr>
              <w:t>3</w:t>
            </w:r>
            <w:r>
              <w:rPr>
                <w:rFonts w:hint="eastAsia"/>
                <w:b w:val="0"/>
                <w:sz w:val="24"/>
              </w:rPr>
              <w:t>/d项目新增污水量排放量9.15m</w:t>
            </w:r>
            <w:r>
              <w:rPr>
                <w:rFonts w:hint="eastAsia"/>
                <w:b w:val="0"/>
                <w:sz w:val="24"/>
                <w:vertAlign w:val="superscript"/>
              </w:rPr>
              <w:t>3</w:t>
            </w:r>
            <w:r>
              <w:rPr>
                <w:rFonts w:hint="eastAsia"/>
                <w:b w:val="0"/>
                <w:sz w:val="24"/>
              </w:rPr>
              <w:t>/d，占其剩余处理能力的0.31%。因此福州市元洪投资区污水处理厂有足够的容量接纳本项目废水。</w:t>
            </w:r>
          </w:p>
          <w:p>
            <w:pPr>
              <w:pStyle w:val="5"/>
              <w:spacing w:beforeLines="0" w:afterLines="0"/>
              <w:ind w:firstLine="480" w:firstLineChars="200"/>
              <w:jc w:val="left"/>
              <w:rPr>
                <w:b w:val="0"/>
                <w:sz w:val="24"/>
              </w:rPr>
            </w:pPr>
            <w:r>
              <w:rPr>
                <w:rFonts w:hint="eastAsia"/>
                <w:b w:val="0"/>
                <w:sz w:val="24"/>
              </w:rPr>
              <w:t>③水质影响分析</w:t>
            </w:r>
          </w:p>
          <w:p>
            <w:pPr>
              <w:pStyle w:val="5"/>
              <w:spacing w:beforeLines="0" w:afterLines="0"/>
              <w:ind w:firstLine="480" w:firstLineChars="200"/>
              <w:jc w:val="left"/>
              <w:rPr>
                <w:b w:val="0"/>
                <w:sz w:val="24"/>
              </w:rPr>
            </w:pPr>
            <w:r>
              <w:rPr>
                <w:rFonts w:hint="eastAsia"/>
                <w:b w:val="0"/>
                <w:sz w:val="24"/>
              </w:rPr>
              <w:t>项目经过一体化污水处理设备处理的生产废水与经化粪池处理的生活污水汇合，通过污水排放口接入市政污水管网，纳入元洪投资区污水处理厂处理后，可达到《污水综合排放标准》（GB 8978-1996）表4中三级标准限值，其中氨氮参照执行《污水排入城镇下水道水质标准》（GB/T31962-2015）中B等级标准。外排废水水质在元洪投资区污水处理厂的接收水质范围内，不会对该污水处理厂造成污染负荷冲击，不会影响该污水处理厂污水处理效果。</w:t>
            </w:r>
          </w:p>
          <w:p>
            <w:pPr>
              <w:pStyle w:val="5"/>
              <w:spacing w:beforeLines="0" w:afterLines="0"/>
              <w:ind w:firstLine="480" w:firstLineChars="200"/>
              <w:jc w:val="left"/>
              <w:rPr>
                <w:b w:val="0"/>
                <w:sz w:val="24"/>
              </w:rPr>
            </w:pPr>
            <w:r>
              <w:rPr>
                <w:rFonts w:hint="eastAsia"/>
                <w:b w:val="0"/>
                <w:sz w:val="24"/>
              </w:rPr>
              <w:t>④可行性分析</w:t>
            </w:r>
          </w:p>
          <w:p>
            <w:pPr>
              <w:pStyle w:val="5"/>
              <w:spacing w:beforeLines="0" w:afterLines="0"/>
              <w:ind w:firstLine="480" w:firstLineChars="200"/>
              <w:jc w:val="left"/>
              <w:rPr>
                <w:b w:val="0"/>
                <w:sz w:val="24"/>
              </w:rPr>
            </w:pPr>
            <w:r>
              <w:rPr>
                <w:rFonts w:hint="eastAsia"/>
                <w:b w:val="0"/>
                <w:sz w:val="24"/>
              </w:rPr>
              <w:t>综上所述，元洪投资区污水处理厂剩余处理能力足够的容量接纳本次项目废水，同时项目废水经厂内污水处理设施处理后可以符合纳管水质要求，不会对元洪投资区污水处理厂造成冲击影响。因此，本项目生产废水排入污水处理厂可行性。</w:t>
            </w:r>
          </w:p>
          <w:p>
            <w:pPr>
              <w:keepNext/>
              <w:keepLines/>
              <w:spacing w:before="240" w:beforeLines="100"/>
              <w:ind w:firstLine="482"/>
              <w:outlineLvl w:val="1"/>
              <w:rPr>
                <w:b/>
                <w:bCs/>
              </w:rPr>
            </w:pPr>
            <w:r>
              <w:rPr>
                <w:rFonts w:hint="eastAsia"/>
                <w:b/>
                <w:bCs/>
              </w:rPr>
              <w:t>3、自行监测计划</w:t>
            </w:r>
          </w:p>
          <w:p>
            <w:pPr>
              <w:adjustRightInd w:val="0"/>
              <w:snapToGrid w:val="0"/>
              <w:ind w:firstLine="484"/>
              <w:rPr>
                <w:spacing w:val="1"/>
              </w:rPr>
            </w:pPr>
            <w:r>
              <w:rPr>
                <w:rFonts w:hint="eastAsia"/>
                <w:spacing w:val="1"/>
              </w:rPr>
              <w:t>根据《</w:t>
            </w:r>
            <w:bookmarkStart w:id="46" w:name="OLE_LINK38"/>
            <w:bookmarkStart w:id="47" w:name="OLE_LINK27"/>
            <w:bookmarkStart w:id="48" w:name="OLE_LINK42"/>
            <w:r>
              <w:rPr>
                <w:rFonts w:hint="eastAsia"/>
                <w:spacing w:val="1"/>
              </w:rPr>
              <w:t>排污单位自行监测技术指南</w:t>
            </w:r>
            <w:bookmarkEnd w:id="46"/>
            <w:r>
              <w:rPr>
                <w:rFonts w:hint="eastAsia"/>
                <w:spacing w:val="1"/>
              </w:rPr>
              <w:t xml:space="preserve"> 食品制造</w:t>
            </w:r>
            <w:bookmarkEnd w:id="47"/>
            <w:bookmarkEnd w:id="48"/>
            <w:r>
              <w:rPr>
                <w:rFonts w:hint="eastAsia"/>
                <w:spacing w:val="1"/>
              </w:rPr>
              <w:t>》（HJ 1084-2020），项目污染源监测计划见下表。</w:t>
            </w:r>
          </w:p>
          <w:p>
            <w:pPr>
              <w:pStyle w:val="2"/>
              <w:spacing w:line="240" w:lineRule="auto"/>
              <w:jc w:val="center"/>
            </w:pPr>
            <w:r>
              <w:rPr>
                <w:rFonts w:hint="eastAsia"/>
              </w:rPr>
              <w:t>表4.3-7  废水监测计划一览表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2202"/>
              <w:gridCol w:w="2687"/>
              <w:gridCol w:w="17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2199" w:type="dxa"/>
                  <w:vAlign w:val="center"/>
                </w:tcPr>
                <w:p>
                  <w:pPr>
                    <w:pStyle w:val="2"/>
                    <w:spacing w:line="240" w:lineRule="auto"/>
                    <w:jc w:val="center"/>
                    <w:outlineLvl w:val="3"/>
                    <w:rPr>
                      <w:b w:val="0"/>
                      <w:sz w:val="21"/>
                    </w:rPr>
                  </w:pPr>
                  <w:r>
                    <w:rPr>
                      <w:rFonts w:hint="eastAsia"/>
                      <w:b w:val="0"/>
                      <w:sz w:val="21"/>
                    </w:rPr>
                    <w:t>排放口</w:t>
                  </w:r>
                </w:p>
              </w:tc>
              <w:tc>
                <w:tcPr>
                  <w:tcW w:w="2202" w:type="dxa"/>
                  <w:vAlign w:val="center"/>
                </w:tcPr>
                <w:p>
                  <w:pPr>
                    <w:pStyle w:val="2"/>
                    <w:spacing w:line="240" w:lineRule="auto"/>
                    <w:jc w:val="center"/>
                    <w:outlineLvl w:val="3"/>
                    <w:rPr>
                      <w:b w:val="0"/>
                      <w:sz w:val="21"/>
                    </w:rPr>
                  </w:pPr>
                  <w:r>
                    <w:rPr>
                      <w:b w:val="0"/>
                      <w:sz w:val="21"/>
                    </w:rPr>
                    <w:t>监测点位</w:t>
                  </w:r>
                </w:p>
              </w:tc>
              <w:tc>
                <w:tcPr>
                  <w:tcW w:w="2687" w:type="dxa"/>
                  <w:vAlign w:val="center"/>
                </w:tcPr>
                <w:p>
                  <w:pPr>
                    <w:pStyle w:val="2"/>
                    <w:spacing w:line="240" w:lineRule="auto"/>
                    <w:jc w:val="center"/>
                    <w:outlineLvl w:val="3"/>
                    <w:rPr>
                      <w:b w:val="0"/>
                      <w:sz w:val="21"/>
                    </w:rPr>
                  </w:pPr>
                  <w:r>
                    <w:rPr>
                      <w:b w:val="0"/>
                      <w:sz w:val="21"/>
                    </w:rPr>
                    <w:t>监测项目</w:t>
                  </w:r>
                </w:p>
              </w:tc>
              <w:tc>
                <w:tcPr>
                  <w:tcW w:w="1717" w:type="dxa"/>
                  <w:vAlign w:val="center"/>
                </w:tcPr>
                <w:p>
                  <w:pPr>
                    <w:pStyle w:val="2"/>
                    <w:spacing w:line="240" w:lineRule="auto"/>
                    <w:jc w:val="center"/>
                    <w:outlineLvl w:val="3"/>
                    <w:rPr>
                      <w:b w:val="0"/>
                      <w:sz w:val="21"/>
                    </w:rPr>
                  </w:pPr>
                  <w:r>
                    <w:rPr>
                      <w:b w:val="0"/>
                      <w:sz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9" w:type="dxa"/>
                  <w:vAlign w:val="center"/>
                </w:tcPr>
                <w:p>
                  <w:pPr>
                    <w:pStyle w:val="2"/>
                    <w:spacing w:line="240" w:lineRule="auto"/>
                    <w:jc w:val="center"/>
                    <w:outlineLvl w:val="3"/>
                    <w:rPr>
                      <w:b w:val="0"/>
                      <w:sz w:val="21"/>
                    </w:rPr>
                  </w:pPr>
                  <w:r>
                    <w:rPr>
                      <w:rFonts w:hint="eastAsia"/>
                      <w:b w:val="0"/>
                      <w:sz w:val="21"/>
                    </w:rPr>
                    <w:t>DW002</w:t>
                  </w:r>
                </w:p>
              </w:tc>
              <w:tc>
                <w:tcPr>
                  <w:tcW w:w="2202" w:type="dxa"/>
                  <w:vAlign w:val="center"/>
                </w:tcPr>
                <w:p>
                  <w:pPr>
                    <w:pStyle w:val="2"/>
                    <w:spacing w:line="240" w:lineRule="auto"/>
                    <w:jc w:val="center"/>
                    <w:outlineLvl w:val="3"/>
                    <w:rPr>
                      <w:b w:val="0"/>
                      <w:sz w:val="21"/>
                    </w:rPr>
                  </w:pPr>
                  <w:r>
                    <w:rPr>
                      <w:rFonts w:hint="eastAsia"/>
                      <w:b w:val="0"/>
                    </w:rPr>
                    <w:t>一体化污水处理设备</w:t>
                  </w:r>
                  <w:r>
                    <w:rPr>
                      <w:rFonts w:hint="eastAsia"/>
                      <w:b w:val="0"/>
                      <w:sz w:val="21"/>
                    </w:rPr>
                    <w:t>出口</w:t>
                  </w:r>
                </w:p>
              </w:tc>
              <w:tc>
                <w:tcPr>
                  <w:tcW w:w="2687" w:type="dxa"/>
                  <w:vAlign w:val="center"/>
                </w:tcPr>
                <w:p>
                  <w:pPr>
                    <w:pStyle w:val="2"/>
                    <w:spacing w:line="240" w:lineRule="auto"/>
                    <w:jc w:val="center"/>
                    <w:outlineLvl w:val="3"/>
                    <w:rPr>
                      <w:b w:val="0"/>
                      <w:sz w:val="21"/>
                    </w:rPr>
                  </w:pPr>
                  <w:r>
                    <w:rPr>
                      <w:rFonts w:hint="eastAsia"/>
                      <w:b w:val="0"/>
                      <w:sz w:val="21"/>
                    </w:rPr>
                    <w:t>pH、COD、BOD</w:t>
                  </w:r>
                  <w:r>
                    <w:rPr>
                      <w:rFonts w:hint="eastAsia"/>
                      <w:b w:val="0"/>
                      <w:sz w:val="21"/>
                      <w:vertAlign w:val="subscript"/>
                    </w:rPr>
                    <w:t>5</w:t>
                  </w:r>
                  <w:r>
                    <w:rPr>
                      <w:rFonts w:hint="eastAsia"/>
                      <w:b w:val="0"/>
                      <w:sz w:val="21"/>
                    </w:rPr>
                    <w:t>、SS、NH</w:t>
                  </w:r>
                  <w:r>
                    <w:rPr>
                      <w:rFonts w:hint="eastAsia"/>
                      <w:b w:val="0"/>
                      <w:sz w:val="21"/>
                      <w:vertAlign w:val="subscript"/>
                    </w:rPr>
                    <w:t>3</w:t>
                  </w:r>
                  <w:r>
                    <w:rPr>
                      <w:rFonts w:hint="eastAsia"/>
                      <w:b w:val="0"/>
                      <w:sz w:val="21"/>
                    </w:rPr>
                    <w:t>-N、TN、TP、流量</w:t>
                  </w:r>
                </w:p>
              </w:tc>
              <w:tc>
                <w:tcPr>
                  <w:tcW w:w="1717" w:type="dxa"/>
                  <w:vAlign w:val="center"/>
                </w:tcPr>
                <w:p>
                  <w:pPr>
                    <w:pStyle w:val="2"/>
                    <w:spacing w:line="240" w:lineRule="auto"/>
                    <w:jc w:val="center"/>
                    <w:outlineLvl w:val="3"/>
                    <w:rPr>
                      <w:b w:val="0"/>
                      <w:sz w:val="21"/>
                    </w:rPr>
                  </w:pPr>
                  <w:r>
                    <w:rPr>
                      <w:rFonts w:hint="eastAsia"/>
                      <w:b w:val="0"/>
                      <w:sz w:val="21"/>
                    </w:rPr>
                    <w:t>1次/半年</w:t>
                  </w:r>
                </w:p>
              </w:tc>
            </w:tr>
          </w:tbl>
          <w:p>
            <w:pPr>
              <w:pStyle w:val="5"/>
              <w:spacing w:before="240" w:beforeLines="100" w:afterLines="0"/>
            </w:pPr>
            <w:r>
              <w:t>4.</w:t>
            </w:r>
            <w:r>
              <w:rPr>
                <w:rFonts w:hint="eastAsia"/>
              </w:rPr>
              <w:t>4</w:t>
            </w:r>
            <w:r>
              <w:t>运营期噪声</w:t>
            </w:r>
          </w:p>
          <w:p>
            <w:pPr>
              <w:keepNext/>
              <w:keepLines/>
              <w:ind w:firstLine="482"/>
              <w:outlineLvl w:val="1"/>
              <w:rPr>
                <w:b/>
                <w:bCs/>
              </w:rPr>
            </w:pPr>
            <w:r>
              <w:rPr>
                <w:rFonts w:hint="eastAsia"/>
                <w:b/>
                <w:bCs/>
              </w:rPr>
              <w:t>1、噪声源强</w:t>
            </w:r>
          </w:p>
          <w:p>
            <w:pPr>
              <w:spacing w:before="120" w:beforeLines="50"/>
              <w:ind w:firstLine="480"/>
              <w:jc w:val="left"/>
            </w:pPr>
            <w:r>
              <w:rPr>
                <w:rFonts w:hint="eastAsia"/>
              </w:rPr>
              <w:t>项目主要噪声污染源为生产设备运行时产生的机械噪声，设备噪声声级如下：</w:t>
            </w:r>
          </w:p>
        </w:tc>
      </w:tr>
    </w:tbl>
    <w:p>
      <w:pPr>
        <w:ind w:firstLine="0" w:firstLineChars="0"/>
        <w:sectPr>
          <w:headerReference r:id="rId23" w:type="first"/>
          <w:headerReference r:id="rId21" w:type="default"/>
          <w:footerReference r:id="rId24" w:type="default"/>
          <w:headerReference r:id="rId22" w:type="even"/>
          <w:pgSz w:w="11905" w:h="16838"/>
          <w:pgMar w:top="1417" w:right="1417" w:bottom="1417" w:left="1417" w:header="850" w:footer="850" w:gutter="0"/>
          <w:cols w:space="720" w:num="1"/>
          <w:docGrid w:linePitch="312" w:charSpace="0"/>
        </w:sectPr>
      </w:pPr>
    </w:p>
    <w:p>
      <w:pPr>
        <w:spacing w:before="120" w:beforeLines="50" w:line="240" w:lineRule="auto"/>
        <w:ind w:firstLine="0" w:firstLineChars="0"/>
        <w:jc w:val="center"/>
        <w:rPr>
          <w:rFonts w:cs="宋体"/>
          <w:b/>
          <w:kern w:val="0"/>
          <w:szCs w:val="21"/>
        </w:rPr>
      </w:pPr>
      <w:r>
        <w:rPr>
          <w:rFonts w:hint="eastAsia" w:cs="宋体"/>
          <w:b/>
          <w:kern w:val="0"/>
          <w:szCs w:val="21"/>
        </w:rPr>
        <w:t>表4.4-1  项目噪声源强及预测值  单位：dB(A)</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50"/>
        <w:gridCol w:w="935"/>
        <w:gridCol w:w="771"/>
        <w:gridCol w:w="1428"/>
        <w:gridCol w:w="811"/>
        <w:gridCol w:w="620"/>
        <w:gridCol w:w="620"/>
        <w:gridCol w:w="626"/>
        <w:gridCol w:w="1061"/>
        <w:gridCol w:w="1121"/>
        <w:gridCol w:w="933"/>
        <w:gridCol w:w="947"/>
        <w:gridCol w:w="1138"/>
        <w:gridCol w:w="1095"/>
        <w:gridCol w:w="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restart"/>
            <w:vAlign w:val="center"/>
          </w:tcPr>
          <w:p>
            <w:pPr>
              <w:pStyle w:val="171"/>
            </w:pPr>
            <w:r>
              <w:rPr>
                <w:rFonts w:hint="eastAsia"/>
              </w:rPr>
              <w:t>序号</w:t>
            </w:r>
          </w:p>
        </w:tc>
        <w:tc>
          <w:tcPr>
            <w:tcW w:w="229" w:type="pct"/>
            <w:vMerge w:val="restart"/>
            <w:vAlign w:val="center"/>
          </w:tcPr>
          <w:p>
            <w:pPr>
              <w:pStyle w:val="171"/>
            </w:pPr>
            <w:r>
              <w:rPr>
                <w:rFonts w:hint="eastAsia"/>
              </w:rPr>
              <w:t>建筑物名称</w:t>
            </w:r>
          </w:p>
        </w:tc>
        <w:tc>
          <w:tcPr>
            <w:tcW w:w="329" w:type="pct"/>
            <w:vMerge w:val="restart"/>
            <w:vAlign w:val="center"/>
          </w:tcPr>
          <w:p>
            <w:pPr>
              <w:pStyle w:val="171"/>
            </w:pPr>
            <w:r>
              <w:rPr>
                <w:rFonts w:hint="eastAsia"/>
              </w:rPr>
              <w:t>声源名称</w:t>
            </w:r>
          </w:p>
        </w:tc>
        <w:tc>
          <w:tcPr>
            <w:tcW w:w="271" w:type="pct"/>
            <w:vMerge w:val="restart"/>
            <w:vAlign w:val="center"/>
          </w:tcPr>
          <w:p>
            <w:pPr>
              <w:pStyle w:val="171"/>
            </w:pPr>
            <w:r>
              <w:rPr>
                <w:rFonts w:hint="eastAsia"/>
              </w:rPr>
              <w:t>型号/规格</w:t>
            </w:r>
          </w:p>
        </w:tc>
        <w:tc>
          <w:tcPr>
            <w:tcW w:w="502" w:type="pct"/>
            <w:vAlign w:val="center"/>
          </w:tcPr>
          <w:p>
            <w:pPr>
              <w:pStyle w:val="171"/>
            </w:pPr>
            <w:r>
              <w:rPr>
                <w:rFonts w:hint="eastAsia"/>
              </w:rPr>
              <w:t>声源源强</w:t>
            </w:r>
          </w:p>
        </w:tc>
        <w:tc>
          <w:tcPr>
            <w:tcW w:w="285" w:type="pct"/>
            <w:vMerge w:val="restart"/>
            <w:vAlign w:val="center"/>
          </w:tcPr>
          <w:p>
            <w:pPr>
              <w:pStyle w:val="171"/>
            </w:pPr>
            <w:r>
              <w:rPr>
                <w:rFonts w:hint="eastAsia"/>
              </w:rPr>
              <w:t>声源控制措施</w:t>
            </w:r>
          </w:p>
          <w:p>
            <w:pPr>
              <w:pStyle w:val="171"/>
            </w:pPr>
          </w:p>
        </w:tc>
        <w:tc>
          <w:tcPr>
            <w:tcW w:w="656" w:type="pct"/>
            <w:gridSpan w:val="3"/>
            <w:vAlign w:val="center"/>
          </w:tcPr>
          <w:p>
            <w:pPr>
              <w:pStyle w:val="171"/>
            </w:pPr>
            <w:r>
              <w:rPr>
                <w:rFonts w:hint="eastAsia"/>
              </w:rPr>
              <w:t>空间相对位置/m</w:t>
            </w:r>
          </w:p>
        </w:tc>
        <w:tc>
          <w:tcPr>
            <w:tcW w:w="373" w:type="pct"/>
            <w:vMerge w:val="restart"/>
            <w:vAlign w:val="center"/>
          </w:tcPr>
          <w:p>
            <w:pPr>
              <w:pStyle w:val="171"/>
            </w:pPr>
            <w:r>
              <w:rPr>
                <w:rFonts w:hint="eastAsia"/>
              </w:rPr>
              <w:t>距室内边界距离/</w:t>
            </w:r>
            <w:r>
              <w:t>m</w:t>
            </w:r>
          </w:p>
        </w:tc>
        <w:tc>
          <w:tcPr>
            <w:tcW w:w="394" w:type="pct"/>
            <w:vMerge w:val="restart"/>
            <w:vAlign w:val="center"/>
          </w:tcPr>
          <w:p>
            <w:pPr>
              <w:pStyle w:val="171"/>
            </w:pPr>
            <w:r>
              <w:rPr>
                <w:rFonts w:hint="eastAsia"/>
              </w:rPr>
              <w:t>室内边界声级</w:t>
            </w:r>
          </w:p>
          <w:p>
            <w:pPr>
              <w:pStyle w:val="171"/>
            </w:pPr>
            <w:r>
              <w:rPr>
                <w:rFonts w:hint="eastAsia"/>
              </w:rPr>
              <w:t>/</w:t>
            </w:r>
            <w:r>
              <w:t>dB（A）</w:t>
            </w:r>
          </w:p>
        </w:tc>
        <w:tc>
          <w:tcPr>
            <w:tcW w:w="328" w:type="pct"/>
            <w:vMerge w:val="restart"/>
            <w:vAlign w:val="center"/>
          </w:tcPr>
          <w:p>
            <w:pPr>
              <w:pStyle w:val="171"/>
            </w:pPr>
            <w:r>
              <w:rPr>
                <w:rFonts w:hint="eastAsia"/>
              </w:rPr>
              <w:t>室内边界位置</w:t>
            </w:r>
          </w:p>
        </w:tc>
        <w:tc>
          <w:tcPr>
            <w:tcW w:w="333" w:type="pct"/>
            <w:vMerge w:val="restart"/>
            <w:vAlign w:val="center"/>
          </w:tcPr>
          <w:p>
            <w:pPr>
              <w:pStyle w:val="171"/>
            </w:pPr>
            <w:r>
              <w:rPr>
                <w:rFonts w:hint="eastAsia"/>
              </w:rPr>
              <w:t>持续时间/h</w:t>
            </w:r>
          </w:p>
        </w:tc>
        <w:tc>
          <w:tcPr>
            <w:tcW w:w="400" w:type="pct"/>
            <w:vMerge w:val="restart"/>
            <w:vAlign w:val="center"/>
          </w:tcPr>
          <w:p>
            <w:pPr>
              <w:pStyle w:val="171"/>
            </w:pPr>
            <w:r>
              <w:rPr>
                <w:rFonts w:hint="eastAsia"/>
              </w:rPr>
              <w:t>建筑物插入损失/</w:t>
            </w:r>
            <w:r>
              <w:t>dB（A）</w:t>
            </w:r>
          </w:p>
        </w:tc>
        <w:tc>
          <w:tcPr>
            <w:tcW w:w="712" w:type="pct"/>
            <w:gridSpan w:val="2"/>
            <w:vAlign w:val="center"/>
          </w:tcPr>
          <w:p>
            <w:pPr>
              <w:pStyle w:val="171"/>
            </w:pPr>
            <w:r>
              <w:rPr>
                <w:rFonts w:hint="eastAsia"/>
              </w:rPr>
              <w:t>建筑外噪声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Align w:val="center"/>
          </w:tcPr>
          <w:p>
            <w:pPr>
              <w:pStyle w:val="171"/>
            </w:pPr>
            <w:r>
              <w:rPr>
                <w:rFonts w:hint="eastAsia"/>
              </w:rPr>
              <w:t>（声压级/距声源距离）/</w:t>
            </w:r>
            <w:r>
              <w:t>dB（A）</w:t>
            </w:r>
            <w:r>
              <w:rPr>
                <w:rFonts w:hint="eastAsia"/>
              </w:rPr>
              <w:t>/</w:t>
            </w:r>
            <w:r>
              <w:t>（m）</w:t>
            </w:r>
          </w:p>
        </w:tc>
        <w:tc>
          <w:tcPr>
            <w:tcW w:w="285" w:type="pct"/>
            <w:vMerge w:val="continue"/>
            <w:vAlign w:val="center"/>
          </w:tcPr>
          <w:p>
            <w:pPr>
              <w:pStyle w:val="171"/>
            </w:pPr>
          </w:p>
        </w:tc>
        <w:tc>
          <w:tcPr>
            <w:tcW w:w="218" w:type="pct"/>
            <w:vAlign w:val="center"/>
          </w:tcPr>
          <w:p>
            <w:pPr>
              <w:pStyle w:val="171"/>
            </w:pPr>
            <w:r>
              <w:t>X</w:t>
            </w:r>
          </w:p>
        </w:tc>
        <w:tc>
          <w:tcPr>
            <w:tcW w:w="218" w:type="pct"/>
            <w:vAlign w:val="center"/>
          </w:tcPr>
          <w:p>
            <w:pPr>
              <w:pStyle w:val="171"/>
            </w:pPr>
            <w:r>
              <w:t>Y</w:t>
            </w:r>
          </w:p>
        </w:tc>
        <w:tc>
          <w:tcPr>
            <w:tcW w:w="220" w:type="pct"/>
            <w:vAlign w:val="center"/>
          </w:tcPr>
          <w:p>
            <w:pPr>
              <w:pStyle w:val="171"/>
            </w:pPr>
            <w:r>
              <w:t>Z</w:t>
            </w:r>
          </w:p>
        </w:tc>
        <w:tc>
          <w:tcPr>
            <w:tcW w:w="373" w:type="pct"/>
            <w:vMerge w:val="continue"/>
            <w:vAlign w:val="center"/>
          </w:tcPr>
          <w:p>
            <w:pPr>
              <w:pStyle w:val="171"/>
            </w:pPr>
          </w:p>
        </w:tc>
        <w:tc>
          <w:tcPr>
            <w:tcW w:w="394" w:type="pct"/>
            <w:vMerge w:val="continue"/>
            <w:vAlign w:val="center"/>
          </w:tcPr>
          <w:p>
            <w:pPr>
              <w:pStyle w:val="171"/>
            </w:pPr>
          </w:p>
        </w:tc>
        <w:tc>
          <w:tcPr>
            <w:tcW w:w="328" w:type="pct"/>
            <w:vMerge w:val="continue"/>
            <w:vAlign w:val="center"/>
          </w:tcPr>
          <w:p>
            <w:pPr>
              <w:pStyle w:val="171"/>
            </w:pP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71"/>
            </w:pPr>
            <w:r>
              <w:rPr>
                <w:rFonts w:hint="eastAsia"/>
              </w:rPr>
              <w:t>声压级/</w:t>
            </w:r>
            <w:r>
              <w:t>dB（A）</w:t>
            </w:r>
          </w:p>
        </w:tc>
        <w:tc>
          <w:tcPr>
            <w:tcW w:w="327" w:type="pct"/>
            <w:vAlign w:val="center"/>
          </w:tcPr>
          <w:p>
            <w:pPr>
              <w:pStyle w:val="171"/>
            </w:pPr>
            <w:r>
              <w:rPr>
                <w:rFonts w:hint="eastAsia"/>
              </w:rPr>
              <w:t>建筑外距离/</w:t>
            </w:r>
            <w: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restart"/>
            <w:vAlign w:val="center"/>
          </w:tcPr>
          <w:p>
            <w:pPr>
              <w:pStyle w:val="171"/>
            </w:pPr>
            <w:r>
              <w:rPr>
                <w:rFonts w:hint="eastAsia"/>
              </w:rPr>
              <w:t>1</w:t>
            </w:r>
          </w:p>
        </w:tc>
        <w:tc>
          <w:tcPr>
            <w:tcW w:w="229" w:type="pct"/>
            <w:vMerge w:val="restart"/>
            <w:vAlign w:val="center"/>
          </w:tcPr>
          <w:p>
            <w:pPr>
              <w:pStyle w:val="171"/>
            </w:pPr>
            <w:r>
              <w:rPr>
                <w:rFonts w:hint="eastAsia"/>
              </w:rPr>
              <w:t>厂房</w:t>
            </w:r>
          </w:p>
        </w:tc>
        <w:tc>
          <w:tcPr>
            <w:tcW w:w="329" w:type="pct"/>
            <w:vMerge w:val="restart"/>
            <w:vAlign w:val="center"/>
          </w:tcPr>
          <w:p>
            <w:pPr>
              <w:pStyle w:val="171"/>
            </w:pPr>
            <w:r>
              <w:t>抽米机</w:t>
            </w:r>
          </w:p>
        </w:tc>
        <w:tc>
          <w:tcPr>
            <w:tcW w:w="271" w:type="pct"/>
            <w:vMerge w:val="restart"/>
            <w:vAlign w:val="center"/>
          </w:tcPr>
          <w:p>
            <w:pPr>
              <w:pStyle w:val="171"/>
            </w:pPr>
            <w:r>
              <w:rPr>
                <w:rFonts w:hint="eastAsia"/>
              </w:rPr>
              <w:t>4kw</w:t>
            </w:r>
          </w:p>
        </w:tc>
        <w:tc>
          <w:tcPr>
            <w:tcW w:w="502" w:type="pct"/>
            <w:vMerge w:val="restart"/>
            <w:vAlign w:val="center"/>
          </w:tcPr>
          <w:p>
            <w:pPr>
              <w:pStyle w:val="171"/>
            </w:pPr>
            <w:r>
              <w:t>85</w:t>
            </w:r>
            <w:r>
              <w:rPr>
                <w:rFonts w:hint="eastAsia"/>
              </w:rPr>
              <w:t>/1</w:t>
            </w:r>
          </w:p>
        </w:tc>
        <w:tc>
          <w:tcPr>
            <w:tcW w:w="285" w:type="pct"/>
            <w:vMerge w:val="restart"/>
            <w:vAlign w:val="center"/>
          </w:tcPr>
          <w:p>
            <w:pPr>
              <w:pStyle w:val="171"/>
            </w:pPr>
            <w:r>
              <w:rPr>
                <w:rFonts w:hint="eastAsia"/>
              </w:rPr>
              <w:t>厂房隔声、基础固定、防振装置</w:t>
            </w:r>
          </w:p>
        </w:tc>
        <w:tc>
          <w:tcPr>
            <w:tcW w:w="218" w:type="pct"/>
            <w:vMerge w:val="restart"/>
            <w:vAlign w:val="center"/>
          </w:tcPr>
          <w:p>
            <w:pPr>
              <w:pStyle w:val="171"/>
            </w:pPr>
            <w:r>
              <w:rPr>
                <w:rFonts w:hint="eastAsia"/>
              </w:rPr>
              <w:t>7</w:t>
            </w:r>
          </w:p>
        </w:tc>
        <w:tc>
          <w:tcPr>
            <w:tcW w:w="218" w:type="pct"/>
            <w:vMerge w:val="restart"/>
            <w:vAlign w:val="center"/>
          </w:tcPr>
          <w:p>
            <w:pPr>
              <w:pStyle w:val="171"/>
            </w:pPr>
            <w:r>
              <w:rPr>
                <w:rFonts w:hint="eastAsia"/>
              </w:rPr>
              <w:t>52</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25</w:t>
            </w:r>
          </w:p>
        </w:tc>
        <w:tc>
          <w:tcPr>
            <w:tcW w:w="394" w:type="pct"/>
            <w:vAlign w:val="center"/>
          </w:tcPr>
          <w:p>
            <w:pPr>
              <w:pStyle w:val="171"/>
            </w:pPr>
            <w:r>
              <w:rPr>
                <w:rFonts w:hint="eastAsia"/>
              </w:rPr>
              <w:t>57.04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166"/>
            </w:pPr>
            <w:r>
              <w:rPr>
                <w:rFonts w:hint="eastAsia"/>
              </w:rPr>
              <w:t>42.04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54</w:t>
            </w:r>
          </w:p>
        </w:tc>
        <w:tc>
          <w:tcPr>
            <w:tcW w:w="394" w:type="pct"/>
            <w:vAlign w:val="center"/>
          </w:tcPr>
          <w:p>
            <w:pPr>
              <w:pStyle w:val="171"/>
            </w:pPr>
            <w:r>
              <w:rPr>
                <w:rFonts w:hint="eastAsia"/>
              </w:rPr>
              <w:t>50.35</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35.35</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17</w:t>
            </w:r>
          </w:p>
        </w:tc>
        <w:tc>
          <w:tcPr>
            <w:tcW w:w="394" w:type="pct"/>
            <w:vAlign w:val="center"/>
          </w:tcPr>
          <w:p>
            <w:pPr>
              <w:pStyle w:val="171"/>
            </w:pPr>
            <w:r>
              <w:rPr>
                <w:rFonts w:hint="eastAsia"/>
              </w:rPr>
              <w:t>60.39</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45.39</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40</w:t>
            </w:r>
          </w:p>
        </w:tc>
        <w:tc>
          <w:tcPr>
            <w:tcW w:w="394" w:type="pct"/>
            <w:vAlign w:val="center"/>
          </w:tcPr>
          <w:p>
            <w:pPr>
              <w:pStyle w:val="171"/>
            </w:pPr>
            <w:r>
              <w:rPr>
                <w:rFonts w:hint="eastAsia"/>
              </w:rPr>
              <w:t>52.96</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37.96</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restart"/>
            <w:vAlign w:val="center"/>
          </w:tcPr>
          <w:p>
            <w:pPr>
              <w:pStyle w:val="171"/>
            </w:pPr>
            <w:r>
              <w:rPr>
                <w:rFonts w:hint="eastAsia"/>
              </w:rPr>
              <w:t>2</w:t>
            </w:r>
          </w:p>
        </w:tc>
        <w:tc>
          <w:tcPr>
            <w:tcW w:w="229" w:type="pct"/>
            <w:vMerge w:val="continue"/>
            <w:vAlign w:val="center"/>
          </w:tcPr>
          <w:p>
            <w:pPr>
              <w:pStyle w:val="171"/>
            </w:pPr>
          </w:p>
        </w:tc>
        <w:tc>
          <w:tcPr>
            <w:tcW w:w="329" w:type="pct"/>
            <w:vMerge w:val="restart"/>
            <w:vAlign w:val="center"/>
          </w:tcPr>
          <w:p>
            <w:pPr>
              <w:pStyle w:val="171"/>
            </w:pPr>
            <w:r>
              <w:rPr>
                <w:rFonts w:hint="eastAsia"/>
              </w:rPr>
              <w:t>磨浆机</w:t>
            </w:r>
          </w:p>
        </w:tc>
        <w:tc>
          <w:tcPr>
            <w:tcW w:w="271" w:type="pct"/>
            <w:vMerge w:val="restart"/>
            <w:vAlign w:val="center"/>
          </w:tcPr>
          <w:p>
            <w:pPr>
              <w:pStyle w:val="171"/>
            </w:pPr>
            <w:r>
              <w:rPr>
                <w:rFonts w:hint="eastAsia"/>
              </w:rPr>
              <w:t>15kw</w:t>
            </w:r>
          </w:p>
        </w:tc>
        <w:tc>
          <w:tcPr>
            <w:tcW w:w="502" w:type="pct"/>
            <w:vMerge w:val="restart"/>
            <w:vAlign w:val="center"/>
          </w:tcPr>
          <w:p>
            <w:pPr>
              <w:pStyle w:val="171"/>
            </w:pPr>
            <w:r>
              <w:rPr>
                <w:rFonts w:hint="eastAsia"/>
              </w:rPr>
              <w:t>80/1</w:t>
            </w:r>
          </w:p>
        </w:tc>
        <w:tc>
          <w:tcPr>
            <w:tcW w:w="285" w:type="pct"/>
            <w:vMerge w:val="continue"/>
            <w:vAlign w:val="center"/>
          </w:tcPr>
          <w:p>
            <w:pPr>
              <w:pStyle w:val="171"/>
            </w:pPr>
          </w:p>
        </w:tc>
        <w:tc>
          <w:tcPr>
            <w:tcW w:w="218" w:type="pct"/>
            <w:vMerge w:val="restart"/>
            <w:vAlign w:val="center"/>
          </w:tcPr>
          <w:p>
            <w:pPr>
              <w:pStyle w:val="171"/>
            </w:pPr>
            <w:r>
              <w:rPr>
                <w:rFonts w:hint="eastAsia"/>
              </w:rPr>
              <w:t>3</w:t>
            </w:r>
          </w:p>
        </w:tc>
        <w:tc>
          <w:tcPr>
            <w:tcW w:w="218" w:type="pct"/>
            <w:vMerge w:val="restart"/>
            <w:vAlign w:val="center"/>
          </w:tcPr>
          <w:p>
            <w:pPr>
              <w:pStyle w:val="171"/>
            </w:pPr>
            <w:r>
              <w:rPr>
                <w:rFonts w:hint="eastAsia"/>
              </w:rPr>
              <w:t>39</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23</w:t>
            </w:r>
          </w:p>
        </w:tc>
        <w:tc>
          <w:tcPr>
            <w:tcW w:w="394" w:type="pct"/>
            <w:vAlign w:val="center"/>
          </w:tcPr>
          <w:p>
            <w:pPr>
              <w:pStyle w:val="171"/>
            </w:pPr>
            <w:r>
              <w:rPr>
                <w:rFonts w:hint="eastAsia"/>
              </w:rPr>
              <w:t>52.77</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166"/>
            </w:pPr>
            <w:r>
              <w:rPr>
                <w:rFonts w:hint="eastAsia"/>
              </w:rPr>
              <w:t>37.77</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59</w:t>
            </w:r>
          </w:p>
        </w:tc>
        <w:tc>
          <w:tcPr>
            <w:tcW w:w="394" w:type="pct"/>
            <w:vAlign w:val="center"/>
          </w:tcPr>
          <w:p>
            <w:pPr>
              <w:pStyle w:val="171"/>
            </w:pPr>
            <w:r>
              <w:rPr>
                <w:rFonts w:hint="eastAsia"/>
              </w:rPr>
              <w:t>44.58</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29.58</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54.43</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39.43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49.12</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34.12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3</w:t>
            </w:r>
          </w:p>
        </w:tc>
        <w:tc>
          <w:tcPr>
            <w:tcW w:w="229" w:type="pct"/>
            <w:vMerge w:val="continue"/>
            <w:vAlign w:val="center"/>
          </w:tcPr>
          <w:p>
            <w:pPr>
              <w:pStyle w:val="171"/>
            </w:pPr>
          </w:p>
        </w:tc>
        <w:tc>
          <w:tcPr>
            <w:tcW w:w="329" w:type="pct"/>
            <w:vMerge w:val="restart"/>
            <w:vAlign w:val="center"/>
          </w:tcPr>
          <w:p>
            <w:pPr>
              <w:pStyle w:val="171"/>
            </w:pPr>
            <w:r>
              <w:t>压滤机</w:t>
            </w:r>
          </w:p>
        </w:tc>
        <w:tc>
          <w:tcPr>
            <w:tcW w:w="271" w:type="pct"/>
            <w:vMerge w:val="restart"/>
            <w:vAlign w:val="center"/>
          </w:tcPr>
          <w:p>
            <w:pPr>
              <w:pStyle w:val="171"/>
            </w:pPr>
            <w:r>
              <w:rPr>
                <w:rFonts w:hint="eastAsia"/>
              </w:rPr>
              <w:t>800型</w:t>
            </w:r>
          </w:p>
        </w:tc>
        <w:tc>
          <w:tcPr>
            <w:tcW w:w="502" w:type="pct"/>
            <w:vMerge w:val="restart"/>
            <w:vAlign w:val="center"/>
          </w:tcPr>
          <w:p>
            <w:pPr>
              <w:pStyle w:val="171"/>
            </w:pPr>
            <w:r>
              <w:rPr>
                <w:rFonts w:hint="eastAsia"/>
              </w:rPr>
              <w:t>70/1</w:t>
            </w:r>
          </w:p>
        </w:tc>
        <w:tc>
          <w:tcPr>
            <w:tcW w:w="285" w:type="pct"/>
            <w:vMerge w:val="continue"/>
            <w:vAlign w:val="center"/>
          </w:tcPr>
          <w:p>
            <w:pPr>
              <w:pStyle w:val="171"/>
            </w:pPr>
          </w:p>
        </w:tc>
        <w:tc>
          <w:tcPr>
            <w:tcW w:w="218" w:type="pct"/>
            <w:vMerge w:val="restart"/>
            <w:vAlign w:val="center"/>
          </w:tcPr>
          <w:p>
            <w:pPr>
              <w:pStyle w:val="171"/>
            </w:pPr>
            <w:r>
              <w:rPr>
                <w:rFonts w:hint="eastAsia"/>
              </w:rPr>
              <w:t>8</w:t>
            </w:r>
          </w:p>
        </w:tc>
        <w:tc>
          <w:tcPr>
            <w:tcW w:w="218" w:type="pct"/>
            <w:vMerge w:val="restart"/>
            <w:vAlign w:val="center"/>
          </w:tcPr>
          <w:p>
            <w:pPr>
              <w:pStyle w:val="171"/>
            </w:pPr>
            <w:r>
              <w:rPr>
                <w:rFonts w:hint="eastAsia"/>
              </w:rPr>
              <w:t>47</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22</w:t>
            </w:r>
          </w:p>
        </w:tc>
        <w:tc>
          <w:tcPr>
            <w:tcW w:w="394" w:type="pct"/>
            <w:vAlign w:val="center"/>
          </w:tcPr>
          <w:p>
            <w:pPr>
              <w:pStyle w:val="171"/>
            </w:pPr>
            <w:r>
              <w:rPr>
                <w:rFonts w:hint="eastAsia"/>
              </w:rPr>
              <w:t>55.14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166"/>
            </w:pPr>
            <w:r>
              <w:rPr>
                <w:rFonts w:hint="eastAsia"/>
              </w:rPr>
              <w:t>40.14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51</w:t>
            </w:r>
          </w:p>
        </w:tc>
        <w:tc>
          <w:tcPr>
            <w:tcW w:w="394" w:type="pct"/>
            <w:vAlign w:val="center"/>
          </w:tcPr>
          <w:p>
            <w:pPr>
              <w:pStyle w:val="171"/>
            </w:pPr>
            <w:r>
              <w:rPr>
                <w:rFonts w:hint="eastAsia"/>
              </w:rPr>
              <w:t>45.26</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30.26</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18</w:t>
            </w:r>
          </w:p>
        </w:tc>
        <w:tc>
          <w:tcPr>
            <w:tcW w:w="394" w:type="pct"/>
            <w:vAlign w:val="center"/>
          </w:tcPr>
          <w:p>
            <w:pPr>
              <w:pStyle w:val="171"/>
            </w:pPr>
            <w:r>
              <w:rPr>
                <w:rFonts w:hint="eastAsia"/>
              </w:rPr>
              <w:t>58.48</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43.48</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36</w:t>
            </w:r>
          </w:p>
        </w:tc>
        <w:tc>
          <w:tcPr>
            <w:tcW w:w="394" w:type="pct"/>
            <w:vAlign w:val="center"/>
          </w:tcPr>
          <w:p>
            <w:pPr>
              <w:pStyle w:val="171"/>
            </w:pPr>
            <w:r>
              <w:rPr>
                <w:rFonts w:hint="eastAsia"/>
              </w:rPr>
              <w:t>50.77</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35.77</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4</w:t>
            </w:r>
          </w:p>
        </w:tc>
        <w:tc>
          <w:tcPr>
            <w:tcW w:w="229" w:type="pct"/>
            <w:vMerge w:val="continue"/>
            <w:vAlign w:val="center"/>
          </w:tcPr>
          <w:p>
            <w:pPr>
              <w:pStyle w:val="171"/>
            </w:pPr>
          </w:p>
        </w:tc>
        <w:tc>
          <w:tcPr>
            <w:tcW w:w="329" w:type="pct"/>
            <w:vMerge w:val="restart"/>
            <w:vAlign w:val="center"/>
          </w:tcPr>
          <w:p>
            <w:pPr>
              <w:pStyle w:val="171"/>
            </w:pPr>
            <w:r>
              <w:t>搅拌机</w:t>
            </w:r>
          </w:p>
        </w:tc>
        <w:tc>
          <w:tcPr>
            <w:tcW w:w="271" w:type="pct"/>
            <w:vMerge w:val="restart"/>
            <w:vAlign w:val="center"/>
          </w:tcPr>
          <w:p>
            <w:pPr>
              <w:pStyle w:val="171"/>
            </w:pPr>
            <w:r>
              <w:rPr>
                <w:rFonts w:hint="eastAsia"/>
              </w:rPr>
              <w:t>11kw</w:t>
            </w:r>
          </w:p>
        </w:tc>
        <w:tc>
          <w:tcPr>
            <w:tcW w:w="502" w:type="pct"/>
            <w:vMerge w:val="restart"/>
            <w:vAlign w:val="center"/>
          </w:tcPr>
          <w:p>
            <w:pPr>
              <w:pStyle w:val="171"/>
            </w:pPr>
            <w:r>
              <w:rPr>
                <w:rFonts w:hint="eastAsia"/>
              </w:rPr>
              <w:t>75/1</w:t>
            </w:r>
          </w:p>
        </w:tc>
        <w:tc>
          <w:tcPr>
            <w:tcW w:w="285" w:type="pct"/>
            <w:vMerge w:val="continue"/>
            <w:vAlign w:val="center"/>
          </w:tcPr>
          <w:p>
            <w:pPr>
              <w:pStyle w:val="171"/>
            </w:pPr>
          </w:p>
        </w:tc>
        <w:tc>
          <w:tcPr>
            <w:tcW w:w="218" w:type="pct"/>
            <w:vMerge w:val="restart"/>
            <w:vAlign w:val="center"/>
          </w:tcPr>
          <w:p>
            <w:pPr>
              <w:pStyle w:val="171"/>
            </w:pPr>
            <w:r>
              <w:rPr>
                <w:rFonts w:hint="eastAsia"/>
              </w:rPr>
              <w:t>7</w:t>
            </w:r>
          </w:p>
        </w:tc>
        <w:tc>
          <w:tcPr>
            <w:tcW w:w="218" w:type="pct"/>
            <w:vMerge w:val="restart"/>
            <w:vAlign w:val="center"/>
          </w:tcPr>
          <w:p>
            <w:pPr>
              <w:pStyle w:val="171"/>
            </w:pPr>
            <w:r>
              <w:rPr>
                <w:rFonts w:hint="eastAsia"/>
              </w:rPr>
              <w:t>34</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20</w:t>
            </w:r>
          </w:p>
        </w:tc>
        <w:tc>
          <w:tcPr>
            <w:tcW w:w="394" w:type="pct"/>
            <w:vAlign w:val="center"/>
          </w:tcPr>
          <w:p>
            <w:pPr>
              <w:pStyle w:val="171"/>
            </w:pPr>
            <w:r>
              <w:rPr>
                <w:rFonts w:hint="eastAsia"/>
              </w:rPr>
              <w:t>56.24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52"/>
            </w:pPr>
            <w:r>
              <w:rPr>
                <w:rFonts w:hint="eastAsia"/>
              </w:rPr>
              <w:t>41.24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50</w:t>
            </w:r>
          </w:p>
        </w:tc>
        <w:tc>
          <w:tcPr>
            <w:tcW w:w="394" w:type="pct"/>
            <w:vAlign w:val="center"/>
          </w:tcPr>
          <w:p>
            <w:pPr>
              <w:pStyle w:val="171"/>
            </w:pPr>
            <w:r>
              <w:rPr>
                <w:rFonts w:hint="eastAsia"/>
              </w:rPr>
              <w:t>42.33</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27.33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58.02</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43.02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49.59</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34.59</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5</w:t>
            </w:r>
          </w:p>
        </w:tc>
        <w:tc>
          <w:tcPr>
            <w:tcW w:w="229" w:type="pct"/>
            <w:vMerge w:val="continue"/>
            <w:vAlign w:val="center"/>
          </w:tcPr>
          <w:p>
            <w:pPr>
              <w:pStyle w:val="171"/>
            </w:pPr>
          </w:p>
        </w:tc>
        <w:tc>
          <w:tcPr>
            <w:tcW w:w="329" w:type="pct"/>
            <w:vMerge w:val="restart"/>
            <w:vAlign w:val="center"/>
          </w:tcPr>
          <w:p>
            <w:pPr>
              <w:pStyle w:val="171"/>
            </w:pPr>
            <w:r>
              <w:t>出粿机</w:t>
            </w:r>
          </w:p>
        </w:tc>
        <w:tc>
          <w:tcPr>
            <w:tcW w:w="271" w:type="pct"/>
            <w:vMerge w:val="restart"/>
            <w:vAlign w:val="center"/>
          </w:tcPr>
          <w:p>
            <w:pPr>
              <w:pStyle w:val="171"/>
            </w:pPr>
            <w:r>
              <w:rPr>
                <w:rFonts w:hint="eastAsia"/>
              </w:rPr>
              <w:t>15kw</w:t>
            </w:r>
          </w:p>
        </w:tc>
        <w:tc>
          <w:tcPr>
            <w:tcW w:w="502" w:type="pct"/>
            <w:vMerge w:val="restart"/>
            <w:vAlign w:val="center"/>
          </w:tcPr>
          <w:p>
            <w:pPr>
              <w:pStyle w:val="171"/>
            </w:pPr>
            <w:r>
              <w:rPr>
                <w:rFonts w:hint="eastAsia"/>
              </w:rPr>
              <w:t>80/1</w:t>
            </w:r>
          </w:p>
        </w:tc>
        <w:tc>
          <w:tcPr>
            <w:tcW w:w="285" w:type="pct"/>
            <w:vMerge w:val="continue"/>
            <w:vAlign w:val="center"/>
          </w:tcPr>
          <w:p>
            <w:pPr>
              <w:pStyle w:val="171"/>
            </w:pPr>
          </w:p>
        </w:tc>
        <w:tc>
          <w:tcPr>
            <w:tcW w:w="218" w:type="pct"/>
            <w:vMerge w:val="restart"/>
            <w:vAlign w:val="center"/>
          </w:tcPr>
          <w:p>
            <w:pPr>
              <w:pStyle w:val="171"/>
            </w:pPr>
            <w:r>
              <w:rPr>
                <w:rFonts w:hint="eastAsia"/>
              </w:rPr>
              <w:t>3</w:t>
            </w:r>
          </w:p>
        </w:tc>
        <w:tc>
          <w:tcPr>
            <w:tcW w:w="218" w:type="pct"/>
            <w:vMerge w:val="restart"/>
            <w:vAlign w:val="center"/>
          </w:tcPr>
          <w:p>
            <w:pPr>
              <w:pStyle w:val="171"/>
            </w:pPr>
            <w:r>
              <w:rPr>
                <w:rFonts w:hint="eastAsia"/>
              </w:rPr>
              <w:t>39</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23</w:t>
            </w:r>
          </w:p>
        </w:tc>
        <w:tc>
          <w:tcPr>
            <w:tcW w:w="394" w:type="pct"/>
            <w:vAlign w:val="center"/>
          </w:tcPr>
          <w:p>
            <w:pPr>
              <w:pStyle w:val="171"/>
            </w:pPr>
            <w:r>
              <w:rPr>
                <w:rFonts w:hint="eastAsia"/>
              </w:rPr>
              <w:t>52.77</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166"/>
            </w:pPr>
            <w:r>
              <w:rPr>
                <w:rFonts w:hint="eastAsia"/>
              </w:rPr>
              <w:t>37.77</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59</w:t>
            </w:r>
          </w:p>
        </w:tc>
        <w:tc>
          <w:tcPr>
            <w:tcW w:w="394" w:type="pct"/>
            <w:vAlign w:val="center"/>
          </w:tcPr>
          <w:p>
            <w:pPr>
              <w:pStyle w:val="171"/>
            </w:pPr>
            <w:r>
              <w:rPr>
                <w:rFonts w:hint="eastAsia"/>
              </w:rPr>
              <w:t>44.58</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29.58</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54.43</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39.43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49.12</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34.12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6</w:t>
            </w:r>
          </w:p>
        </w:tc>
        <w:tc>
          <w:tcPr>
            <w:tcW w:w="229" w:type="pct"/>
            <w:vMerge w:val="continue"/>
            <w:vAlign w:val="center"/>
          </w:tcPr>
          <w:p>
            <w:pPr>
              <w:pStyle w:val="171"/>
            </w:pPr>
          </w:p>
        </w:tc>
        <w:tc>
          <w:tcPr>
            <w:tcW w:w="329" w:type="pct"/>
            <w:vMerge w:val="restart"/>
            <w:vAlign w:val="center"/>
          </w:tcPr>
          <w:p>
            <w:pPr>
              <w:pStyle w:val="171"/>
            </w:pPr>
            <w:r>
              <w:t>出粉机</w:t>
            </w:r>
          </w:p>
        </w:tc>
        <w:tc>
          <w:tcPr>
            <w:tcW w:w="271" w:type="pct"/>
            <w:vMerge w:val="restart"/>
            <w:vAlign w:val="center"/>
          </w:tcPr>
          <w:p>
            <w:pPr>
              <w:pStyle w:val="171"/>
            </w:pPr>
            <w:r>
              <w:rPr>
                <w:rFonts w:hint="eastAsia"/>
              </w:rPr>
              <w:t>30kw</w:t>
            </w:r>
          </w:p>
        </w:tc>
        <w:tc>
          <w:tcPr>
            <w:tcW w:w="502" w:type="pct"/>
            <w:vMerge w:val="restart"/>
            <w:vAlign w:val="center"/>
          </w:tcPr>
          <w:p>
            <w:pPr>
              <w:pStyle w:val="171"/>
            </w:pPr>
            <w:r>
              <w:rPr>
                <w:rFonts w:hint="eastAsia"/>
              </w:rPr>
              <w:t>85/1</w:t>
            </w:r>
          </w:p>
        </w:tc>
        <w:tc>
          <w:tcPr>
            <w:tcW w:w="285" w:type="pct"/>
            <w:vMerge w:val="continue"/>
            <w:vAlign w:val="center"/>
          </w:tcPr>
          <w:p>
            <w:pPr>
              <w:pStyle w:val="171"/>
            </w:pPr>
          </w:p>
        </w:tc>
        <w:tc>
          <w:tcPr>
            <w:tcW w:w="218" w:type="pct"/>
            <w:vMerge w:val="restart"/>
            <w:vAlign w:val="center"/>
          </w:tcPr>
          <w:p>
            <w:pPr>
              <w:pStyle w:val="171"/>
            </w:pPr>
            <w:r>
              <w:rPr>
                <w:rFonts w:hint="eastAsia"/>
              </w:rPr>
              <w:t>7</w:t>
            </w:r>
          </w:p>
        </w:tc>
        <w:tc>
          <w:tcPr>
            <w:tcW w:w="218" w:type="pct"/>
            <w:vMerge w:val="restart"/>
            <w:vAlign w:val="center"/>
          </w:tcPr>
          <w:p>
            <w:pPr>
              <w:pStyle w:val="171"/>
            </w:pPr>
            <w:r>
              <w:rPr>
                <w:rFonts w:hint="eastAsia"/>
              </w:rPr>
              <w:t>52</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25</w:t>
            </w:r>
          </w:p>
        </w:tc>
        <w:tc>
          <w:tcPr>
            <w:tcW w:w="394" w:type="pct"/>
            <w:vAlign w:val="center"/>
          </w:tcPr>
          <w:p>
            <w:pPr>
              <w:pStyle w:val="171"/>
            </w:pPr>
            <w:r>
              <w:rPr>
                <w:rFonts w:hint="eastAsia"/>
              </w:rPr>
              <w:t>57.04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166"/>
            </w:pPr>
            <w:r>
              <w:rPr>
                <w:rFonts w:hint="eastAsia"/>
              </w:rPr>
              <w:t>42.04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54</w:t>
            </w:r>
          </w:p>
        </w:tc>
        <w:tc>
          <w:tcPr>
            <w:tcW w:w="394" w:type="pct"/>
            <w:vAlign w:val="center"/>
          </w:tcPr>
          <w:p>
            <w:pPr>
              <w:pStyle w:val="171"/>
            </w:pPr>
            <w:r>
              <w:rPr>
                <w:rFonts w:hint="eastAsia"/>
              </w:rPr>
              <w:t>50.35</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35.35</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17</w:t>
            </w:r>
          </w:p>
        </w:tc>
        <w:tc>
          <w:tcPr>
            <w:tcW w:w="394" w:type="pct"/>
            <w:vAlign w:val="center"/>
          </w:tcPr>
          <w:p>
            <w:pPr>
              <w:pStyle w:val="171"/>
            </w:pPr>
            <w:r>
              <w:rPr>
                <w:rFonts w:hint="eastAsia"/>
              </w:rPr>
              <w:t>60.39</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45.39</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40</w:t>
            </w:r>
          </w:p>
        </w:tc>
        <w:tc>
          <w:tcPr>
            <w:tcW w:w="394" w:type="pct"/>
            <w:vAlign w:val="center"/>
          </w:tcPr>
          <w:p>
            <w:pPr>
              <w:pStyle w:val="171"/>
            </w:pPr>
            <w:r>
              <w:rPr>
                <w:rFonts w:hint="eastAsia"/>
              </w:rPr>
              <w:t>52.96</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166"/>
            </w:pPr>
            <w:r>
              <w:rPr>
                <w:rFonts w:hint="eastAsia"/>
              </w:rPr>
              <w:t>37.96</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7</w:t>
            </w:r>
          </w:p>
        </w:tc>
        <w:tc>
          <w:tcPr>
            <w:tcW w:w="229" w:type="pct"/>
            <w:vMerge w:val="continue"/>
            <w:vAlign w:val="center"/>
          </w:tcPr>
          <w:p>
            <w:pPr>
              <w:pStyle w:val="171"/>
            </w:pPr>
          </w:p>
        </w:tc>
        <w:tc>
          <w:tcPr>
            <w:tcW w:w="329" w:type="pct"/>
            <w:vMerge w:val="restart"/>
            <w:vAlign w:val="center"/>
          </w:tcPr>
          <w:p>
            <w:pPr>
              <w:pStyle w:val="171"/>
            </w:pPr>
            <w:r>
              <w:t>振动筛</w:t>
            </w:r>
          </w:p>
        </w:tc>
        <w:tc>
          <w:tcPr>
            <w:tcW w:w="271" w:type="pct"/>
            <w:vMerge w:val="restart"/>
            <w:vAlign w:val="center"/>
          </w:tcPr>
          <w:p>
            <w:pPr>
              <w:pStyle w:val="171"/>
            </w:pPr>
            <w:r>
              <w:rPr>
                <w:rFonts w:hint="eastAsia"/>
              </w:rPr>
              <w:t>1200mm</w:t>
            </w:r>
          </w:p>
        </w:tc>
        <w:tc>
          <w:tcPr>
            <w:tcW w:w="502" w:type="pct"/>
            <w:vMerge w:val="restart"/>
            <w:vAlign w:val="center"/>
          </w:tcPr>
          <w:p>
            <w:pPr>
              <w:pStyle w:val="171"/>
            </w:pPr>
            <w:r>
              <w:rPr>
                <w:rFonts w:hint="eastAsia"/>
              </w:rPr>
              <w:t>70/1</w:t>
            </w:r>
          </w:p>
        </w:tc>
        <w:tc>
          <w:tcPr>
            <w:tcW w:w="285" w:type="pct"/>
            <w:vMerge w:val="continue"/>
            <w:vAlign w:val="center"/>
          </w:tcPr>
          <w:p>
            <w:pPr>
              <w:pStyle w:val="171"/>
            </w:pPr>
          </w:p>
        </w:tc>
        <w:tc>
          <w:tcPr>
            <w:tcW w:w="218" w:type="pct"/>
            <w:vMerge w:val="restart"/>
            <w:vAlign w:val="center"/>
          </w:tcPr>
          <w:p>
            <w:pPr>
              <w:pStyle w:val="171"/>
            </w:pPr>
            <w:r>
              <w:rPr>
                <w:rFonts w:hint="eastAsia"/>
              </w:rPr>
              <w:t>8</w:t>
            </w:r>
          </w:p>
        </w:tc>
        <w:tc>
          <w:tcPr>
            <w:tcW w:w="218" w:type="pct"/>
            <w:vMerge w:val="restart"/>
            <w:vAlign w:val="center"/>
          </w:tcPr>
          <w:p>
            <w:pPr>
              <w:pStyle w:val="171"/>
            </w:pPr>
            <w:r>
              <w:rPr>
                <w:rFonts w:hint="eastAsia"/>
              </w:rPr>
              <w:t>47</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22</w:t>
            </w:r>
          </w:p>
        </w:tc>
        <w:tc>
          <w:tcPr>
            <w:tcW w:w="394" w:type="pct"/>
            <w:vAlign w:val="center"/>
          </w:tcPr>
          <w:p>
            <w:pPr>
              <w:pStyle w:val="171"/>
            </w:pPr>
            <w:r>
              <w:rPr>
                <w:rFonts w:hint="eastAsia"/>
              </w:rPr>
              <w:t>55.14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52"/>
            </w:pPr>
            <w:r>
              <w:rPr>
                <w:rFonts w:hint="eastAsia"/>
              </w:rPr>
              <w:t>40.14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51</w:t>
            </w:r>
          </w:p>
        </w:tc>
        <w:tc>
          <w:tcPr>
            <w:tcW w:w="394" w:type="pct"/>
            <w:vAlign w:val="center"/>
          </w:tcPr>
          <w:p>
            <w:pPr>
              <w:pStyle w:val="171"/>
            </w:pPr>
            <w:r>
              <w:rPr>
                <w:rFonts w:hint="eastAsia"/>
              </w:rPr>
              <w:t>45.26</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30.26</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18</w:t>
            </w:r>
          </w:p>
        </w:tc>
        <w:tc>
          <w:tcPr>
            <w:tcW w:w="394" w:type="pct"/>
            <w:vAlign w:val="center"/>
          </w:tcPr>
          <w:p>
            <w:pPr>
              <w:pStyle w:val="171"/>
            </w:pPr>
            <w:r>
              <w:rPr>
                <w:rFonts w:hint="eastAsia"/>
              </w:rPr>
              <w:t>58.48</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43.48</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36</w:t>
            </w:r>
          </w:p>
        </w:tc>
        <w:tc>
          <w:tcPr>
            <w:tcW w:w="394" w:type="pct"/>
            <w:vAlign w:val="center"/>
          </w:tcPr>
          <w:p>
            <w:pPr>
              <w:pStyle w:val="171"/>
            </w:pPr>
            <w:r>
              <w:rPr>
                <w:rFonts w:hint="eastAsia"/>
              </w:rPr>
              <w:t>50.77</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35.77</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8</w:t>
            </w:r>
          </w:p>
        </w:tc>
        <w:tc>
          <w:tcPr>
            <w:tcW w:w="229" w:type="pct"/>
            <w:vMerge w:val="continue"/>
            <w:vAlign w:val="center"/>
          </w:tcPr>
          <w:p>
            <w:pPr>
              <w:pStyle w:val="171"/>
            </w:pPr>
          </w:p>
        </w:tc>
        <w:tc>
          <w:tcPr>
            <w:tcW w:w="329" w:type="pct"/>
            <w:vMerge w:val="restart"/>
            <w:vAlign w:val="center"/>
          </w:tcPr>
          <w:p>
            <w:pPr>
              <w:pStyle w:val="171"/>
            </w:pPr>
            <w:r>
              <w:t>送粉机</w:t>
            </w:r>
          </w:p>
        </w:tc>
        <w:tc>
          <w:tcPr>
            <w:tcW w:w="271" w:type="pct"/>
            <w:vMerge w:val="restart"/>
            <w:vAlign w:val="center"/>
          </w:tcPr>
          <w:p>
            <w:pPr>
              <w:pStyle w:val="171"/>
            </w:pPr>
            <w:r>
              <w:rPr>
                <w:rFonts w:hint="eastAsia"/>
              </w:rPr>
              <w:t>11kw</w:t>
            </w:r>
          </w:p>
        </w:tc>
        <w:tc>
          <w:tcPr>
            <w:tcW w:w="502" w:type="pct"/>
            <w:vMerge w:val="restart"/>
            <w:vAlign w:val="center"/>
          </w:tcPr>
          <w:p>
            <w:pPr>
              <w:pStyle w:val="171"/>
            </w:pPr>
            <w:r>
              <w:rPr>
                <w:rFonts w:hint="eastAsia"/>
              </w:rPr>
              <w:t>75/1</w:t>
            </w:r>
          </w:p>
        </w:tc>
        <w:tc>
          <w:tcPr>
            <w:tcW w:w="285" w:type="pct"/>
            <w:vMerge w:val="continue"/>
            <w:vAlign w:val="center"/>
          </w:tcPr>
          <w:p>
            <w:pPr>
              <w:pStyle w:val="171"/>
            </w:pPr>
          </w:p>
        </w:tc>
        <w:tc>
          <w:tcPr>
            <w:tcW w:w="218" w:type="pct"/>
            <w:vMerge w:val="restart"/>
            <w:vAlign w:val="center"/>
          </w:tcPr>
          <w:p>
            <w:pPr>
              <w:pStyle w:val="171"/>
            </w:pPr>
            <w:r>
              <w:rPr>
                <w:rFonts w:hint="eastAsia"/>
              </w:rPr>
              <w:t>7</w:t>
            </w:r>
          </w:p>
        </w:tc>
        <w:tc>
          <w:tcPr>
            <w:tcW w:w="218" w:type="pct"/>
            <w:vMerge w:val="restart"/>
            <w:vAlign w:val="center"/>
          </w:tcPr>
          <w:p>
            <w:pPr>
              <w:pStyle w:val="171"/>
            </w:pPr>
            <w:r>
              <w:rPr>
                <w:rFonts w:hint="eastAsia"/>
              </w:rPr>
              <w:t>34</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20</w:t>
            </w:r>
          </w:p>
        </w:tc>
        <w:tc>
          <w:tcPr>
            <w:tcW w:w="394" w:type="pct"/>
            <w:vAlign w:val="center"/>
          </w:tcPr>
          <w:p>
            <w:pPr>
              <w:pStyle w:val="171"/>
            </w:pPr>
            <w:r>
              <w:rPr>
                <w:rFonts w:hint="eastAsia"/>
              </w:rPr>
              <w:t>56.24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52"/>
            </w:pPr>
            <w:r>
              <w:rPr>
                <w:rFonts w:hint="eastAsia"/>
              </w:rPr>
              <w:t>41.24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50</w:t>
            </w:r>
          </w:p>
        </w:tc>
        <w:tc>
          <w:tcPr>
            <w:tcW w:w="394" w:type="pct"/>
            <w:vAlign w:val="center"/>
          </w:tcPr>
          <w:p>
            <w:pPr>
              <w:pStyle w:val="171"/>
            </w:pPr>
            <w:r>
              <w:rPr>
                <w:rFonts w:hint="eastAsia"/>
              </w:rPr>
              <w:t>42.33</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27.33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58.02</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43.02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49.59</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34.59</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9</w:t>
            </w:r>
          </w:p>
        </w:tc>
        <w:tc>
          <w:tcPr>
            <w:tcW w:w="229" w:type="pct"/>
            <w:vMerge w:val="continue"/>
            <w:vAlign w:val="center"/>
          </w:tcPr>
          <w:p>
            <w:pPr>
              <w:pStyle w:val="171"/>
            </w:pPr>
          </w:p>
        </w:tc>
        <w:tc>
          <w:tcPr>
            <w:tcW w:w="329" w:type="pct"/>
            <w:vMerge w:val="restart"/>
            <w:vAlign w:val="center"/>
          </w:tcPr>
          <w:p>
            <w:pPr>
              <w:pStyle w:val="171"/>
            </w:pPr>
            <w:r>
              <w:t>烘干线</w:t>
            </w:r>
          </w:p>
        </w:tc>
        <w:tc>
          <w:tcPr>
            <w:tcW w:w="271" w:type="pct"/>
            <w:vMerge w:val="restart"/>
            <w:vAlign w:val="center"/>
          </w:tcPr>
          <w:p>
            <w:pPr>
              <w:pStyle w:val="171"/>
            </w:pPr>
            <w:r>
              <w:rPr>
                <w:rFonts w:hint="eastAsia"/>
              </w:rPr>
              <w:t>55*2.1m</w:t>
            </w:r>
          </w:p>
        </w:tc>
        <w:tc>
          <w:tcPr>
            <w:tcW w:w="502" w:type="pct"/>
            <w:vMerge w:val="restart"/>
            <w:vAlign w:val="center"/>
          </w:tcPr>
          <w:p>
            <w:pPr>
              <w:pStyle w:val="171"/>
            </w:pPr>
            <w:r>
              <w:rPr>
                <w:rFonts w:hint="eastAsia"/>
              </w:rPr>
              <w:t>75/1</w:t>
            </w:r>
          </w:p>
        </w:tc>
        <w:tc>
          <w:tcPr>
            <w:tcW w:w="285" w:type="pct"/>
            <w:vMerge w:val="continue"/>
            <w:vAlign w:val="center"/>
          </w:tcPr>
          <w:p>
            <w:pPr>
              <w:pStyle w:val="171"/>
            </w:pPr>
          </w:p>
        </w:tc>
        <w:tc>
          <w:tcPr>
            <w:tcW w:w="218" w:type="pct"/>
            <w:vMerge w:val="restart"/>
            <w:vAlign w:val="center"/>
          </w:tcPr>
          <w:p>
            <w:pPr>
              <w:pStyle w:val="171"/>
            </w:pPr>
            <w:r>
              <w:rPr>
                <w:rFonts w:hint="eastAsia"/>
              </w:rPr>
              <w:t>7</w:t>
            </w:r>
          </w:p>
        </w:tc>
        <w:tc>
          <w:tcPr>
            <w:tcW w:w="218" w:type="pct"/>
            <w:vMerge w:val="restart"/>
            <w:vAlign w:val="center"/>
          </w:tcPr>
          <w:p>
            <w:pPr>
              <w:pStyle w:val="171"/>
            </w:pPr>
            <w:r>
              <w:rPr>
                <w:rFonts w:hint="eastAsia"/>
              </w:rPr>
              <w:t>34</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20</w:t>
            </w:r>
          </w:p>
        </w:tc>
        <w:tc>
          <w:tcPr>
            <w:tcW w:w="394" w:type="pct"/>
            <w:vAlign w:val="center"/>
          </w:tcPr>
          <w:p>
            <w:pPr>
              <w:pStyle w:val="171"/>
            </w:pPr>
            <w:r>
              <w:rPr>
                <w:rFonts w:hint="eastAsia"/>
              </w:rPr>
              <w:t>56.24</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52"/>
            </w:pPr>
            <w:r>
              <w:rPr>
                <w:rFonts w:hint="eastAsia"/>
              </w:rPr>
              <w:t>41.24</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50</w:t>
            </w:r>
          </w:p>
        </w:tc>
        <w:tc>
          <w:tcPr>
            <w:tcW w:w="394" w:type="pct"/>
            <w:vAlign w:val="center"/>
          </w:tcPr>
          <w:p>
            <w:pPr>
              <w:pStyle w:val="171"/>
            </w:pPr>
            <w:r>
              <w:rPr>
                <w:rFonts w:hint="eastAsia"/>
              </w:rPr>
              <w:t>42.33</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27.33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58.02</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43.02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49.59</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34.59</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88" w:type="pct"/>
            <w:vMerge w:val="restart"/>
            <w:vAlign w:val="center"/>
          </w:tcPr>
          <w:p>
            <w:pPr>
              <w:pStyle w:val="171"/>
            </w:pPr>
            <w:r>
              <w:rPr>
                <w:rFonts w:hint="eastAsia"/>
              </w:rPr>
              <w:t>10</w:t>
            </w:r>
          </w:p>
        </w:tc>
        <w:tc>
          <w:tcPr>
            <w:tcW w:w="229" w:type="pct"/>
            <w:vMerge w:val="continue"/>
            <w:vAlign w:val="center"/>
          </w:tcPr>
          <w:p>
            <w:pPr>
              <w:pStyle w:val="171"/>
            </w:pPr>
          </w:p>
        </w:tc>
        <w:tc>
          <w:tcPr>
            <w:tcW w:w="329" w:type="pct"/>
            <w:vMerge w:val="restart"/>
            <w:vAlign w:val="center"/>
          </w:tcPr>
          <w:p>
            <w:pPr>
              <w:pStyle w:val="171"/>
            </w:pPr>
            <w:r>
              <w:t>米粉机</w:t>
            </w:r>
          </w:p>
        </w:tc>
        <w:tc>
          <w:tcPr>
            <w:tcW w:w="271" w:type="pct"/>
            <w:vMerge w:val="restart"/>
            <w:vAlign w:val="center"/>
          </w:tcPr>
          <w:p>
            <w:pPr>
              <w:pStyle w:val="171"/>
            </w:pPr>
            <w:r>
              <w:rPr>
                <w:rFonts w:hint="eastAsia"/>
              </w:rPr>
              <w:t>15kw</w:t>
            </w:r>
          </w:p>
        </w:tc>
        <w:tc>
          <w:tcPr>
            <w:tcW w:w="502" w:type="pct"/>
            <w:vMerge w:val="restart"/>
            <w:vAlign w:val="center"/>
          </w:tcPr>
          <w:p>
            <w:pPr>
              <w:pStyle w:val="171"/>
            </w:pPr>
            <w:r>
              <w:rPr>
                <w:rFonts w:hint="eastAsia"/>
              </w:rPr>
              <w:t>80/1</w:t>
            </w:r>
          </w:p>
        </w:tc>
        <w:tc>
          <w:tcPr>
            <w:tcW w:w="285" w:type="pct"/>
            <w:vMerge w:val="continue"/>
            <w:vAlign w:val="center"/>
          </w:tcPr>
          <w:p>
            <w:pPr>
              <w:pStyle w:val="171"/>
            </w:pPr>
          </w:p>
        </w:tc>
        <w:tc>
          <w:tcPr>
            <w:tcW w:w="218" w:type="pct"/>
            <w:vMerge w:val="restart"/>
            <w:vAlign w:val="center"/>
          </w:tcPr>
          <w:p>
            <w:pPr>
              <w:pStyle w:val="171"/>
            </w:pPr>
            <w:r>
              <w:rPr>
                <w:rFonts w:hint="eastAsia"/>
              </w:rPr>
              <w:t>3</w:t>
            </w:r>
          </w:p>
        </w:tc>
        <w:tc>
          <w:tcPr>
            <w:tcW w:w="218" w:type="pct"/>
            <w:vMerge w:val="restart"/>
            <w:vAlign w:val="center"/>
          </w:tcPr>
          <w:p>
            <w:pPr>
              <w:pStyle w:val="171"/>
            </w:pPr>
            <w:r>
              <w:rPr>
                <w:rFonts w:hint="eastAsia"/>
              </w:rPr>
              <w:t>39</w:t>
            </w:r>
          </w:p>
        </w:tc>
        <w:tc>
          <w:tcPr>
            <w:tcW w:w="220" w:type="pct"/>
            <w:vMerge w:val="restart"/>
            <w:vAlign w:val="center"/>
          </w:tcPr>
          <w:p>
            <w:pPr>
              <w:pStyle w:val="171"/>
            </w:pPr>
            <w:r>
              <w:rPr>
                <w:rFonts w:hint="eastAsia"/>
              </w:rPr>
              <w:t>1.2</w:t>
            </w:r>
          </w:p>
        </w:tc>
        <w:tc>
          <w:tcPr>
            <w:tcW w:w="373" w:type="pct"/>
            <w:vAlign w:val="center"/>
          </w:tcPr>
          <w:p>
            <w:pPr>
              <w:pStyle w:val="171"/>
            </w:pPr>
            <w:r>
              <w:rPr>
                <w:rFonts w:hint="eastAsia"/>
              </w:rPr>
              <w:t>23</w:t>
            </w:r>
          </w:p>
        </w:tc>
        <w:tc>
          <w:tcPr>
            <w:tcW w:w="394" w:type="pct"/>
            <w:vAlign w:val="center"/>
          </w:tcPr>
          <w:p>
            <w:pPr>
              <w:pStyle w:val="171"/>
            </w:pPr>
            <w:r>
              <w:rPr>
                <w:rFonts w:hint="eastAsia"/>
              </w:rPr>
              <w:t>52.77</w:t>
            </w:r>
          </w:p>
        </w:tc>
        <w:tc>
          <w:tcPr>
            <w:tcW w:w="328" w:type="pct"/>
            <w:vAlign w:val="center"/>
          </w:tcPr>
          <w:p>
            <w:pPr>
              <w:pStyle w:val="171"/>
            </w:pPr>
            <w:r>
              <w:t>东</w:t>
            </w:r>
          </w:p>
        </w:tc>
        <w:tc>
          <w:tcPr>
            <w:tcW w:w="333" w:type="pct"/>
            <w:vMerge w:val="restart"/>
            <w:vAlign w:val="center"/>
          </w:tcPr>
          <w:p>
            <w:pPr>
              <w:pStyle w:val="171"/>
            </w:pPr>
            <w:r>
              <w:rPr>
                <w:rFonts w:hint="eastAsia"/>
              </w:rPr>
              <w:t>9</w:t>
            </w:r>
          </w:p>
        </w:tc>
        <w:tc>
          <w:tcPr>
            <w:tcW w:w="400" w:type="pct"/>
            <w:vMerge w:val="restart"/>
            <w:vAlign w:val="center"/>
          </w:tcPr>
          <w:p>
            <w:pPr>
              <w:pStyle w:val="171"/>
            </w:pPr>
            <w:r>
              <w:rPr>
                <w:rFonts w:hint="eastAsia"/>
              </w:rPr>
              <w:t>15</w:t>
            </w:r>
          </w:p>
        </w:tc>
        <w:tc>
          <w:tcPr>
            <w:tcW w:w="385" w:type="pct"/>
            <w:vAlign w:val="center"/>
          </w:tcPr>
          <w:p>
            <w:pPr>
              <w:pStyle w:val="52"/>
            </w:pPr>
            <w:r>
              <w:rPr>
                <w:rFonts w:hint="eastAsia"/>
              </w:rPr>
              <w:t>37.77</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59</w:t>
            </w:r>
          </w:p>
        </w:tc>
        <w:tc>
          <w:tcPr>
            <w:tcW w:w="394" w:type="pct"/>
            <w:vAlign w:val="center"/>
          </w:tcPr>
          <w:p>
            <w:pPr>
              <w:pStyle w:val="171"/>
            </w:pPr>
            <w:r>
              <w:rPr>
                <w:rFonts w:hint="eastAsia"/>
              </w:rPr>
              <w:t>44.58</w:t>
            </w:r>
          </w:p>
        </w:tc>
        <w:tc>
          <w:tcPr>
            <w:tcW w:w="328" w:type="pct"/>
            <w:vAlign w:val="center"/>
          </w:tcPr>
          <w:p>
            <w:pPr>
              <w:pStyle w:val="171"/>
            </w:pPr>
            <w:r>
              <w:t>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29.58</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19</w:t>
            </w:r>
          </w:p>
        </w:tc>
        <w:tc>
          <w:tcPr>
            <w:tcW w:w="394" w:type="pct"/>
            <w:vAlign w:val="center"/>
          </w:tcPr>
          <w:p>
            <w:pPr>
              <w:pStyle w:val="171"/>
            </w:pPr>
            <w:r>
              <w:rPr>
                <w:rFonts w:hint="eastAsia"/>
              </w:rPr>
              <w:t>54.43</w:t>
            </w:r>
          </w:p>
        </w:tc>
        <w:tc>
          <w:tcPr>
            <w:tcW w:w="328" w:type="pct"/>
            <w:vAlign w:val="center"/>
          </w:tcPr>
          <w:p>
            <w:pPr>
              <w:pStyle w:val="171"/>
            </w:pPr>
            <w:r>
              <w:t>西</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39.43</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8" w:type="pct"/>
            <w:vMerge w:val="continue"/>
            <w:vAlign w:val="center"/>
          </w:tcPr>
          <w:p>
            <w:pPr>
              <w:pStyle w:val="171"/>
            </w:pPr>
          </w:p>
        </w:tc>
        <w:tc>
          <w:tcPr>
            <w:tcW w:w="229" w:type="pct"/>
            <w:vMerge w:val="continue"/>
            <w:vAlign w:val="center"/>
          </w:tcPr>
          <w:p>
            <w:pPr>
              <w:pStyle w:val="171"/>
            </w:pPr>
          </w:p>
        </w:tc>
        <w:tc>
          <w:tcPr>
            <w:tcW w:w="329" w:type="pct"/>
            <w:vMerge w:val="continue"/>
            <w:vAlign w:val="center"/>
          </w:tcPr>
          <w:p>
            <w:pPr>
              <w:pStyle w:val="171"/>
            </w:pPr>
          </w:p>
        </w:tc>
        <w:tc>
          <w:tcPr>
            <w:tcW w:w="271" w:type="pct"/>
            <w:vMerge w:val="continue"/>
            <w:vAlign w:val="center"/>
          </w:tcPr>
          <w:p>
            <w:pPr>
              <w:pStyle w:val="171"/>
            </w:pPr>
          </w:p>
        </w:tc>
        <w:tc>
          <w:tcPr>
            <w:tcW w:w="502" w:type="pct"/>
            <w:vMerge w:val="continue"/>
            <w:vAlign w:val="center"/>
          </w:tcPr>
          <w:p>
            <w:pPr>
              <w:pStyle w:val="171"/>
            </w:pPr>
          </w:p>
        </w:tc>
        <w:tc>
          <w:tcPr>
            <w:tcW w:w="285" w:type="pct"/>
            <w:vMerge w:val="continue"/>
            <w:vAlign w:val="center"/>
          </w:tcPr>
          <w:p>
            <w:pPr>
              <w:pStyle w:val="171"/>
            </w:pPr>
          </w:p>
        </w:tc>
        <w:tc>
          <w:tcPr>
            <w:tcW w:w="218" w:type="pct"/>
            <w:vMerge w:val="continue"/>
            <w:vAlign w:val="center"/>
          </w:tcPr>
          <w:p>
            <w:pPr>
              <w:pStyle w:val="171"/>
            </w:pPr>
          </w:p>
        </w:tc>
        <w:tc>
          <w:tcPr>
            <w:tcW w:w="218" w:type="pct"/>
            <w:vMerge w:val="continue"/>
            <w:vAlign w:val="center"/>
          </w:tcPr>
          <w:p>
            <w:pPr>
              <w:pStyle w:val="171"/>
            </w:pPr>
          </w:p>
        </w:tc>
        <w:tc>
          <w:tcPr>
            <w:tcW w:w="220" w:type="pct"/>
            <w:vMerge w:val="continue"/>
            <w:vAlign w:val="center"/>
          </w:tcPr>
          <w:p>
            <w:pPr>
              <w:pStyle w:val="171"/>
            </w:pPr>
          </w:p>
        </w:tc>
        <w:tc>
          <w:tcPr>
            <w:tcW w:w="373" w:type="pct"/>
            <w:vAlign w:val="center"/>
          </w:tcPr>
          <w:p>
            <w:pPr>
              <w:pStyle w:val="171"/>
            </w:pPr>
            <w:r>
              <w:rPr>
                <w:rFonts w:hint="eastAsia"/>
              </w:rPr>
              <w:t>35</w:t>
            </w:r>
          </w:p>
        </w:tc>
        <w:tc>
          <w:tcPr>
            <w:tcW w:w="394" w:type="pct"/>
            <w:vAlign w:val="center"/>
          </w:tcPr>
          <w:p>
            <w:pPr>
              <w:pStyle w:val="171"/>
            </w:pPr>
            <w:r>
              <w:rPr>
                <w:rFonts w:hint="eastAsia"/>
              </w:rPr>
              <w:t>49.12</w:t>
            </w:r>
          </w:p>
        </w:tc>
        <w:tc>
          <w:tcPr>
            <w:tcW w:w="328" w:type="pct"/>
            <w:vAlign w:val="center"/>
          </w:tcPr>
          <w:p>
            <w:pPr>
              <w:pStyle w:val="171"/>
            </w:pPr>
            <w:r>
              <w:t>北</w:t>
            </w:r>
          </w:p>
        </w:tc>
        <w:tc>
          <w:tcPr>
            <w:tcW w:w="333" w:type="pct"/>
            <w:vMerge w:val="continue"/>
            <w:vAlign w:val="center"/>
          </w:tcPr>
          <w:p>
            <w:pPr>
              <w:pStyle w:val="171"/>
            </w:pPr>
          </w:p>
        </w:tc>
        <w:tc>
          <w:tcPr>
            <w:tcW w:w="400" w:type="pct"/>
            <w:vMerge w:val="continue"/>
            <w:vAlign w:val="center"/>
          </w:tcPr>
          <w:p>
            <w:pPr>
              <w:pStyle w:val="171"/>
            </w:pPr>
          </w:p>
        </w:tc>
        <w:tc>
          <w:tcPr>
            <w:tcW w:w="385" w:type="pct"/>
            <w:vAlign w:val="center"/>
          </w:tcPr>
          <w:p>
            <w:pPr>
              <w:pStyle w:val="52"/>
            </w:pPr>
            <w:r>
              <w:rPr>
                <w:rFonts w:hint="eastAsia"/>
              </w:rPr>
              <w:t>34.12</w:t>
            </w:r>
          </w:p>
        </w:tc>
        <w:tc>
          <w:tcPr>
            <w:tcW w:w="327" w:type="pct"/>
            <w:vAlign w:val="center"/>
          </w:tcPr>
          <w:p>
            <w:pPr>
              <w:pStyle w:val="52"/>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6"/>
            <w:vAlign w:val="center"/>
          </w:tcPr>
          <w:p>
            <w:pPr>
              <w:pStyle w:val="52"/>
            </w:pPr>
            <w:r>
              <w:rPr>
                <w:rFonts w:hint="eastAsia"/>
              </w:rPr>
              <w:t>注:</w:t>
            </w:r>
            <w:bookmarkStart w:id="49" w:name="OLE_LINK41"/>
            <w:r>
              <w:rPr>
                <w:rFonts w:hint="eastAsia"/>
              </w:rPr>
              <w:t>空间相对位置坐标以厂界西南角为坐标原点，正东向为X轴正方向，正北向为Y轴正方向，Z轴以地面高度为0点。</w:t>
            </w:r>
            <w:bookmarkEnd w:id="49"/>
          </w:p>
        </w:tc>
      </w:tr>
    </w:tbl>
    <w:p>
      <w:pPr>
        <w:ind w:firstLine="480"/>
        <w:sectPr>
          <w:pgSz w:w="16838" w:h="11905" w:orient="landscape"/>
          <w:pgMar w:top="1417" w:right="1417" w:bottom="1417" w:left="1417" w:header="851" w:footer="850" w:gutter="0"/>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ind w:firstLine="0" w:firstLineChars="0"/>
            </w:pPr>
          </w:p>
        </w:tc>
        <w:tc>
          <w:tcPr>
            <w:tcW w:w="8895" w:type="dxa"/>
          </w:tcPr>
          <w:p>
            <w:pPr>
              <w:spacing w:before="120" w:beforeLines="50"/>
              <w:ind w:firstLine="482"/>
              <w:rPr>
                <w:b/>
                <w:bCs/>
              </w:rPr>
            </w:pPr>
            <w:r>
              <w:rPr>
                <w:rFonts w:hint="eastAsia"/>
                <w:b/>
                <w:bCs/>
              </w:rPr>
              <w:t>2、声环境影响分析</w:t>
            </w:r>
          </w:p>
          <w:p>
            <w:pPr>
              <w:ind w:firstLine="480"/>
            </w:pPr>
            <w:r>
              <w:rPr>
                <w:rFonts w:hint="eastAsia"/>
              </w:rPr>
              <w:t>（1）预测模型</w:t>
            </w:r>
          </w:p>
          <w:p>
            <w:pPr>
              <w:ind w:firstLine="480"/>
            </w:pPr>
            <w:r>
              <w:rPr>
                <w:rFonts w:hint="eastAsia"/>
              </w:rPr>
              <w:t>项目工业噪声源按点声源处理，且声源多位于地面，可近似认为是半自由声场的球面坡扩散，本次评价选用点声源衰减模式进行预测。</w:t>
            </w:r>
          </w:p>
          <w:p>
            <w:pPr>
              <w:ind w:firstLine="480"/>
            </w:pPr>
            <w:r>
              <w:rPr>
                <w:rFonts w:hint="eastAsia"/>
              </w:rPr>
              <w:t>①室外声源预测模式为：</w:t>
            </w:r>
          </w:p>
          <w:p>
            <w:pPr>
              <w:pStyle w:val="107"/>
              <w:widowControl w:val="0"/>
              <w:rPr>
                <w:b w:val="0"/>
                <w:vertAlign w:val="subscript"/>
              </w:rPr>
            </w:pPr>
            <w:r>
              <w:rPr>
                <w:b w:val="0"/>
              </w:rPr>
              <w:t>L</w:t>
            </w:r>
            <w:r>
              <w:rPr>
                <w:b w:val="0"/>
                <w:vertAlign w:val="subscript"/>
              </w:rPr>
              <w:t>A</w:t>
            </w:r>
            <w:r>
              <w:rPr>
                <w:b w:val="0"/>
              </w:rPr>
              <w:t>（r）＝L</w:t>
            </w:r>
            <w:r>
              <w:rPr>
                <w:b w:val="0"/>
                <w:vertAlign w:val="subscript"/>
              </w:rPr>
              <w:t>A</w:t>
            </w:r>
            <w:r>
              <w:rPr>
                <w:b w:val="0"/>
              </w:rPr>
              <w:t>（r</w:t>
            </w:r>
            <w:r>
              <w:rPr>
                <w:b w:val="0"/>
                <w:vertAlign w:val="subscript"/>
              </w:rPr>
              <w:t>0</w:t>
            </w:r>
            <w:r>
              <w:rPr>
                <w:b w:val="0"/>
              </w:rPr>
              <w:t>）-20lg</w:t>
            </w:r>
            <w:r>
              <w:rPr>
                <w:b w:val="0"/>
                <w:position w:val="-30"/>
              </w:rPr>
              <w:drawing>
                <wp:inline distT="0" distB="0" distL="0" distR="0">
                  <wp:extent cx="190500" cy="434340"/>
                  <wp:effectExtent l="0" t="0" r="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90500" cy="434340"/>
                          </a:xfrm>
                          <a:prstGeom prst="rect">
                            <a:avLst/>
                          </a:prstGeom>
                          <a:noFill/>
                          <a:ln>
                            <a:noFill/>
                          </a:ln>
                        </pic:spPr>
                      </pic:pic>
                    </a:graphicData>
                  </a:graphic>
                </wp:inline>
              </w:drawing>
            </w:r>
            <w:r>
              <w:rPr>
                <w:b w:val="0"/>
              </w:rPr>
              <w:t>-</w:t>
            </w:r>
            <w:r>
              <w:rPr>
                <w:rFonts w:hint="eastAsia" w:cs="宋体"/>
                <w:b w:val="0"/>
              </w:rPr>
              <w:t>△</w:t>
            </w:r>
            <w:r>
              <w:rPr>
                <w:b w:val="0"/>
              </w:rPr>
              <w:t>L</w:t>
            </w:r>
            <w:r>
              <w:rPr>
                <w:b w:val="0"/>
                <w:vertAlign w:val="subscript"/>
              </w:rPr>
              <w:t>A</w:t>
            </w:r>
          </w:p>
          <w:p>
            <w:pPr>
              <w:pStyle w:val="107"/>
              <w:widowControl w:val="0"/>
            </w:pPr>
            <w:r>
              <w:rPr>
                <w:b w:val="0"/>
              </w:rPr>
              <w:t>或</w:t>
            </w:r>
            <w:r>
              <w:t xml:space="preserve"> </w:t>
            </w:r>
            <w:r>
              <w:rPr>
                <w:b w:val="0"/>
              </w:rPr>
              <w:t>L</w:t>
            </w:r>
            <w:r>
              <w:rPr>
                <w:b w:val="0"/>
                <w:vertAlign w:val="subscript"/>
              </w:rPr>
              <w:t>A</w:t>
            </w:r>
            <w:r>
              <w:rPr>
                <w:b w:val="0"/>
              </w:rPr>
              <w:t>（r）＝L</w:t>
            </w:r>
            <w:r>
              <w:rPr>
                <w:b w:val="0"/>
                <w:vertAlign w:val="subscript"/>
              </w:rPr>
              <w:t>Aw</w:t>
            </w:r>
            <w:r>
              <w:rPr>
                <w:b w:val="0"/>
              </w:rPr>
              <w:t>－20lg（r）-8-</w:t>
            </w:r>
            <w:r>
              <w:rPr>
                <w:rFonts w:hint="eastAsia" w:cs="宋体"/>
                <w:b w:val="0"/>
              </w:rPr>
              <w:t>△</w:t>
            </w:r>
            <w:r>
              <w:rPr>
                <w:b w:val="0"/>
              </w:rPr>
              <w:t>L</w:t>
            </w:r>
            <w:r>
              <w:rPr>
                <w:b w:val="0"/>
                <w:vertAlign w:val="subscript"/>
              </w:rPr>
              <w:t>A</w:t>
            </w:r>
          </w:p>
          <w:p>
            <w:pPr>
              <w:ind w:firstLine="480"/>
              <w:jc w:val="left"/>
            </w:pPr>
            <w:r>
              <w:t>式中：L</w:t>
            </w:r>
            <w:r>
              <w:rPr>
                <w:vertAlign w:val="subscript"/>
              </w:rPr>
              <w:t>A</w:t>
            </w:r>
            <w:r>
              <w:t>（r）——距声源r处的A声级，dB（A）；</w:t>
            </w:r>
          </w:p>
          <w:p>
            <w:pPr>
              <w:ind w:firstLine="1200" w:firstLineChars="500"/>
              <w:jc w:val="left"/>
            </w:pPr>
            <w:r>
              <w:t>L</w:t>
            </w:r>
            <w:r>
              <w:rPr>
                <w:vertAlign w:val="subscript"/>
              </w:rPr>
              <w:t>A</w:t>
            </w:r>
            <w:r>
              <w:t>（r</w:t>
            </w:r>
            <w:r>
              <w:rPr>
                <w:vertAlign w:val="subscript"/>
              </w:rPr>
              <w:t>0</w:t>
            </w:r>
            <w:r>
              <w:t>）——参考位置r</w:t>
            </w:r>
            <w:r>
              <w:rPr>
                <w:vertAlign w:val="subscript"/>
              </w:rPr>
              <w:t>0</w:t>
            </w:r>
            <w:r>
              <w:t>处的A声级，dB（A）；</w:t>
            </w:r>
          </w:p>
          <w:p>
            <w:pPr>
              <w:ind w:firstLine="1200" w:firstLineChars="500"/>
              <w:jc w:val="left"/>
            </w:pPr>
            <w:r>
              <w:t>L</w:t>
            </w:r>
            <w:r>
              <w:rPr>
                <w:vertAlign w:val="subscript"/>
              </w:rPr>
              <w:t>Aw</w:t>
            </w:r>
            <w:r>
              <w:t>——室外声源或等效室外声源的A声功率级，dB（A）；</w:t>
            </w:r>
          </w:p>
          <w:p>
            <w:pPr>
              <w:ind w:firstLine="1200" w:firstLineChars="500"/>
              <w:jc w:val="left"/>
            </w:pPr>
            <w:r>
              <w:t>r——预测点距声源的距离，m；</w:t>
            </w:r>
          </w:p>
          <w:p>
            <w:pPr>
              <w:ind w:firstLine="1200" w:firstLineChars="500"/>
              <w:jc w:val="left"/>
            </w:pPr>
            <w:r>
              <w:t>r</w:t>
            </w:r>
            <w:r>
              <w:rPr>
                <w:vertAlign w:val="subscript"/>
              </w:rPr>
              <w:t>0</w:t>
            </w:r>
            <w:r>
              <w:t>——参考位置距声源的距离，m；</w:t>
            </w:r>
          </w:p>
          <w:p>
            <w:pPr>
              <w:ind w:firstLine="1200" w:firstLineChars="500"/>
              <w:jc w:val="left"/>
            </w:pPr>
            <w:r>
              <w:rPr>
                <w:rFonts w:hint="eastAsia" w:cs="宋体"/>
              </w:rPr>
              <w:t>△</w:t>
            </w:r>
            <w:r>
              <w:t>L</w:t>
            </w:r>
            <w:r>
              <w:rPr>
                <w:vertAlign w:val="subscript"/>
              </w:rPr>
              <w:t>A</w:t>
            </w:r>
            <w:r>
              <w:t>——因各种因素引起的附加衰减量，dB（A）。</w:t>
            </w:r>
            <w:r>
              <w:rPr>
                <w:rFonts w:hint="eastAsia"/>
              </w:rPr>
              <w:t>附加衰减量包括声屏障、遮挡物、空气吸收、地面效应等引起的衰减量。本次预测计算中只考虑各设备声源至受声点（预测点）的距离衰减、隔墙（或窗户）的传输损失及降噪设备引起的噪声衰减。各声源由于厂区内外其它遮挡物引起的衰减、空气吸收引起的衰减，由于云、雾、温度梯度、凤及地面效应等引起的声能量衰减等，其引起的衰减量不大，本次计算中忽略不计。</w:t>
            </w:r>
          </w:p>
          <w:p>
            <w:pPr>
              <w:ind w:firstLine="480"/>
            </w:pPr>
            <w:r>
              <w:rPr>
                <w:rFonts w:hint="eastAsia" w:cs="宋体"/>
              </w:rPr>
              <w:t>②</w:t>
            </w:r>
            <w:r>
              <w:t>室内声源</w:t>
            </w:r>
          </w:p>
          <w:p>
            <w:pPr>
              <w:ind w:firstLine="480"/>
            </w:pPr>
            <w:r>
              <w:t>1）首先计算出某个室内靠近围护结构处的倍频带声压级：</w:t>
            </w:r>
          </w:p>
          <w:p>
            <w:pPr>
              <w:pStyle w:val="107"/>
              <w:widowControl w:val="0"/>
              <w:rPr>
                <w:lang w:val="zh-CN"/>
              </w:rPr>
            </w:pPr>
            <w:r>
              <w:drawing>
                <wp:inline distT="0" distB="0" distL="0" distR="0">
                  <wp:extent cx="1645920" cy="510540"/>
                  <wp:effectExtent l="0" t="0" r="1143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645920" cy="510540"/>
                          </a:xfrm>
                          <a:prstGeom prst="rect">
                            <a:avLst/>
                          </a:prstGeom>
                          <a:noFill/>
                          <a:ln>
                            <a:noFill/>
                          </a:ln>
                        </pic:spPr>
                      </pic:pic>
                    </a:graphicData>
                  </a:graphic>
                </wp:inline>
              </w:drawing>
            </w:r>
          </w:p>
          <w:p>
            <w:pPr>
              <w:ind w:firstLine="480"/>
            </w:pPr>
            <w:r>
              <w:rPr>
                <w:lang w:val="zh-CN"/>
              </w:rPr>
              <w:t>式中：</w:t>
            </w:r>
            <w:r>
              <w:rPr>
                <w:i/>
                <w:iCs/>
                <w:lang w:val="zh-CN"/>
              </w:rPr>
              <w:t>L</w:t>
            </w:r>
            <w:r>
              <w:rPr>
                <w:i/>
                <w:iCs/>
                <w:vertAlign w:val="subscript"/>
              </w:rPr>
              <w:t>P1</w:t>
            </w:r>
            <w:r>
              <w:t>为某个室内声源在靠近围护结构处产生的倍频带声压级</w:t>
            </w:r>
            <w:r>
              <w:rPr>
                <w:rFonts w:hint="eastAsia"/>
              </w:rPr>
              <w:t>；</w:t>
            </w:r>
          </w:p>
          <w:p>
            <w:pPr>
              <w:ind w:firstLine="1200" w:firstLineChars="500"/>
            </w:pPr>
            <w:r>
              <w:rPr>
                <w:i/>
                <w:iCs/>
              </w:rPr>
              <w:t>L</w:t>
            </w:r>
            <w:r>
              <w:rPr>
                <w:i/>
                <w:iCs/>
                <w:vertAlign w:val="subscript"/>
              </w:rPr>
              <w:t>w</w:t>
            </w:r>
            <w:r>
              <w:t>为某个声源的倍频带声功率级</w:t>
            </w:r>
            <w:r>
              <w:rPr>
                <w:rFonts w:hint="eastAsia"/>
              </w:rPr>
              <w:t>；</w:t>
            </w:r>
          </w:p>
          <w:p>
            <w:pPr>
              <w:ind w:firstLine="1200" w:firstLineChars="500"/>
            </w:pPr>
            <w:r>
              <w:t>r为室内某个声源与靠近围护结构处的距离</w:t>
            </w:r>
            <w:r>
              <w:rPr>
                <w:rFonts w:hint="eastAsia"/>
              </w:rPr>
              <w:t>；</w:t>
            </w:r>
          </w:p>
          <w:p>
            <w:pPr>
              <w:ind w:firstLine="1200" w:firstLineChars="500"/>
            </w:pPr>
            <w:r>
              <w:t>R为房间常数</w:t>
            </w:r>
            <w:r>
              <w:rPr>
                <w:rFonts w:hint="eastAsia"/>
              </w:rPr>
              <w:t>，</w:t>
            </w:r>
            <w:r>
              <w:rPr>
                <w:rFonts w:hint="eastAsia"/>
                <w:szCs w:val="21"/>
              </w:rPr>
              <w:t>R=S</w:t>
            </w:r>
            <w:r>
              <w:rPr>
                <w:szCs w:val="21"/>
              </w:rPr>
              <w:t>α /</w:t>
            </w:r>
            <w:r>
              <w:rPr>
                <w:rFonts w:hint="eastAsia"/>
                <w:szCs w:val="21"/>
              </w:rPr>
              <w:t>(</w:t>
            </w:r>
            <w:r>
              <w:rPr>
                <w:szCs w:val="21"/>
              </w:rPr>
              <w:t>1</w:t>
            </w:r>
            <w:r>
              <w:rPr>
                <w:rFonts w:hint="eastAsia"/>
                <w:szCs w:val="21"/>
              </w:rPr>
              <w:t>-</w:t>
            </w:r>
            <w:r>
              <w:rPr>
                <w:szCs w:val="21"/>
              </w:rPr>
              <w:t>α</w:t>
            </w:r>
            <w:r>
              <w:rPr>
                <w:rFonts w:hint="eastAsia"/>
                <w:szCs w:val="21"/>
              </w:rPr>
              <w:t>)，</w:t>
            </w:r>
            <w:r>
              <w:rPr>
                <w:szCs w:val="21"/>
              </w:rPr>
              <w:t>S</w:t>
            </w:r>
            <w:r>
              <w:rPr>
                <w:rFonts w:hint="eastAsia"/>
                <w:szCs w:val="21"/>
              </w:rPr>
              <w:t>为房间内表面面积，</w:t>
            </w:r>
            <w:r>
              <w:rPr>
                <w:szCs w:val="21"/>
              </w:rPr>
              <w:t>m</w:t>
            </w:r>
            <w:r>
              <w:rPr>
                <w:szCs w:val="21"/>
                <w:vertAlign w:val="superscript"/>
              </w:rPr>
              <w:t>2</w:t>
            </w:r>
            <w:r>
              <w:rPr>
                <w:rFonts w:hint="eastAsia"/>
                <w:szCs w:val="21"/>
              </w:rPr>
              <w:t>；</w:t>
            </w:r>
            <w:r>
              <w:rPr>
                <w:szCs w:val="21"/>
              </w:rPr>
              <w:t>α</w:t>
            </w:r>
            <w:r>
              <w:rPr>
                <w:rFonts w:hint="eastAsia"/>
                <w:szCs w:val="21"/>
              </w:rPr>
              <w:t>为平均吸声系数</w:t>
            </w:r>
            <w:r>
              <w:rPr>
                <w:rFonts w:hint="eastAsia"/>
              </w:rPr>
              <w:t>；</w:t>
            </w:r>
          </w:p>
          <w:p>
            <w:pPr>
              <w:ind w:firstLine="1200" w:firstLineChars="500"/>
            </w:pPr>
            <w:r>
              <w:t>Q为方向因子</w:t>
            </w:r>
            <w:r>
              <w:rPr>
                <w:rFonts w:hint="eastAsia"/>
              </w:rPr>
              <w:t>，通常对无指向性声源，当声源放在房间中心时，Q=1；当放在一面墙的中心时，Q=2；当放在两面墙夹角处时，Q=4；当放在三面墙夹角处时，Q=8</w:t>
            </w:r>
            <w:r>
              <w:t>。</w:t>
            </w:r>
          </w:p>
          <w:p>
            <w:pPr>
              <w:ind w:firstLine="480"/>
            </w:pPr>
            <w:r>
              <w:t>2）计算出所有室内声源在靠近围护结构处产生的总倍频带声压级：</w:t>
            </w:r>
          </w:p>
          <w:p>
            <w:pPr>
              <w:pStyle w:val="107"/>
              <w:widowControl w:val="0"/>
            </w:pPr>
            <w:r>
              <w:drawing>
                <wp:inline distT="0" distB="0" distL="0" distR="0">
                  <wp:extent cx="1691640" cy="480060"/>
                  <wp:effectExtent l="0" t="0" r="3810" b="152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691640" cy="480060"/>
                          </a:xfrm>
                          <a:prstGeom prst="rect">
                            <a:avLst/>
                          </a:prstGeom>
                          <a:noFill/>
                          <a:ln>
                            <a:noFill/>
                          </a:ln>
                        </pic:spPr>
                      </pic:pic>
                    </a:graphicData>
                  </a:graphic>
                </wp:inline>
              </w:drawing>
            </w:r>
          </w:p>
          <w:p>
            <w:pPr>
              <w:ind w:firstLine="480"/>
            </w:pPr>
            <w:r>
              <w:t>3）计算出室外靠近围护结构处的声压级：</w:t>
            </w:r>
          </w:p>
          <w:p>
            <w:pPr>
              <w:pStyle w:val="107"/>
              <w:widowControl w:val="0"/>
              <w:rPr>
                <w:lang w:val="zh-CN"/>
              </w:rPr>
            </w:pPr>
            <w:r>
              <w:drawing>
                <wp:inline distT="0" distB="0" distL="0" distR="0">
                  <wp:extent cx="1752600" cy="2286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752600" cy="228600"/>
                          </a:xfrm>
                          <a:prstGeom prst="rect">
                            <a:avLst/>
                          </a:prstGeom>
                          <a:noFill/>
                          <a:ln>
                            <a:noFill/>
                          </a:ln>
                        </pic:spPr>
                      </pic:pic>
                    </a:graphicData>
                  </a:graphic>
                </wp:inline>
              </w:drawing>
            </w:r>
          </w:p>
          <w:p>
            <w:pPr>
              <w:adjustRightInd w:val="0"/>
              <w:snapToGrid w:val="0"/>
              <w:ind w:firstLine="480"/>
            </w:pPr>
            <w:r>
              <w:t>声源噪声自室内传播至室外，再遇到障碍物，如围墙或建筑物将引起能量衰减；本评价中各室内声源噪声均有厂房等框架建筑维护结构。参考有关资料，得出车间隔声插入损失值见</w:t>
            </w:r>
            <w:r>
              <w:rPr>
                <w:bCs/>
              </w:rPr>
              <w:t>表</w:t>
            </w:r>
            <w:r>
              <w:rPr>
                <w:rFonts w:hint="eastAsia"/>
                <w:bCs/>
              </w:rPr>
              <w:t>4.4-2</w:t>
            </w:r>
            <w:r>
              <w:t>。</w:t>
            </w:r>
          </w:p>
          <w:p>
            <w:pPr>
              <w:spacing w:before="120" w:beforeLines="50" w:line="240" w:lineRule="auto"/>
              <w:ind w:firstLine="0" w:firstLineChars="0"/>
              <w:jc w:val="center"/>
              <w:rPr>
                <w:b/>
              </w:rPr>
            </w:pPr>
            <w:r>
              <w:rPr>
                <w:b/>
              </w:rPr>
              <w:t>表</w:t>
            </w:r>
            <w:r>
              <w:rPr>
                <w:rFonts w:hint="eastAsia"/>
                <w:b/>
              </w:rPr>
              <w:t xml:space="preserve">4.4-2 </w:t>
            </w:r>
            <w:r>
              <w:rPr>
                <w:b/>
              </w:rPr>
              <w:t xml:space="preserve"> 隔声的插入损失值等效声级</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413"/>
              <w:gridCol w:w="1522"/>
              <w:gridCol w:w="1523"/>
              <w:gridCol w:w="1523"/>
              <w:gridCol w:w="152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2413" w:type="dxa"/>
                  <w:vAlign w:val="center"/>
                </w:tcPr>
                <w:p>
                  <w:pPr>
                    <w:pStyle w:val="52"/>
                  </w:pPr>
                  <w:r>
                    <w:rPr>
                      <w:rFonts w:hint="eastAsia"/>
                    </w:rPr>
                    <w:t>条件</w:t>
                  </w:r>
                </w:p>
              </w:tc>
              <w:tc>
                <w:tcPr>
                  <w:tcW w:w="1522" w:type="dxa"/>
                  <w:vAlign w:val="center"/>
                </w:tcPr>
                <w:p>
                  <w:pPr>
                    <w:pStyle w:val="52"/>
                  </w:pPr>
                  <w:r>
                    <w:rPr>
                      <w:rFonts w:hint="eastAsia"/>
                    </w:rPr>
                    <w:t>A</w:t>
                  </w:r>
                </w:p>
              </w:tc>
              <w:tc>
                <w:tcPr>
                  <w:tcW w:w="1523" w:type="dxa"/>
                  <w:vAlign w:val="center"/>
                </w:tcPr>
                <w:p>
                  <w:pPr>
                    <w:pStyle w:val="52"/>
                  </w:pPr>
                  <w:r>
                    <w:rPr>
                      <w:rFonts w:hint="eastAsia"/>
                    </w:rPr>
                    <w:t>B</w:t>
                  </w:r>
                </w:p>
              </w:tc>
              <w:tc>
                <w:tcPr>
                  <w:tcW w:w="1523" w:type="dxa"/>
                  <w:vAlign w:val="center"/>
                </w:tcPr>
                <w:p>
                  <w:pPr>
                    <w:pStyle w:val="52"/>
                  </w:pPr>
                  <w:r>
                    <w:rPr>
                      <w:rFonts w:hint="eastAsia"/>
                    </w:rPr>
                    <w:t>C</w:t>
                  </w:r>
                </w:p>
              </w:tc>
              <w:tc>
                <w:tcPr>
                  <w:tcW w:w="1523" w:type="dxa"/>
                  <w:vAlign w:val="center"/>
                </w:tcPr>
                <w:p>
                  <w:pPr>
                    <w:pStyle w:val="52"/>
                  </w:pPr>
                  <w:r>
                    <w:rPr>
                      <w:rFonts w:hint="eastAsia"/>
                    </w:rPr>
                    <w:t>D</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13" w:type="dxa"/>
                  <w:vAlign w:val="center"/>
                </w:tcPr>
                <w:p>
                  <w:pPr>
                    <w:pStyle w:val="52"/>
                  </w:pPr>
                  <w:r>
                    <w:rPr>
                      <w:rFonts w:ascii="Cambria Math" w:hAnsi="Cambria Math" w:cs="Cambria Math"/>
                    </w:rPr>
                    <w:t>△</w:t>
                  </w:r>
                  <w:r>
                    <w:t>L</w:t>
                  </w:r>
                  <w:r>
                    <w:rPr>
                      <w:rFonts w:hint="eastAsia"/>
                    </w:rPr>
                    <w:t>值（</w:t>
                  </w:r>
                  <w:r>
                    <w:t>Leq[dB(A)]</w:t>
                  </w:r>
                  <w:r>
                    <w:rPr>
                      <w:rFonts w:hint="eastAsia"/>
                    </w:rPr>
                    <w:t>）</w:t>
                  </w:r>
                </w:p>
              </w:tc>
              <w:tc>
                <w:tcPr>
                  <w:tcW w:w="1522" w:type="dxa"/>
                  <w:vAlign w:val="center"/>
                </w:tcPr>
                <w:p>
                  <w:pPr>
                    <w:pStyle w:val="52"/>
                  </w:pPr>
                  <w:r>
                    <w:rPr>
                      <w:rFonts w:hint="eastAsia"/>
                    </w:rPr>
                    <w:t>20</w:t>
                  </w:r>
                </w:p>
              </w:tc>
              <w:tc>
                <w:tcPr>
                  <w:tcW w:w="1523" w:type="dxa"/>
                  <w:vAlign w:val="center"/>
                </w:tcPr>
                <w:p>
                  <w:pPr>
                    <w:pStyle w:val="52"/>
                  </w:pPr>
                  <w:r>
                    <w:rPr>
                      <w:rFonts w:hint="eastAsia"/>
                    </w:rPr>
                    <w:t>15</w:t>
                  </w:r>
                </w:p>
              </w:tc>
              <w:tc>
                <w:tcPr>
                  <w:tcW w:w="1523" w:type="dxa"/>
                  <w:vAlign w:val="center"/>
                </w:tcPr>
                <w:p>
                  <w:pPr>
                    <w:pStyle w:val="52"/>
                  </w:pPr>
                  <w:r>
                    <w:rPr>
                      <w:rFonts w:hint="eastAsia"/>
                    </w:rPr>
                    <w:t>10</w:t>
                  </w:r>
                </w:p>
              </w:tc>
              <w:tc>
                <w:tcPr>
                  <w:tcW w:w="1523" w:type="dxa"/>
                  <w:vAlign w:val="center"/>
                </w:tcPr>
                <w:p>
                  <w:pPr>
                    <w:pStyle w:val="52"/>
                  </w:pPr>
                  <w:r>
                    <w:rPr>
                      <w:rFonts w:hint="eastAsia"/>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8504" w:type="dxa"/>
                  <w:gridSpan w:val="5"/>
                  <w:vAlign w:val="center"/>
                </w:tcPr>
                <w:p>
                  <w:pPr>
                    <w:pStyle w:val="52"/>
                    <w:jc w:val="left"/>
                  </w:pPr>
                  <w:r>
                    <w:rPr>
                      <w:rFonts w:hint="eastAsia"/>
                    </w:rPr>
                    <w:t>注：A：围墙开小窗且密闭，门经隔声处理；B：围墙开小窗但不密闭，门未经隔声处理，但较密闭；C：围墙开大窗且不密闭，门不密闭；D：门、窗部分敞开。</w:t>
                  </w:r>
                </w:p>
              </w:tc>
            </w:tr>
          </w:tbl>
          <w:p>
            <w:pPr>
              <w:spacing w:before="120" w:beforeLines="50"/>
              <w:ind w:firstLine="480"/>
            </w:pPr>
            <w:r>
              <w:rPr>
                <w:rFonts w:hint="eastAsia"/>
              </w:rPr>
              <w:t>项目等效于B类情况，生产车间墙体隔声量</w:t>
            </w:r>
            <w:r>
              <w:rPr>
                <w:rFonts w:ascii="Cambria Math" w:hAnsi="Cambria Math" w:cs="Cambria Math"/>
              </w:rPr>
              <w:t>△</w:t>
            </w:r>
            <w:r>
              <w:t>L</w:t>
            </w:r>
            <w:r>
              <w:rPr>
                <w:rFonts w:hint="eastAsia"/>
              </w:rPr>
              <w:t>值取15dB(A)。</w:t>
            </w:r>
          </w:p>
          <w:p>
            <w:pPr>
              <w:ind w:firstLine="480"/>
            </w:pPr>
            <w:r>
              <w:t>4）将室外声级和透声面积换算成等效的室外声源，计算出中心位置位于透声（S）处的等效声源的倍频带声功率级：</w:t>
            </w:r>
          </w:p>
          <w:p>
            <w:pPr>
              <w:pStyle w:val="107"/>
              <w:widowControl w:val="0"/>
            </w:pPr>
            <w:r>
              <w:drawing>
                <wp:inline distT="0" distB="0" distL="0" distR="0">
                  <wp:extent cx="1310640" cy="2286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10640" cy="228600"/>
                          </a:xfrm>
                          <a:prstGeom prst="rect">
                            <a:avLst/>
                          </a:prstGeom>
                          <a:noFill/>
                          <a:ln>
                            <a:noFill/>
                          </a:ln>
                        </pic:spPr>
                      </pic:pic>
                    </a:graphicData>
                  </a:graphic>
                </wp:inline>
              </w:drawing>
            </w:r>
          </w:p>
          <w:p>
            <w:pPr>
              <w:ind w:firstLine="480"/>
            </w:pPr>
            <w:r>
              <w:t>式中：S为透声面积，m</w:t>
            </w:r>
            <w:r>
              <w:rPr>
                <w:vertAlign w:val="superscript"/>
              </w:rPr>
              <w:t>2</w:t>
            </w:r>
            <w:r>
              <w:t>。</w:t>
            </w:r>
          </w:p>
          <w:p>
            <w:pPr>
              <w:ind w:firstLine="480"/>
            </w:pPr>
            <w:r>
              <w:t>5）等效室外声源的位置为围护结构的位置，其倍频带声功率级为</w:t>
            </w:r>
            <w:r>
              <w:rPr>
                <w:i/>
                <w:iCs/>
              </w:rPr>
              <w:t>L</w:t>
            </w:r>
            <w:r>
              <w:rPr>
                <w:i/>
                <w:iCs/>
                <w:vertAlign w:val="subscript"/>
              </w:rPr>
              <w:t>w</w:t>
            </w:r>
            <w:r>
              <w:t>，由此按室外声源方法计算等效室外声源在预测点产生的声级。</w:t>
            </w:r>
          </w:p>
          <w:p>
            <w:pPr>
              <w:ind w:firstLine="480"/>
            </w:pPr>
            <w:r>
              <w:rPr>
                <w:rFonts w:hint="eastAsia" w:cs="宋体"/>
              </w:rPr>
              <w:t>③</w:t>
            </w:r>
            <w:r>
              <w:t>多声源叠加噪声贡献值：</w:t>
            </w:r>
          </w:p>
          <w:p>
            <w:pPr>
              <w:pStyle w:val="107"/>
              <w:widowControl w:val="0"/>
            </w:pPr>
            <w:r>
              <w:drawing>
                <wp:inline distT="0" distB="0" distL="0" distR="0">
                  <wp:extent cx="1478280" cy="472440"/>
                  <wp:effectExtent l="0" t="0" r="7620" b="381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478280" cy="472440"/>
                          </a:xfrm>
                          <a:prstGeom prst="rect">
                            <a:avLst/>
                          </a:prstGeom>
                          <a:noFill/>
                          <a:ln>
                            <a:noFill/>
                          </a:ln>
                        </pic:spPr>
                      </pic:pic>
                    </a:graphicData>
                  </a:graphic>
                </wp:inline>
              </w:drawing>
            </w:r>
          </w:p>
          <w:p>
            <w:pPr>
              <w:ind w:firstLine="480"/>
            </w:pPr>
            <w:r>
              <w:t>式中：L</w:t>
            </w:r>
            <w:r>
              <w:rPr>
                <w:vertAlign w:val="subscript"/>
              </w:rPr>
              <w:t>eqg</w:t>
            </w:r>
            <w:r>
              <w:t>——</w:t>
            </w:r>
            <w:r>
              <w:rPr>
                <w:rFonts w:hint="eastAsia"/>
              </w:rPr>
              <w:t>预测点的噪声贡献值，dB（A）；</w:t>
            </w:r>
          </w:p>
          <w:p>
            <w:pPr>
              <w:ind w:firstLine="1159" w:firstLineChars="483"/>
            </w:pPr>
            <w:r>
              <w:rPr>
                <w:rFonts w:hint="eastAsia"/>
              </w:rPr>
              <w:t>LA,i——第i个声源对预测点的噪声贡献值，dB（A）；</w:t>
            </w:r>
          </w:p>
          <w:p>
            <w:pPr>
              <w:ind w:firstLine="1159" w:firstLineChars="483"/>
            </w:pPr>
            <w:r>
              <w:rPr>
                <w:rFonts w:hint="eastAsia"/>
              </w:rPr>
              <w:t>N——声源个数。</w:t>
            </w:r>
          </w:p>
          <w:p>
            <w:pPr>
              <w:ind w:firstLine="480"/>
            </w:pPr>
            <w:r>
              <w:rPr>
                <w:rFonts w:hint="eastAsia" w:cs="宋体"/>
              </w:rPr>
              <w:t>④</w:t>
            </w:r>
            <w:r>
              <w:t>计算总声压级</w:t>
            </w:r>
          </w:p>
          <w:p>
            <w:pPr>
              <w:ind w:firstLine="480"/>
            </w:pPr>
            <w:r>
              <w:t>多声源叠加噪声预测值：</w:t>
            </w:r>
          </w:p>
          <w:p>
            <w:pPr>
              <w:adjustRightInd w:val="0"/>
              <w:snapToGrid w:val="0"/>
              <w:ind w:firstLine="360" w:firstLineChars="0"/>
              <w:jc w:val="center"/>
            </w:pPr>
            <w:r>
              <w:rPr>
                <w:kern w:val="0"/>
                <w:position w:val="-18"/>
              </w:rPr>
              <w:drawing>
                <wp:inline distT="0" distB="0" distL="0" distR="0">
                  <wp:extent cx="1752600" cy="3048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52600" cy="304800"/>
                          </a:xfrm>
                          <a:prstGeom prst="rect">
                            <a:avLst/>
                          </a:prstGeom>
                          <a:noFill/>
                          <a:ln>
                            <a:noFill/>
                          </a:ln>
                        </pic:spPr>
                      </pic:pic>
                    </a:graphicData>
                  </a:graphic>
                </wp:inline>
              </w:drawing>
            </w:r>
          </w:p>
          <w:p>
            <w:pPr>
              <w:ind w:firstLine="480"/>
            </w:pPr>
            <w:r>
              <w:t>式中：L</w:t>
            </w:r>
            <w:r>
              <w:rPr>
                <w:vertAlign w:val="subscript"/>
              </w:rPr>
              <w:t>eq</w:t>
            </w:r>
            <w:r>
              <w:t>——预测点的噪声预测值，dB（A）；</w:t>
            </w:r>
          </w:p>
          <w:p>
            <w:pPr>
              <w:ind w:firstLine="1200" w:firstLineChars="500"/>
            </w:pPr>
            <w:r>
              <w:t>L</w:t>
            </w:r>
            <w:r>
              <w:rPr>
                <w:vertAlign w:val="subscript"/>
              </w:rPr>
              <w:t>eqq</w:t>
            </w:r>
            <w:r>
              <w:t>——预测点的噪声贡献值，dB（A）；</w:t>
            </w:r>
          </w:p>
          <w:p>
            <w:pPr>
              <w:ind w:firstLine="1200" w:firstLineChars="500"/>
            </w:pPr>
            <w:r>
              <w:t>L</w:t>
            </w:r>
            <w:r>
              <w:rPr>
                <w:vertAlign w:val="subscript"/>
              </w:rPr>
              <w:t>eqb</w:t>
            </w:r>
            <w:r>
              <w:t>——预测点的噪声背景值，dB（A）。</w:t>
            </w:r>
          </w:p>
          <w:p>
            <w:pPr>
              <w:ind w:firstLine="480"/>
            </w:pPr>
            <w:r>
              <w:rPr>
                <w:rFonts w:hint="eastAsia"/>
              </w:rPr>
              <w:t>（2）预测结果</w:t>
            </w:r>
          </w:p>
          <w:p>
            <w:pPr>
              <w:ind w:firstLine="480"/>
            </w:pPr>
            <w:r>
              <w:rPr>
                <w:rFonts w:hint="eastAsia"/>
              </w:rPr>
              <w:t>结合项目主要噪声源分布情况，项目夜间不生产，采用上述预测模式计算得到</w:t>
            </w:r>
            <w:r>
              <w:t>项目厂界噪声排放预测结果见表</w:t>
            </w:r>
            <w:r>
              <w:rPr>
                <w:rFonts w:hint="eastAsia"/>
              </w:rPr>
              <w:t>4.4-3。</w:t>
            </w:r>
          </w:p>
          <w:p>
            <w:pPr>
              <w:pStyle w:val="43"/>
              <w:spacing w:before="120" w:beforeLines="50" w:line="240" w:lineRule="auto"/>
            </w:pPr>
            <w:r>
              <w:rPr>
                <w:rFonts w:hint="eastAsia"/>
              </w:rPr>
              <w:t xml:space="preserve">表4.4-3  </w:t>
            </w:r>
            <w:r>
              <w:t>项目厂界噪声排放预测结果</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1930"/>
              <w:gridCol w:w="1930"/>
              <w:gridCol w:w="24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89" w:type="pct"/>
                  <w:vMerge w:val="restart"/>
                  <w:vAlign w:val="center"/>
                </w:tcPr>
                <w:p>
                  <w:pPr>
                    <w:spacing w:line="240" w:lineRule="auto"/>
                    <w:ind w:firstLine="0" w:firstLineChars="0"/>
                    <w:jc w:val="center"/>
                    <w:rPr>
                      <w:kern w:val="0"/>
                      <w:sz w:val="21"/>
                      <w:szCs w:val="21"/>
                      <w:lang w:val="en-GB"/>
                    </w:rPr>
                  </w:pPr>
                  <w:r>
                    <w:rPr>
                      <w:kern w:val="0"/>
                      <w:sz w:val="21"/>
                      <w:szCs w:val="21"/>
                      <w:lang w:val="en-GB"/>
                    </w:rPr>
                    <w:t>预测点</w:t>
                  </w:r>
                </w:p>
              </w:tc>
              <w:tc>
                <w:tcPr>
                  <w:tcW w:w="1112" w:type="pct"/>
                  <w:vAlign w:val="center"/>
                </w:tcPr>
                <w:p>
                  <w:pPr>
                    <w:spacing w:line="240" w:lineRule="auto"/>
                    <w:ind w:firstLine="0" w:firstLineChars="0"/>
                    <w:jc w:val="center"/>
                    <w:rPr>
                      <w:kern w:val="0"/>
                      <w:sz w:val="21"/>
                      <w:szCs w:val="21"/>
                      <w:lang w:val="en-GB"/>
                    </w:rPr>
                  </w:pPr>
                  <w:r>
                    <w:rPr>
                      <w:kern w:val="0"/>
                      <w:sz w:val="21"/>
                      <w:szCs w:val="21"/>
                      <w:lang w:val="en-GB"/>
                    </w:rPr>
                    <w:t>贡献值</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标准值</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Merge w:val="continue"/>
                  <w:vAlign w:val="center"/>
                </w:tcPr>
                <w:p>
                  <w:pPr>
                    <w:spacing w:line="240" w:lineRule="auto"/>
                    <w:ind w:firstLine="0" w:firstLineChars="0"/>
                    <w:jc w:val="center"/>
                    <w:rPr>
                      <w:kern w:val="0"/>
                      <w:sz w:val="21"/>
                      <w:szCs w:val="21"/>
                      <w:lang w:val="en-GB"/>
                    </w:rPr>
                  </w:pPr>
                </w:p>
              </w:tc>
              <w:tc>
                <w:tcPr>
                  <w:tcW w:w="1112" w:type="pct"/>
                  <w:vAlign w:val="center"/>
                </w:tcPr>
                <w:p>
                  <w:pPr>
                    <w:spacing w:line="240" w:lineRule="auto"/>
                    <w:ind w:firstLine="0" w:firstLineChars="0"/>
                    <w:jc w:val="center"/>
                    <w:rPr>
                      <w:kern w:val="0"/>
                      <w:sz w:val="21"/>
                      <w:szCs w:val="21"/>
                      <w:lang w:val="en-GB"/>
                    </w:rPr>
                  </w:pPr>
                  <w:r>
                    <w:rPr>
                      <w:kern w:val="0"/>
                      <w:sz w:val="21"/>
                      <w:szCs w:val="21"/>
                      <w:lang w:val="en-GB"/>
                    </w:rPr>
                    <w:t>昼间</w:t>
                  </w:r>
                </w:p>
              </w:tc>
              <w:tc>
                <w:tcPr>
                  <w:tcW w:w="1112" w:type="pct"/>
                  <w:vAlign w:val="center"/>
                </w:tcPr>
                <w:p>
                  <w:pPr>
                    <w:spacing w:line="240" w:lineRule="auto"/>
                    <w:ind w:firstLine="0" w:firstLineChars="0"/>
                    <w:jc w:val="center"/>
                    <w:rPr>
                      <w:kern w:val="0"/>
                      <w:sz w:val="21"/>
                      <w:szCs w:val="21"/>
                      <w:lang w:val="en-GB"/>
                    </w:rPr>
                  </w:pPr>
                  <w:r>
                    <w:rPr>
                      <w:kern w:val="0"/>
                      <w:sz w:val="21"/>
                      <w:szCs w:val="21"/>
                      <w:lang w:val="en-GB"/>
                    </w:rPr>
                    <w:t>昼间</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89" w:type="pct"/>
                  <w:vAlign w:val="center"/>
                </w:tcPr>
                <w:p>
                  <w:pPr>
                    <w:spacing w:line="240" w:lineRule="auto"/>
                    <w:ind w:firstLine="0" w:firstLineChars="0"/>
                    <w:jc w:val="center"/>
                    <w:rPr>
                      <w:sz w:val="21"/>
                      <w:szCs w:val="21"/>
                    </w:rPr>
                  </w:pPr>
                  <w:r>
                    <w:rPr>
                      <w:rFonts w:hint="eastAsia"/>
                      <w:sz w:val="21"/>
                      <w:szCs w:val="21"/>
                    </w:rPr>
                    <w:t>东侧厂界</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46</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65</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89" w:type="pct"/>
                  <w:vAlign w:val="center"/>
                </w:tcPr>
                <w:p>
                  <w:pPr>
                    <w:spacing w:line="240" w:lineRule="auto"/>
                    <w:ind w:firstLine="0" w:firstLineChars="0"/>
                    <w:jc w:val="center"/>
                    <w:rPr>
                      <w:sz w:val="21"/>
                      <w:szCs w:val="21"/>
                    </w:rPr>
                  </w:pPr>
                  <w:r>
                    <w:rPr>
                      <w:rFonts w:hint="eastAsia"/>
                      <w:sz w:val="21"/>
                      <w:szCs w:val="21"/>
                    </w:rPr>
                    <w:t>南侧厂界</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54</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65</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89" w:type="pct"/>
                  <w:vAlign w:val="center"/>
                </w:tcPr>
                <w:p>
                  <w:pPr>
                    <w:spacing w:line="240" w:lineRule="auto"/>
                    <w:ind w:firstLine="0" w:firstLineChars="0"/>
                    <w:jc w:val="center"/>
                    <w:rPr>
                      <w:sz w:val="21"/>
                      <w:szCs w:val="21"/>
                    </w:rPr>
                  </w:pPr>
                  <w:r>
                    <w:rPr>
                      <w:rFonts w:hint="eastAsia"/>
                      <w:sz w:val="21"/>
                      <w:szCs w:val="21"/>
                    </w:rPr>
                    <w:t>西侧厂界</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54</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65</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89" w:type="pct"/>
                  <w:vAlign w:val="center"/>
                </w:tcPr>
                <w:p>
                  <w:pPr>
                    <w:spacing w:line="240" w:lineRule="auto"/>
                    <w:ind w:firstLine="0" w:firstLineChars="0"/>
                    <w:jc w:val="center"/>
                    <w:rPr>
                      <w:sz w:val="21"/>
                      <w:szCs w:val="21"/>
                    </w:rPr>
                  </w:pPr>
                  <w:r>
                    <w:rPr>
                      <w:rFonts w:hint="eastAsia"/>
                      <w:sz w:val="21"/>
                      <w:szCs w:val="21"/>
                    </w:rPr>
                    <w:t>北侧厂界</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46</w:t>
                  </w:r>
                </w:p>
              </w:tc>
              <w:tc>
                <w:tcPr>
                  <w:tcW w:w="1112" w:type="pct"/>
                  <w:vAlign w:val="center"/>
                </w:tcPr>
                <w:p>
                  <w:pPr>
                    <w:spacing w:line="240" w:lineRule="auto"/>
                    <w:ind w:firstLine="0" w:firstLineChars="0"/>
                    <w:jc w:val="center"/>
                    <w:rPr>
                      <w:kern w:val="0"/>
                      <w:sz w:val="21"/>
                      <w:szCs w:val="21"/>
                      <w:lang w:val="en-GB"/>
                    </w:rPr>
                  </w:pPr>
                  <w:r>
                    <w:rPr>
                      <w:rFonts w:hint="eastAsia"/>
                      <w:kern w:val="0"/>
                      <w:sz w:val="21"/>
                      <w:szCs w:val="21"/>
                      <w:lang w:val="en-GB"/>
                    </w:rPr>
                    <w:t>65</w:t>
                  </w:r>
                </w:p>
              </w:tc>
              <w:tc>
                <w:tcPr>
                  <w:tcW w:w="1387" w:type="pct"/>
                  <w:vAlign w:val="center"/>
                </w:tcPr>
                <w:p>
                  <w:pPr>
                    <w:spacing w:line="240" w:lineRule="auto"/>
                    <w:ind w:firstLine="0" w:firstLineChars="0"/>
                    <w:jc w:val="center"/>
                    <w:rPr>
                      <w:kern w:val="0"/>
                      <w:sz w:val="21"/>
                      <w:szCs w:val="21"/>
                      <w:lang w:val="en-GB"/>
                    </w:rPr>
                  </w:pPr>
                  <w:r>
                    <w:rPr>
                      <w:kern w:val="0"/>
                      <w:sz w:val="21"/>
                      <w:szCs w:val="21"/>
                      <w:lang w:val="en-GB"/>
                    </w:rPr>
                    <w:t>达标</w:t>
                  </w:r>
                </w:p>
              </w:tc>
            </w:tr>
          </w:tbl>
          <w:p>
            <w:pPr>
              <w:spacing w:before="120" w:beforeLines="50"/>
              <w:ind w:firstLine="480"/>
            </w:pPr>
            <w:r>
              <w:t>根据</w:t>
            </w:r>
            <w:r>
              <w:rPr>
                <w:rFonts w:hint="eastAsia"/>
              </w:rPr>
              <w:t>上表预测</w:t>
            </w:r>
            <w:r>
              <w:t>结果可知，</w:t>
            </w:r>
            <w:r>
              <w:rPr>
                <w:rFonts w:hint="eastAsia"/>
              </w:rPr>
              <w:t>项目对</w:t>
            </w:r>
            <w:r>
              <w:t>厂界噪声的贡献值均</w:t>
            </w:r>
            <w:r>
              <w:rPr>
                <w:rFonts w:hint="eastAsia"/>
              </w:rPr>
              <w:t>满足</w:t>
            </w:r>
            <w:r>
              <w:t>《工业企业厂界环境噪声排放标准》</w:t>
            </w:r>
            <w:r>
              <w:rPr>
                <w:rFonts w:hint="eastAsia"/>
              </w:rPr>
              <w:t>（</w:t>
            </w:r>
            <w:r>
              <w:t>GB12348-2008</w:t>
            </w:r>
            <w:r>
              <w:rPr>
                <w:rFonts w:hint="eastAsia"/>
              </w:rPr>
              <w:t>）3类</w:t>
            </w:r>
            <w:r>
              <w:t>标准，项目噪声对周边环境影响较小。</w:t>
            </w:r>
          </w:p>
          <w:p>
            <w:pPr>
              <w:adjustRightInd w:val="0"/>
              <w:snapToGrid w:val="0"/>
              <w:ind w:firstLine="482"/>
              <w:rPr>
                <w:rFonts w:cs="宋体"/>
                <w:b/>
                <w:bCs/>
              </w:rPr>
            </w:pPr>
            <w:r>
              <w:rPr>
                <w:rFonts w:hint="eastAsia" w:cs="宋体"/>
                <w:b/>
                <w:bCs/>
              </w:rPr>
              <w:t>3、噪声自行监测要求</w:t>
            </w:r>
          </w:p>
          <w:p>
            <w:pPr>
              <w:adjustRightInd w:val="0"/>
              <w:snapToGrid w:val="0"/>
              <w:ind w:firstLine="480"/>
              <w:rPr>
                <w:rFonts w:cs="宋体"/>
              </w:rPr>
            </w:pPr>
            <w:r>
              <w:rPr>
                <w:rFonts w:hint="eastAsia" w:cs="宋体"/>
              </w:rPr>
              <w:t>根据《排污单位自行监测技术指南总则》（</w:t>
            </w:r>
            <w:r>
              <w:rPr>
                <w:rFonts w:cs="宋体"/>
              </w:rPr>
              <w:t>HJ819-2017</w:t>
            </w:r>
            <w:r>
              <w:rPr>
                <w:rFonts w:hint="eastAsia" w:cs="宋体"/>
              </w:rPr>
              <w:t>）等要求进行自行监测计划见下表：</w:t>
            </w:r>
          </w:p>
          <w:p>
            <w:pPr>
              <w:pStyle w:val="2"/>
              <w:spacing w:line="240" w:lineRule="auto"/>
              <w:jc w:val="center"/>
              <w:outlineLvl w:val="3"/>
            </w:pPr>
            <w:r>
              <w:rPr>
                <w:rFonts w:hint="eastAsia"/>
              </w:rPr>
              <w:t>表4.4-4  噪声监测计划一览表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2169"/>
              <w:gridCol w:w="2175"/>
              <w:gridCol w:w="21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2200" w:type="dxa"/>
                  <w:vAlign w:val="center"/>
                </w:tcPr>
                <w:p>
                  <w:pPr>
                    <w:pStyle w:val="2"/>
                    <w:spacing w:line="240" w:lineRule="auto"/>
                    <w:jc w:val="center"/>
                    <w:outlineLvl w:val="3"/>
                    <w:rPr>
                      <w:b w:val="0"/>
                      <w:sz w:val="21"/>
                    </w:rPr>
                  </w:pPr>
                  <w:r>
                    <w:rPr>
                      <w:b w:val="0"/>
                      <w:sz w:val="21"/>
                    </w:rPr>
                    <w:t>监测内容</w:t>
                  </w:r>
                </w:p>
              </w:tc>
              <w:tc>
                <w:tcPr>
                  <w:tcW w:w="2202" w:type="dxa"/>
                  <w:vAlign w:val="center"/>
                </w:tcPr>
                <w:p>
                  <w:pPr>
                    <w:pStyle w:val="2"/>
                    <w:spacing w:line="240" w:lineRule="auto"/>
                    <w:jc w:val="center"/>
                    <w:outlineLvl w:val="3"/>
                    <w:rPr>
                      <w:b w:val="0"/>
                      <w:sz w:val="21"/>
                    </w:rPr>
                  </w:pPr>
                  <w:r>
                    <w:rPr>
                      <w:b w:val="0"/>
                      <w:sz w:val="21"/>
                    </w:rPr>
                    <w:t>监测点位</w:t>
                  </w:r>
                </w:p>
              </w:tc>
              <w:tc>
                <w:tcPr>
                  <w:tcW w:w="2202" w:type="dxa"/>
                  <w:vAlign w:val="center"/>
                </w:tcPr>
                <w:p>
                  <w:pPr>
                    <w:pStyle w:val="2"/>
                    <w:spacing w:line="240" w:lineRule="auto"/>
                    <w:jc w:val="center"/>
                    <w:outlineLvl w:val="3"/>
                    <w:rPr>
                      <w:b w:val="0"/>
                      <w:sz w:val="21"/>
                    </w:rPr>
                  </w:pPr>
                  <w:r>
                    <w:rPr>
                      <w:b w:val="0"/>
                      <w:sz w:val="21"/>
                    </w:rPr>
                    <w:t>监测项目</w:t>
                  </w:r>
                </w:p>
              </w:tc>
              <w:tc>
                <w:tcPr>
                  <w:tcW w:w="2202" w:type="dxa"/>
                  <w:vAlign w:val="center"/>
                </w:tcPr>
                <w:p>
                  <w:pPr>
                    <w:pStyle w:val="2"/>
                    <w:spacing w:line="240" w:lineRule="auto"/>
                    <w:jc w:val="center"/>
                    <w:outlineLvl w:val="3"/>
                    <w:rPr>
                      <w:b w:val="0"/>
                      <w:sz w:val="21"/>
                    </w:rPr>
                  </w:pPr>
                  <w:r>
                    <w:rPr>
                      <w:b w:val="0"/>
                      <w:sz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0" w:type="dxa"/>
                  <w:vAlign w:val="center"/>
                </w:tcPr>
                <w:p>
                  <w:pPr>
                    <w:pStyle w:val="2"/>
                    <w:spacing w:line="240" w:lineRule="auto"/>
                    <w:jc w:val="center"/>
                    <w:outlineLvl w:val="3"/>
                    <w:rPr>
                      <w:b w:val="0"/>
                      <w:sz w:val="21"/>
                    </w:rPr>
                  </w:pPr>
                  <w:r>
                    <w:rPr>
                      <w:rFonts w:hint="eastAsia"/>
                      <w:b w:val="0"/>
                      <w:sz w:val="21"/>
                    </w:rPr>
                    <w:t>噪声</w:t>
                  </w:r>
                </w:p>
              </w:tc>
              <w:tc>
                <w:tcPr>
                  <w:tcW w:w="2202" w:type="dxa"/>
                  <w:vAlign w:val="center"/>
                </w:tcPr>
                <w:p>
                  <w:pPr>
                    <w:pStyle w:val="2"/>
                    <w:spacing w:line="240" w:lineRule="auto"/>
                    <w:jc w:val="center"/>
                    <w:outlineLvl w:val="3"/>
                    <w:rPr>
                      <w:b w:val="0"/>
                      <w:sz w:val="21"/>
                    </w:rPr>
                  </w:pPr>
                  <w:r>
                    <w:rPr>
                      <w:rFonts w:hint="eastAsia"/>
                      <w:b w:val="0"/>
                      <w:sz w:val="21"/>
                    </w:rPr>
                    <w:t>厂界</w:t>
                  </w:r>
                  <w:r>
                    <w:rPr>
                      <w:b w:val="0"/>
                      <w:sz w:val="21"/>
                    </w:rPr>
                    <w:t>外</w:t>
                  </w:r>
                  <w:r>
                    <w:rPr>
                      <w:rFonts w:hint="eastAsia"/>
                      <w:b w:val="0"/>
                      <w:sz w:val="21"/>
                    </w:rPr>
                    <w:t>1m</w:t>
                  </w:r>
                </w:p>
              </w:tc>
              <w:tc>
                <w:tcPr>
                  <w:tcW w:w="2202" w:type="dxa"/>
                  <w:vAlign w:val="center"/>
                </w:tcPr>
                <w:p>
                  <w:pPr>
                    <w:pStyle w:val="2"/>
                    <w:spacing w:line="240" w:lineRule="auto"/>
                    <w:jc w:val="center"/>
                    <w:outlineLvl w:val="3"/>
                    <w:rPr>
                      <w:b w:val="0"/>
                      <w:sz w:val="21"/>
                    </w:rPr>
                  </w:pPr>
                  <w:r>
                    <w:rPr>
                      <w:rFonts w:hint="eastAsia"/>
                      <w:b w:val="0"/>
                      <w:sz w:val="21"/>
                    </w:rPr>
                    <w:t>Leq（A）</w:t>
                  </w:r>
                </w:p>
              </w:tc>
              <w:tc>
                <w:tcPr>
                  <w:tcW w:w="2202" w:type="dxa"/>
                  <w:vAlign w:val="center"/>
                </w:tcPr>
                <w:p>
                  <w:pPr>
                    <w:pStyle w:val="2"/>
                    <w:spacing w:line="240" w:lineRule="auto"/>
                    <w:jc w:val="center"/>
                    <w:outlineLvl w:val="3"/>
                    <w:rPr>
                      <w:b w:val="0"/>
                      <w:sz w:val="21"/>
                    </w:rPr>
                  </w:pPr>
                  <w:r>
                    <w:rPr>
                      <w:rFonts w:hint="eastAsia"/>
                      <w:b w:val="0"/>
                      <w:sz w:val="21"/>
                    </w:rPr>
                    <w:t>1次/季度</w:t>
                  </w:r>
                </w:p>
              </w:tc>
            </w:tr>
          </w:tbl>
          <w:p>
            <w:pPr>
              <w:pStyle w:val="5"/>
              <w:spacing w:before="240" w:beforeLines="100" w:afterLines="0"/>
              <w:outlineLvl w:val="2"/>
            </w:pPr>
            <w:r>
              <w:t>4.</w:t>
            </w:r>
            <w:r>
              <w:rPr>
                <w:rFonts w:hint="eastAsia"/>
              </w:rPr>
              <w:t>5</w:t>
            </w:r>
            <w:r>
              <w:t>运营期固废</w:t>
            </w:r>
          </w:p>
          <w:p>
            <w:pPr>
              <w:ind w:firstLine="482"/>
              <w:rPr>
                <w:b/>
              </w:rPr>
            </w:pPr>
            <w:r>
              <w:rPr>
                <w:rFonts w:hint="eastAsia"/>
                <w:b/>
              </w:rPr>
              <w:t>1、固体废物产生及处置情况</w:t>
            </w:r>
          </w:p>
          <w:p>
            <w:pPr>
              <w:ind w:firstLine="480"/>
            </w:pPr>
            <w:r>
              <w:rPr>
                <w:rFonts w:hint="eastAsia"/>
              </w:rPr>
              <w:t>项目固体废物主要为工业固体废物和生活垃圾。</w:t>
            </w:r>
          </w:p>
          <w:p>
            <w:pPr>
              <w:ind w:firstLine="480"/>
            </w:pPr>
            <w:r>
              <w:rPr>
                <w:rFonts w:hint="eastAsia"/>
              </w:rPr>
              <w:t>（1）工业固体废物</w:t>
            </w:r>
          </w:p>
          <w:p>
            <w:pPr>
              <w:ind w:firstLine="480"/>
            </w:pPr>
            <w:r>
              <w:rPr>
                <w:rFonts w:hint="eastAsia"/>
              </w:rPr>
              <w:t>根据项目生产工艺分析，本项目固体废物主要为原辅料使用过程产生的废包装袋，烘干产生是米粉边角料，废水处理设施产生的污泥以及生活垃圾等。</w:t>
            </w:r>
          </w:p>
          <w:p>
            <w:pPr>
              <w:ind w:firstLine="480"/>
            </w:pPr>
            <w:r>
              <w:rPr>
                <w:rFonts w:hint="eastAsia"/>
              </w:rPr>
              <w:t>①一般工业固废</w:t>
            </w:r>
          </w:p>
          <w:p>
            <w:pPr>
              <w:ind w:firstLine="480"/>
            </w:pPr>
            <w:r>
              <w:rPr>
                <w:rFonts w:hint="eastAsia"/>
              </w:rPr>
              <w:t>废包装袋：项目各包装袋平均规格为50kg/袋，根据原料使用量计算废包装袋产生量约为3.2万个/a，折合重量约为3.2t/a。根据《固体废物分类与代码目录》，废包装袋属于SW17可再生类废物，废物代码：900-003-S17。集中收集至一般固废区，外售综合利用。</w:t>
            </w:r>
          </w:p>
          <w:p>
            <w:pPr>
              <w:ind w:firstLine="480"/>
            </w:pPr>
            <w:r>
              <w:rPr>
                <w:rFonts w:hint="eastAsia"/>
              </w:rPr>
              <w:t>米粉边角料：根据业主提供资料，米粉碎渣产生率约占成品的0.15%，项目年生产米粉1600t，则本项目米粉碎渣产生量约2.4t/a。根据《固体废物分类与代码目录》，米粉碎渣属于SW13食品残渣，废物代码：900-099-S13。集中收集至一般固废区，外售综合利用。</w:t>
            </w:r>
          </w:p>
          <w:p>
            <w:pPr>
              <w:ind w:firstLine="480"/>
            </w:pPr>
            <w:r>
              <w:rPr>
                <w:rFonts w:hint="eastAsia"/>
              </w:rPr>
              <w:t>废水处理设施产生的污泥：项目自建一体化污水处理设备处理生产废水，在运行一段时间后，将产生污泥。污泥产生量参考《集中式污染治理设施产排污系数手册》（</w:t>
            </w:r>
            <w:r>
              <w:rPr>
                <w:rFonts w:hint="eastAsia"/>
                <w:lang w:eastAsia="zh-CN"/>
              </w:rPr>
              <w:t>生态环境部</w:t>
            </w:r>
            <w:r>
              <w:rPr>
                <w:rFonts w:hint="eastAsia"/>
              </w:rPr>
              <w:t>华南环境科学研究所，2010年修订）中食品工业废水集中处理设施的含水物化与生化污泥综合产生系数为6.7吨/万吨-废水处理量，经压滤后污泥含水率为80%，项目生产废水量为2380.2t/a，则污泥产生量为2380.2×10</w:t>
            </w:r>
            <w:r>
              <w:rPr>
                <w:rFonts w:hint="eastAsia"/>
                <w:vertAlign w:val="superscript"/>
              </w:rPr>
              <w:t>-4</w:t>
            </w:r>
            <w:r>
              <w:rPr>
                <w:rFonts w:hint="eastAsia"/>
              </w:rPr>
              <w:t>×6.7×80%=12.758t/a。根据《固体废物分类与代码目录》，污泥属于SW07污泥，废物代码：140-001-S07。集中收集外售综合利用。</w:t>
            </w:r>
          </w:p>
          <w:p>
            <w:pPr>
              <w:ind w:firstLine="480"/>
            </w:pPr>
            <w:r>
              <w:rPr>
                <w:rFonts w:hint="eastAsia"/>
              </w:rPr>
              <w:t>（2）生活垃圾</w:t>
            </w:r>
          </w:p>
          <w:p>
            <w:pPr>
              <w:ind w:firstLine="480"/>
            </w:pPr>
            <w:r>
              <w:rPr>
                <w:rFonts w:hint="eastAsia"/>
              </w:rPr>
              <w:t>项目员工20人，均不在厂内住宿，根据我国生活污染排放系数，不住厂员工的生活垃圾按每人每天产生 0.5kg 计算，则本项目生活垃圾产生量约为 0.01t/d(约 2.6/a)，由环卫部门统一收集并处置。</w:t>
            </w:r>
          </w:p>
          <w:p>
            <w:pPr>
              <w:ind w:firstLine="480"/>
            </w:pPr>
            <w:r>
              <w:rPr>
                <w:rFonts w:hint="eastAsia"/>
              </w:rPr>
              <w:t>项目固体废物产生情况及管理要求见下表。</w:t>
            </w:r>
          </w:p>
          <w:p>
            <w:pPr>
              <w:pStyle w:val="103"/>
              <w:spacing w:before="120"/>
              <w:rPr>
                <w:rFonts w:eastAsia="宋体"/>
                <w:color w:val="auto"/>
              </w:rPr>
            </w:pPr>
            <w:r>
              <w:rPr>
                <w:rFonts w:hint="eastAsia" w:eastAsia="宋体"/>
                <w:color w:val="auto"/>
              </w:rPr>
              <w:t>表4.5-1  一般固体废物产生及处理处置情况汇总表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03"/>
              <w:gridCol w:w="604"/>
              <w:gridCol w:w="1115"/>
              <w:gridCol w:w="694"/>
              <w:gridCol w:w="1153"/>
              <w:gridCol w:w="949"/>
              <w:gridCol w:w="681"/>
              <w:gridCol w:w="1220"/>
              <w:gridCol w:w="16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3" w:type="dxa"/>
                  <w:vAlign w:val="center"/>
                </w:tcPr>
                <w:p>
                  <w:pPr>
                    <w:pStyle w:val="52"/>
                  </w:pPr>
                  <w:r>
                    <w:rPr>
                      <w:rFonts w:hint="eastAsia"/>
                    </w:rPr>
                    <w:t>序号</w:t>
                  </w:r>
                </w:p>
              </w:tc>
              <w:tc>
                <w:tcPr>
                  <w:tcW w:w="604" w:type="dxa"/>
                  <w:vAlign w:val="center"/>
                </w:tcPr>
                <w:p>
                  <w:pPr>
                    <w:pStyle w:val="52"/>
                  </w:pPr>
                  <w:r>
                    <w:t>产生环节</w:t>
                  </w:r>
                </w:p>
              </w:tc>
              <w:tc>
                <w:tcPr>
                  <w:tcW w:w="1115" w:type="dxa"/>
                  <w:vAlign w:val="center"/>
                </w:tcPr>
                <w:p>
                  <w:pPr>
                    <w:pStyle w:val="52"/>
                  </w:pPr>
                  <w:r>
                    <w:t>名称</w:t>
                  </w:r>
                </w:p>
              </w:tc>
              <w:tc>
                <w:tcPr>
                  <w:tcW w:w="694" w:type="dxa"/>
                  <w:vAlign w:val="center"/>
                </w:tcPr>
                <w:p>
                  <w:pPr>
                    <w:pStyle w:val="52"/>
                  </w:pPr>
                  <w:r>
                    <w:t>物理</w:t>
                  </w:r>
                </w:p>
                <w:p>
                  <w:pPr>
                    <w:pStyle w:val="52"/>
                  </w:pPr>
                  <w:r>
                    <w:t>性状</w:t>
                  </w:r>
                </w:p>
              </w:tc>
              <w:tc>
                <w:tcPr>
                  <w:tcW w:w="1153" w:type="dxa"/>
                  <w:vAlign w:val="center"/>
                </w:tcPr>
                <w:p>
                  <w:pPr>
                    <w:pStyle w:val="52"/>
                  </w:pPr>
                  <w:r>
                    <w:t>类别及编码</w:t>
                  </w:r>
                </w:p>
              </w:tc>
              <w:tc>
                <w:tcPr>
                  <w:tcW w:w="949" w:type="dxa"/>
                  <w:vAlign w:val="center"/>
                </w:tcPr>
                <w:p>
                  <w:pPr>
                    <w:pStyle w:val="52"/>
                  </w:pPr>
                  <w:r>
                    <w:t>产生量</w:t>
                  </w:r>
                  <w:r>
                    <w:rPr>
                      <w:rFonts w:hint="eastAsia"/>
                    </w:rPr>
                    <w:t>（</w:t>
                  </w:r>
                  <w:r>
                    <w:t>t/a</w:t>
                  </w:r>
                  <w:r>
                    <w:rPr>
                      <w:rFonts w:hint="eastAsia"/>
                    </w:rPr>
                    <w:t>）</w:t>
                  </w:r>
                </w:p>
              </w:tc>
              <w:tc>
                <w:tcPr>
                  <w:tcW w:w="681" w:type="dxa"/>
                  <w:vAlign w:val="center"/>
                </w:tcPr>
                <w:p>
                  <w:pPr>
                    <w:pStyle w:val="52"/>
                  </w:pPr>
                  <w:r>
                    <w:t>贮存方式</w:t>
                  </w:r>
                </w:p>
              </w:tc>
              <w:tc>
                <w:tcPr>
                  <w:tcW w:w="1220" w:type="dxa"/>
                  <w:vAlign w:val="center"/>
                </w:tcPr>
                <w:p>
                  <w:pPr>
                    <w:pStyle w:val="52"/>
                  </w:pPr>
                  <w:r>
                    <w:t>贮存</w:t>
                  </w:r>
                  <w:r>
                    <w:rPr>
                      <w:rFonts w:hint="eastAsia"/>
                    </w:rPr>
                    <w:t>地点</w:t>
                  </w:r>
                </w:p>
              </w:tc>
              <w:tc>
                <w:tcPr>
                  <w:tcW w:w="1660" w:type="dxa"/>
                  <w:vAlign w:val="center"/>
                </w:tcPr>
                <w:p>
                  <w:pPr>
                    <w:pStyle w:val="52"/>
                  </w:pPr>
                  <w:r>
                    <w:t>处置措施及去向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3" w:type="dxa"/>
                  <w:vAlign w:val="center"/>
                </w:tcPr>
                <w:p>
                  <w:pPr>
                    <w:pStyle w:val="52"/>
                  </w:pPr>
                  <w:r>
                    <w:rPr>
                      <w:rFonts w:hint="eastAsia"/>
                    </w:rPr>
                    <w:t>1</w:t>
                  </w:r>
                </w:p>
              </w:tc>
              <w:tc>
                <w:tcPr>
                  <w:tcW w:w="604" w:type="dxa"/>
                  <w:vAlign w:val="center"/>
                </w:tcPr>
                <w:p>
                  <w:pPr>
                    <w:pStyle w:val="52"/>
                  </w:pPr>
                  <w:r>
                    <w:t>职工生活</w:t>
                  </w:r>
                </w:p>
              </w:tc>
              <w:tc>
                <w:tcPr>
                  <w:tcW w:w="1115" w:type="dxa"/>
                  <w:vAlign w:val="center"/>
                </w:tcPr>
                <w:p>
                  <w:pPr>
                    <w:pStyle w:val="52"/>
                  </w:pPr>
                  <w:r>
                    <w:t>生活垃圾</w:t>
                  </w:r>
                </w:p>
              </w:tc>
              <w:tc>
                <w:tcPr>
                  <w:tcW w:w="694" w:type="dxa"/>
                  <w:vAlign w:val="center"/>
                </w:tcPr>
                <w:p>
                  <w:pPr>
                    <w:pStyle w:val="52"/>
                  </w:pPr>
                  <w:r>
                    <w:t>固态</w:t>
                  </w:r>
                </w:p>
              </w:tc>
              <w:tc>
                <w:tcPr>
                  <w:tcW w:w="1153" w:type="dxa"/>
                  <w:vAlign w:val="center"/>
                </w:tcPr>
                <w:p>
                  <w:pPr>
                    <w:pStyle w:val="52"/>
                  </w:pPr>
                  <w:r>
                    <w:t>/</w:t>
                  </w:r>
                </w:p>
              </w:tc>
              <w:tc>
                <w:tcPr>
                  <w:tcW w:w="949" w:type="dxa"/>
                  <w:vAlign w:val="center"/>
                </w:tcPr>
                <w:p>
                  <w:pPr>
                    <w:pStyle w:val="52"/>
                  </w:pPr>
                  <w:r>
                    <w:rPr>
                      <w:rFonts w:hint="eastAsia"/>
                    </w:rPr>
                    <w:t>2.6</w:t>
                  </w:r>
                </w:p>
              </w:tc>
              <w:tc>
                <w:tcPr>
                  <w:tcW w:w="681" w:type="dxa"/>
                  <w:vAlign w:val="center"/>
                </w:tcPr>
                <w:p>
                  <w:pPr>
                    <w:pStyle w:val="52"/>
                  </w:pPr>
                  <w:r>
                    <w:t>垃圾桶</w:t>
                  </w:r>
                </w:p>
              </w:tc>
              <w:tc>
                <w:tcPr>
                  <w:tcW w:w="1220" w:type="dxa"/>
                  <w:vAlign w:val="center"/>
                </w:tcPr>
                <w:p>
                  <w:pPr>
                    <w:pStyle w:val="52"/>
                  </w:pPr>
                  <w:r>
                    <w:t>垃圾桶</w:t>
                  </w:r>
                </w:p>
              </w:tc>
              <w:tc>
                <w:tcPr>
                  <w:tcW w:w="1660" w:type="dxa"/>
                  <w:vAlign w:val="center"/>
                </w:tcPr>
                <w:p>
                  <w:pPr>
                    <w:pStyle w:val="52"/>
                  </w:pPr>
                  <w:r>
                    <w:t>环卫部门处理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3" w:type="dxa"/>
                  <w:vAlign w:val="center"/>
                </w:tcPr>
                <w:p>
                  <w:pPr>
                    <w:pStyle w:val="52"/>
                  </w:pPr>
                  <w:r>
                    <w:rPr>
                      <w:rFonts w:hint="eastAsia"/>
                    </w:rPr>
                    <w:t>2</w:t>
                  </w:r>
                </w:p>
              </w:tc>
              <w:tc>
                <w:tcPr>
                  <w:tcW w:w="604" w:type="dxa"/>
                  <w:vAlign w:val="center"/>
                </w:tcPr>
                <w:p>
                  <w:pPr>
                    <w:pStyle w:val="52"/>
                  </w:pPr>
                  <w:r>
                    <w:rPr>
                      <w:rFonts w:hint="eastAsia"/>
                    </w:rPr>
                    <w:t>投料</w:t>
                  </w:r>
                </w:p>
              </w:tc>
              <w:tc>
                <w:tcPr>
                  <w:tcW w:w="1115" w:type="dxa"/>
                  <w:vAlign w:val="center"/>
                </w:tcPr>
                <w:p>
                  <w:pPr>
                    <w:pStyle w:val="52"/>
                  </w:pPr>
                  <w:r>
                    <w:rPr>
                      <w:rFonts w:hint="eastAsia"/>
                    </w:rPr>
                    <w:t>废包装袋</w:t>
                  </w:r>
                </w:p>
              </w:tc>
              <w:tc>
                <w:tcPr>
                  <w:tcW w:w="694" w:type="dxa"/>
                  <w:vAlign w:val="center"/>
                </w:tcPr>
                <w:p>
                  <w:pPr>
                    <w:pStyle w:val="52"/>
                  </w:pPr>
                  <w:r>
                    <w:t>固态</w:t>
                  </w:r>
                </w:p>
              </w:tc>
              <w:tc>
                <w:tcPr>
                  <w:tcW w:w="1153" w:type="dxa"/>
                  <w:vAlign w:val="center"/>
                </w:tcPr>
                <w:p>
                  <w:pPr>
                    <w:pStyle w:val="52"/>
                  </w:pPr>
                  <w:r>
                    <w:t>900-</w:t>
                  </w:r>
                  <w:r>
                    <w:rPr>
                      <w:rFonts w:hint="eastAsia"/>
                    </w:rPr>
                    <w:t>003</w:t>
                  </w:r>
                  <w:r>
                    <w:t>-S1</w:t>
                  </w:r>
                  <w:r>
                    <w:rPr>
                      <w:rFonts w:hint="eastAsia"/>
                    </w:rPr>
                    <w:t>7</w:t>
                  </w:r>
                </w:p>
              </w:tc>
              <w:tc>
                <w:tcPr>
                  <w:tcW w:w="949" w:type="dxa"/>
                  <w:vAlign w:val="center"/>
                </w:tcPr>
                <w:p>
                  <w:pPr>
                    <w:pStyle w:val="52"/>
                  </w:pPr>
                  <w:r>
                    <w:rPr>
                      <w:rFonts w:hint="eastAsia"/>
                    </w:rPr>
                    <w:t>3.2</w:t>
                  </w:r>
                </w:p>
              </w:tc>
              <w:tc>
                <w:tcPr>
                  <w:tcW w:w="681" w:type="dxa"/>
                  <w:vAlign w:val="center"/>
                </w:tcPr>
                <w:p>
                  <w:pPr>
                    <w:pStyle w:val="52"/>
                  </w:pPr>
                  <w:r>
                    <w:rPr>
                      <w:rFonts w:hint="eastAsia"/>
                    </w:rPr>
                    <w:t>袋装</w:t>
                  </w:r>
                </w:p>
              </w:tc>
              <w:tc>
                <w:tcPr>
                  <w:tcW w:w="1220" w:type="dxa"/>
                  <w:vMerge w:val="restart"/>
                  <w:vAlign w:val="center"/>
                </w:tcPr>
                <w:p>
                  <w:pPr>
                    <w:pStyle w:val="52"/>
                  </w:pPr>
                  <w:r>
                    <w:rPr>
                      <w:rFonts w:hint="eastAsia"/>
                    </w:rPr>
                    <w:t>一般固废间</w:t>
                  </w:r>
                </w:p>
              </w:tc>
              <w:tc>
                <w:tcPr>
                  <w:tcW w:w="1660" w:type="dxa"/>
                  <w:vAlign w:val="center"/>
                </w:tcPr>
                <w:p>
                  <w:pPr>
                    <w:pStyle w:val="52"/>
                  </w:pPr>
                  <w:r>
                    <w:rPr>
                      <w:rFonts w:hint="eastAsia"/>
                    </w:rPr>
                    <w:t>外售给可回收利用企业回收利用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3" w:type="dxa"/>
                  <w:vAlign w:val="center"/>
                </w:tcPr>
                <w:p>
                  <w:pPr>
                    <w:pStyle w:val="52"/>
                  </w:pPr>
                  <w:r>
                    <w:rPr>
                      <w:rFonts w:hint="eastAsia"/>
                    </w:rPr>
                    <w:t>3</w:t>
                  </w:r>
                </w:p>
              </w:tc>
              <w:tc>
                <w:tcPr>
                  <w:tcW w:w="604" w:type="dxa"/>
                  <w:vAlign w:val="center"/>
                </w:tcPr>
                <w:p>
                  <w:pPr>
                    <w:pStyle w:val="52"/>
                  </w:pPr>
                  <w:r>
                    <w:rPr>
                      <w:rFonts w:hint="eastAsia"/>
                    </w:rPr>
                    <w:t>烘干工序</w:t>
                  </w:r>
                </w:p>
              </w:tc>
              <w:tc>
                <w:tcPr>
                  <w:tcW w:w="1115" w:type="dxa"/>
                  <w:vAlign w:val="center"/>
                </w:tcPr>
                <w:p>
                  <w:pPr>
                    <w:pStyle w:val="52"/>
                  </w:pPr>
                  <w:r>
                    <w:rPr>
                      <w:rFonts w:hint="eastAsia"/>
                    </w:rPr>
                    <w:t>米粉边角料</w:t>
                  </w:r>
                </w:p>
              </w:tc>
              <w:tc>
                <w:tcPr>
                  <w:tcW w:w="694" w:type="dxa"/>
                  <w:vAlign w:val="center"/>
                </w:tcPr>
                <w:p>
                  <w:pPr>
                    <w:pStyle w:val="52"/>
                  </w:pPr>
                  <w:r>
                    <w:t>固态</w:t>
                  </w:r>
                </w:p>
              </w:tc>
              <w:tc>
                <w:tcPr>
                  <w:tcW w:w="1153" w:type="dxa"/>
                  <w:vAlign w:val="center"/>
                </w:tcPr>
                <w:p>
                  <w:pPr>
                    <w:pStyle w:val="52"/>
                  </w:pPr>
                  <w:r>
                    <w:rPr>
                      <w:rFonts w:hint="eastAsia"/>
                    </w:rPr>
                    <w:t>900-099-S13</w:t>
                  </w:r>
                </w:p>
              </w:tc>
              <w:tc>
                <w:tcPr>
                  <w:tcW w:w="949" w:type="dxa"/>
                  <w:vAlign w:val="center"/>
                </w:tcPr>
                <w:p>
                  <w:pPr>
                    <w:pStyle w:val="52"/>
                  </w:pPr>
                  <w:r>
                    <w:rPr>
                      <w:rFonts w:hint="eastAsia"/>
                    </w:rPr>
                    <w:t>2.4</w:t>
                  </w:r>
                </w:p>
              </w:tc>
              <w:tc>
                <w:tcPr>
                  <w:tcW w:w="681" w:type="dxa"/>
                  <w:vAlign w:val="center"/>
                </w:tcPr>
                <w:p>
                  <w:pPr>
                    <w:pStyle w:val="52"/>
                  </w:pPr>
                  <w:r>
                    <w:rPr>
                      <w:rFonts w:hint="eastAsia"/>
                    </w:rPr>
                    <w:t>袋装</w:t>
                  </w:r>
                </w:p>
              </w:tc>
              <w:tc>
                <w:tcPr>
                  <w:tcW w:w="1220" w:type="dxa"/>
                  <w:vMerge w:val="continue"/>
                  <w:vAlign w:val="center"/>
                </w:tcPr>
                <w:p>
                  <w:pPr>
                    <w:pStyle w:val="52"/>
                  </w:pPr>
                </w:p>
              </w:tc>
              <w:tc>
                <w:tcPr>
                  <w:tcW w:w="1660" w:type="dxa"/>
                  <w:vAlign w:val="center"/>
                </w:tcPr>
                <w:p>
                  <w:pPr>
                    <w:pStyle w:val="52"/>
                  </w:pPr>
                  <w:r>
                    <w:rPr>
                      <w:rFonts w:hint="eastAsia"/>
                    </w:rPr>
                    <w:t>外售给可回收利用企业回收利用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3" w:type="dxa"/>
                  <w:vAlign w:val="center"/>
                </w:tcPr>
                <w:p>
                  <w:pPr>
                    <w:pStyle w:val="52"/>
                  </w:pPr>
                  <w:r>
                    <w:rPr>
                      <w:rFonts w:hint="eastAsia"/>
                    </w:rPr>
                    <w:t>4</w:t>
                  </w:r>
                </w:p>
              </w:tc>
              <w:tc>
                <w:tcPr>
                  <w:tcW w:w="604" w:type="dxa"/>
                  <w:vAlign w:val="center"/>
                </w:tcPr>
                <w:p>
                  <w:pPr>
                    <w:pStyle w:val="52"/>
                  </w:pPr>
                  <w:r>
                    <w:rPr>
                      <w:rFonts w:hint="eastAsia"/>
                    </w:rPr>
                    <w:t>一体化污水处理设备</w:t>
                  </w:r>
                </w:p>
              </w:tc>
              <w:tc>
                <w:tcPr>
                  <w:tcW w:w="1115" w:type="dxa"/>
                  <w:vAlign w:val="center"/>
                </w:tcPr>
                <w:p>
                  <w:pPr>
                    <w:pStyle w:val="52"/>
                  </w:pPr>
                  <w:r>
                    <w:rPr>
                      <w:rFonts w:hint="eastAsia"/>
                    </w:rPr>
                    <w:t>污泥</w:t>
                  </w:r>
                </w:p>
              </w:tc>
              <w:tc>
                <w:tcPr>
                  <w:tcW w:w="694" w:type="dxa"/>
                  <w:vAlign w:val="center"/>
                </w:tcPr>
                <w:p>
                  <w:pPr>
                    <w:pStyle w:val="52"/>
                  </w:pPr>
                  <w:r>
                    <w:t>固体</w:t>
                  </w:r>
                </w:p>
              </w:tc>
              <w:tc>
                <w:tcPr>
                  <w:tcW w:w="1153" w:type="dxa"/>
                  <w:vAlign w:val="center"/>
                </w:tcPr>
                <w:p>
                  <w:pPr>
                    <w:pStyle w:val="52"/>
                  </w:pPr>
                  <w:r>
                    <w:rPr>
                      <w:rFonts w:hint="eastAsia"/>
                    </w:rPr>
                    <w:t>140-001-S07</w:t>
                  </w:r>
                </w:p>
              </w:tc>
              <w:tc>
                <w:tcPr>
                  <w:tcW w:w="949" w:type="dxa"/>
                  <w:vAlign w:val="center"/>
                </w:tcPr>
                <w:p>
                  <w:pPr>
                    <w:pStyle w:val="52"/>
                  </w:pPr>
                  <w:r>
                    <w:rPr>
                      <w:rFonts w:hint="eastAsia"/>
                    </w:rPr>
                    <w:t>12.758</w:t>
                  </w:r>
                </w:p>
              </w:tc>
              <w:tc>
                <w:tcPr>
                  <w:tcW w:w="681" w:type="dxa"/>
                  <w:vAlign w:val="center"/>
                </w:tcPr>
                <w:p>
                  <w:pPr>
                    <w:pStyle w:val="52"/>
                  </w:pPr>
                  <w:r>
                    <w:rPr>
                      <w:rFonts w:hint="eastAsia"/>
                    </w:rPr>
                    <w:t>桶装</w:t>
                  </w:r>
                </w:p>
              </w:tc>
              <w:tc>
                <w:tcPr>
                  <w:tcW w:w="1220" w:type="dxa"/>
                  <w:vMerge w:val="continue"/>
                  <w:vAlign w:val="center"/>
                </w:tcPr>
                <w:p>
                  <w:pPr>
                    <w:pStyle w:val="52"/>
                  </w:pPr>
                </w:p>
              </w:tc>
              <w:tc>
                <w:tcPr>
                  <w:tcW w:w="1660" w:type="dxa"/>
                  <w:vAlign w:val="center"/>
                </w:tcPr>
                <w:p>
                  <w:pPr>
                    <w:pStyle w:val="52"/>
                  </w:pPr>
                  <w:r>
                    <w:rPr>
                      <w:rFonts w:hint="eastAsia"/>
                    </w:rPr>
                    <w:t>外售给可回收利用企业回收利用</w:t>
                  </w:r>
                </w:p>
              </w:tc>
            </w:tr>
          </w:tbl>
          <w:p>
            <w:pPr>
              <w:pStyle w:val="103"/>
              <w:spacing w:before="120"/>
              <w:rPr>
                <w:rFonts w:eastAsia="宋体"/>
                <w:color w:val="auto"/>
              </w:rPr>
            </w:pPr>
          </w:p>
          <w:p>
            <w:pPr>
              <w:pStyle w:val="103"/>
              <w:spacing w:before="120"/>
              <w:rPr>
                <w:rFonts w:eastAsia="宋体"/>
                <w:color w:val="auto"/>
              </w:rPr>
            </w:pPr>
            <w:r>
              <w:rPr>
                <w:rFonts w:hint="eastAsia" w:eastAsia="宋体"/>
                <w:color w:val="auto"/>
              </w:rPr>
              <w:t>表4.5-2  项目一般固废贮存场所（设施）基本情况一览表</w:t>
            </w:r>
          </w:p>
          <w:tbl>
            <w:tblPr>
              <w:tblStyle w:val="98"/>
              <w:tblW w:w="498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947"/>
              <w:gridCol w:w="1360"/>
              <w:gridCol w:w="1114"/>
              <w:gridCol w:w="1237"/>
              <w:gridCol w:w="1237"/>
              <w:gridCol w:w="12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304" w:type="pct"/>
                  <w:vAlign w:val="center"/>
                </w:tcPr>
                <w:p>
                  <w:pPr>
                    <w:spacing w:line="240" w:lineRule="auto"/>
                    <w:ind w:firstLine="0" w:firstLineChars="0"/>
                    <w:jc w:val="center"/>
                    <w:rPr>
                      <w:sz w:val="21"/>
                      <w:szCs w:val="21"/>
                    </w:rPr>
                  </w:pPr>
                  <w:r>
                    <w:rPr>
                      <w:rFonts w:hint="eastAsia"/>
                      <w:sz w:val="21"/>
                      <w:szCs w:val="21"/>
                    </w:rPr>
                    <w:t>序号</w:t>
                  </w:r>
                </w:p>
              </w:tc>
              <w:tc>
                <w:tcPr>
                  <w:tcW w:w="1124" w:type="pct"/>
                  <w:vAlign w:val="center"/>
                </w:tcPr>
                <w:p>
                  <w:pPr>
                    <w:spacing w:line="240" w:lineRule="auto"/>
                    <w:ind w:firstLine="0" w:firstLineChars="0"/>
                    <w:jc w:val="center"/>
                    <w:rPr>
                      <w:sz w:val="21"/>
                      <w:szCs w:val="21"/>
                    </w:rPr>
                  </w:pPr>
                  <w:r>
                    <w:rPr>
                      <w:rFonts w:hint="eastAsia"/>
                      <w:sz w:val="21"/>
                      <w:szCs w:val="21"/>
                    </w:rPr>
                    <w:t>一般固废贮存场所</w:t>
                  </w:r>
                </w:p>
                <w:p>
                  <w:pPr>
                    <w:spacing w:line="240" w:lineRule="auto"/>
                    <w:ind w:firstLine="0" w:firstLineChars="0"/>
                    <w:jc w:val="center"/>
                    <w:rPr>
                      <w:sz w:val="21"/>
                      <w:szCs w:val="21"/>
                    </w:rPr>
                  </w:pPr>
                  <w:r>
                    <w:rPr>
                      <w:rFonts w:hint="eastAsia"/>
                      <w:sz w:val="21"/>
                      <w:szCs w:val="21"/>
                    </w:rPr>
                    <w:t>（设施）名称</w:t>
                  </w:r>
                </w:p>
              </w:tc>
              <w:tc>
                <w:tcPr>
                  <w:tcW w:w="785" w:type="pct"/>
                  <w:vAlign w:val="center"/>
                </w:tcPr>
                <w:p>
                  <w:pPr>
                    <w:spacing w:line="240" w:lineRule="auto"/>
                    <w:ind w:firstLine="0" w:firstLineChars="0"/>
                    <w:jc w:val="center"/>
                    <w:rPr>
                      <w:sz w:val="21"/>
                      <w:szCs w:val="21"/>
                    </w:rPr>
                  </w:pPr>
                  <w:r>
                    <w:rPr>
                      <w:rFonts w:hint="eastAsia"/>
                      <w:sz w:val="21"/>
                      <w:szCs w:val="21"/>
                    </w:rPr>
                    <w:t>位置</w:t>
                  </w:r>
                </w:p>
              </w:tc>
              <w:tc>
                <w:tcPr>
                  <w:tcW w:w="643" w:type="pct"/>
                  <w:vAlign w:val="center"/>
                </w:tcPr>
                <w:p>
                  <w:pPr>
                    <w:spacing w:line="240" w:lineRule="auto"/>
                    <w:ind w:firstLine="0" w:firstLineChars="0"/>
                    <w:jc w:val="center"/>
                    <w:rPr>
                      <w:sz w:val="21"/>
                      <w:szCs w:val="21"/>
                    </w:rPr>
                  </w:pPr>
                  <w:r>
                    <w:rPr>
                      <w:rFonts w:hint="eastAsia"/>
                      <w:sz w:val="21"/>
                      <w:szCs w:val="21"/>
                    </w:rPr>
                    <w:t>占地面积</w:t>
                  </w:r>
                </w:p>
              </w:tc>
              <w:tc>
                <w:tcPr>
                  <w:tcW w:w="714" w:type="pct"/>
                  <w:vAlign w:val="center"/>
                </w:tcPr>
                <w:p>
                  <w:pPr>
                    <w:spacing w:line="240" w:lineRule="auto"/>
                    <w:ind w:firstLine="0" w:firstLineChars="0"/>
                    <w:jc w:val="center"/>
                    <w:rPr>
                      <w:sz w:val="21"/>
                      <w:szCs w:val="21"/>
                    </w:rPr>
                  </w:pPr>
                  <w:r>
                    <w:rPr>
                      <w:rFonts w:hint="eastAsia"/>
                      <w:sz w:val="21"/>
                      <w:szCs w:val="21"/>
                    </w:rPr>
                    <w:t>贮存方式</w:t>
                  </w:r>
                </w:p>
              </w:tc>
              <w:tc>
                <w:tcPr>
                  <w:tcW w:w="714" w:type="pct"/>
                  <w:vAlign w:val="center"/>
                </w:tcPr>
                <w:p>
                  <w:pPr>
                    <w:spacing w:line="240" w:lineRule="auto"/>
                    <w:ind w:firstLine="0" w:firstLineChars="0"/>
                    <w:jc w:val="center"/>
                    <w:rPr>
                      <w:sz w:val="21"/>
                      <w:szCs w:val="21"/>
                    </w:rPr>
                  </w:pPr>
                  <w:r>
                    <w:rPr>
                      <w:rFonts w:hint="eastAsia"/>
                      <w:sz w:val="21"/>
                      <w:szCs w:val="21"/>
                    </w:rPr>
                    <w:t>贮存容积</w:t>
                  </w:r>
                </w:p>
              </w:tc>
              <w:tc>
                <w:tcPr>
                  <w:tcW w:w="714" w:type="pct"/>
                  <w:vAlign w:val="center"/>
                </w:tcPr>
                <w:p>
                  <w:pPr>
                    <w:spacing w:line="240" w:lineRule="auto"/>
                    <w:ind w:firstLine="0" w:firstLineChars="0"/>
                    <w:jc w:val="center"/>
                    <w:rPr>
                      <w:sz w:val="21"/>
                      <w:szCs w:val="21"/>
                    </w:rPr>
                  </w:pPr>
                  <w:r>
                    <w:rPr>
                      <w:rFonts w:hint="eastAsia"/>
                      <w:sz w:val="21"/>
                      <w:szCs w:val="21"/>
                    </w:rPr>
                    <w:t>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Align w:val="center"/>
                </w:tcPr>
                <w:p>
                  <w:pPr>
                    <w:spacing w:line="240" w:lineRule="auto"/>
                    <w:ind w:firstLine="0" w:firstLineChars="0"/>
                    <w:jc w:val="center"/>
                    <w:rPr>
                      <w:sz w:val="21"/>
                      <w:szCs w:val="21"/>
                    </w:rPr>
                  </w:pPr>
                  <w:r>
                    <w:rPr>
                      <w:rFonts w:hint="eastAsia"/>
                      <w:sz w:val="21"/>
                      <w:szCs w:val="21"/>
                    </w:rPr>
                    <w:t>1</w:t>
                  </w:r>
                </w:p>
              </w:tc>
              <w:tc>
                <w:tcPr>
                  <w:tcW w:w="1124" w:type="pct"/>
                  <w:vAlign w:val="center"/>
                </w:tcPr>
                <w:p>
                  <w:pPr>
                    <w:spacing w:line="240" w:lineRule="auto"/>
                    <w:ind w:firstLine="0" w:firstLineChars="0"/>
                    <w:jc w:val="center"/>
                    <w:rPr>
                      <w:sz w:val="21"/>
                      <w:szCs w:val="21"/>
                    </w:rPr>
                  </w:pPr>
                  <w:r>
                    <w:rPr>
                      <w:rFonts w:hint="eastAsia"/>
                      <w:sz w:val="21"/>
                      <w:szCs w:val="21"/>
                    </w:rPr>
                    <w:t>一般固废暂存区</w:t>
                  </w:r>
                </w:p>
              </w:tc>
              <w:tc>
                <w:tcPr>
                  <w:tcW w:w="785" w:type="pct"/>
                  <w:vAlign w:val="center"/>
                </w:tcPr>
                <w:p>
                  <w:pPr>
                    <w:spacing w:line="240" w:lineRule="auto"/>
                    <w:ind w:firstLine="0" w:firstLineChars="0"/>
                    <w:jc w:val="center"/>
                    <w:rPr>
                      <w:sz w:val="21"/>
                      <w:szCs w:val="21"/>
                    </w:rPr>
                  </w:pPr>
                  <w:r>
                    <w:rPr>
                      <w:rFonts w:hint="eastAsia"/>
                      <w:sz w:val="21"/>
                      <w:szCs w:val="21"/>
                    </w:rPr>
                    <w:t>生产车间内</w:t>
                  </w:r>
                </w:p>
              </w:tc>
              <w:tc>
                <w:tcPr>
                  <w:tcW w:w="643" w:type="pct"/>
                  <w:vAlign w:val="center"/>
                </w:tcPr>
                <w:p>
                  <w:pPr>
                    <w:spacing w:line="240" w:lineRule="auto"/>
                    <w:ind w:firstLine="0" w:firstLineChars="0"/>
                    <w:jc w:val="center"/>
                    <w:rPr>
                      <w:sz w:val="21"/>
                      <w:szCs w:val="21"/>
                    </w:rPr>
                  </w:pPr>
                  <w:r>
                    <w:rPr>
                      <w:rFonts w:hint="eastAsia"/>
                      <w:sz w:val="21"/>
                      <w:szCs w:val="21"/>
                    </w:rPr>
                    <w:t>5m</w:t>
                  </w:r>
                  <w:r>
                    <w:rPr>
                      <w:rFonts w:hint="eastAsia"/>
                      <w:sz w:val="21"/>
                      <w:szCs w:val="21"/>
                      <w:vertAlign w:val="superscript"/>
                    </w:rPr>
                    <w:t>2</w:t>
                  </w:r>
                </w:p>
              </w:tc>
              <w:tc>
                <w:tcPr>
                  <w:tcW w:w="714" w:type="pct"/>
                  <w:vAlign w:val="center"/>
                </w:tcPr>
                <w:p>
                  <w:pPr>
                    <w:spacing w:line="240" w:lineRule="auto"/>
                    <w:ind w:firstLine="0" w:firstLineChars="0"/>
                    <w:jc w:val="center"/>
                    <w:rPr>
                      <w:sz w:val="21"/>
                      <w:szCs w:val="21"/>
                    </w:rPr>
                  </w:pPr>
                  <w:r>
                    <w:rPr>
                      <w:rFonts w:hint="eastAsia"/>
                      <w:sz w:val="21"/>
                      <w:szCs w:val="21"/>
                    </w:rPr>
                    <w:t>分类贮存</w:t>
                  </w:r>
                </w:p>
              </w:tc>
              <w:tc>
                <w:tcPr>
                  <w:tcW w:w="714" w:type="pct"/>
                  <w:vAlign w:val="center"/>
                </w:tcPr>
                <w:p>
                  <w:pPr>
                    <w:spacing w:line="240" w:lineRule="auto"/>
                    <w:ind w:firstLine="0" w:firstLineChars="0"/>
                    <w:jc w:val="center"/>
                    <w:rPr>
                      <w:sz w:val="21"/>
                      <w:szCs w:val="21"/>
                    </w:rPr>
                  </w:pPr>
                  <w:r>
                    <w:rPr>
                      <w:rFonts w:hint="eastAsia"/>
                      <w:sz w:val="21"/>
                      <w:szCs w:val="21"/>
                    </w:rPr>
                    <w:t>2t</w:t>
                  </w:r>
                </w:p>
              </w:tc>
              <w:tc>
                <w:tcPr>
                  <w:tcW w:w="714" w:type="pct"/>
                  <w:vAlign w:val="center"/>
                </w:tcPr>
                <w:p>
                  <w:pPr>
                    <w:spacing w:line="240" w:lineRule="auto"/>
                    <w:ind w:firstLine="0" w:firstLineChars="0"/>
                    <w:jc w:val="center"/>
                    <w:rPr>
                      <w:sz w:val="21"/>
                      <w:szCs w:val="21"/>
                    </w:rPr>
                  </w:pPr>
                  <w:r>
                    <w:rPr>
                      <w:rFonts w:hint="eastAsia"/>
                      <w:sz w:val="21"/>
                      <w:szCs w:val="21"/>
                    </w:rPr>
                    <w:t>一月</w:t>
                  </w:r>
                </w:p>
              </w:tc>
            </w:tr>
          </w:tbl>
          <w:p>
            <w:pPr>
              <w:spacing w:before="120" w:beforeLines="50"/>
              <w:ind w:firstLine="482"/>
              <w:rPr>
                <w:b/>
              </w:rPr>
            </w:pPr>
            <w:r>
              <w:rPr>
                <w:rFonts w:hint="eastAsia"/>
                <w:b/>
              </w:rPr>
              <w:t>2、一般工业固体废物处理处置要求</w:t>
            </w:r>
          </w:p>
          <w:p>
            <w:pPr>
              <w:ind w:firstLine="480"/>
              <w:jc w:val="left"/>
              <w:rPr>
                <w:rFonts w:cs="宋体"/>
                <w:kern w:val="0"/>
                <w:lang w:val="zh-CN"/>
              </w:rPr>
            </w:pPr>
            <w:r>
              <w:rPr>
                <w:rFonts w:hint="eastAsia" w:cs="宋体"/>
                <w:kern w:val="0"/>
                <w:lang w:val="zh-CN"/>
              </w:rPr>
              <w:t>（1）贮存要求</w:t>
            </w:r>
          </w:p>
          <w:p>
            <w:pPr>
              <w:ind w:firstLine="480"/>
              <w:jc w:val="left"/>
            </w:pPr>
            <w:r>
              <w:rPr>
                <w:rFonts w:hint="eastAsia" w:cs="宋体"/>
                <w:kern w:val="0"/>
                <w:lang w:val="zh-CN"/>
              </w:rPr>
              <w:t>为了防止一般固废在贮存、处置过程中对环境产生影响，项目须设置一般固废暂存间（建筑面积</w:t>
            </w:r>
            <w:r>
              <w:rPr>
                <w:rFonts w:hint="eastAsia" w:cs="宋体"/>
                <w:kern w:val="0"/>
              </w:rPr>
              <w:t>5</w:t>
            </w:r>
            <w:r>
              <w:rPr>
                <w:rFonts w:hint="eastAsia" w:cs="宋体"/>
                <w:kern w:val="0"/>
                <w:lang w:val="zh-CN"/>
              </w:rPr>
              <w:t>m</w:t>
            </w:r>
            <w:r>
              <w:rPr>
                <w:rFonts w:hint="eastAsia" w:cs="宋体"/>
                <w:kern w:val="0"/>
                <w:vertAlign w:val="superscript"/>
                <w:lang w:val="zh-CN"/>
              </w:rPr>
              <w:t>2</w:t>
            </w:r>
            <w:r>
              <w:rPr>
                <w:rFonts w:hint="eastAsia" w:cs="宋体"/>
                <w:kern w:val="0"/>
                <w:lang w:val="zh-CN"/>
              </w:rPr>
              <w:t>），其建设需满足《一般工业固体废物贮存和填埋污染控制标准》（GB18599-2020）相关规定，具体规定如下：</w:t>
            </w:r>
          </w:p>
          <w:p>
            <w:pPr>
              <w:snapToGrid w:val="0"/>
              <w:ind w:firstLine="480"/>
            </w:pPr>
            <w:r>
              <w:rPr>
                <w:rFonts w:hint="eastAsia" w:cs="宋体"/>
              </w:rPr>
              <w:t>①</w:t>
            </w:r>
            <w:r>
              <w:t>应选在满足承载力要求的地基上，以避免地基下沉的影响，特别是不均匀或局部下沉的影响。</w:t>
            </w:r>
          </w:p>
          <w:p>
            <w:pPr>
              <w:snapToGrid w:val="0"/>
              <w:ind w:firstLine="480"/>
            </w:pPr>
            <w:r>
              <w:rPr>
                <w:rFonts w:hint="eastAsia" w:cs="宋体"/>
              </w:rPr>
              <w:t>②</w:t>
            </w:r>
            <w:r>
              <w:t>暂存场所应采取防雨措施，设置钢制防雨棚或混凝土防雨屋顶，并设置给排水系统。</w:t>
            </w:r>
          </w:p>
          <w:p>
            <w:pPr>
              <w:ind w:firstLine="480"/>
              <w:jc w:val="left"/>
              <w:outlineLvl w:val="1"/>
            </w:pPr>
            <w:r>
              <w:rPr>
                <w:rFonts w:hint="eastAsia" w:cs="宋体"/>
              </w:rPr>
              <w:t>③</w:t>
            </w:r>
            <w:r>
              <w:t>暂存场所应采取防雨、防渗措施，应在贮存场所地表建设建筑物，将贮存场所建成室内贮存区域，同时采用防渗、防腐蚀（耐碱）的材料作地面。</w:t>
            </w:r>
          </w:p>
          <w:p>
            <w:pPr>
              <w:ind w:firstLine="480"/>
              <w:jc w:val="left"/>
              <w:outlineLvl w:val="1"/>
            </w:pPr>
            <w:r>
              <w:rPr>
                <w:rFonts w:hint="eastAsia"/>
              </w:rPr>
              <w:t>（2）管理要求</w:t>
            </w:r>
          </w:p>
          <w:p>
            <w:pPr>
              <w:ind w:firstLine="480"/>
              <w:jc w:val="left"/>
              <w:outlineLvl w:val="1"/>
            </w:pPr>
            <w:r>
              <w:rPr>
                <w:rFonts w:hint="eastAsia"/>
              </w:rPr>
              <w:t>根据《中华人民共和国固体废物污染环境防治法》、《一般工业固体废物管理台账制定指南（试行）》，建设单位需采取措施，减少固体废物的产生量，促进固体废物的综合利用，降低固体废物的危害性。</w:t>
            </w:r>
          </w:p>
          <w:p>
            <w:pPr>
              <w:ind w:firstLine="480"/>
              <w:jc w:val="left"/>
              <w:outlineLvl w:val="1"/>
              <w:rPr>
                <w:bCs/>
              </w:rPr>
            </w:pPr>
            <w:r>
              <w:rPr>
                <w:rFonts w:hint="eastAsia"/>
                <w:bCs/>
              </w:rPr>
              <w:t>①监督管理</w:t>
            </w:r>
          </w:p>
          <w:p>
            <w:pPr>
              <w:ind w:firstLine="480"/>
              <w:jc w:val="left"/>
              <w:outlineLvl w:val="1"/>
            </w:pPr>
            <w:r>
              <w:rPr>
                <w:rFonts w:hint="eastAsia"/>
              </w:rPr>
              <w:t>加强对相关设施、设备和场所的管理和维护，保证其正常运行和使用。采取防扬散、防流失、防渗漏或者其他防止污染环境的措施，不得擅自倾倒、堆放、丢弃、遗撒固体废物。禁止向江河、湖泊、运河、渠道、水库及其最高水位线以下的滩地和岸坡以及法律法规规定的其他地点倾倒、堆放、贮存固体废物。依法及时公开固体废物污染环境防治信息，主动接受社会监督。</w:t>
            </w:r>
          </w:p>
          <w:p>
            <w:pPr>
              <w:ind w:firstLine="480"/>
              <w:jc w:val="left"/>
              <w:outlineLvl w:val="1"/>
              <w:rPr>
                <w:bCs/>
              </w:rPr>
            </w:pPr>
            <w:r>
              <w:rPr>
                <w:rFonts w:hint="eastAsia"/>
                <w:bCs/>
              </w:rPr>
              <w:t>②工业固体废物</w:t>
            </w:r>
          </w:p>
          <w:p>
            <w:pPr>
              <w:ind w:firstLine="480"/>
              <w:jc w:val="left"/>
              <w:outlineLvl w:val="1"/>
            </w:pPr>
            <w:r>
              <w:rPr>
                <w:rFonts w:hint="eastAsia"/>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委托他人运输、利用、处置工业固体废物的，应当对受托方的主体资格和技术能力进行核实，依法签订书面合同，在合同中约定污染防治要求。依法实施清洁生产审核，合理选择和利用原材料、能源和其他资源，采用先进的生产工艺和设备，减少工业固体废物的产生量，降低工业固体废物的危害性。依法取得排污许可证。根据经济、技术条件对工业固体废物加以利用；对暂时不利用或者不能利用的，需按照国务院生态环境等主管部门的规定建设贮存设施、场所，安全分类存放，或者采取无害化处置措施。</w:t>
            </w:r>
          </w:p>
          <w:p>
            <w:pPr>
              <w:ind w:firstLine="480"/>
              <w:jc w:val="left"/>
              <w:outlineLvl w:val="1"/>
              <w:rPr>
                <w:bCs/>
              </w:rPr>
            </w:pPr>
            <w:r>
              <w:rPr>
                <w:rFonts w:hint="eastAsia"/>
                <w:bCs/>
              </w:rPr>
              <w:t>③生活垃圾</w:t>
            </w:r>
          </w:p>
          <w:p>
            <w:pPr>
              <w:ind w:firstLine="480"/>
              <w:jc w:val="left"/>
              <w:outlineLvl w:val="1"/>
            </w:pPr>
            <w:r>
              <w:rPr>
                <w:rFonts w:hint="eastAsia"/>
              </w:rPr>
              <w:t>依法履行生活垃圾源头减量和分类投放义务，承担生活垃圾产生者责任。依法在指定的地点分类投放生活垃圾。禁止随意倾倒、抛撒、堆放或者焚烧生活垃圾。</w:t>
            </w:r>
          </w:p>
          <w:p>
            <w:pPr>
              <w:ind w:firstLine="480"/>
              <w:jc w:val="left"/>
              <w:outlineLvl w:val="1"/>
              <w:rPr>
                <w:bCs/>
              </w:rPr>
            </w:pPr>
            <w:r>
              <w:rPr>
                <w:rFonts w:hint="eastAsia"/>
                <w:bCs/>
              </w:rPr>
              <w:t>④环境管理要求</w:t>
            </w:r>
          </w:p>
          <w:p>
            <w:pPr>
              <w:ind w:firstLine="480"/>
              <w:rPr>
                <w:bCs/>
              </w:rPr>
            </w:pPr>
            <w:r>
              <w:rPr>
                <w:rFonts w:hint="eastAsia"/>
                <w:bCs/>
              </w:rPr>
              <w:t>对项目一般工业固体废物的收集、贮存、处置情况进行登记，并对其产生、收集、贮存和处置情况进行台账记录，台账保存期限不得少于5年。</w:t>
            </w:r>
          </w:p>
          <w:p>
            <w:pPr>
              <w:pStyle w:val="5"/>
              <w:spacing w:before="120" w:afterLines="0"/>
              <w:outlineLvl w:val="2"/>
            </w:pPr>
            <w:r>
              <w:t>4.</w:t>
            </w:r>
            <w:r>
              <w:rPr>
                <w:rFonts w:hint="eastAsia"/>
              </w:rPr>
              <w:t>6地下水、土壤环境影响分析</w:t>
            </w:r>
          </w:p>
          <w:p>
            <w:pPr>
              <w:widowControl/>
              <w:ind w:firstLine="480"/>
              <w:rPr>
                <w:kern w:val="0"/>
                <w:szCs w:val="20"/>
              </w:rPr>
            </w:pPr>
            <w:r>
              <w:rPr>
                <w:rFonts w:hint="eastAsia"/>
                <w:kern w:val="0"/>
                <w:szCs w:val="20"/>
              </w:rPr>
              <w:t>结合导则要求，本环评可不开展地下水、土壤环境影响评价。但考虑项目会自建一体化污水处理设备，本环评着重考虑一体化污水处理设备区域对地下水污染，具体如下：</w:t>
            </w:r>
          </w:p>
          <w:p>
            <w:pPr>
              <w:widowControl/>
              <w:ind w:firstLine="480"/>
              <w:rPr>
                <w:kern w:val="0"/>
                <w:szCs w:val="13"/>
              </w:rPr>
            </w:pPr>
            <w:r>
              <w:rPr>
                <w:rFonts w:hint="eastAsia"/>
                <w:kern w:val="0"/>
                <w:szCs w:val="20"/>
              </w:rPr>
              <w:t>①废水收集、处理系统防渗措施不当造成污水直接下渗，影响区域周围地区浅层地下水。</w:t>
            </w:r>
            <w:r>
              <w:rPr>
                <w:kern w:val="0"/>
                <w:szCs w:val="13"/>
              </w:rPr>
              <w:t xml:space="preserve"> </w:t>
            </w:r>
          </w:p>
          <w:p>
            <w:pPr>
              <w:widowControl/>
              <w:ind w:firstLine="480"/>
              <w:rPr>
                <w:kern w:val="0"/>
                <w:szCs w:val="13"/>
              </w:rPr>
            </w:pPr>
            <w:r>
              <w:rPr>
                <w:rFonts w:hint="eastAsia"/>
                <w:kern w:val="0"/>
                <w:szCs w:val="13"/>
              </w:rPr>
              <w:t>②收集管道下渗或漏水，污染管道附近的浅层地下水。</w:t>
            </w:r>
          </w:p>
          <w:p>
            <w:pPr>
              <w:widowControl/>
              <w:ind w:firstLine="480"/>
              <w:rPr>
                <w:kern w:val="0"/>
                <w:szCs w:val="13"/>
              </w:rPr>
            </w:pPr>
            <w:r>
              <w:rPr>
                <w:rFonts w:hint="eastAsia"/>
                <w:kern w:val="0"/>
                <w:szCs w:val="13"/>
              </w:rPr>
              <w:t>③一体化污水处理设备污泥、废渣等暂存场所防渗不当，造成淋滤液下渗污染地下水。</w:t>
            </w:r>
          </w:p>
          <w:p>
            <w:pPr>
              <w:widowControl/>
              <w:ind w:firstLine="480"/>
              <w:rPr>
                <w:kern w:val="0"/>
                <w:szCs w:val="13"/>
              </w:rPr>
            </w:pPr>
            <w:r>
              <w:rPr>
                <w:rFonts w:hint="eastAsia"/>
                <w:kern w:val="0"/>
                <w:szCs w:val="13"/>
              </w:rPr>
              <w:t>若一体化污水处理设备污水</w:t>
            </w:r>
            <w:r>
              <w:rPr>
                <w:rFonts w:hint="eastAsia"/>
                <w:kern w:val="0"/>
                <w:szCs w:val="13"/>
                <w:lang w:eastAsia="zh-CN"/>
              </w:rPr>
              <w:t>泄漏</w:t>
            </w:r>
            <w:r>
              <w:rPr>
                <w:rFonts w:hint="eastAsia"/>
                <w:kern w:val="0"/>
                <w:szCs w:val="13"/>
              </w:rPr>
              <w:t>，会污染地下水，故针对项目可能发生的地下水污染，本项目地下水污染防治措施按照“源头控制、分区防治、污染监控、应急响应”相结合的原则，从污染物的生产、入渗、扩散、应急响应全方位进行控制。严格按照国家相关规范要求，对污水管道、污水储存及处理构筑物采取相应的防渗措施，以防止和降低污染物的跑、冒、滴、漏，将污染物泄漏的环境风险事故降低到最低程度；管线敷设尽量采用“可视化”原则，即管道尽可能地上敷设，做到污染物“早发现、早处理”，以减少由于埋地管道泄漏而可能造成的地下水污染。为保护区域地下水安全，需对区域进行防渗。一体化污水构筑物、管道列为重点防渗区，化粪池为一般防渗区，其他区域为简单防渗区。</w:t>
            </w:r>
          </w:p>
          <w:p>
            <w:pPr>
              <w:widowControl/>
              <w:ind w:firstLine="480"/>
              <w:rPr>
                <w:kern w:val="0"/>
                <w:szCs w:val="13"/>
              </w:rPr>
            </w:pPr>
            <w:r>
              <w:rPr>
                <w:rFonts w:hint="eastAsia"/>
                <w:kern w:val="0"/>
                <w:szCs w:val="13"/>
              </w:rPr>
              <w:t>重点防渗区：污水输送全部采用管道输送，采用pvc管道输送，确保不渗漏，并进行定期检查，防止跑冒漏滴的现象发生。池体采用玻璃钢罐体预埋地下，可确保不渗漏，一体化污水处理设备放置在地面上，地表做凝凝土硬化防下沉，一体化污水处理设备材质采用碳钢加环氧沥青防腐处理可确保不渗漏。</w:t>
            </w:r>
          </w:p>
          <w:p>
            <w:pPr>
              <w:widowControl/>
              <w:ind w:firstLine="480"/>
              <w:rPr>
                <w:kern w:val="0"/>
                <w:szCs w:val="13"/>
              </w:rPr>
            </w:pPr>
            <w:r>
              <w:rPr>
                <w:rFonts w:hint="eastAsia"/>
                <w:kern w:val="0"/>
                <w:szCs w:val="13"/>
              </w:rPr>
              <w:t>一般防渗区：地面采取钢筋混凝土并涂覆防渗涂料，可使一般防渗区域的等效黏土防渗层 Mb≥1.5m，K≤1×10</w:t>
            </w:r>
            <w:r>
              <w:rPr>
                <w:rFonts w:hint="eastAsia"/>
                <w:kern w:val="0"/>
                <w:szCs w:val="13"/>
                <w:vertAlign w:val="superscript"/>
              </w:rPr>
              <w:t>-5</w:t>
            </w:r>
            <w:r>
              <w:rPr>
                <w:rFonts w:hint="eastAsia"/>
                <w:kern w:val="0"/>
                <w:szCs w:val="13"/>
              </w:rPr>
              <w:t>cm/s。</w:t>
            </w:r>
          </w:p>
          <w:p>
            <w:pPr>
              <w:widowControl/>
              <w:ind w:firstLine="480"/>
              <w:rPr>
                <w:kern w:val="0"/>
                <w:szCs w:val="13"/>
              </w:rPr>
            </w:pPr>
            <w:r>
              <w:rPr>
                <w:rFonts w:hint="eastAsia"/>
                <w:kern w:val="0"/>
                <w:szCs w:val="13"/>
              </w:rPr>
              <w:t>简单防渗区：一般硬化</w:t>
            </w:r>
          </w:p>
          <w:p>
            <w:pPr>
              <w:widowControl/>
              <w:ind w:firstLine="480"/>
              <w:rPr>
                <w:kern w:val="0"/>
                <w:szCs w:val="13"/>
              </w:rPr>
            </w:pPr>
            <w:r>
              <w:rPr>
                <w:rFonts w:hint="eastAsia"/>
                <w:kern w:val="0"/>
                <w:szCs w:val="13"/>
              </w:rPr>
              <w:t>通过以上分析，项目采取了必要的防渗防腐、管理措施，可以在很大程度上预防</w:t>
            </w:r>
            <w:r>
              <w:rPr>
                <w:rFonts w:hint="eastAsia"/>
                <w:kern w:val="0"/>
                <w:szCs w:val="20"/>
              </w:rPr>
              <w:t>一体化污水处理设备</w:t>
            </w:r>
            <w:r>
              <w:rPr>
                <w:rFonts w:hint="eastAsia"/>
                <w:kern w:val="0"/>
                <w:szCs w:val="13"/>
              </w:rPr>
              <w:t>对当地地下水、土壤环境的污染，不会对地下水水质造成影响。</w:t>
            </w:r>
          </w:p>
          <w:p>
            <w:pPr>
              <w:pStyle w:val="5"/>
              <w:spacing w:before="120" w:afterLines="0"/>
              <w:outlineLvl w:val="2"/>
            </w:pPr>
            <w:r>
              <w:t>4.</w:t>
            </w:r>
            <w:r>
              <w:rPr>
                <w:rFonts w:hint="eastAsia"/>
              </w:rPr>
              <w:t>7环境</w:t>
            </w:r>
            <w:r>
              <w:t>风险</w:t>
            </w:r>
          </w:p>
          <w:p>
            <w:pPr>
              <w:ind w:firstLine="480"/>
              <w:rPr>
                <w:lang w:val="zh-CN"/>
              </w:rPr>
            </w:pPr>
            <w:r>
              <w:rPr>
                <w:rFonts w:hint="eastAsia"/>
                <w:lang w:val="zh-CN"/>
              </w:rPr>
              <w:t>按照《建设项目环境风险评价技术导则》（HJ/T169-2018）附录B及《重大危险源辨识》（GB18218-2018），本项目无环境风险物质。</w:t>
            </w:r>
          </w:p>
          <w:p>
            <w:pPr>
              <w:ind w:firstLine="480"/>
            </w:pPr>
            <w:r>
              <w:rPr>
                <w:rFonts w:hint="eastAsia"/>
              </w:rPr>
              <w:t>因项目建一体化污水处理设备，针对一体化污水处理设备故障，需配备冗余设备、应急贮存池，并强化防渗、电力保障和人员培训，确保故障时废水不直排环境。</w:t>
            </w:r>
          </w:p>
          <w:p>
            <w:pPr>
              <w:ind w:firstLine="0" w:firstLineChars="0"/>
            </w:pPr>
          </w:p>
          <w:p>
            <w:pPr>
              <w:pStyle w:val="2"/>
              <w:outlineLvl w:val="3"/>
            </w:pPr>
          </w:p>
          <w:p>
            <w:pPr>
              <w:pStyle w:val="2"/>
              <w:outlineLvl w:val="3"/>
            </w:pPr>
          </w:p>
          <w:p>
            <w:pPr>
              <w:ind w:firstLine="0" w:firstLineChars="0"/>
            </w:pPr>
          </w:p>
          <w:p>
            <w:pPr>
              <w:pStyle w:val="2"/>
              <w:outlineLvl w:val="3"/>
            </w:pPr>
          </w:p>
          <w:p>
            <w:pPr>
              <w:pStyle w:val="2"/>
              <w:outlineLvl w:val="3"/>
            </w:pPr>
          </w:p>
          <w:p>
            <w:pPr>
              <w:ind w:firstLine="0" w:firstLineChars="0"/>
            </w:pPr>
          </w:p>
          <w:p>
            <w:pPr>
              <w:pStyle w:val="2"/>
              <w:outlineLvl w:val="3"/>
            </w:pPr>
          </w:p>
          <w:p>
            <w:pPr>
              <w:pStyle w:val="2"/>
              <w:outlineLvl w:val="3"/>
            </w:pPr>
          </w:p>
          <w:p>
            <w:pPr>
              <w:ind w:firstLine="0" w:firstLineChars="0"/>
            </w:pPr>
          </w:p>
          <w:p>
            <w:pPr>
              <w:pStyle w:val="2"/>
              <w:outlineLvl w:val="3"/>
            </w:pPr>
          </w:p>
          <w:p>
            <w:pPr>
              <w:pStyle w:val="2"/>
              <w:outlineLvl w:val="3"/>
            </w:pPr>
          </w:p>
          <w:p>
            <w:pPr>
              <w:ind w:firstLine="482"/>
              <w:rPr>
                <w:b/>
              </w:rPr>
            </w:pPr>
          </w:p>
        </w:tc>
      </w:tr>
    </w:tbl>
    <w:p>
      <w:pPr>
        <w:ind w:firstLine="480"/>
        <w:sectPr>
          <w:pgSz w:w="11905" w:h="16838"/>
          <w:pgMar w:top="1417" w:right="1417" w:bottom="1417" w:left="1417" w:header="851" w:footer="850" w:gutter="0"/>
          <w:cols w:space="720" w:num="1"/>
          <w:docGrid w:linePitch="326" w:charSpace="0"/>
        </w:sectPr>
      </w:pPr>
    </w:p>
    <w:p>
      <w:pPr>
        <w:widowControl/>
        <w:spacing w:line="240" w:lineRule="auto"/>
        <w:ind w:firstLine="0" w:firstLineChars="0"/>
        <w:jc w:val="left"/>
        <w:rPr>
          <w:b/>
          <w:bCs/>
          <w:kern w:val="44"/>
          <w:sz w:val="32"/>
          <w:szCs w:val="36"/>
        </w:rPr>
      </w:pPr>
    </w:p>
    <w:p>
      <w:pPr>
        <w:pStyle w:val="3"/>
        <w:spacing w:before="120" w:after="120"/>
      </w:pPr>
      <w:r>
        <w:t>五、</w:t>
      </w:r>
      <w:bookmarkStart w:id="50" w:name="_Hlk54167917"/>
      <w:r>
        <w:t>环境保护措施监督检查清单</w:t>
      </w:r>
      <w:bookmarkEnd w:id="50"/>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89"/>
        <w:gridCol w:w="1561"/>
        <w:gridCol w:w="1342"/>
        <w:gridCol w:w="2205"/>
        <w:gridCol w:w="3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tcPr>
          <w:p>
            <w:pPr>
              <w:pStyle w:val="52"/>
            </w:pPr>
            <w:r>
              <w:t>内容要素</w:t>
            </w:r>
          </w:p>
        </w:tc>
        <w:tc>
          <w:tcPr>
            <w:tcW w:w="855" w:type="pct"/>
            <w:vAlign w:val="center"/>
          </w:tcPr>
          <w:p>
            <w:pPr>
              <w:pStyle w:val="52"/>
            </w:pPr>
            <w:r>
              <w:t>排放口(编号、名称)/污染源</w:t>
            </w:r>
          </w:p>
        </w:tc>
        <w:tc>
          <w:tcPr>
            <w:tcW w:w="735" w:type="pct"/>
            <w:vAlign w:val="center"/>
          </w:tcPr>
          <w:p>
            <w:pPr>
              <w:pStyle w:val="52"/>
            </w:pPr>
            <w:r>
              <w:t>污染物项目</w:t>
            </w:r>
          </w:p>
        </w:tc>
        <w:tc>
          <w:tcPr>
            <w:tcW w:w="1208" w:type="pct"/>
            <w:vAlign w:val="center"/>
          </w:tcPr>
          <w:p>
            <w:pPr>
              <w:pStyle w:val="52"/>
            </w:pPr>
            <w:r>
              <w:t>环境保护措施</w:t>
            </w:r>
          </w:p>
        </w:tc>
        <w:tc>
          <w:tcPr>
            <w:tcW w:w="1879" w:type="pct"/>
            <w:vAlign w:val="center"/>
          </w:tcPr>
          <w:p>
            <w:pPr>
              <w:pStyle w:val="52"/>
            </w:pPr>
            <w: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82" w:hRule="atLeast"/>
          <w:jc w:val="center"/>
        </w:trPr>
        <w:tc>
          <w:tcPr>
            <w:tcW w:w="323" w:type="pct"/>
            <w:vAlign w:val="center"/>
          </w:tcPr>
          <w:p>
            <w:pPr>
              <w:pStyle w:val="52"/>
            </w:pPr>
            <w:r>
              <w:rPr>
                <w:rFonts w:hint="eastAsia"/>
              </w:rPr>
              <w:t>大气环境</w:t>
            </w:r>
          </w:p>
        </w:tc>
        <w:tc>
          <w:tcPr>
            <w:tcW w:w="855" w:type="pct"/>
            <w:vAlign w:val="center"/>
          </w:tcPr>
          <w:p>
            <w:pPr>
              <w:pStyle w:val="52"/>
              <w:spacing w:line="276" w:lineRule="auto"/>
            </w:pPr>
            <w:r>
              <w:rPr>
                <w:rFonts w:hint="eastAsia"/>
              </w:rPr>
              <w:t>厂房外一体化污水处理设备区</w:t>
            </w:r>
          </w:p>
        </w:tc>
        <w:tc>
          <w:tcPr>
            <w:tcW w:w="735" w:type="pct"/>
            <w:vAlign w:val="center"/>
          </w:tcPr>
          <w:p>
            <w:pPr>
              <w:pStyle w:val="52"/>
              <w:spacing w:line="276" w:lineRule="auto"/>
            </w:pPr>
            <w:r>
              <w:rPr>
                <w:rFonts w:hint="eastAsia"/>
              </w:rPr>
              <w:t>NH</w:t>
            </w:r>
            <w:r>
              <w:rPr>
                <w:rFonts w:hint="eastAsia"/>
                <w:vertAlign w:val="subscript"/>
              </w:rPr>
              <w:t>3</w:t>
            </w:r>
            <w:r>
              <w:rPr>
                <w:rFonts w:hint="eastAsia"/>
              </w:rPr>
              <w:t>、H</w:t>
            </w:r>
            <w:r>
              <w:rPr>
                <w:rFonts w:hint="eastAsia"/>
                <w:vertAlign w:val="subscript"/>
              </w:rPr>
              <w:t>2</w:t>
            </w:r>
            <w:r>
              <w:rPr>
                <w:rFonts w:hint="eastAsia"/>
              </w:rPr>
              <w:t>S、臭气浓度</w:t>
            </w:r>
          </w:p>
        </w:tc>
        <w:tc>
          <w:tcPr>
            <w:tcW w:w="1208" w:type="pct"/>
            <w:vAlign w:val="center"/>
          </w:tcPr>
          <w:p>
            <w:pPr>
              <w:pStyle w:val="52"/>
              <w:spacing w:line="276" w:lineRule="auto"/>
              <w:rPr>
                <w:rFonts w:cs="宋体"/>
              </w:rPr>
            </w:pPr>
            <w:r>
              <w:rPr>
                <w:rFonts w:hint="eastAsia" w:cs="宋体"/>
              </w:rPr>
              <w:t>定期喷洒除臭剂</w:t>
            </w:r>
          </w:p>
        </w:tc>
        <w:tc>
          <w:tcPr>
            <w:tcW w:w="1879" w:type="pct"/>
            <w:vAlign w:val="center"/>
          </w:tcPr>
          <w:p>
            <w:pPr>
              <w:pStyle w:val="52"/>
              <w:spacing w:line="276" w:lineRule="auto"/>
            </w:pPr>
            <w:r>
              <w:rPr>
                <w:rFonts w:hint="eastAsia"/>
              </w:rPr>
              <w:t>NH</w:t>
            </w:r>
            <w:r>
              <w:rPr>
                <w:rFonts w:hint="eastAsia"/>
                <w:vertAlign w:val="subscript"/>
              </w:rPr>
              <w:t>3</w:t>
            </w:r>
            <w:r>
              <w:rPr>
                <w:rFonts w:hint="eastAsia"/>
              </w:rPr>
              <w:t>、H</w:t>
            </w:r>
            <w:r>
              <w:rPr>
                <w:rFonts w:hint="eastAsia"/>
                <w:vertAlign w:val="subscript"/>
              </w:rPr>
              <w:t>2</w:t>
            </w:r>
            <w:r>
              <w:rPr>
                <w:rFonts w:hint="eastAsia"/>
              </w:rPr>
              <w:t>S、臭气浓度执行《恶臭污染物排放标准》（GB14554-93）表 1 二级新改扩建标准，即NH</w:t>
            </w:r>
            <w:r>
              <w:rPr>
                <w:rFonts w:hint="eastAsia"/>
                <w:vertAlign w:val="subscript"/>
              </w:rPr>
              <w:t>3</w:t>
            </w:r>
            <w:r>
              <w:rPr>
                <w:rFonts w:hint="eastAsia"/>
              </w:rPr>
              <w:t>≤0.06 mg/m</w:t>
            </w:r>
            <w:r>
              <w:rPr>
                <w:rFonts w:hint="eastAsia"/>
                <w:vertAlign w:val="superscript"/>
              </w:rPr>
              <w:t>3</w:t>
            </w:r>
            <w:r>
              <w:rPr>
                <w:rFonts w:hint="eastAsia"/>
              </w:rPr>
              <w:t>、H</w:t>
            </w:r>
            <w:r>
              <w:rPr>
                <w:rFonts w:hint="eastAsia"/>
                <w:vertAlign w:val="subscript"/>
              </w:rPr>
              <w:t>2</w:t>
            </w:r>
            <w:r>
              <w:rPr>
                <w:rFonts w:hint="eastAsia"/>
              </w:rPr>
              <w:t>S≤1.5 mg/m</w:t>
            </w:r>
            <w:r>
              <w:rPr>
                <w:rFonts w:hint="eastAsia"/>
                <w:vertAlign w:val="superscript"/>
              </w:rPr>
              <w:t>3</w:t>
            </w:r>
            <w:r>
              <w:rPr>
                <w:rFonts w:hint="eastAsia"/>
              </w:rPr>
              <w:t>、臭气浓度≤20（无量纲）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Merge w:val="restart"/>
            <w:vAlign w:val="center"/>
          </w:tcPr>
          <w:p>
            <w:pPr>
              <w:pStyle w:val="52"/>
            </w:pPr>
            <w:r>
              <w:t>水环境</w:t>
            </w:r>
          </w:p>
        </w:tc>
        <w:tc>
          <w:tcPr>
            <w:tcW w:w="855" w:type="pct"/>
            <w:vAlign w:val="center"/>
          </w:tcPr>
          <w:p>
            <w:pPr>
              <w:pStyle w:val="52"/>
            </w:pPr>
            <w:r>
              <w:rPr>
                <w:rFonts w:hint="eastAsia"/>
              </w:rPr>
              <w:t>DW001（生活污水排放口）</w:t>
            </w:r>
          </w:p>
        </w:tc>
        <w:tc>
          <w:tcPr>
            <w:tcW w:w="735" w:type="pct"/>
            <w:vAlign w:val="center"/>
          </w:tcPr>
          <w:p>
            <w:pPr>
              <w:pStyle w:val="52"/>
            </w:pPr>
            <w:r>
              <w:rPr>
                <w:rFonts w:hint="eastAsia"/>
              </w:rPr>
              <w:t>pH、COD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-N、TP、TN</w:t>
            </w:r>
          </w:p>
        </w:tc>
        <w:tc>
          <w:tcPr>
            <w:tcW w:w="1208" w:type="pct"/>
            <w:vAlign w:val="center"/>
          </w:tcPr>
          <w:p>
            <w:pPr>
              <w:pStyle w:val="52"/>
            </w:pPr>
            <w:r>
              <w:rPr>
                <w:rFonts w:hint="eastAsia"/>
              </w:rPr>
              <w:t>化粪池处理后排入园区污水管网</w:t>
            </w:r>
          </w:p>
        </w:tc>
        <w:tc>
          <w:tcPr>
            <w:tcW w:w="1879" w:type="pct"/>
            <w:vMerge w:val="restart"/>
            <w:vAlign w:val="center"/>
          </w:tcPr>
          <w:p>
            <w:pPr>
              <w:pStyle w:val="52"/>
            </w:pPr>
            <w:r>
              <w:rPr>
                <w:rFonts w:hint="eastAsia"/>
              </w:rPr>
              <w:t>《污水综合排放标准》（GB8978-1996）表4中三级标准，及《污水排入城镇下水道水质标准》（GB/T 31962-2015）表1中B级标准，即pH≤6-9（无量纲）、COD</w:t>
            </w:r>
            <w:r>
              <w:rPr>
                <w:rFonts w:hint="eastAsia"/>
                <w:vertAlign w:val="subscript"/>
              </w:rPr>
              <w:t>cr</w:t>
            </w:r>
            <w:r>
              <w:rPr>
                <w:rFonts w:hint="eastAsia"/>
              </w:rPr>
              <w:t>≤500 mg/L、BOD</w:t>
            </w:r>
            <w:r>
              <w:rPr>
                <w:rFonts w:hint="eastAsia"/>
                <w:vertAlign w:val="subscript"/>
              </w:rPr>
              <w:t>5</w:t>
            </w:r>
            <w:r>
              <w:rPr>
                <w:rFonts w:hint="eastAsia"/>
              </w:rPr>
              <w:t>≤300mg/L、SS≤400mg/L、NH</w:t>
            </w:r>
            <w:r>
              <w:rPr>
                <w:rFonts w:hint="eastAsia"/>
                <w:vertAlign w:val="subscript"/>
              </w:rPr>
              <w:t>3</w:t>
            </w:r>
            <w:r>
              <w:rPr>
                <w:rFonts w:hint="eastAsia"/>
              </w:rPr>
              <w:t>-N≤45mg/L、TP≤8mg/L、TP≤70mg/L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Merge w:val="continue"/>
            <w:vAlign w:val="center"/>
          </w:tcPr>
          <w:p>
            <w:pPr>
              <w:pStyle w:val="52"/>
            </w:pPr>
          </w:p>
        </w:tc>
        <w:tc>
          <w:tcPr>
            <w:tcW w:w="855" w:type="pct"/>
            <w:vAlign w:val="center"/>
          </w:tcPr>
          <w:p>
            <w:pPr>
              <w:pStyle w:val="52"/>
            </w:pPr>
            <w:r>
              <w:rPr>
                <w:rFonts w:hint="eastAsia"/>
              </w:rPr>
              <w:t>DW002（生产废水排放口）</w:t>
            </w:r>
          </w:p>
        </w:tc>
        <w:tc>
          <w:tcPr>
            <w:tcW w:w="735" w:type="pct"/>
            <w:vAlign w:val="center"/>
          </w:tcPr>
          <w:p>
            <w:pPr>
              <w:pStyle w:val="52"/>
            </w:pPr>
            <w:r>
              <w:rPr>
                <w:rFonts w:hint="eastAsia"/>
              </w:rPr>
              <w:t>pH、COD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-N、TP、TN</w:t>
            </w:r>
          </w:p>
        </w:tc>
        <w:tc>
          <w:tcPr>
            <w:tcW w:w="1208" w:type="pct"/>
            <w:vAlign w:val="center"/>
          </w:tcPr>
          <w:p>
            <w:pPr>
              <w:pStyle w:val="52"/>
            </w:pPr>
            <w:r>
              <w:rPr>
                <w:rFonts w:hint="eastAsia"/>
              </w:rPr>
              <w:t>厂内</w:t>
            </w:r>
            <w:r>
              <w:rPr>
                <w:rFonts w:hint="eastAsia"/>
                <w:kern w:val="0"/>
                <w:szCs w:val="20"/>
              </w:rPr>
              <w:t>一体化污水处理设备</w:t>
            </w:r>
            <w:r>
              <w:rPr>
                <w:rFonts w:hint="eastAsia"/>
              </w:rPr>
              <w:t>（工艺：格栅+调节池+混凝反应器+中间水池+厌氧池+缺氧池+好氧化池+沉淀池+清水池，规模：22t/d）处理后排入园区污水管网</w:t>
            </w:r>
          </w:p>
        </w:tc>
        <w:tc>
          <w:tcPr>
            <w:tcW w:w="1879" w:type="pct"/>
            <w:vMerge w:val="continue"/>
            <w:tcBorders>
              <w:bottom w:val="single" w:color="auto" w:sz="4" w:space="0"/>
            </w:tcBorders>
            <w:vAlign w:val="center"/>
          </w:tcPr>
          <w:p>
            <w:pPr>
              <w:pStyle w:val="5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Align w:val="center"/>
          </w:tcPr>
          <w:p>
            <w:pPr>
              <w:pStyle w:val="52"/>
            </w:pPr>
            <w:r>
              <w:t>声环境</w:t>
            </w:r>
          </w:p>
        </w:tc>
        <w:tc>
          <w:tcPr>
            <w:tcW w:w="855" w:type="pct"/>
            <w:vAlign w:val="center"/>
          </w:tcPr>
          <w:p>
            <w:pPr>
              <w:pStyle w:val="52"/>
            </w:pPr>
            <w:r>
              <w:rPr>
                <w:rFonts w:hint="eastAsia"/>
              </w:rPr>
              <w:t>厂界</w:t>
            </w:r>
          </w:p>
        </w:tc>
        <w:tc>
          <w:tcPr>
            <w:tcW w:w="735" w:type="pct"/>
            <w:vAlign w:val="center"/>
          </w:tcPr>
          <w:p>
            <w:pPr>
              <w:pStyle w:val="52"/>
            </w:pPr>
            <w:r>
              <w:rPr>
                <w:rFonts w:hint="eastAsia"/>
              </w:rPr>
              <w:t>等效连续A声级</w:t>
            </w:r>
          </w:p>
        </w:tc>
        <w:tc>
          <w:tcPr>
            <w:tcW w:w="1208" w:type="pct"/>
            <w:vAlign w:val="center"/>
          </w:tcPr>
          <w:p>
            <w:pPr>
              <w:pStyle w:val="52"/>
            </w:pPr>
            <w:r>
              <w:rPr>
                <w:rFonts w:hint="eastAsia" w:cs="宋体"/>
                <w:bCs/>
                <w:spacing w:val="6"/>
                <w:szCs w:val="28"/>
              </w:rPr>
              <w:t>设备选型+墙体隔声+基础减振</w:t>
            </w:r>
          </w:p>
        </w:tc>
        <w:tc>
          <w:tcPr>
            <w:tcW w:w="1879" w:type="pct"/>
            <w:vAlign w:val="center"/>
          </w:tcPr>
          <w:p>
            <w:pPr>
              <w:pStyle w:val="52"/>
            </w:pPr>
            <w:r>
              <w:rPr>
                <w:rFonts w:hint="eastAsia"/>
              </w:rPr>
              <w:t>《工业企业厂界环境噪声排放标准》（GB12348-2008）3类标准，即：昼间</w:t>
            </w:r>
            <w:r>
              <w:t>≤6</w:t>
            </w:r>
            <w:r>
              <w:rPr>
                <w:rFonts w:hint="eastAsia"/>
              </w:rPr>
              <w:t>5</w:t>
            </w:r>
            <w:r>
              <w:t>dB</w:t>
            </w:r>
            <w:r>
              <w:rPr>
                <w:rFonts w:hint="eastAsia"/>
              </w:rPr>
              <w:t>（</w:t>
            </w:r>
            <w:r>
              <w:t>A</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Align w:val="center"/>
          </w:tcPr>
          <w:p>
            <w:pPr>
              <w:pStyle w:val="52"/>
            </w:pPr>
            <w:r>
              <w:t>固体废物</w:t>
            </w:r>
          </w:p>
        </w:tc>
        <w:tc>
          <w:tcPr>
            <w:tcW w:w="4677" w:type="pct"/>
            <w:gridSpan w:val="4"/>
            <w:vAlign w:val="center"/>
          </w:tcPr>
          <w:p>
            <w:pPr>
              <w:pStyle w:val="52"/>
              <w:jc w:val="left"/>
            </w:pPr>
            <w:r>
              <w:rPr>
                <w:rFonts w:hint="eastAsia"/>
              </w:rPr>
              <w:t>（1）废包装袋：统一收集后作为可回收资源出售</w:t>
            </w:r>
          </w:p>
          <w:p>
            <w:pPr>
              <w:pStyle w:val="52"/>
              <w:jc w:val="left"/>
            </w:pPr>
            <w:r>
              <w:rPr>
                <w:rFonts w:hint="eastAsia"/>
              </w:rPr>
              <w:t>（2）米粉边角料：统一收集后作为次产品出售</w:t>
            </w:r>
          </w:p>
          <w:p>
            <w:pPr>
              <w:pStyle w:val="52"/>
              <w:jc w:val="left"/>
            </w:pPr>
            <w:r>
              <w:rPr>
                <w:rFonts w:hint="eastAsia"/>
              </w:rPr>
              <w:t>（3）一体化污水处理设备污泥：统一收集后委托肥料厂处理</w:t>
            </w:r>
          </w:p>
          <w:p>
            <w:pPr>
              <w:pStyle w:val="52"/>
              <w:jc w:val="left"/>
            </w:pPr>
            <w:r>
              <w:rPr>
                <w:rFonts w:hint="eastAsia"/>
              </w:rPr>
              <w:t>（4）生活垃圾：厂区垃圾桶收集，由环卫部门定期清运处置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Align w:val="center"/>
          </w:tcPr>
          <w:p>
            <w:pPr>
              <w:pStyle w:val="52"/>
            </w:pPr>
            <w:r>
              <w:t>环境风险</w:t>
            </w:r>
          </w:p>
        </w:tc>
        <w:tc>
          <w:tcPr>
            <w:tcW w:w="4677" w:type="pct"/>
            <w:gridSpan w:val="4"/>
            <w:vAlign w:val="center"/>
          </w:tcPr>
          <w:p>
            <w:pPr>
              <w:pStyle w:val="52"/>
              <w:ind w:firstLine="420" w:firstLineChars="200"/>
              <w:jc w:val="left"/>
            </w:pPr>
            <w:r>
              <w:rPr>
                <w:rFonts w:hint="eastAsia"/>
              </w:rPr>
              <w:t>火灾事故防范措施：项目应在不影响正常生产的前提下，尽量减少原辅材料的存储量，将易燃物品分开存放，加强仓库通风，严禁在存放易燃物品的地方吸烟、明火等易产生火灾的行为，并在车间内配备足够数量的灭火器材等。加强车间、成品仓库、原料仓库等的防火环保管理，对公司职工进行安全环保的教育和培训，做到持证上岗，减少人为风险搿故的发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3" w:type="pct"/>
            <w:vAlign w:val="center"/>
          </w:tcPr>
          <w:p>
            <w:pPr>
              <w:pStyle w:val="52"/>
            </w:pPr>
            <w:r>
              <w:t>其他环境</w:t>
            </w:r>
          </w:p>
          <w:p>
            <w:pPr>
              <w:pStyle w:val="52"/>
            </w:pPr>
            <w:r>
              <w:t>管理要求</w:t>
            </w:r>
          </w:p>
        </w:tc>
        <w:tc>
          <w:tcPr>
            <w:tcW w:w="4677" w:type="pct"/>
            <w:gridSpan w:val="4"/>
            <w:vAlign w:val="center"/>
          </w:tcPr>
          <w:p>
            <w:pPr>
              <w:pStyle w:val="52"/>
              <w:spacing w:line="320" w:lineRule="exact"/>
              <w:ind w:firstLine="480"/>
              <w:jc w:val="both"/>
            </w:pPr>
            <w:r>
              <w:rPr>
                <w:rFonts w:hint="eastAsia" w:cs="宋体"/>
              </w:rPr>
              <w:t>①</w:t>
            </w:r>
            <w:r>
              <w:t>要求建设单位按照《关于开展排放口规范化整治工作的通知》（环发〔1999〕24号）和《排污口规范化整治技术要求（试行）》（环监〔1996〕470号）等文件要求，进行新增排污口规范化设置工作</w:t>
            </w:r>
            <w:r>
              <w:rPr>
                <w:rFonts w:hint="eastAsia"/>
              </w:rPr>
              <w:t>；</w:t>
            </w:r>
          </w:p>
          <w:p>
            <w:pPr>
              <w:pStyle w:val="52"/>
              <w:spacing w:line="320" w:lineRule="exact"/>
              <w:ind w:firstLine="480"/>
              <w:jc w:val="both"/>
            </w:pPr>
            <w:r>
              <w:rPr>
                <w:rFonts w:hint="eastAsia"/>
              </w:rPr>
              <w:t>②根据现行的《固定污染源排污许可分类管理名录》(2019年版)，项目属于食品制造业1439*，实行简化管理。建设项目应根据《排污许可管理办法(试行)》，当在启动生产设施或者发生实际排污之前申请取得排污许可证：</w:t>
            </w:r>
          </w:p>
          <w:p>
            <w:pPr>
              <w:pStyle w:val="103"/>
              <w:spacing w:before="120"/>
              <w:rPr>
                <w:rFonts w:eastAsia="宋体"/>
                <w:color w:val="auto"/>
                <w:sz w:val="21"/>
                <w:szCs w:val="21"/>
                <w:lang w:bidi="zh-TW"/>
              </w:rPr>
            </w:pPr>
          </w:p>
          <w:p>
            <w:pPr>
              <w:pStyle w:val="103"/>
              <w:spacing w:before="120"/>
              <w:rPr>
                <w:rFonts w:eastAsia="宋体"/>
                <w:color w:val="auto"/>
                <w:sz w:val="21"/>
                <w:szCs w:val="21"/>
                <w:lang w:bidi="zh-TW"/>
              </w:rPr>
            </w:pPr>
            <w:r>
              <w:rPr>
                <w:rFonts w:eastAsia="宋体"/>
                <w:color w:val="auto"/>
                <w:sz w:val="21"/>
                <w:szCs w:val="21"/>
                <w:lang w:bidi="zh-TW"/>
              </w:rPr>
              <w:t>表5-1  固定污染源排污许可分类管理名录</w:t>
            </w:r>
          </w:p>
          <w:tbl>
            <w:tblPr>
              <w:tblStyle w:val="9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97"/>
              <w:gridCol w:w="1952"/>
              <w:gridCol w:w="2837"/>
              <w:gridCol w:w="14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27" w:hRule="atLeast"/>
                <w:jc w:val="center"/>
              </w:trPr>
              <w:tc>
                <w:tcPr>
                  <w:tcW w:w="779" w:type="dxa"/>
                  <w:vAlign w:val="center"/>
                </w:tcPr>
                <w:p>
                  <w:pPr>
                    <w:pStyle w:val="52"/>
                    <w:widowControl w:val="0"/>
                    <w:rPr>
                      <w:lang w:bidi="zh-TW"/>
                    </w:rPr>
                  </w:pPr>
                  <w:r>
                    <w:rPr>
                      <w:lang w:bidi="zh-TW"/>
                    </w:rPr>
                    <w:t>序号</w:t>
                  </w:r>
                </w:p>
              </w:tc>
              <w:tc>
                <w:tcPr>
                  <w:tcW w:w="1496" w:type="dxa"/>
                  <w:vAlign w:val="center"/>
                </w:tcPr>
                <w:p>
                  <w:pPr>
                    <w:pStyle w:val="52"/>
                    <w:widowControl w:val="0"/>
                    <w:rPr>
                      <w:lang w:bidi="zh-TW"/>
                    </w:rPr>
                  </w:pPr>
                  <w:r>
                    <w:rPr>
                      <w:lang w:bidi="zh-TW"/>
                    </w:rPr>
                    <w:t>行业类别</w:t>
                  </w:r>
                </w:p>
              </w:tc>
              <w:tc>
                <w:tcPr>
                  <w:tcW w:w="1951" w:type="dxa"/>
                  <w:vAlign w:val="center"/>
                </w:tcPr>
                <w:p>
                  <w:pPr>
                    <w:pStyle w:val="52"/>
                    <w:widowControl w:val="0"/>
                    <w:rPr>
                      <w:lang w:bidi="zh-TW"/>
                    </w:rPr>
                  </w:pPr>
                  <w:r>
                    <w:rPr>
                      <w:lang w:bidi="zh-TW"/>
                    </w:rPr>
                    <w:t>重点管理</w:t>
                  </w:r>
                </w:p>
              </w:tc>
              <w:tc>
                <w:tcPr>
                  <w:tcW w:w="2835" w:type="dxa"/>
                  <w:vAlign w:val="center"/>
                </w:tcPr>
                <w:p>
                  <w:pPr>
                    <w:pStyle w:val="52"/>
                    <w:widowControl w:val="0"/>
                    <w:rPr>
                      <w:lang w:bidi="zh-TW"/>
                    </w:rPr>
                  </w:pPr>
                  <w:r>
                    <w:rPr>
                      <w:lang w:bidi="zh-TW"/>
                    </w:rPr>
                    <w:t>简化管理</w:t>
                  </w:r>
                </w:p>
              </w:tc>
              <w:tc>
                <w:tcPr>
                  <w:tcW w:w="1416" w:type="dxa"/>
                  <w:vAlign w:val="center"/>
                </w:tcPr>
                <w:p>
                  <w:pPr>
                    <w:pStyle w:val="52"/>
                    <w:widowControl w:val="0"/>
                    <w:rPr>
                      <w:lang w:bidi="zh-TW"/>
                    </w:rPr>
                  </w:pPr>
                  <w:r>
                    <w:rPr>
                      <w:lang w:bidi="zh-TW"/>
                    </w:rPr>
                    <w:t>登记管理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7" w:type="dxa"/>
                  <w:gridSpan w:val="5"/>
                  <w:vAlign w:val="center"/>
                </w:tcPr>
                <w:p>
                  <w:pPr>
                    <w:pStyle w:val="52"/>
                    <w:widowControl w:val="0"/>
                    <w:jc w:val="left"/>
                    <w:rPr>
                      <w:iCs/>
                    </w:rPr>
                  </w:pPr>
                  <w:r>
                    <w:rPr>
                      <w:rFonts w:hint="eastAsia"/>
                      <w:iCs/>
                    </w:rPr>
                    <w:t>九、食品制造业14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vAlign w:val="center"/>
                </w:tcPr>
                <w:p>
                  <w:pPr>
                    <w:pStyle w:val="52"/>
                    <w:widowControl w:val="0"/>
                    <w:rPr>
                      <w:iCs/>
                    </w:rPr>
                  </w:pPr>
                  <w:r>
                    <w:rPr>
                      <w:rFonts w:hint="eastAsia"/>
                      <w:iCs/>
                    </w:rPr>
                    <w:t>17</w:t>
                  </w:r>
                </w:p>
              </w:tc>
              <w:tc>
                <w:tcPr>
                  <w:tcW w:w="1496" w:type="dxa"/>
                  <w:vAlign w:val="center"/>
                </w:tcPr>
                <w:p>
                  <w:pPr>
                    <w:pStyle w:val="52"/>
                    <w:widowControl w:val="0"/>
                    <w:rPr>
                      <w:iCs/>
                    </w:rPr>
                  </w:pPr>
                  <w:r>
                    <w:rPr>
                      <w:iCs/>
                    </w:rPr>
                    <w:t>方便食品制造</w:t>
                  </w:r>
                  <w:r>
                    <w:rPr>
                      <w:rFonts w:hint="eastAsia"/>
                      <w:iCs/>
                    </w:rPr>
                    <w:t>143，其他食品制造149</w:t>
                  </w:r>
                </w:p>
              </w:tc>
              <w:tc>
                <w:tcPr>
                  <w:tcW w:w="1951" w:type="dxa"/>
                  <w:vAlign w:val="center"/>
                </w:tcPr>
                <w:p>
                  <w:pPr>
                    <w:pStyle w:val="52"/>
                    <w:widowControl w:val="0"/>
                    <w:rPr>
                      <w:iCs/>
                    </w:rPr>
                  </w:pPr>
                  <w:r>
                    <w:rPr>
                      <w:rFonts w:hint="eastAsia"/>
                      <w:iCs/>
                    </w:rPr>
                    <w:t>/</w:t>
                  </w:r>
                </w:p>
              </w:tc>
              <w:tc>
                <w:tcPr>
                  <w:tcW w:w="2835" w:type="dxa"/>
                  <w:shd w:val="clear" w:color="auto" w:fill="D8D8D8" w:themeFill="background1" w:themeFillShade="D9"/>
                  <w:vAlign w:val="center"/>
                </w:tcPr>
                <w:p>
                  <w:pPr>
                    <w:widowControl/>
                    <w:adjustRightInd w:val="0"/>
                    <w:snapToGrid w:val="0"/>
                    <w:spacing w:line="240" w:lineRule="auto"/>
                    <w:ind w:firstLine="0" w:firstLineChars="0"/>
                    <w:jc w:val="center"/>
                    <w:rPr>
                      <w:iCs/>
                      <w:sz w:val="21"/>
                    </w:rPr>
                  </w:pPr>
                  <w:r>
                    <w:rPr>
                      <w:rFonts w:hint="eastAsia"/>
                      <w:kern w:val="0"/>
                      <w:sz w:val="21"/>
                      <w:szCs w:val="21"/>
                    </w:rPr>
                    <w:t>米、面食品制造143*，速冻食品制造1432*，方便面制造1433*，其他方便食品制造1439*，食品及饲料添加剂制造1495*，以上均不含手工制作、单纯混合或者分装的</w:t>
                  </w:r>
                </w:p>
              </w:tc>
              <w:tc>
                <w:tcPr>
                  <w:tcW w:w="1416" w:type="dxa"/>
                  <w:shd w:val="clear" w:color="auto" w:fill="FFFFFF" w:themeFill="background1"/>
                  <w:vAlign w:val="center"/>
                </w:tcPr>
                <w:p>
                  <w:pPr>
                    <w:pStyle w:val="52"/>
                    <w:widowControl w:val="0"/>
                    <w:rPr>
                      <w:iCs/>
                    </w:rPr>
                  </w:pPr>
                  <w:r>
                    <w:rPr>
                      <w:rFonts w:hint="eastAsia"/>
                      <w:iCs/>
                    </w:rPr>
                    <w:t>其他*</w:t>
                  </w:r>
                </w:p>
              </w:tc>
            </w:tr>
          </w:tbl>
          <w:p>
            <w:pPr>
              <w:pStyle w:val="52"/>
              <w:spacing w:line="320" w:lineRule="exact"/>
              <w:ind w:firstLine="480"/>
              <w:jc w:val="both"/>
            </w:pPr>
            <w:r>
              <w:rPr>
                <w:rFonts w:hint="eastAsia" w:cs="宋体"/>
              </w:rPr>
              <w:t>③</w:t>
            </w:r>
            <w:r>
              <w:t>项目竣工后，建设单位应当依照国家有关法律法规、建设项目竣工环境保护验收技术规范、建设项目环境影响报告表和审批决定等要求，如实查验、监测、记载建设项目环境保护设施的建设和调试情况，同时还应如实记载其他环境保护对策措施“三同时”落实情况，编制竣工环境保护验收报告</w:t>
            </w:r>
            <w:r>
              <w:rPr>
                <w:rFonts w:hint="eastAsia"/>
              </w:rPr>
              <w:t>；</w:t>
            </w:r>
          </w:p>
          <w:p>
            <w:pPr>
              <w:pStyle w:val="52"/>
              <w:ind w:firstLine="420" w:firstLineChars="200"/>
              <w:jc w:val="left"/>
            </w:pPr>
            <w:r>
              <w:rPr>
                <w:rFonts w:hint="eastAsia" w:cs="宋体"/>
              </w:rPr>
              <w:t>④</w:t>
            </w:r>
            <w:r>
              <w:t>按要求进行跟踪监测。</w:t>
            </w: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p>
            <w:pPr>
              <w:pStyle w:val="52"/>
              <w:jc w:val="left"/>
            </w:pPr>
          </w:p>
        </w:tc>
      </w:tr>
    </w:tbl>
    <w:p>
      <w:pPr>
        <w:ind w:firstLine="480"/>
        <w:jc w:val="center"/>
        <w:outlineLvl w:val="0"/>
        <w:rPr>
          <w:rStyle w:val="46"/>
        </w:rPr>
      </w:pPr>
      <w:r>
        <w:rPr>
          <w:snapToGrid w:val="0"/>
        </w:rPr>
        <w:br w:type="page"/>
      </w:r>
      <w:r>
        <w:rPr>
          <w:rStyle w:val="46"/>
        </w:rPr>
        <w:t>六、结论</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9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675" w:hRule="atLeast"/>
        </w:trPr>
        <w:tc>
          <w:tcPr>
            <w:tcW w:w="5000" w:type="pct"/>
          </w:tcPr>
          <w:p>
            <w:pPr>
              <w:ind w:firstLine="480"/>
            </w:pPr>
            <w:bookmarkStart w:id="51" w:name="OLE_LINK16"/>
            <w:bookmarkStart w:id="52" w:name="OLE_LINK6"/>
            <w:bookmarkStart w:id="53" w:name="OLE_LINK10"/>
            <w:bookmarkStart w:id="54" w:name="OLE_LINK7"/>
            <w:r>
              <w:rPr>
                <w:rFonts w:hint="eastAsia"/>
              </w:rPr>
              <w:t>福建福清莆仙食品有限公司年加工米粉1600吨项目位于福州元洪投资区（租赁福清市鸿昌食品有限公司1号车间1层），项目符合国家产业政策及国家相关法律法规要求，其选址合理，总平面布置基本合理。项目所在区域环境质量现状均满足相关标准，本项目符合生态环境分区管控要求。在认真落实各项环境污染治理和环境管理措施的前提下，各项污染物经处理后可实现稳定达标排放且满足区域总量控制要求，污染物防治措施可行，项目对周围环境的影响在可接受范围内。在严格落实各项生态环境保护和污染防治措施后，从环境影响角度分析，项目建设是可行的。</w:t>
            </w:r>
          </w:p>
          <w:bookmarkEnd w:id="51"/>
          <w:bookmarkEnd w:id="52"/>
          <w:bookmarkEnd w:id="53"/>
          <w:bookmarkEnd w:id="54"/>
          <w:p>
            <w:pPr>
              <w:pStyle w:val="52"/>
              <w:ind w:firstLine="480" w:firstLineChars="200"/>
              <w:jc w:val="both"/>
              <w:rPr>
                <w:sz w:val="24"/>
                <w:szCs w:val="24"/>
              </w:rPr>
            </w:pPr>
          </w:p>
          <w:p>
            <w:pPr>
              <w:pStyle w:val="52"/>
              <w:ind w:firstLine="480" w:firstLineChars="200"/>
              <w:jc w:val="both"/>
              <w:rPr>
                <w:sz w:val="24"/>
                <w:szCs w:val="24"/>
              </w:rPr>
            </w:pPr>
          </w:p>
          <w:p>
            <w:pPr>
              <w:pStyle w:val="52"/>
              <w:ind w:firstLine="480" w:firstLineChars="200"/>
              <w:jc w:val="both"/>
              <w:rPr>
                <w:sz w:val="24"/>
                <w:szCs w:val="24"/>
              </w:rPr>
            </w:pPr>
          </w:p>
          <w:p>
            <w:pPr>
              <w:pStyle w:val="52"/>
              <w:ind w:firstLine="480" w:firstLineChars="200"/>
              <w:jc w:val="both"/>
              <w:rPr>
                <w:sz w:val="24"/>
                <w:szCs w:val="24"/>
              </w:rPr>
            </w:pPr>
          </w:p>
          <w:p>
            <w:pPr>
              <w:pStyle w:val="52"/>
              <w:ind w:firstLine="480" w:firstLineChars="200"/>
              <w:jc w:val="both"/>
              <w:rPr>
                <w:sz w:val="24"/>
                <w:szCs w:val="24"/>
              </w:rPr>
            </w:pPr>
          </w:p>
          <w:p>
            <w:pPr>
              <w:pStyle w:val="52"/>
              <w:ind w:firstLine="480" w:firstLineChars="200"/>
              <w:jc w:val="both"/>
              <w:rPr>
                <w:sz w:val="24"/>
                <w:szCs w:val="24"/>
              </w:rPr>
            </w:pPr>
          </w:p>
          <w:p>
            <w:pPr>
              <w:pStyle w:val="52"/>
              <w:ind w:firstLine="480" w:firstLineChars="200"/>
              <w:jc w:val="both"/>
              <w:rPr>
                <w:sz w:val="24"/>
                <w:szCs w:val="24"/>
              </w:rPr>
            </w:pPr>
          </w:p>
          <w:p>
            <w:pPr>
              <w:pStyle w:val="52"/>
              <w:spacing w:line="360" w:lineRule="auto"/>
              <w:ind w:firstLine="480" w:firstLineChars="200"/>
              <w:jc w:val="right"/>
              <w:rPr>
                <w:sz w:val="24"/>
                <w:szCs w:val="24"/>
              </w:rPr>
            </w:pPr>
          </w:p>
        </w:tc>
      </w:tr>
    </w:tbl>
    <w:p>
      <w:pPr>
        <w:ind w:firstLine="480"/>
        <w:sectPr>
          <w:headerReference r:id="rId27" w:type="first"/>
          <w:headerReference r:id="rId25" w:type="default"/>
          <w:footerReference r:id="rId28" w:type="default"/>
          <w:headerReference r:id="rId26" w:type="even"/>
          <w:pgSz w:w="11905" w:h="16838"/>
          <w:pgMar w:top="1417" w:right="1417" w:bottom="1417" w:left="1417" w:header="851" w:footer="850" w:gutter="0"/>
          <w:cols w:space="720" w:num="1"/>
          <w:docGrid w:linePitch="312" w:charSpace="0"/>
        </w:sectPr>
      </w:pPr>
    </w:p>
    <w:p>
      <w:pPr>
        <w:pStyle w:val="3"/>
        <w:spacing w:before="120" w:after="120" w:line="240" w:lineRule="auto"/>
        <w:jc w:val="left"/>
      </w:pPr>
      <w:r>
        <w:t>附表</w:t>
      </w:r>
    </w:p>
    <w:p>
      <w:pPr>
        <w:pStyle w:val="4"/>
        <w:spacing w:beforeLines="0" w:afterLines="0" w:line="240" w:lineRule="auto"/>
        <w:jc w:val="center"/>
      </w:pPr>
      <w:r>
        <w:t>建设项目污染物排放量汇总表</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18"/>
        <w:gridCol w:w="2271"/>
        <w:gridCol w:w="1253"/>
        <w:gridCol w:w="1254"/>
        <w:gridCol w:w="1615"/>
        <w:gridCol w:w="1721"/>
        <w:gridCol w:w="1721"/>
        <w:gridCol w:w="1660"/>
        <w:gridCol w:w="1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tcBorders>
              <w:tl2br w:val="single" w:color="auto" w:sz="4" w:space="0"/>
            </w:tcBorders>
            <w:tcMar>
              <w:left w:w="28" w:type="dxa"/>
              <w:right w:w="28" w:type="dxa"/>
            </w:tcMar>
            <w:vAlign w:val="center"/>
          </w:tcPr>
          <w:p>
            <w:pPr>
              <w:pStyle w:val="100"/>
              <w:jc w:val="right"/>
              <w:rPr>
                <w:spacing w:val="-6"/>
                <w:kern w:val="21"/>
                <w:sz w:val="20"/>
              </w:rPr>
            </w:pPr>
            <w:r>
              <w:rPr>
                <w:spacing w:val="-6"/>
                <w:kern w:val="21"/>
                <w:sz w:val="20"/>
              </w:rPr>
              <w:t>项目</w:t>
            </w:r>
          </w:p>
          <w:p>
            <w:pPr>
              <w:pStyle w:val="100"/>
              <w:jc w:val="left"/>
              <w:rPr>
                <w:spacing w:val="-6"/>
                <w:kern w:val="21"/>
                <w:sz w:val="20"/>
              </w:rPr>
            </w:pPr>
            <w:r>
              <w:rPr>
                <w:spacing w:val="-6"/>
                <w:kern w:val="21"/>
                <w:sz w:val="20"/>
              </w:rPr>
              <w:t>分类</w:t>
            </w:r>
          </w:p>
        </w:tc>
        <w:tc>
          <w:tcPr>
            <w:tcW w:w="2271" w:type="dxa"/>
            <w:tcMar>
              <w:left w:w="28" w:type="dxa"/>
              <w:right w:w="28" w:type="dxa"/>
            </w:tcMar>
            <w:vAlign w:val="center"/>
          </w:tcPr>
          <w:p>
            <w:pPr>
              <w:pStyle w:val="100"/>
              <w:rPr>
                <w:spacing w:val="-6"/>
                <w:kern w:val="21"/>
                <w:sz w:val="20"/>
              </w:rPr>
            </w:pPr>
            <w:r>
              <w:rPr>
                <w:spacing w:val="-6"/>
                <w:kern w:val="21"/>
                <w:sz w:val="20"/>
              </w:rPr>
              <w:t>污染物名称</w:t>
            </w:r>
          </w:p>
        </w:tc>
        <w:tc>
          <w:tcPr>
            <w:tcW w:w="1253" w:type="dxa"/>
            <w:tcMar>
              <w:left w:w="28" w:type="dxa"/>
              <w:right w:w="28" w:type="dxa"/>
            </w:tcMar>
            <w:vAlign w:val="center"/>
          </w:tcPr>
          <w:p>
            <w:pPr>
              <w:pStyle w:val="100"/>
              <w:rPr>
                <w:spacing w:val="-6"/>
                <w:kern w:val="21"/>
                <w:sz w:val="20"/>
              </w:rPr>
            </w:pPr>
            <w:r>
              <w:rPr>
                <w:spacing w:val="-6"/>
                <w:kern w:val="21"/>
                <w:sz w:val="20"/>
              </w:rPr>
              <w:t>现有工程</w:t>
            </w:r>
          </w:p>
          <w:p>
            <w:pPr>
              <w:pStyle w:val="100"/>
              <w:rPr>
                <w:spacing w:val="-6"/>
                <w:kern w:val="21"/>
                <w:sz w:val="20"/>
              </w:rPr>
            </w:pPr>
            <w:r>
              <w:rPr>
                <w:spacing w:val="-6"/>
                <w:kern w:val="21"/>
                <w:sz w:val="20"/>
              </w:rPr>
              <w:t>排放量（固体废物产生量）</w:t>
            </w:r>
            <w:r>
              <w:rPr>
                <w:spacing w:val="-6"/>
                <w:kern w:val="21"/>
                <w:sz w:val="20"/>
              </w:rPr>
              <w:fldChar w:fldCharType="begin"/>
            </w:r>
            <w:r>
              <w:rPr>
                <w:spacing w:val="-6"/>
                <w:kern w:val="21"/>
                <w:sz w:val="20"/>
              </w:rPr>
              <w:instrText xml:space="preserve"> = 1 \* GB3 \* MERGEFORMAT </w:instrText>
            </w:r>
            <w:r>
              <w:rPr>
                <w:spacing w:val="-6"/>
                <w:kern w:val="21"/>
                <w:sz w:val="20"/>
              </w:rPr>
              <w:fldChar w:fldCharType="separate"/>
            </w:r>
            <w:r>
              <w:rPr>
                <w:rFonts w:hint="eastAsia" w:cs="宋体"/>
                <w:kern w:val="2"/>
                <w:sz w:val="20"/>
              </w:rPr>
              <w:t>①</w:t>
            </w:r>
            <w:r>
              <w:rPr>
                <w:spacing w:val="-6"/>
                <w:kern w:val="21"/>
                <w:sz w:val="20"/>
              </w:rPr>
              <w:fldChar w:fldCharType="end"/>
            </w:r>
          </w:p>
        </w:tc>
        <w:tc>
          <w:tcPr>
            <w:tcW w:w="1254" w:type="dxa"/>
            <w:tcMar>
              <w:left w:w="28" w:type="dxa"/>
              <w:right w:w="28" w:type="dxa"/>
            </w:tcMar>
            <w:vAlign w:val="center"/>
          </w:tcPr>
          <w:p>
            <w:pPr>
              <w:pStyle w:val="100"/>
              <w:rPr>
                <w:spacing w:val="-6"/>
                <w:kern w:val="21"/>
                <w:sz w:val="20"/>
              </w:rPr>
            </w:pPr>
            <w:r>
              <w:rPr>
                <w:spacing w:val="-6"/>
                <w:kern w:val="21"/>
                <w:sz w:val="20"/>
              </w:rPr>
              <w:t>现有工程</w:t>
            </w:r>
          </w:p>
          <w:p>
            <w:pPr>
              <w:pStyle w:val="100"/>
              <w:rPr>
                <w:spacing w:val="-6"/>
                <w:kern w:val="21"/>
                <w:sz w:val="20"/>
              </w:rPr>
            </w:pPr>
            <w:r>
              <w:rPr>
                <w:spacing w:val="-6"/>
                <w:kern w:val="21"/>
                <w:sz w:val="20"/>
              </w:rPr>
              <w:t>许可排放量</w:t>
            </w:r>
          </w:p>
          <w:p>
            <w:pPr>
              <w:pStyle w:val="100"/>
              <w:rPr>
                <w:spacing w:val="-6"/>
                <w:kern w:val="21"/>
                <w:sz w:val="20"/>
              </w:rPr>
            </w:pPr>
            <w:r>
              <w:rPr>
                <w:spacing w:val="-6"/>
                <w:kern w:val="21"/>
                <w:sz w:val="20"/>
              </w:rPr>
              <w:fldChar w:fldCharType="begin"/>
            </w:r>
            <w:r>
              <w:rPr>
                <w:spacing w:val="-6"/>
                <w:kern w:val="21"/>
                <w:sz w:val="20"/>
              </w:rPr>
              <w:instrText xml:space="preserve"> = 2 \* GB3 \* MERGEFORMAT </w:instrText>
            </w:r>
            <w:r>
              <w:rPr>
                <w:spacing w:val="-6"/>
                <w:kern w:val="21"/>
                <w:sz w:val="20"/>
              </w:rPr>
              <w:fldChar w:fldCharType="separate"/>
            </w:r>
            <w:r>
              <w:rPr>
                <w:rFonts w:hint="eastAsia" w:cs="宋体"/>
                <w:spacing w:val="-6"/>
                <w:kern w:val="21"/>
                <w:sz w:val="20"/>
              </w:rPr>
              <w:t>②</w:t>
            </w:r>
            <w:r>
              <w:rPr>
                <w:spacing w:val="-6"/>
                <w:kern w:val="21"/>
                <w:sz w:val="20"/>
              </w:rPr>
              <w:fldChar w:fldCharType="end"/>
            </w:r>
          </w:p>
        </w:tc>
        <w:tc>
          <w:tcPr>
            <w:tcW w:w="1615" w:type="dxa"/>
            <w:tcMar>
              <w:left w:w="28" w:type="dxa"/>
              <w:right w:w="28" w:type="dxa"/>
            </w:tcMar>
            <w:vAlign w:val="center"/>
          </w:tcPr>
          <w:p>
            <w:pPr>
              <w:pStyle w:val="100"/>
              <w:rPr>
                <w:spacing w:val="-6"/>
                <w:kern w:val="21"/>
                <w:sz w:val="20"/>
              </w:rPr>
            </w:pPr>
            <w:r>
              <w:rPr>
                <w:spacing w:val="-6"/>
                <w:kern w:val="21"/>
                <w:sz w:val="20"/>
              </w:rPr>
              <w:t>在建工程</w:t>
            </w:r>
          </w:p>
          <w:p>
            <w:pPr>
              <w:pStyle w:val="100"/>
              <w:rPr>
                <w:spacing w:val="-6"/>
                <w:kern w:val="21"/>
                <w:sz w:val="20"/>
              </w:rPr>
            </w:pPr>
            <w:r>
              <w:rPr>
                <w:spacing w:val="-6"/>
                <w:kern w:val="21"/>
                <w:sz w:val="20"/>
              </w:rPr>
              <w:t>排放量（固体废物产生量）</w:t>
            </w:r>
            <w:r>
              <w:rPr>
                <w:spacing w:val="-6"/>
                <w:kern w:val="21"/>
                <w:sz w:val="20"/>
              </w:rPr>
              <w:fldChar w:fldCharType="begin"/>
            </w:r>
            <w:r>
              <w:rPr>
                <w:spacing w:val="-6"/>
                <w:kern w:val="21"/>
                <w:sz w:val="20"/>
              </w:rPr>
              <w:instrText xml:space="preserve"> = 3 \* GB3 \* MERGEFORMAT </w:instrText>
            </w:r>
            <w:r>
              <w:rPr>
                <w:spacing w:val="-6"/>
                <w:kern w:val="21"/>
                <w:sz w:val="20"/>
              </w:rPr>
              <w:fldChar w:fldCharType="separate"/>
            </w:r>
            <w:r>
              <w:rPr>
                <w:rFonts w:hint="eastAsia" w:cs="宋体"/>
                <w:kern w:val="2"/>
                <w:sz w:val="20"/>
              </w:rPr>
              <w:t>③</w:t>
            </w:r>
            <w:r>
              <w:rPr>
                <w:spacing w:val="-6"/>
                <w:kern w:val="21"/>
                <w:sz w:val="20"/>
              </w:rPr>
              <w:fldChar w:fldCharType="end"/>
            </w:r>
          </w:p>
        </w:tc>
        <w:tc>
          <w:tcPr>
            <w:tcW w:w="1721" w:type="dxa"/>
            <w:tcMar>
              <w:left w:w="28" w:type="dxa"/>
              <w:right w:w="28" w:type="dxa"/>
            </w:tcMar>
            <w:vAlign w:val="center"/>
          </w:tcPr>
          <w:p>
            <w:pPr>
              <w:pStyle w:val="100"/>
              <w:rPr>
                <w:spacing w:val="-6"/>
                <w:kern w:val="21"/>
                <w:sz w:val="20"/>
              </w:rPr>
            </w:pPr>
            <w:r>
              <w:rPr>
                <w:spacing w:val="-6"/>
                <w:kern w:val="21"/>
                <w:sz w:val="20"/>
              </w:rPr>
              <w:t>本项目</w:t>
            </w:r>
          </w:p>
          <w:p>
            <w:pPr>
              <w:pStyle w:val="100"/>
              <w:rPr>
                <w:spacing w:val="-6"/>
                <w:kern w:val="21"/>
                <w:sz w:val="20"/>
              </w:rPr>
            </w:pPr>
            <w:r>
              <w:rPr>
                <w:spacing w:val="-6"/>
                <w:kern w:val="21"/>
                <w:sz w:val="20"/>
              </w:rPr>
              <w:t>排放量（固体废物产生量）</w:t>
            </w:r>
            <w:r>
              <w:rPr>
                <w:spacing w:val="-6"/>
                <w:kern w:val="21"/>
                <w:sz w:val="20"/>
              </w:rPr>
              <w:fldChar w:fldCharType="begin"/>
            </w:r>
            <w:r>
              <w:rPr>
                <w:spacing w:val="-6"/>
                <w:kern w:val="21"/>
                <w:sz w:val="20"/>
              </w:rPr>
              <w:instrText xml:space="preserve"> = 4 \* GB3 \* MERGEFORMAT </w:instrText>
            </w:r>
            <w:r>
              <w:rPr>
                <w:spacing w:val="-6"/>
                <w:kern w:val="21"/>
                <w:sz w:val="20"/>
              </w:rPr>
              <w:fldChar w:fldCharType="separate"/>
            </w:r>
            <w:r>
              <w:rPr>
                <w:rFonts w:hint="eastAsia" w:cs="宋体"/>
                <w:kern w:val="2"/>
                <w:sz w:val="20"/>
              </w:rPr>
              <w:t>④</w:t>
            </w:r>
            <w:r>
              <w:rPr>
                <w:spacing w:val="-6"/>
                <w:kern w:val="21"/>
                <w:sz w:val="20"/>
              </w:rPr>
              <w:fldChar w:fldCharType="end"/>
            </w:r>
          </w:p>
        </w:tc>
        <w:tc>
          <w:tcPr>
            <w:tcW w:w="1721" w:type="dxa"/>
            <w:tcMar>
              <w:left w:w="28" w:type="dxa"/>
              <w:right w:w="28" w:type="dxa"/>
            </w:tcMar>
            <w:vAlign w:val="center"/>
          </w:tcPr>
          <w:p>
            <w:pPr>
              <w:pStyle w:val="100"/>
              <w:rPr>
                <w:spacing w:val="-16"/>
                <w:kern w:val="21"/>
                <w:sz w:val="20"/>
              </w:rPr>
            </w:pPr>
            <w:r>
              <w:rPr>
                <w:spacing w:val="-16"/>
                <w:kern w:val="21"/>
                <w:sz w:val="20"/>
              </w:rPr>
              <w:t>以新带老削减量</w:t>
            </w:r>
          </w:p>
          <w:p>
            <w:pPr>
              <w:pStyle w:val="100"/>
              <w:rPr>
                <w:spacing w:val="-16"/>
                <w:kern w:val="21"/>
                <w:sz w:val="20"/>
              </w:rPr>
            </w:pPr>
            <w:r>
              <w:rPr>
                <w:spacing w:val="-16"/>
                <w:kern w:val="21"/>
                <w:sz w:val="20"/>
              </w:rPr>
              <w:t>（新建项目不填）</w:t>
            </w:r>
            <w:r>
              <w:rPr>
                <w:spacing w:val="-16"/>
                <w:kern w:val="21"/>
                <w:sz w:val="20"/>
              </w:rPr>
              <w:fldChar w:fldCharType="begin"/>
            </w:r>
            <w:r>
              <w:rPr>
                <w:spacing w:val="-16"/>
                <w:kern w:val="21"/>
                <w:sz w:val="20"/>
              </w:rPr>
              <w:instrText xml:space="preserve"> = 5 \* GB3 \* MERGEFORMAT </w:instrText>
            </w:r>
            <w:r>
              <w:rPr>
                <w:spacing w:val="-16"/>
                <w:kern w:val="21"/>
                <w:sz w:val="20"/>
              </w:rPr>
              <w:fldChar w:fldCharType="separate"/>
            </w:r>
            <w:r>
              <w:rPr>
                <w:rFonts w:hint="eastAsia" w:cs="宋体"/>
                <w:kern w:val="2"/>
                <w:sz w:val="20"/>
              </w:rPr>
              <w:t>⑤</w:t>
            </w:r>
            <w:r>
              <w:rPr>
                <w:spacing w:val="-16"/>
                <w:kern w:val="21"/>
                <w:sz w:val="20"/>
              </w:rPr>
              <w:fldChar w:fldCharType="end"/>
            </w:r>
          </w:p>
        </w:tc>
        <w:tc>
          <w:tcPr>
            <w:tcW w:w="1660" w:type="dxa"/>
            <w:tcMar>
              <w:left w:w="28" w:type="dxa"/>
              <w:right w:w="28" w:type="dxa"/>
            </w:tcMar>
            <w:vAlign w:val="center"/>
          </w:tcPr>
          <w:p>
            <w:pPr>
              <w:pStyle w:val="100"/>
              <w:rPr>
                <w:spacing w:val="-16"/>
                <w:kern w:val="21"/>
                <w:sz w:val="20"/>
              </w:rPr>
            </w:pPr>
            <w:r>
              <w:rPr>
                <w:spacing w:val="-16"/>
                <w:kern w:val="21"/>
                <w:sz w:val="20"/>
              </w:rPr>
              <w:t>本项目建成后</w:t>
            </w:r>
          </w:p>
          <w:p>
            <w:pPr>
              <w:pStyle w:val="100"/>
              <w:rPr>
                <w:spacing w:val="-16"/>
                <w:kern w:val="21"/>
                <w:sz w:val="20"/>
              </w:rPr>
            </w:pPr>
            <w:r>
              <w:rPr>
                <w:spacing w:val="-16"/>
                <w:kern w:val="21"/>
                <w:sz w:val="20"/>
              </w:rPr>
              <w:t>全厂排放量（固体废物产生量）</w:t>
            </w:r>
            <w:r>
              <w:rPr>
                <w:spacing w:val="-16"/>
                <w:kern w:val="21"/>
                <w:sz w:val="20"/>
              </w:rPr>
              <w:fldChar w:fldCharType="begin"/>
            </w:r>
            <w:r>
              <w:rPr>
                <w:spacing w:val="-16"/>
                <w:kern w:val="21"/>
                <w:sz w:val="20"/>
              </w:rPr>
              <w:instrText xml:space="preserve"> = 6 \* GB3 \* MERGEFORMAT </w:instrText>
            </w:r>
            <w:r>
              <w:rPr>
                <w:spacing w:val="-16"/>
                <w:kern w:val="21"/>
                <w:sz w:val="20"/>
              </w:rPr>
              <w:fldChar w:fldCharType="separate"/>
            </w:r>
            <w:r>
              <w:rPr>
                <w:rFonts w:hint="eastAsia" w:cs="宋体"/>
                <w:kern w:val="2"/>
                <w:sz w:val="20"/>
              </w:rPr>
              <w:t>⑥</w:t>
            </w:r>
            <w:r>
              <w:rPr>
                <w:spacing w:val="-16"/>
                <w:kern w:val="21"/>
                <w:sz w:val="20"/>
              </w:rPr>
              <w:fldChar w:fldCharType="end"/>
            </w:r>
          </w:p>
        </w:tc>
        <w:tc>
          <w:tcPr>
            <w:tcW w:w="1548" w:type="dxa"/>
            <w:tcMar>
              <w:left w:w="28" w:type="dxa"/>
              <w:right w:w="28" w:type="dxa"/>
            </w:tcMar>
            <w:vAlign w:val="center"/>
          </w:tcPr>
          <w:p>
            <w:pPr>
              <w:pStyle w:val="100"/>
              <w:rPr>
                <w:spacing w:val="-6"/>
                <w:kern w:val="21"/>
                <w:sz w:val="20"/>
              </w:rPr>
            </w:pPr>
            <w:r>
              <w:rPr>
                <w:spacing w:val="-6"/>
                <w:kern w:val="21"/>
                <w:sz w:val="20"/>
              </w:rPr>
              <w:t>变化量</w:t>
            </w:r>
          </w:p>
          <w:p>
            <w:pPr>
              <w:pStyle w:val="100"/>
              <w:rPr>
                <w:spacing w:val="-6"/>
                <w:kern w:val="21"/>
                <w:sz w:val="20"/>
              </w:rPr>
            </w:pPr>
            <w:r>
              <w:rPr>
                <w:spacing w:val="-6"/>
                <w:kern w:val="21"/>
                <w:sz w:val="20"/>
              </w:rPr>
              <w:fldChar w:fldCharType="begin"/>
            </w:r>
            <w:r>
              <w:rPr>
                <w:spacing w:val="-6"/>
                <w:kern w:val="21"/>
                <w:sz w:val="20"/>
              </w:rPr>
              <w:instrText xml:space="preserve"> = 7 \* GB3 \* MERGEFORMAT </w:instrText>
            </w:r>
            <w:r>
              <w:rPr>
                <w:spacing w:val="-6"/>
                <w:kern w:val="21"/>
                <w:sz w:val="20"/>
              </w:rPr>
              <w:fldChar w:fldCharType="separate"/>
            </w:r>
            <w:r>
              <w:rPr>
                <w:rFonts w:hint="eastAsia" w:cs="宋体"/>
                <w:kern w:val="2"/>
                <w:sz w:val="20"/>
              </w:rPr>
              <w:t>⑦</w:t>
            </w:r>
            <w:r>
              <w:rPr>
                <w:spacing w:val="-6"/>
                <w:kern w:val="21"/>
                <w:sz w:val="20"/>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restart"/>
            <w:vAlign w:val="center"/>
          </w:tcPr>
          <w:p>
            <w:pPr>
              <w:pStyle w:val="52"/>
              <w:rPr>
                <w:snapToGrid w:val="0"/>
                <w:kern w:val="21"/>
              </w:rPr>
            </w:pPr>
            <w:r>
              <w:rPr>
                <w:snapToGrid w:val="0"/>
                <w:kern w:val="21"/>
              </w:rPr>
              <w:t>废气</w:t>
            </w:r>
          </w:p>
        </w:tc>
        <w:tc>
          <w:tcPr>
            <w:tcW w:w="2271" w:type="dxa"/>
            <w:vAlign w:val="center"/>
          </w:tcPr>
          <w:p>
            <w:pPr>
              <w:pStyle w:val="52"/>
            </w:pPr>
            <w:r>
              <w:rPr>
                <w:rFonts w:hint="eastAsia"/>
              </w:rPr>
              <w:t>H</w:t>
            </w:r>
            <w:r>
              <w:rPr>
                <w:rFonts w:hint="eastAsia"/>
                <w:vertAlign w:val="subscript"/>
              </w:rPr>
              <w:t>2</w:t>
            </w:r>
            <w:r>
              <w:rPr>
                <w:rFonts w:hint="eastAsia"/>
              </w:rPr>
              <w:t>S</w:t>
            </w:r>
          </w:p>
        </w:tc>
        <w:tc>
          <w:tcPr>
            <w:tcW w:w="1253" w:type="dxa"/>
            <w:vAlign w:val="center"/>
          </w:tcPr>
          <w:p>
            <w:pPr>
              <w:pStyle w:val="52"/>
              <w:rPr>
                <w:snapToGrid w:val="0"/>
                <w:kern w:val="21"/>
              </w:rPr>
            </w:pPr>
          </w:p>
        </w:tc>
        <w:tc>
          <w:tcPr>
            <w:tcW w:w="1254" w:type="dxa"/>
            <w:vAlign w:val="center"/>
          </w:tcPr>
          <w:p>
            <w:pPr>
              <w:pStyle w:val="52"/>
              <w:rPr>
                <w:snapToGrid w:val="0"/>
                <w:kern w:val="21"/>
              </w:rPr>
            </w:pPr>
          </w:p>
        </w:tc>
        <w:tc>
          <w:tcPr>
            <w:tcW w:w="1615" w:type="dxa"/>
            <w:vAlign w:val="center"/>
          </w:tcPr>
          <w:p>
            <w:pPr>
              <w:pStyle w:val="52"/>
              <w:rPr>
                <w:snapToGrid w:val="0"/>
                <w:kern w:val="21"/>
              </w:rPr>
            </w:pPr>
          </w:p>
        </w:tc>
        <w:tc>
          <w:tcPr>
            <w:tcW w:w="1721" w:type="dxa"/>
            <w:vAlign w:val="center"/>
          </w:tcPr>
          <w:p>
            <w:pPr>
              <w:pStyle w:val="52"/>
              <w:rPr>
                <w:snapToGrid w:val="0"/>
                <w:kern w:val="21"/>
              </w:rPr>
            </w:pPr>
            <w:r>
              <w:rPr>
                <w:rFonts w:hint="eastAsia"/>
                <w:snapToGrid w:val="0"/>
                <w:kern w:val="21"/>
              </w:rPr>
              <w:t>0.0003</w:t>
            </w:r>
          </w:p>
        </w:tc>
        <w:tc>
          <w:tcPr>
            <w:tcW w:w="1721" w:type="dxa"/>
            <w:vAlign w:val="center"/>
          </w:tcPr>
          <w:p>
            <w:pPr>
              <w:pStyle w:val="52"/>
              <w:rPr>
                <w:snapToGrid w:val="0"/>
                <w:kern w:val="21"/>
              </w:rPr>
            </w:pPr>
          </w:p>
        </w:tc>
        <w:tc>
          <w:tcPr>
            <w:tcW w:w="1660" w:type="dxa"/>
            <w:vAlign w:val="center"/>
          </w:tcPr>
          <w:p>
            <w:pPr>
              <w:pStyle w:val="52"/>
              <w:rPr>
                <w:snapToGrid w:val="0"/>
                <w:kern w:val="21"/>
              </w:rPr>
            </w:pPr>
            <w:r>
              <w:rPr>
                <w:rFonts w:hint="eastAsia"/>
                <w:snapToGrid w:val="0"/>
                <w:kern w:val="21"/>
              </w:rPr>
              <w:t>0.0003</w:t>
            </w:r>
          </w:p>
        </w:tc>
        <w:tc>
          <w:tcPr>
            <w:tcW w:w="1548" w:type="dxa"/>
            <w:vAlign w:val="center"/>
          </w:tcPr>
          <w:p>
            <w:pPr>
              <w:pStyle w:val="52"/>
              <w:rPr>
                <w:snapToGrid w:val="0"/>
                <w:kern w:val="21"/>
              </w:rPr>
            </w:pPr>
            <w:r>
              <w:rPr>
                <w:rFonts w:hint="eastAsia"/>
                <w:snapToGrid w:val="0"/>
                <w:kern w:val="21"/>
              </w:rPr>
              <w:t>+0.0003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vAlign w:val="center"/>
          </w:tcPr>
          <w:p>
            <w:pPr>
              <w:pStyle w:val="52"/>
              <w:rPr>
                <w:snapToGrid w:val="0"/>
                <w:kern w:val="21"/>
              </w:rPr>
            </w:pPr>
          </w:p>
        </w:tc>
        <w:tc>
          <w:tcPr>
            <w:tcW w:w="2271" w:type="dxa"/>
            <w:vAlign w:val="center"/>
          </w:tcPr>
          <w:p>
            <w:pPr>
              <w:pStyle w:val="52"/>
            </w:pPr>
            <w:r>
              <w:rPr>
                <w:rFonts w:hint="eastAsia"/>
              </w:rPr>
              <w:t>NH</w:t>
            </w:r>
            <w:r>
              <w:rPr>
                <w:rFonts w:hint="eastAsia"/>
                <w:vertAlign w:val="subscript"/>
              </w:rPr>
              <w:t>3</w:t>
            </w:r>
          </w:p>
        </w:tc>
        <w:tc>
          <w:tcPr>
            <w:tcW w:w="1253" w:type="dxa"/>
            <w:vAlign w:val="center"/>
          </w:tcPr>
          <w:p>
            <w:pPr>
              <w:pStyle w:val="52"/>
              <w:rPr>
                <w:snapToGrid w:val="0"/>
                <w:kern w:val="21"/>
              </w:rPr>
            </w:pPr>
          </w:p>
        </w:tc>
        <w:tc>
          <w:tcPr>
            <w:tcW w:w="1254" w:type="dxa"/>
            <w:vAlign w:val="center"/>
          </w:tcPr>
          <w:p>
            <w:pPr>
              <w:pStyle w:val="52"/>
              <w:rPr>
                <w:snapToGrid w:val="0"/>
                <w:kern w:val="21"/>
              </w:rPr>
            </w:pPr>
          </w:p>
        </w:tc>
        <w:tc>
          <w:tcPr>
            <w:tcW w:w="1615" w:type="dxa"/>
            <w:vAlign w:val="center"/>
          </w:tcPr>
          <w:p>
            <w:pPr>
              <w:pStyle w:val="52"/>
              <w:rPr>
                <w:snapToGrid w:val="0"/>
                <w:kern w:val="21"/>
              </w:rPr>
            </w:pPr>
          </w:p>
        </w:tc>
        <w:tc>
          <w:tcPr>
            <w:tcW w:w="1721" w:type="dxa"/>
            <w:vAlign w:val="center"/>
          </w:tcPr>
          <w:p>
            <w:pPr>
              <w:pStyle w:val="52"/>
              <w:rPr>
                <w:snapToGrid w:val="0"/>
                <w:kern w:val="21"/>
              </w:rPr>
            </w:pPr>
            <w:r>
              <w:rPr>
                <w:rFonts w:hint="eastAsia"/>
                <w:snapToGrid w:val="0"/>
                <w:kern w:val="21"/>
              </w:rPr>
              <w:t>0.008</w:t>
            </w:r>
          </w:p>
        </w:tc>
        <w:tc>
          <w:tcPr>
            <w:tcW w:w="1721" w:type="dxa"/>
            <w:vAlign w:val="center"/>
          </w:tcPr>
          <w:p>
            <w:pPr>
              <w:pStyle w:val="52"/>
              <w:rPr>
                <w:snapToGrid w:val="0"/>
                <w:kern w:val="21"/>
              </w:rPr>
            </w:pPr>
          </w:p>
        </w:tc>
        <w:tc>
          <w:tcPr>
            <w:tcW w:w="1660" w:type="dxa"/>
            <w:vAlign w:val="center"/>
          </w:tcPr>
          <w:p>
            <w:pPr>
              <w:pStyle w:val="52"/>
              <w:rPr>
                <w:snapToGrid w:val="0"/>
                <w:kern w:val="21"/>
              </w:rPr>
            </w:pPr>
            <w:r>
              <w:rPr>
                <w:rFonts w:hint="eastAsia"/>
                <w:snapToGrid w:val="0"/>
                <w:kern w:val="21"/>
              </w:rPr>
              <w:t>0.008</w:t>
            </w:r>
          </w:p>
        </w:tc>
        <w:tc>
          <w:tcPr>
            <w:tcW w:w="1548" w:type="dxa"/>
            <w:vAlign w:val="center"/>
          </w:tcPr>
          <w:p>
            <w:pPr>
              <w:pStyle w:val="52"/>
              <w:rPr>
                <w:snapToGrid w:val="0"/>
                <w:kern w:val="21"/>
              </w:rPr>
            </w:pPr>
            <w:r>
              <w:rPr>
                <w:rFonts w:hint="eastAsia"/>
                <w:snapToGrid w:val="0"/>
                <w:kern w:val="21"/>
              </w:rPr>
              <w:t>+0.008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restart"/>
            <w:vAlign w:val="center"/>
          </w:tcPr>
          <w:p>
            <w:pPr>
              <w:pStyle w:val="52"/>
              <w:rPr>
                <w:snapToGrid w:val="0"/>
                <w:kern w:val="21"/>
              </w:rPr>
            </w:pPr>
            <w:r>
              <w:rPr>
                <w:rFonts w:hint="eastAsia"/>
                <w:snapToGrid w:val="0"/>
                <w:kern w:val="21"/>
              </w:rPr>
              <w:t>生活污水</w:t>
            </w:r>
          </w:p>
        </w:tc>
        <w:tc>
          <w:tcPr>
            <w:tcW w:w="2271" w:type="dxa"/>
            <w:vAlign w:val="center"/>
          </w:tcPr>
          <w:p>
            <w:pPr>
              <w:pStyle w:val="52"/>
            </w:pPr>
            <w:r>
              <w:rPr>
                <w:rFonts w:hint="eastAsia"/>
              </w:rPr>
              <w:t>废水量</w:t>
            </w:r>
          </w:p>
        </w:tc>
        <w:tc>
          <w:tcPr>
            <w:tcW w:w="1253" w:type="dxa"/>
            <w:vAlign w:val="center"/>
          </w:tcPr>
          <w:p>
            <w:pPr>
              <w:pStyle w:val="52"/>
              <w:rPr>
                <w:snapToGrid w:val="0"/>
                <w:kern w:val="21"/>
              </w:rPr>
            </w:pPr>
          </w:p>
        </w:tc>
        <w:tc>
          <w:tcPr>
            <w:tcW w:w="1254" w:type="dxa"/>
            <w:vAlign w:val="center"/>
          </w:tcPr>
          <w:p>
            <w:pPr>
              <w:pStyle w:val="52"/>
              <w:rPr>
                <w:snapToGrid w:val="0"/>
                <w:kern w:val="21"/>
              </w:rPr>
            </w:pPr>
          </w:p>
        </w:tc>
        <w:tc>
          <w:tcPr>
            <w:tcW w:w="1615" w:type="dxa"/>
            <w:vAlign w:val="center"/>
          </w:tcPr>
          <w:p>
            <w:pPr>
              <w:pStyle w:val="52"/>
              <w:rPr>
                <w:snapToGrid w:val="0"/>
                <w:kern w:val="21"/>
              </w:rPr>
            </w:pPr>
          </w:p>
        </w:tc>
        <w:tc>
          <w:tcPr>
            <w:tcW w:w="1721" w:type="dxa"/>
            <w:vAlign w:val="center"/>
          </w:tcPr>
          <w:p>
            <w:pPr>
              <w:pStyle w:val="52"/>
              <w:rPr>
                <w:snapToGrid w:val="0"/>
                <w:kern w:val="21"/>
              </w:rPr>
            </w:pPr>
            <w:r>
              <w:rPr>
                <w:rFonts w:hint="eastAsia"/>
                <w:snapToGrid w:val="0"/>
                <w:kern w:val="21"/>
              </w:rPr>
              <w:t>234</w:t>
            </w:r>
          </w:p>
        </w:tc>
        <w:tc>
          <w:tcPr>
            <w:tcW w:w="1721" w:type="dxa"/>
            <w:vAlign w:val="center"/>
          </w:tcPr>
          <w:p>
            <w:pPr>
              <w:pStyle w:val="52"/>
              <w:rPr>
                <w:snapToGrid w:val="0"/>
                <w:kern w:val="21"/>
              </w:rPr>
            </w:pPr>
          </w:p>
        </w:tc>
        <w:tc>
          <w:tcPr>
            <w:tcW w:w="1660" w:type="dxa"/>
            <w:vAlign w:val="center"/>
          </w:tcPr>
          <w:p>
            <w:pPr>
              <w:pStyle w:val="52"/>
              <w:rPr>
                <w:snapToGrid w:val="0"/>
                <w:kern w:val="21"/>
              </w:rPr>
            </w:pPr>
            <w:r>
              <w:rPr>
                <w:rFonts w:hint="eastAsia"/>
                <w:snapToGrid w:val="0"/>
                <w:kern w:val="21"/>
              </w:rPr>
              <w:t>234</w:t>
            </w:r>
          </w:p>
        </w:tc>
        <w:tc>
          <w:tcPr>
            <w:tcW w:w="1548" w:type="dxa"/>
            <w:vAlign w:val="center"/>
          </w:tcPr>
          <w:p>
            <w:pPr>
              <w:pStyle w:val="52"/>
              <w:rPr>
                <w:snapToGrid w:val="0"/>
                <w:kern w:val="21"/>
              </w:rPr>
            </w:pPr>
            <w:r>
              <w:rPr>
                <w:rFonts w:hint="eastAsia"/>
                <w:snapToGrid w:val="0"/>
                <w:kern w:val="21"/>
              </w:rPr>
              <w:t>+234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vAlign w:val="center"/>
          </w:tcPr>
          <w:p>
            <w:pPr>
              <w:pStyle w:val="52"/>
              <w:rPr>
                <w:snapToGrid w:val="0"/>
                <w:kern w:val="21"/>
              </w:rPr>
            </w:pPr>
          </w:p>
        </w:tc>
        <w:tc>
          <w:tcPr>
            <w:tcW w:w="2271" w:type="dxa"/>
            <w:vAlign w:val="center"/>
          </w:tcPr>
          <w:p>
            <w:pPr>
              <w:pStyle w:val="52"/>
            </w:pPr>
            <w:r>
              <w:t>COD</w:t>
            </w:r>
            <w:r>
              <w:rPr>
                <w:vertAlign w:val="subscript"/>
              </w:rPr>
              <w:t>cr</w:t>
            </w:r>
          </w:p>
        </w:tc>
        <w:tc>
          <w:tcPr>
            <w:tcW w:w="1253" w:type="dxa"/>
            <w:vAlign w:val="center"/>
          </w:tcPr>
          <w:p>
            <w:pPr>
              <w:pStyle w:val="52"/>
              <w:rPr>
                <w:snapToGrid w:val="0"/>
                <w:kern w:val="21"/>
              </w:rPr>
            </w:pPr>
          </w:p>
        </w:tc>
        <w:tc>
          <w:tcPr>
            <w:tcW w:w="1254" w:type="dxa"/>
            <w:vAlign w:val="center"/>
          </w:tcPr>
          <w:p>
            <w:pPr>
              <w:pStyle w:val="52"/>
              <w:rPr>
                <w:snapToGrid w:val="0"/>
                <w:kern w:val="21"/>
              </w:rPr>
            </w:pPr>
          </w:p>
        </w:tc>
        <w:tc>
          <w:tcPr>
            <w:tcW w:w="1615" w:type="dxa"/>
            <w:vAlign w:val="center"/>
          </w:tcPr>
          <w:p>
            <w:pPr>
              <w:pStyle w:val="52"/>
              <w:rPr>
                <w:snapToGrid w:val="0"/>
                <w:kern w:val="21"/>
              </w:rPr>
            </w:pPr>
          </w:p>
        </w:tc>
        <w:tc>
          <w:tcPr>
            <w:tcW w:w="1721" w:type="dxa"/>
            <w:vAlign w:val="center"/>
          </w:tcPr>
          <w:p>
            <w:pPr>
              <w:pStyle w:val="52"/>
              <w:rPr>
                <w:snapToGrid w:val="0"/>
                <w:kern w:val="21"/>
              </w:rPr>
            </w:pPr>
            <w:r>
              <w:rPr>
                <w:rFonts w:hint="eastAsia"/>
                <w:snapToGrid w:val="0"/>
                <w:kern w:val="21"/>
              </w:rPr>
              <w:t>0.012</w:t>
            </w:r>
          </w:p>
        </w:tc>
        <w:tc>
          <w:tcPr>
            <w:tcW w:w="1721" w:type="dxa"/>
            <w:vAlign w:val="center"/>
          </w:tcPr>
          <w:p>
            <w:pPr>
              <w:pStyle w:val="52"/>
              <w:rPr>
                <w:snapToGrid w:val="0"/>
                <w:kern w:val="21"/>
              </w:rPr>
            </w:pPr>
          </w:p>
        </w:tc>
        <w:tc>
          <w:tcPr>
            <w:tcW w:w="1660" w:type="dxa"/>
            <w:vAlign w:val="center"/>
          </w:tcPr>
          <w:p>
            <w:pPr>
              <w:pStyle w:val="52"/>
              <w:rPr>
                <w:snapToGrid w:val="0"/>
                <w:kern w:val="21"/>
              </w:rPr>
            </w:pPr>
            <w:r>
              <w:rPr>
                <w:rFonts w:hint="eastAsia"/>
                <w:snapToGrid w:val="0"/>
                <w:kern w:val="21"/>
              </w:rPr>
              <w:t>0.012</w:t>
            </w:r>
          </w:p>
        </w:tc>
        <w:tc>
          <w:tcPr>
            <w:tcW w:w="1548" w:type="dxa"/>
            <w:vAlign w:val="center"/>
          </w:tcPr>
          <w:p>
            <w:pPr>
              <w:pStyle w:val="52"/>
              <w:rPr>
                <w:snapToGrid w:val="0"/>
                <w:kern w:val="21"/>
              </w:rPr>
            </w:pPr>
            <w:r>
              <w:rPr>
                <w:rFonts w:hint="eastAsia"/>
                <w:snapToGrid w:val="0"/>
                <w:kern w:val="21"/>
              </w:rPr>
              <w:t>+0.012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vAlign w:val="center"/>
          </w:tcPr>
          <w:p>
            <w:pPr>
              <w:pStyle w:val="52"/>
              <w:rPr>
                <w:snapToGrid w:val="0"/>
                <w:kern w:val="21"/>
              </w:rPr>
            </w:pPr>
          </w:p>
        </w:tc>
        <w:tc>
          <w:tcPr>
            <w:tcW w:w="2271" w:type="dxa"/>
            <w:vAlign w:val="center"/>
          </w:tcPr>
          <w:p>
            <w:pPr>
              <w:pStyle w:val="52"/>
            </w:pPr>
            <w:r>
              <w:t>NH</w:t>
            </w:r>
            <w:r>
              <w:rPr>
                <w:vertAlign w:val="subscript"/>
              </w:rPr>
              <w:t>3</w:t>
            </w:r>
            <w:r>
              <w:t>-N</w:t>
            </w:r>
          </w:p>
        </w:tc>
        <w:tc>
          <w:tcPr>
            <w:tcW w:w="1253" w:type="dxa"/>
            <w:vAlign w:val="center"/>
          </w:tcPr>
          <w:p>
            <w:pPr>
              <w:pStyle w:val="52"/>
              <w:rPr>
                <w:snapToGrid w:val="0"/>
                <w:kern w:val="21"/>
              </w:rPr>
            </w:pPr>
          </w:p>
        </w:tc>
        <w:tc>
          <w:tcPr>
            <w:tcW w:w="1254" w:type="dxa"/>
            <w:vAlign w:val="center"/>
          </w:tcPr>
          <w:p>
            <w:pPr>
              <w:pStyle w:val="52"/>
              <w:rPr>
                <w:snapToGrid w:val="0"/>
                <w:kern w:val="21"/>
              </w:rPr>
            </w:pPr>
          </w:p>
        </w:tc>
        <w:tc>
          <w:tcPr>
            <w:tcW w:w="1615" w:type="dxa"/>
            <w:vAlign w:val="center"/>
          </w:tcPr>
          <w:p>
            <w:pPr>
              <w:pStyle w:val="52"/>
              <w:rPr>
                <w:snapToGrid w:val="0"/>
                <w:kern w:val="21"/>
              </w:rPr>
            </w:pPr>
          </w:p>
        </w:tc>
        <w:tc>
          <w:tcPr>
            <w:tcW w:w="1721" w:type="dxa"/>
            <w:vAlign w:val="center"/>
          </w:tcPr>
          <w:p>
            <w:pPr>
              <w:pStyle w:val="52"/>
              <w:rPr>
                <w:snapToGrid w:val="0"/>
                <w:kern w:val="21"/>
              </w:rPr>
            </w:pPr>
            <w:bookmarkStart w:id="55" w:name="OLE_LINK2"/>
            <w:r>
              <w:rPr>
                <w:rFonts w:hint="eastAsia"/>
                <w:snapToGrid w:val="0"/>
                <w:kern w:val="21"/>
              </w:rPr>
              <w:t>0.00</w:t>
            </w:r>
            <w:bookmarkEnd w:id="55"/>
            <w:r>
              <w:rPr>
                <w:rFonts w:hint="eastAsia"/>
                <w:snapToGrid w:val="0"/>
                <w:kern w:val="21"/>
              </w:rPr>
              <w:t>1</w:t>
            </w:r>
          </w:p>
        </w:tc>
        <w:tc>
          <w:tcPr>
            <w:tcW w:w="1721" w:type="dxa"/>
            <w:vAlign w:val="center"/>
          </w:tcPr>
          <w:p>
            <w:pPr>
              <w:pStyle w:val="52"/>
              <w:rPr>
                <w:snapToGrid w:val="0"/>
                <w:kern w:val="21"/>
              </w:rPr>
            </w:pPr>
          </w:p>
        </w:tc>
        <w:tc>
          <w:tcPr>
            <w:tcW w:w="1660" w:type="dxa"/>
            <w:vAlign w:val="center"/>
          </w:tcPr>
          <w:p>
            <w:pPr>
              <w:pStyle w:val="52"/>
              <w:rPr>
                <w:snapToGrid w:val="0"/>
                <w:kern w:val="21"/>
              </w:rPr>
            </w:pPr>
            <w:r>
              <w:rPr>
                <w:rFonts w:hint="eastAsia"/>
                <w:snapToGrid w:val="0"/>
                <w:kern w:val="21"/>
              </w:rPr>
              <w:t>0.001</w:t>
            </w:r>
          </w:p>
        </w:tc>
        <w:tc>
          <w:tcPr>
            <w:tcW w:w="1548" w:type="dxa"/>
            <w:vAlign w:val="center"/>
          </w:tcPr>
          <w:p>
            <w:pPr>
              <w:pStyle w:val="52"/>
              <w:rPr>
                <w:snapToGrid w:val="0"/>
                <w:kern w:val="21"/>
              </w:rPr>
            </w:pPr>
            <w:r>
              <w:rPr>
                <w:rFonts w:hint="eastAsia"/>
                <w:snapToGrid w:val="0"/>
                <w:kern w:val="21"/>
              </w:rPr>
              <w:t>+0.001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1018" w:type="dxa"/>
            <w:vMerge w:val="restart"/>
            <w:tcBorders>
              <w:top w:val="single" w:color="auto" w:sz="4" w:space="0"/>
              <w:left w:val="single" w:color="auto" w:sz="8" w:space="0"/>
              <w:right w:val="single" w:color="auto" w:sz="4" w:space="0"/>
            </w:tcBorders>
            <w:vAlign w:val="center"/>
          </w:tcPr>
          <w:p>
            <w:pPr>
              <w:pStyle w:val="52"/>
              <w:rPr>
                <w:snapToGrid w:val="0"/>
                <w:kern w:val="21"/>
              </w:rPr>
            </w:pPr>
            <w:r>
              <w:rPr>
                <w:rFonts w:hint="eastAsia"/>
                <w:snapToGrid w:val="0"/>
                <w:kern w:val="21"/>
              </w:rPr>
              <w:t>生产废水</w:t>
            </w:r>
          </w:p>
        </w:tc>
        <w:tc>
          <w:tcPr>
            <w:tcW w:w="2271" w:type="dxa"/>
            <w:tcBorders>
              <w:top w:val="single" w:color="auto" w:sz="4" w:space="0"/>
              <w:left w:val="single" w:color="auto" w:sz="4" w:space="0"/>
              <w:bottom w:val="single" w:color="auto" w:sz="8" w:space="0"/>
              <w:right w:val="single" w:color="auto" w:sz="4" w:space="0"/>
            </w:tcBorders>
            <w:vAlign w:val="center"/>
          </w:tcPr>
          <w:p>
            <w:pPr>
              <w:pStyle w:val="52"/>
            </w:pPr>
            <w:r>
              <w:rPr>
                <w:rFonts w:hint="eastAsia"/>
              </w:rPr>
              <w:t>废水量</w:t>
            </w:r>
          </w:p>
        </w:tc>
        <w:tc>
          <w:tcPr>
            <w:tcW w:w="1253"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w:t>
            </w:r>
          </w:p>
        </w:tc>
        <w:tc>
          <w:tcPr>
            <w:tcW w:w="1254"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w:t>
            </w:r>
          </w:p>
        </w:tc>
        <w:tc>
          <w:tcPr>
            <w:tcW w:w="1615"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w:t>
            </w: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2380.2</w:t>
            </w: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w:t>
            </w:r>
          </w:p>
        </w:tc>
        <w:tc>
          <w:tcPr>
            <w:tcW w:w="1660"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2380.2</w:t>
            </w:r>
          </w:p>
        </w:tc>
        <w:tc>
          <w:tcPr>
            <w:tcW w:w="1548" w:type="dxa"/>
            <w:tcBorders>
              <w:top w:val="single" w:color="auto" w:sz="4" w:space="0"/>
              <w:left w:val="single" w:color="auto" w:sz="4" w:space="0"/>
              <w:bottom w:val="single" w:color="auto" w:sz="8" w:space="0"/>
              <w:right w:val="single" w:color="auto" w:sz="8" w:space="0"/>
            </w:tcBorders>
            <w:vAlign w:val="center"/>
          </w:tcPr>
          <w:p>
            <w:pPr>
              <w:pStyle w:val="52"/>
              <w:rPr>
                <w:snapToGrid w:val="0"/>
                <w:kern w:val="21"/>
              </w:rPr>
            </w:pPr>
            <w:r>
              <w:rPr>
                <w:rFonts w:hint="eastAsia"/>
                <w:snapToGrid w:val="0"/>
                <w:kern w:val="21"/>
              </w:rPr>
              <w:t>+2380.2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tcBorders>
              <w:left w:val="single" w:color="auto" w:sz="8" w:space="0"/>
              <w:right w:val="single" w:color="auto" w:sz="4" w:space="0"/>
            </w:tcBorders>
            <w:vAlign w:val="center"/>
          </w:tcPr>
          <w:p>
            <w:pPr>
              <w:pStyle w:val="52"/>
              <w:rPr>
                <w:snapToGrid w:val="0"/>
                <w:kern w:val="21"/>
              </w:rPr>
            </w:pPr>
          </w:p>
        </w:tc>
        <w:tc>
          <w:tcPr>
            <w:tcW w:w="2271" w:type="dxa"/>
            <w:tcBorders>
              <w:top w:val="single" w:color="auto" w:sz="4" w:space="0"/>
              <w:left w:val="single" w:color="auto" w:sz="4" w:space="0"/>
              <w:bottom w:val="single" w:color="auto" w:sz="8" w:space="0"/>
              <w:right w:val="single" w:color="auto" w:sz="4" w:space="0"/>
            </w:tcBorders>
            <w:vAlign w:val="center"/>
          </w:tcPr>
          <w:p>
            <w:pPr>
              <w:pStyle w:val="52"/>
            </w:pPr>
            <w:r>
              <w:t>COD</w:t>
            </w:r>
            <w:r>
              <w:rPr>
                <w:vertAlign w:val="subscript"/>
              </w:rPr>
              <w:t>cr</w:t>
            </w:r>
          </w:p>
        </w:tc>
        <w:tc>
          <w:tcPr>
            <w:tcW w:w="1253"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0.119</w:t>
            </w: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0.119</w:t>
            </w:r>
          </w:p>
        </w:tc>
        <w:tc>
          <w:tcPr>
            <w:tcW w:w="1548" w:type="dxa"/>
            <w:tcBorders>
              <w:top w:val="single" w:color="auto" w:sz="4" w:space="0"/>
              <w:left w:val="single" w:color="auto" w:sz="4" w:space="0"/>
              <w:bottom w:val="single" w:color="auto" w:sz="8" w:space="0"/>
              <w:right w:val="single" w:color="auto" w:sz="8" w:space="0"/>
            </w:tcBorders>
            <w:vAlign w:val="center"/>
          </w:tcPr>
          <w:p>
            <w:pPr>
              <w:pStyle w:val="52"/>
              <w:rPr>
                <w:snapToGrid w:val="0"/>
                <w:kern w:val="21"/>
              </w:rPr>
            </w:pPr>
            <w:r>
              <w:rPr>
                <w:rFonts w:hint="eastAsia"/>
                <w:snapToGrid w:val="0"/>
                <w:kern w:val="21"/>
              </w:rPr>
              <w:t>+0.119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tcBorders>
              <w:left w:val="single" w:color="auto" w:sz="8" w:space="0"/>
              <w:bottom w:val="single" w:color="auto" w:sz="8" w:space="0"/>
              <w:right w:val="single" w:color="auto" w:sz="4" w:space="0"/>
            </w:tcBorders>
            <w:vAlign w:val="center"/>
          </w:tcPr>
          <w:p>
            <w:pPr>
              <w:pStyle w:val="52"/>
              <w:rPr>
                <w:snapToGrid w:val="0"/>
                <w:kern w:val="21"/>
              </w:rPr>
            </w:pPr>
          </w:p>
        </w:tc>
        <w:tc>
          <w:tcPr>
            <w:tcW w:w="2271" w:type="dxa"/>
            <w:tcBorders>
              <w:top w:val="single" w:color="auto" w:sz="4" w:space="0"/>
              <w:left w:val="single" w:color="auto" w:sz="4" w:space="0"/>
              <w:bottom w:val="single" w:color="auto" w:sz="8" w:space="0"/>
              <w:right w:val="single" w:color="auto" w:sz="4" w:space="0"/>
            </w:tcBorders>
            <w:vAlign w:val="center"/>
          </w:tcPr>
          <w:p>
            <w:pPr>
              <w:pStyle w:val="52"/>
            </w:pPr>
            <w:r>
              <w:t>NH</w:t>
            </w:r>
            <w:r>
              <w:rPr>
                <w:vertAlign w:val="subscript"/>
              </w:rPr>
              <w:t>3</w:t>
            </w:r>
            <w:r>
              <w:t>-N</w:t>
            </w:r>
          </w:p>
        </w:tc>
        <w:tc>
          <w:tcPr>
            <w:tcW w:w="1253"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0.012</w:t>
            </w: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0.012</w:t>
            </w:r>
          </w:p>
        </w:tc>
        <w:tc>
          <w:tcPr>
            <w:tcW w:w="1548" w:type="dxa"/>
            <w:tcBorders>
              <w:top w:val="single" w:color="auto" w:sz="4" w:space="0"/>
              <w:left w:val="single" w:color="auto" w:sz="4" w:space="0"/>
              <w:bottom w:val="single" w:color="auto" w:sz="8" w:space="0"/>
              <w:right w:val="single" w:color="auto" w:sz="8" w:space="0"/>
            </w:tcBorders>
            <w:vAlign w:val="center"/>
          </w:tcPr>
          <w:p>
            <w:pPr>
              <w:pStyle w:val="52"/>
              <w:rPr>
                <w:snapToGrid w:val="0"/>
                <w:kern w:val="21"/>
              </w:rPr>
            </w:pPr>
            <w:r>
              <w:rPr>
                <w:rFonts w:hint="eastAsia"/>
                <w:snapToGrid w:val="0"/>
                <w:kern w:val="21"/>
              </w:rPr>
              <w:t>+0.012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restart"/>
            <w:tcBorders>
              <w:left w:val="single" w:color="auto" w:sz="8" w:space="0"/>
              <w:right w:val="single" w:color="auto" w:sz="4" w:space="0"/>
            </w:tcBorders>
            <w:vAlign w:val="center"/>
          </w:tcPr>
          <w:p>
            <w:pPr>
              <w:pStyle w:val="52"/>
              <w:rPr>
                <w:snapToGrid w:val="0"/>
                <w:kern w:val="21"/>
              </w:rPr>
            </w:pPr>
            <w:r>
              <w:rPr>
                <w:rFonts w:hint="eastAsia"/>
                <w:snapToGrid w:val="0"/>
                <w:kern w:val="21"/>
              </w:rPr>
              <w:t>一般固废</w:t>
            </w:r>
          </w:p>
        </w:tc>
        <w:tc>
          <w:tcPr>
            <w:tcW w:w="2271"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废包装袋</w:t>
            </w:r>
          </w:p>
        </w:tc>
        <w:tc>
          <w:tcPr>
            <w:tcW w:w="1253"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3.2</w:t>
            </w: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3.2</w:t>
            </w:r>
          </w:p>
        </w:tc>
        <w:tc>
          <w:tcPr>
            <w:tcW w:w="1548" w:type="dxa"/>
            <w:tcBorders>
              <w:top w:val="single" w:color="auto" w:sz="4" w:space="0"/>
              <w:left w:val="single" w:color="auto" w:sz="4" w:space="0"/>
              <w:bottom w:val="single" w:color="auto" w:sz="4" w:space="0"/>
              <w:right w:val="single" w:color="auto" w:sz="8" w:space="0"/>
            </w:tcBorders>
            <w:vAlign w:val="center"/>
          </w:tcPr>
          <w:p>
            <w:pPr>
              <w:pStyle w:val="52"/>
              <w:rPr>
                <w:snapToGrid w:val="0"/>
                <w:kern w:val="21"/>
              </w:rPr>
            </w:pPr>
            <w:r>
              <w:rPr>
                <w:rFonts w:hint="eastAsia"/>
                <w:snapToGrid w:val="0"/>
                <w:kern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tcBorders>
              <w:left w:val="single" w:color="auto" w:sz="8" w:space="0"/>
              <w:right w:val="single" w:color="auto" w:sz="4" w:space="0"/>
            </w:tcBorders>
            <w:vAlign w:val="center"/>
          </w:tcPr>
          <w:p>
            <w:pPr>
              <w:pStyle w:val="52"/>
              <w:rPr>
                <w:snapToGrid w:val="0"/>
                <w:kern w:val="21"/>
              </w:rPr>
            </w:pPr>
          </w:p>
        </w:tc>
        <w:tc>
          <w:tcPr>
            <w:tcW w:w="2271"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米粉边角料</w:t>
            </w:r>
          </w:p>
        </w:tc>
        <w:tc>
          <w:tcPr>
            <w:tcW w:w="1253"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2.4</w:t>
            </w: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2.4</w:t>
            </w:r>
          </w:p>
        </w:tc>
        <w:tc>
          <w:tcPr>
            <w:tcW w:w="1548" w:type="dxa"/>
            <w:tcBorders>
              <w:top w:val="single" w:color="auto" w:sz="4" w:space="0"/>
              <w:left w:val="single" w:color="auto" w:sz="4" w:space="0"/>
              <w:bottom w:val="single" w:color="auto" w:sz="4" w:space="0"/>
              <w:right w:val="single" w:color="auto" w:sz="8" w:space="0"/>
            </w:tcBorders>
            <w:vAlign w:val="center"/>
          </w:tcPr>
          <w:p>
            <w:pPr>
              <w:pStyle w:val="52"/>
              <w:rPr>
                <w:snapToGrid w:val="0"/>
                <w:kern w:val="21"/>
              </w:rPr>
            </w:pPr>
            <w:r>
              <w:rPr>
                <w:rFonts w:hint="eastAsia"/>
                <w:snapToGrid w:val="0"/>
                <w:kern w:val="21"/>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vMerge w:val="continue"/>
            <w:tcBorders>
              <w:left w:val="single" w:color="auto" w:sz="8" w:space="0"/>
              <w:bottom w:val="single" w:color="auto" w:sz="4" w:space="0"/>
              <w:right w:val="single" w:color="auto" w:sz="4" w:space="0"/>
            </w:tcBorders>
            <w:vAlign w:val="center"/>
          </w:tcPr>
          <w:p>
            <w:pPr>
              <w:pStyle w:val="52"/>
              <w:rPr>
                <w:snapToGrid w:val="0"/>
                <w:kern w:val="21"/>
              </w:rPr>
            </w:pPr>
          </w:p>
        </w:tc>
        <w:tc>
          <w:tcPr>
            <w:tcW w:w="2271" w:type="dxa"/>
            <w:tcBorders>
              <w:top w:val="single" w:color="auto" w:sz="4" w:space="0"/>
              <w:left w:val="single" w:color="auto" w:sz="4" w:space="0"/>
              <w:bottom w:val="single" w:color="auto" w:sz="4" w:space="0"/>
              <w:right w:val="single" w:color="auto" w:sz="4" w:space="0"/>
            </w:tcBorders>
            <w:vAlign w:val="center"/>
          </w:tcPr>
          <w:p>
            <w:pPr>
              <w:pStyle w:val="52"/>
            </w:pPr>
            <w:r>
              <w:rPr>
                <w:rFonts w:hint="eastAsia"/>
              </w:rPr>
              <w:t>污泥</w:t>
            </w:r>
          </w:p>
        </w:tc>
        <w:tc>
          <w:tcPr>
            <w:tcW w:w="1253"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12.758</w:t>
            </w:r>
          </w:p>
        </w:tc>
        <w:tc>
          <w:tcPr>
            <w:tcW w:w="1721"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52"/>
              <w:rPr>
                <w:snapToGrid w:val="0"/>
                <w:kern w:val="21"/>
              </w:rPr>
            </w:pPr>
            <w:r>
              <w:rPr>
                <w:rFonts w:hint="eastAsia"/>
                <w:snapToGrid w:val="0"/>
                <w:kern w:val="21"/>
              </w:rPr>
              <w:t>12.758</w:t>
            </w:r>
          </w:p>
        </w:tc>
        <w:tc>
          <w:tcPr>
            <w:tcW w:w="1548" w:type="dxa"/>
            <w:tcBorders>
              <w:top w:val="single" w:color="auto" w:sz="4" w:space="0"/>
              <w:left w:val="single" w:color="auto" w:sz="4" w:space="0"/>
              <w:bottom w:val="single" w:color="auto" w:sz="4" w:space="0"/>
              <w:right w:val="single" w:color="auto" w:sz="8" w:space="0"/>
            </w:tcBorders>
            <w:vAlign w:val="center"/>
          </w:tcPr>
          <w:p>
            <w:pPr>
              <w:pStyle w:val="52"/>
              <w:rPr>
                <w:snapToGrid w:val="0"/>
                <w:kern w:val="21"/>
              </w:rPr>
            </w:pPr>
            <w:r>
              <w:rPr>
                <w:rFonts w:hint="eastAsia"/>
                <w:snapToGrid w:val="0"/>
                <w:kern w:val="21"/>
              </w:rPr>
              <w:t>+12.758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18" w:type="dxa"/>
            <w:tcBorders>
              <w:top w:val="single" w:color="auto" w:sz="4" w:space="0"/>
              <w:left w:val="single" w:color="auto" w:sz="8" w:space="0"/>
              <w:bottom w:val="single" w:color="auto" w:sz="8" w:space="0"/>
              <w:right w:val="single" w:color="auto" w:sz="4" w:space="0"/>
            </w:tcBorders>
            <w:vAlign w:val="center"/>
          </w:tcPr>
          <w:p>
            <w:pPr>
              <w:pStyle w:val="52"/>
              <w:rPr>
                <w:snapToGrid w:val="0"/>
                <w:kern w:val="21"/>
              </w:rPr>
            </w:pPr>
            <w:r>
              <w:rPr>
                <w:rFonts w:hint="eastAsia"/>
              </w:rPr>
              <w:t>生活垃圾</w:t>
            </w:r>
          </w:p>
        </w:tc>
        <w:tc>
          <w:tcPr>
            <w:tcW w:w="2271" w:type="dxa"/>
            <w:tcBorders>
              <w:top w:val="single" w:color="auto" w:sz="4" w:space="0"/>
              <w:left w:val="single" w:color="auto" w:sz="4" w:space="0"/>
              <w:bottom w:val="single" w:color="auto" w:sz="8" w:space="0"/>
              <w:right w:val="single" w:color="auto" w:sz="4" w:space="0"/>
            </w:tcBorders>
            <w:vAlign w:val="center"/>
          </w:tcPr>
          <w:p>
            <w:pPr>
              <w:pStyle w:val="52"/>
            </w:pPr>
            <w:r>
              <w:rPr>
                <w:rFonts w:hint="eastAsia"/>
              </w:rPr>
              <w:t>生活垃圾</w:t>
            </w:r>
          </w:p>
        </w:tc>
        <w:tc>
          <w:tcPr>
            <w:tcW w:w="1253"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254"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15"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2.6</w:t>
            </w:r>
          </w:p>
        </w:tc>
        <w:tc>
          <w:tcPr>
            <w:tcW w:w="1721"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p>
        </w:tc>
        <w:tc>
          <w:tcPr>
            <w:tcW w:w="1660" w:type="dxa"/>
            <w:tcBorders>
              <w:top w:val="single" w:color="auto" w:sz="4" w:space="0"/>
              <w:left w:val="single" w:color="auto" w:sz="4" w:space="0"/>
              <w:bottom w:val="single" w:color="auto" w:sz="8" w:space="0"/>
              <w:right w:val="single" w:color="auto" w:sz="4" w:space="0"/>
            </w:tcBorders>
            <w:vAlign w:val="center"/>
          </w:tcPr>
          <w:p>
            <w:pPr>
              <w:pStyle w:val="52"/>
              <w:rPr>
                <w:snapToGrid w:val="0"/>
                <w:kern w:val="21"/>
              </w:rPr>
            </w:pPr>
            <w:r>
              <w:rPr>
                <w:rFonts w:hint="eastAsia"/>
                <w:snapToGrid w:val="0"/>
                <w:kern w:val="21"/>
              </w:rPr>
              <w:t>2.6</w:t>
            </w:r>
          </w:p>
        </w:tc>
        <w:tc>
          <w:tcPr>
            <w:tcW w:w="1548" w:type="dxa"/>
            <w:tcBorders>
              <w:top w:val="single" w:color="auto" w:sz="4" w:space="0"/>
              <w:left w:val="single" w:color="auto" w:sz="4" w:space="0"/>
              <w:bottom w:val="single" w:color="auto" w:sz="8" w:space="0"/>
              <w:right w:val="single" w:color="auto" w:sz="8" w:space="0"/>
            </w:tcBorders>
            <w:vAlign w:val="center"/>
          </w:tcPr>
          <w:p>
            <w:pPr>
              <w:pStyle w:val="52"/>
              <w:rPr>
                <w:snapToGrid w:val="0"/>
                <w:kern w:val="21"/>
              </w:rPr>
            </w:pPr>
            <w:r>
              <w:rPr>
                <w:rFonts w:hint="eastAsia"/>
                <w:snapToGrid w:val="0"/>
                <w:kern w:val="21"/>
              </w:rPr>
              <w:t>+2.6</w:t>
            </w:r>
          </w:p>
        </w:tc>
      </w:tr>
    </w:tbl>
    <w:p>
      <w:pPr>
        <w:pStyle w:val="100"/>
        <w:spacing w:after="24"/>
        <w:jc w:val="left"/>
        <w:rPr>
          <w:spacing w:val="-6"/>
          <w:kern w:val="21"/>
        </w:rPr>
      </w:pPr>
      <w:r>
        <w:rPr>
          <w:rFonts w:hint="eastAsia"/>
          <w:kern w:val="21"/>
        </w:rPr>
        <w:t>注：</w:t>
      </w:r>
      <w:r>
        <w:rPr>
          <w:spacing w:val="-16"/>
          <w:kern w:val="21"/>
        </w:rPr>
        <w:fldChar w:fldCharType="begin"/>
      </w:r>
      <w:r>
        <w:rPr>
          <w:spacing w:val="-16"/>
          <w:kern w:val="21"/>
        </w:rPr>
        <w:instrText xml:space="preserve"> = 6 \* GB3 \* MERGEFORMAT </w:instrText>
      </w:r>
      <w:r>
        <w:rPr>
          <w:spacing w:val="-16"/>
          <w:kern w:val="21"/>
        </w:rPr>
        <w:fldChar w:fldCharType="separate"/>
      </w:r>
      <w:r>
        <w:rPr>
          <w:rFonts w:hint="eastAsia"/>
        </w:rPr>
        <w:t>⑥</w:t>
      </w:r>
      <w:r>
        <w:rPr>
          <w:spacing w:val="-16"/>
          <w:kern w:val="21"/>
        </w:rPr>
        <w:fldChar w:fldCharType="end"/>
      </w:r>
      <w:r>
        <w:rPr>
          <w:spacing w:val="-16"/>
          <w:kern w:val="21"/>
        </w:rPr>
        <w:t>=</w:t>
      </w:r>
      <w:r>
        <w:rPr>
          <w:spacing w:val="-6"/>
          <w:kern w:val="21"/>
        </w:rPr>
        <w:fldChar w:fldCharType="begin"/>
      </w:r>
      <w:r>
        <w:rPr>
          <w:spacing w:val="-6"/>
          <w:kern w:val="21"/>
        </w:rPr>
        <w:instrText xml:space="preserve"> = 1 \* GB3 \* MERGEFORMAT </w:instrText>
      </w:r>
      <w:r>
        <w:rPr>
          <w:spacing w:val="-6"/>
          <w:kern w:val="21"/>
        </w:rPr>
        <w:fldChar w:fldCharType="separate"/>
      </w:r>
      <w:r>
        <w:rPr>
          <w:rFonts w:hint="eastAsia"/>
        </w:rPr>
        <w:t>①</w:t>
      </w:r>
      <w:r>
        <w:rPr>
          <w:spacing w:val="-6"/>
          <w:kern w:val="21"/>
        </w:rPr>
        <w:fldChar w:fldCharType="end"/>
      </w:r>
      <w:r>
        <w:rPr>
          <w:spacing w:val="-6"/>
          <w:kern w:val="21"/>
        </w:rPr>
        <w:t>+</w:t>
      </w:r>
      <w:r>
        <w:rPr>
          <w:spacing w:val="-6"/>
          <w:kern w:val="21"/>
        </w:rPr>
        <w:fldChar w:fldCharType="begin"/>
      </w:r>
      <w:r>
        <w:rPr>
          <w:spacing w:val="-6"/>
          <w:kern w:val="21"/>
        </w:rPr>
        <w:instrText xml:space="preserve"> = 3 \* GB3 \* MERGEFORMAT </w:instrText>
      </w:r>
      <w:r>
        <w:rPr>
          <w:spacing w:val="-6"/>
          <w:kern w:val="21"/>
        </w:rPr>
        <w:fldChar w:fldCharType="separate"/>
      </w:r>
      <w:r>
        <w:rPr>
          <w:rFonts w:hint="eastAsia"/>
        </w:rPr>
        <w:t>③</w:t>
      </w:r>
      <w:r>
        <w:rPr>
          <w:spacing w:val="-6"/>
          <w:kern w:val="21"/>
        </w:rPr>
        <w:fldChar w:fldCharType="end"/>
      </w:r>
      <w:r>
        <w:rPr>
          <w:spacing w:val="-6"/>
          <w:kern w:val="21"/>
        </w:rPr>
        <w:t>+</w:t>
      </w:r>
      <w:r>
        <w:rPr>
          <w:spacing w:val="-6"/>
          <w:kern w:val="21"/>
        </w:rPr>
        <w:fldChar w:fldCharType="begin"/>
      </w:r>
      <w:r>
        <w:rPr>
          <w:spacing w:val="-6"/>
          <w:kern w:val="21"/>
        </w:rPr>
        <w:instrText xml:space="preserve"> = 4 \* GB3 \* MERGEFORMAT </w:instrText>
      </w:r>
      <w:r>
        <w:rPr>
          <w:spacing w:val="-6"/>
          <w:kern w:val="21"/>
        </w:rPr>
        <w:fldChar w:fldCharType="separate"/>
      </w:r>
      <w:r>
        <w:rPr>
          <w:rFonts w:hint="eastAsia"/>
        </w:rPr>
        <w:t>④</w:t>
      </w:r>
      <w:r>
        <w:rPr>
          <w:spacing w:val="-6"/>
          <w:kern w:val="21"/>
        </w:rPr>
        <w:fldChar w:fldCharType="end"/>
      </w:r>
      <w:r>
        <w:rPr>
          <w:spacing w:val="-6"/>
          <w:kern w:val="21"/>
        </w:rPr>
        <w:t>-</w:t>
      </w:r>
      <w:r>
        <w:rPr>
          <w:spacing w:val="-16"/>
          <w:kern w:val="21"/>
        </w:rPr>
        <w:fldChar w:fldCharType="begin"/>
      </w:r>
      <w:r>
        <w:rPr>
          <w:spacing w:val="-16"/>
          <w:kern w:val="21"/>
        </w:rPr>
        <w:instrText xml:space="preserve"> = 5 \* GB3 \* MERGEFORMAT </w:instrText>
      </w:r>
      <w:r>
        <w:rPr>
          <w:spacing w:val="-16"/>
          <w:kern w:val="21"/>
        </w:rPr>
        <w:fldChar w:fldCharType="separate"/>
      </w:r>
      <w:r>
        <w:rPr>
          <w:rFonts w:hint="eastAsia"/>
        </w:rPr>
        <w:t>⑤</w:t>
      </w:r>
      <w:r>
        <w:rPr>
          <w:spacing w:val="-16"/>
          <w:kern w:val="21"/>
        </w:rPr>
        <w:fldChar w:fldCharType="end"/>
      </w:r>
      <w:r>
        <w:rPr>
          <w:rFonts w:hint="eastAsia"/>
          <w:spacing w:val="-16"/>
          <w:kern w:val="21"/>
        </w:rPr>
        <w:t>；</w:t>
      </w:r>
      <w:r>
        <w:rPr>
          <w:spacing w:val="-6"/>
          <w:kern w:val="21"/>
        </w:rPr>
        <w:fldChar w:fldCharType="begin"/>
      </w:r>
      <w:r>
        <w:rPr>
          <w:spacing w:val="-6"/>
          <w:kern w:val="21"/>
        </w:rPr>
        <w:instrText xml:space="preserve"> = 7 \* GB3 \* MERGEFORMAT </w:instrText>
      </w:r>
      <w:r>
        <w:rPr>
          <w:spacing w:val="-6"/>
          <w:kern w:val="21"/>
        </w:rPr>
        <w:fldChar w:fldCharType="separate"/>
      </w:r>
      <w:r>
        <w:rPr>
          <w:rFonts w:hint="eastAsia"/>
        </w:rPr>
        <w:t>⑦</w:t>
      </w:r>
      <w:r>
        <w:rPr>
          <w:spacing w:val="-6"/>
          <w:kern w:val="21"/>
        </w:rPr>
        <w:fldChar w:fldCharType="end"/>
      </w:r>
      <w:r>
        <w:rPr>
          <w:spacing w:val="-6"/>
          <w:kern w:val="21"/>
        </w:rPr>
        <w:t>=</w:t>
      </w:r>
      <w:r>
        <w:rPr>
          <w:spacing w:val="-16"/>
          <w:kern w:val="21"/>
        </w:rPr>
        <w:fldChar w:fldCharType="begin"/>
      </w:r>
      <w:r>
        <w:rPr>
          <w:spacing w:val="-16"/>
          <w:kern w:val="21"/>
        </w:rPr>
        <w:instrText xml:space="preserve"> = 6 \* GB3 \* MERGEFORMAT </w:instrText>
      </w:r>
      <w:r>
        <w:rPr>
          <w:spacing w:val="-16"/>
          <w:kern w:val="21"/>
        </w:rPr>
        <w:fldChar w:fldCharType="separate"/>
      </w:r>
      <w:r>
        <w:rPr>
          <w:rFonts w:hint="eastAsia"/>
        </w:rPr>
        <w:t>⑥</w:t>
      </w:r>
      <w:r>
        <w:rPr>
          <w:spacing w:val="-16"/>
          <w:kern w:val="21"/>
        </w:rPr>
        <w:fldChar w:fldCharType="end"/>
      </w:r>
      <w:r>
        <w:rPr>
          <w:spacing w:val="-16"/>
          <w:kern w:val="21"/>
        </w:rPr>
        <w:t>-</w:t>
      </w:r>
      <w:r>
        <w:rPr>
          <w:spacing w:val="-6"/>
          <w:kern w:val="21"/>
        </w:rPr>
        <w:fldChar w:fldCharType="begin"/>
      </w:r>
      <w:r>
        <w:rPr>
          <w:spacing w:val="-6"/>
          <w:kern w:val="21"/>
        </w:rPr>
        <w:instrText xml:space="preserve"> = 1 \* GB3 \* MERGEFORMAT </w:instrText>
      </w:r>
      <w:r>
        <w:rPr>
          <w:spacing w:val="-6"/>
          <w:kern w:val="21"/>
        </w:rPr>
        <w:fldChar w:fldCharType="separate"/>
      </w:r>
      <w:r>
        <w:rPr>
          <w:rFonts w:hint="eastAsia"/>
        </w:rPr>
        <w:t>①</w:t>
      </w:r>
      <w:r>
        <w:rPr>
          <w:spacing w:val="-6"/>
          <w:kern w:val="21"/>
        </w:rPr>
        <w:fldChar w:fldCharType="end"/>
      </w:r>
    </w:p>
    <w:p>
      <w:pPr>
        <w:pStyle w:val="52"/>
        <w:sectPr>
          <w:headerReference r:id="rId31" w:type="first"/>
          <w:headerReference r:id="rId29" w:type="default"/>
          <w:footerReference r:id="rId32" w:type="default"/>
          <w:headerReference r:id="rId30" w:type="even"/>
          <w:pgSz w:w="16839" w:h="11907" w:orient="landscape"/>
          <w:pgMar w:top="1417" w:right="1417" w:bottom="1417" w:left="1417" w:header="851" w:footer="850" w:gutter="0"/>
          <w:cols w:space="720" w:num="1"/>
          <w:docGrid w:linePitch="326" w:charSpace="0"/>
        </w:sectPr>
      </w:pPr>
    </w:p>
    <w:p>
      <w:pPr>
        <w:pStyle w:val="3"/>
        <w:spacing w:before="120" w:after="120" w:line="240" w:lineRule="auto"/>
        <w:jc w:val="left"/>
      </w:pPr>
      <w:r>
        <w:t>附图</w:t>
      </w:r>
    </w:p>
    <w:p>
      <w:pPr>
        <w:pStyle w:val="4"/>
        <w:spacing w:before="120" w:after="120" w:line="240" w:lineRule="auto"/>
        <w:rPr>
          <w:sz w:val="28"/>
        </w:rPr>
      </w:pPr>
      <w:r>
        <w:rPr>
          <w:sz w:val="28"/>
        </w:rPr>
        <w:t>附图1 建设项目地理位置图</w:t>
      </w:r>
    </w:p>
    <w:p>
      <w:pPr>
        <w:ind w:firstLine="0" w:firstLineChars="0"/>
        <w:sectPr>
          <w:pgSz w:w="11907" w:h="16839"/>
          <w:pgMar w:top="1418" w:right="1418" w:bottom="1418" w:left="1418" w:header="851" w:footer="851" w:gutter="0"/>
          <w:cols w:space="720" w:num="1"/>
          <w:docGrid w:linePitch="326" w:charSpace="0"/>
        </w:sectPr>
      </w:pPr>
    </w:p>
    <w:p>
      <w:pPr>
        <w:pStyle w:val="4"/>
        <w:spacing w:before="120" w:after="120" w:line="240" w:lineRule="auto"/>
      </w:pPr>
      <w:r>
        <w:t xml:space="preserve">附图2 </w:t>
      </w:r>
      <w:r>
        <w:rPr>
          <w:rFonts w:hint="eastAsia"/>
        </w:rPr>
        <w:t>车间租赁位置示意</w:t>
      </w:r>
      <w:r>
        <w:t>图</w:t>
      </w:r>
    </w:p>
    <w:p>
      <w:pPr>
        <w:pStyle w:val="107"/>
      </w:pPr>
    </w:p>
    <w:p>
      <w:pPr>
        <w:pStyle w:val="2"/>
        <w:rPr>
          <w:kern w:val="0"/>
          <w:sz w:val="30"/>
          <w:szCs w:val="30"/>
        </w:rPr>
      </w:pPr>
      <w:r>
        <w:br w:type="page"/>
      </w:r>
    </w:p>
    <w:p>
      <w:pPr>
        <w:pStyle w:val="4"/>
        <w:spacing w:beforeLines="0" w:afterLines="0" w:line="240" w:lineRule="auto"/>
        <w:jc w:val="left"/>
        <w:rPr>
          <w:sz w:val="28"/>
        </w:rPr>
      </w:pPr>
      <w:r>
        <w:rPr>
          <w:sz w:val="28"/>
        </w:rPr>
        <w:t>附图</w:t>
      </w:r>
      <w:r>
        <w:rPr>
          <w:rFonts w:hint="eastAsia"/>
          <w:sz w:val="28"/>
        </w:rPr>
        <w:t>3</w:t>
      </w:r>
      <w:r>
        <w:rPr>
          <w:sz w:val="28"/>
        </w:rPr>
        <w:t>厂区总平面布置图</w:t>
      </w:r>
      <w:bookmarkStart w:id="56" w:name="_MON_1808121593"/>
      <w:bookmarkEnd w:id="56"/>
    </w:p>
    <w:p>
      <w:pPr>
        <w:ind w:firstLine="0" w:firstLineChars="0"/>
        <w:jc w:val="center"/>
        <w:sectPr>
          <w:pgSz w:w="16839" w:h="11907" w:orient="landscape"/>
          <w:pgMar w:top="680" w:right="1418" w:bottom="680" w:left="1418" w:header="567" w:footer="851" w:gutter="0"/>
          <w:cols w:space="720" w:num="1"/>
          <w:docGrid w:linePitch="326" w:charSpace="0"/>
        </w:sectPr>
      </w:pPr>
    </w:p>
    <w:p>
      <w:pPr>
        <w:pStyle w:val="4"/>
        <w:spacing w:before="120" w:after="120" w:line="240" w:lineRule="auto"/>
        <w:jc w:val="left"/>
        <w:rPr>
          <w:sz w:val="28"/>
        </w:rPr>
      </w:pPr>
      <w:r>
        <w:rPr>
          <w:sz w:val="28"/>
        </w:rPr>
        <w:t>附图</w:t>
      </w:r>
      <w:r>
        <w:rPr>
          <w:rFonts w:hint="eastAsia"/>
          <w:sz w:val="28"/>
        </w:rPr>
        <w:t>4</w:t>
      </w:r>
      <w:r>
        <w:rPr>
          <w:sz w:val="28"/>
        </w:rPr>
        <w:t xml:space="preserve"> 项目周边环境分布图</w:t>
      </w:r>
    </w:p>
    <w:p>
      <w:pPr>
        <w:ind w:firstLine="480"/>
      </w:pPr>
      <w:bookmarkStart w:id="57" w:name="_MON_1808123567"/>
      <w:bookmarkEnd w:id="57"/>
    </w:p>
    <w:p>
      <w:pPr>
        <w:widowControl/>
        <w:spacing w:line="240" w:lineRule="auto"/>
        <w:ind w:firstLine="0" w:firstLineChars="0"/>
        <w:sectPr>
          <w:pgSz w:w="16839" w:h="11907" w:orient="landscape"/>
          <w:pgMar w:top="720" w:right="720" w:bottom="720" w:left="720" w:header="851" w:footer="850" w:gutter="0"/>
          <w:cols w:space="720" w:num="1"/>
          <w:docGrid w:linePitch="326" w:charSpace="0"/>
        </w:sectPr>
      </w:pPr>
    </w:p>
    <w:p>
      <w:pPr>
        <w:widowControl/>
        <w:spacing w:line="240" w:lineRule="auto"/>
        <w:ind w:firstLine="0" w:firstLineChars="0"/>
      </w:pPr>
    </w:p>
    <w:p>
      <w:pPr>
        <w:ind w:firstLine="0" w:firstLineChars="0"/>
        <w:outlineLvl w:val="1"/>
        <w:rPr>
          <w:b/>
          <w:sz w:val="28"/>
        </w:rPr>
      </w:pPr>
      <w:r>
        <w:rPr>
          <w:rFonts w:hint="eastAsia"/>
          <w:b/>
          <w:sz w:val="28"/>
        </w:rPr>
        <w:t>附图5 项目周边环境现状照片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7"/>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6147" w:type="dxa"/>
            <w:vAlign w:val="center"/>
          </w:tcPr>
          <w:p>
            <w:pPr>
              <w:spacing w:line="240" w:lineRule="auto"/>
              <w:ind w:firstLine="0" w:firstLineChars="0"/>
              <w:jc w:val="center"/>
              <w:rPr>
                <w:b/>
                <w:sz w:val="21"/>
              </w:rPr>
            </w:pPr>
          </w:p>
        </w:tc>
        <w:tc>
          <w:tcPr>
            <w:tcW w:w="5942" w:type="dxa"/>
            <w:vAlign w:val="center"/>
          </w:tcPr>
          <w:p>
            <w:pPr>
              <w:spacing w:line="240" w:lineRule="auto"/>
              <w:ind w:firstLine="0" w:firstLineChars="0"/>
              <w:jc w:val="center"/>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147" w:type="dxa"/>
            <w:vAlign w:val="center"/>
          </w:tcPr>
          <w:p>
            <w:pPr>
              <w:spacing w:line="240" w:lineRule="auto"/>
              <w:ind w:firstLine="0" w:firstLineChars="0"/>
              <w:jc w:val="center"/>
              <w:rPr>
                <w:b/>
                <w:sz w:val="21"/>
              </w:rPr>
            </w:pPr>
          </w:p>
        </w:tc>
        <w:tc>
          <w:tcPr>
            <w:tcW w:w="5942" w:type="dxa"/>
            <w:vAlign w:val="center"/>
          </w:tcPr>
          <w:p>
            <w:pPr>
              <w:spacing w:line="240" w:lineRule="auto"/>
              <w:ind w:firstLine="0" w:firstLineChars="0"/>
              <w:jc w:val="center"/>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147" w:type="dxa"/>
            <w:vAlign w:val="center"/>
          </w:tcPr>
          <w:p>
            <w:pPr>
              <w:spacing w:line="240" w:lineRule="auto"/>
              <w:ind w:firstLine="0" w:firstLineChars="0"/>
              <w:jc w:val="center"/>
              <w:rPr>
                <w:b/>
                <w:sz w:val="21"/>
              </w:rPr>
            </w:pPr>
          </w:p>
        </w:tc>
        <w:tc>
          <w:tcPr>
            <w:tcW w:w="5942" w:type="dxa"/>
            <w:vAlign w:val="center"/>
          </w:tcPr>
          <w:p>
            <w:pPr>
              <w:spacing w:line="240" w:lineRule="auto"/>
              <w:ind w:firstLine="0" w:firstLineChars="0"/>
              <w:jc w:val="center"/>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147" w:type="dxa"/>
            <w:vAlign w:val="center"/>
          </w:tcPr>
          <w:p>
            <w:pPr>
              <w:spacing w:line="240" w:lineRule="auto"/>
              <w:ind w:firstLine="0" w:firstLineChars="0"/>
              <w:jc w:val="center"/>
              <w:rPr>
                <w:b/>
                <w:sz w:val="21"/>
              </w:rPr>
            </w:pPr>
          </w:p>
        </w:tc>
        <w:tc>
          <w:tcPr>
            <w:tcW w:w="5942" w:type="dxa"/>
            <w:vAlign w:val="center"/>
          </w:tcPr>
          <w:p>
            <w:pPr>
              <w:spacing w:line="240" w:lineRule="auto"/>
              <w:ind w:firstLine="0" w:firstLineChars="0"/>
              <w:jc w:val="center"/>
              <w:rPr>
                <w:b/>
                <w:sz w:val="21"/>
              </w:rPr>
            </w:pPr>
          </w:p>
        </w:tc>
      </w:tr>
    </w:tbl>
    <w:p>
      <w:pPr>
        <w:ind w:firstLine="0" w:firstLineChars="0"/>
        <w:outlineLvl w:val="1"/>
        <w:rPr>
          <w:b/>
          <w:sz w:val="28"/>
        </w:rPr>
        <w:sectPr>
          <w:pgSz w:w="16839" w:h="11907" w:orient="landscape"/>
          <w:pgMar w:top="720" w:right="720" w:bottom="720" w:left="720" w:header="851" w:footer="850" w:gutter="0"/>
          <w:cols w:space="720" w:num="1"/>
          <w:docGrid w:linePitch="326" w:charSpace="0"/>
        </w:sectPr>
      </w:pPr>
    </w:p>
    <w:p>
      <w:pPr>
        <w:ind w:firstLine="0" w:firstLineChars="0"/>
        <w:outlineLvl w:val="1"/>
        <w:rPr>
          <w:b/>
          <w:sz w:val="28"/>
        </w:rPr>
      </w:pPr>
      <w:r>
        <w:rPr>
          <w:rFonts w:hint="eastAsia"/>
          <w:b/>
          <w:sz w:val="28"/>
        </w:rPr>
        <w:t>附图6分区防渗图</w:t>
      </w:r>
    </w:p>
    <w:p>
      <w:pPr>
        <w:ind w:firstLine="0" w:firstLineChars="0"/>
        <w:jc w:val="center"/>
        <w:outlineLvl w:val="1"/>
        <w:rPr>
          <w:b/>
          <w:sz w:val="28"/>
        </w:rPr>
      </w:pPr>
    </w:p>
    <w:p>
      <w:pPr>
        <w:widowControl/>
        <w:spacing w:line="240" w:lineRule="auto"/>
        <w:ind w:firstLine="0" w:firstLineChars="0"/>
        <w:rPr>
          <w:sz w:val="21"/>
          <w:szCs w:val="21"/>
        </w:rPr>
        <w:sectPr>
          <w:pgSz w:w="16839" w:h="11907" w:orient="landscape"/>
          <w:pgMar w:top="720" w:right="720" w:bottom="720" w:left="720" w:header="851" w:footer="850" w:gutter="0"/>
          <w:cols w:space="720" w:num="1"/>
          <w:docGrid w:linePitch="326" w:charSpace="0"/>
        </w:sectPr>
      </w:pPr>
      <w:bookmarkStart w:id="58" w:name="_MON_1811332422"/>
      <w:bookmarkEnd w:id="58"/>
    </w:p>
    <w:p>
      <w:pPr>
        <w:pStyle w:val="3"/>
        <w:spacing w:before="120" w:after="120"/>
        <w:jc w:val="left"/>
        <w:rPr>
          <w:szCs w:val="32"/>
        </w:rPr>
      </w:pPr>
      <w:r>
        <w:rPr>
          <w:szCs w:val="32"/>
        </w:rPr>
        <w:t>附件</w:t>
      </w:r>
    </w:p>
    <w:p>
      <w:pPr>
        <w:pStyle w:val="4"/>
        <w:spacing w:before="120" w:after="120" w:line="240" w:lineRule="auto"/>
        <w:jc w:val="left"/>
        <w:rPr>
          <w:sz w:val="28"/>
          <w:szCs w:val="28"/>
        </w:rPr>
      </w:pPr>
      <w:r>
        <w:rPr>
          <w:sz w:val="28"/>
          <w:szCs w:val="28"/>
        </w:rPr>
        <w:t>附件1</w:t>
      </w:r>
      <w:r>
        <w:rPr>
          <w:rFonts w:hint="eastAsia"/>
          <w:sz w:val="28"/>
          <w:szCs w:val="28"/>
        </w:rPr>
        <w:t xml:space="preserve"> </w:t>
      </w:r>
      <w:r>
        <w:rPr>
          <w:sz w:val="28"/>
          <w:szCs w:val="28"/>
        </w:rPr>
        <w:t>委托书</w:t>
      </w:r>
    </w:p>
    <w:p>
      <w:pPr>
        <w:spacing w:line="240" w:lineRule="auto"/>
        <w:ind w:firstLine="0" w:firstLineChars="0"/>
        <w:rPr>
          <w:sz w:val="28"/>
          <w:szCs w:val="28"/>
        </w:rPr>
      </w:pPr>
    </w:p>
    <w:p>
      <w:pPr>
        <w:spacing w:line="240" w:lineRule="auto"/>
        <w:ind w:firstLine="0" w:firstLineChars="0"/>
        <w:rPr>
          <w:sz w:val="28"/>
          <w:szCs w:val="28"/>
        </w:rPr>
        <w:sectPr>
          <w:pgSz w:w="11905" w:h="16838"/>
          <w:pgMar w:top="1417" w:right="1417" w:bottom="1417" w:left="1417" w:header="850" w:footer="850" w:gutter="0"/>
          <w:cols w:space="720" w:num="1"/>
          <w:docGrid w:linePitch="312" w:charSpace="0"/>
        </w:sectPr>
      </w:pPr>
    </w:p>
    <w:p>
      <w:pPr>
        <w:pStyle w:val="4"/>
        <w:spacing w:before="120" w:after="120" w:line="240" w:lineRule="auto"/>
        <w:rPr>
          <w:sz w:val="28"/>
          <w:szCs w:val="28"/>
        </w:rPr>
      </w:pPr>
      <w:r>
        <w:rPr>
          <w:sz w:val="28"/>
          <w:szCs w:val="28"/>
        </w:rPr>
        <w:t>附件2</w:t>
      </w:r>
      <w:r>
        <w:rPr>
          <w:rFonts w:hint="eastAsia"/>
          <w:sz w:val="28"/>
          <w:szCs w:val="28"/>
        </w:rPr>
        <w:t xml:space="preserve"> </w:t>
      </w:r>
      <w:r>
        <w:rPr>
          <w:sz w:val="28"/>
          <w:szCs w:val="28"/>
        </w:rPr>
        <w:t>企业营业执照及法人身份证复印件</w:t>
      </w:r>
    </w:p>
    <w:p>
      <w:pPr>
        <w:spacing w:line="240" w:lineRule="auto"/>
        <w:ind w:firstLine="0" w:firstLineChars="0"/>
        <w:jc w:val="center"/>
        <w:rPr>
          <w:sz w:val="28"/>
          <w:szCs w:val="28"/>
        </w:rPr>
        <w:sectPr>
          <w:pgSz w:w="16838" w:h="11905" w:orient="landscape"/>
          <w:pgMar w:top="1417" w:right="1417" w:bottom="1417" w:left="1417" w:header="850" w:footer="850" w:gutter="0"/>
          <w:cols w:space="720" w:num="1"/>
          <w:docGrid w:linePitch="326" w:charSpace="0"/>
        </w:sectPr>
      </w:pPr>
    </w:p>
    <w:p>
      <w:pPr>
        <w:spacing w:line="240" w:lineRule="auto"/>
        <w:ind w:firstLine="0" w:firstLineChars="0"/>
        <w:rPr>
          <w:sz w:val="28"/>
          <w:szCs w:val="28"/>
        </w:rPr>
      </w:pPr>
    </w:p>
    <w:p>
      <w:pPr>
        <w:spacing w:line="240" w:lineRule="auto"/>
        <w:ind w:firstLine="0" w:firstLineChars="0"/>
        <w:rPr>
          <w:sz w:val="28"/>
          <w:szCs w:val="28"/>
        </w:rPr>
      </w:pPr>
    </w:p>
    <w:p>
      <w:pPr>
        <w:spacing w:line="240" w:lineRule="auto"/>
        <w:ind w:firstLine="0" w:firstLineChars="0"/>
        <w:jc w:val="center"/>
        <w:rPr>
          <w:sz w:val="28"/>
          <w:szCs w:val="28"/>
        </w:rPr>
        <w:sectPr>
          <w:pgSz w:w="11905" w:h="16838"/>
          <w:pgMar w:top="1417" w:right="1417" w:bottom="1417" w:left="1417" w:header="850" w:footer="850" w:gutter="0"/>
          <w:cols w:space="720" w:num="1"/>
          <w:docGrid w:linePitch="326" w:charSpace="0"/>
        </w:sectPr>
      </w:pPr>
    </w:p>
    <w:p>
      <w:pPr>
        <w:pStyle w:val="4"/>
        <w:spacing w:before="120" w:after="120" w:line="240" w:lineRule="auto"/>
        <w:rPr>
          <w:sz w:val="28"/>
          <w:szCs w:val="28"/>
        </w:rPr>
      </w:pPr>
      <w:r>
        <w:rPr>
          <w:sz w:val="28"/>
          <w:szCs w:val="28"/>
        </w:rPr>
        <w:t>附件3</w:t>
      </w:r>
      <w:r>
        <w:rPr>
          <w:rFonts w:hint="eastAsia"/>
          <w:sz w:val="28"/>
          <w:szCs w:val="28"/>
        </w:rPr>
        <w:t xml:space="preserve"> </w:t>
      </w:r>
      <w:r>
        <w:rPr>
          <w:sz w:val="28"/>
          <w:szCs w:val="28"/>
        </w:rPr>
        <w:t>备案表</w:t>
      </w:r>
    </w:p>
    <w:p>
      <w:pPr>
        <w:spacing w:line="240" w:lineRule="auto"/>
        <w:ind w:firstLine="0" w:firstLineChars="0"/>
        <w:jc w:val="center"/>
        <w:rPr>
          <w:sz w:val="28"/>
          <w:szCs w:val="28"/>
        </w:rPr>
        <w:sectPr>
          <w:pgSz w:w="16838" w:h="11905" w:orient="landscape"/>
          <w:pgMar w:top="1418" w:right="1418" w:bottom="1418" w:left="1418" w:header="567" w:footer="851" w:gutter="0"/>
          <w:cols w:space="720" w:num="1"/>
          <w:docGrid w:linePitch="326" w:charSpace="0"/>
        </w:sectPr>
      </w:pPr>
    </w:p>
    <w:p>
      <w:pPr>
        <w:pStyle w:val="4"/>
        <w:spacing w:before="120" w:after="120" w:line="240" w:lineRule="auto"/>
        <w:jc w:val="left"/>
        <w:rPr>
          <w:sz w:val="28"/>
          <w:szCs w:val="28"/>
        </w:rPr>
        <w:sectPr>
          <w:pgSz w:w="11905" w:h="16838"/>
          <w:pgMar w:top="1418" w:right="1418" w:bottom="1418" w:left="1418" w:header="567" w:footer="851" w:gutter="0"/>
          <w:cols w:space="720" w:num="1"/>
          <w:docGrid w:linePitch="326" w:charSpace="0"/>
        </w:sectPr>
      </w:pPr>
      <w:r>
        <w:rPr>
          <w:sz w:val="28"/>
          <w:szCs w:val="28"/>
        </w:rPr>
        <w:t>附件4</w:t>
      </w:r>
      <w:r>
        <w:rPr>
          <w:rFonts w:hint="eastAsia"/>
          <w:sz w:val="28"/>
          <w:szCs w:val="28"/>
        </w:rPr>
        <w:t xml:space="preserve"> 租赁合同</w:t>
      </w:r>
    </w:p>
    <w:p>
      <w:pPr>
        <w:pStyle w:val="4"/>
        <w:spacing w:before="120" w:after="120" w:line="240" w:lineRule="auto"/>
        <w:jc w:val="left"/>
        <w:rPr>
          <w:sz w:val="28"/>
          <w:szCs w:val="28"/>
        </w:rPr>
      </w:pPr>
      <w:r>
        <w:rPr>
          <w:sz w:val="28"/>
          <w:szCs w:val="28"/>
        </w:rPr>
        <w:t>附件</w:t>
      </w:r>
      <w:r>
        <w:rPr>
          <w:rFonts w:hint="eastAsia"/>
          <w:sz w:val="28"/>
          <w:szCs w:val="28"/>
        </w:rPr>
        <w:t>5 经营授权书</w:t>
      </w:r>
    </w:p>
    <w:p>
      <w:pPr>
        <w:widowControl/>
        <w:spacing w:line="240" w:lineRule="auto"/>
        <w:ind w:firstLine="0" w:firstLineChars="0"/>
        <w:jc w:val="left"/>
        <w:rPr>
          <w:sz w:val="28"/>
          <w:szCs w:val="28"/>
        </w:rPr>
      </w:pPr>
      <w:r>
        <w:rPr>
          <w:sz w:val="28"/>
          <w:szCs w:val="28"/>
        </w:rPr>
        <w:br w:type="page"/>
      </w:r>
    </w:p>
    <w:p>
      <w:pPr>
        <w:pStyle w:val="4"/>
        <w:spacing w:before="120" w:after="120" w:line="240" w:lineRule="auto"/>
        <w:jc w:val="left"/>
        <w:rPr>
          <w:sz w:val="28"/>
          <w:szCs w:val="28"/>
        </w:rPr>
      </w:pPr>
      <w:r>
        <w:rPr>
          <w:sz w:val="28"/>
          <w:szCs w:val="28"/>
        </w:rPr>
        <w:t>附件</w:t>
      </w:r>
      <w:r>
        <w:rPr>
          <w:rFonts w:hint="eastAsia"/>
          <w:sz w:val="28"/>
          <w:szCs w:val="28"/>
        </w:rPr>
        <w:t>6 污水处理设施说明</w:t>
      </w:r>
      <w:r>
        <w:br w:type="page"/>
      </w:r>
    </w:p>
    <w:p>
      <w:pPr>
        <w:pStyle w:val="4"/>
        <w:spacing w:before="120" w:after="120" w:line="240" w:lineRule="auto"/>
        <w:jc w:val="left"/>
        <w:rPr>
          <w:sz w:val="28"/>
          <w:szCs w:val="28"/>
        </w:rPr>
        <w:sectPr>
          <w:pgSz w:w="11905" w:h="16838"/>
          <w:pgMar w:top="1418" w:right="1418" w:bottom="1418" w:left="1418" w:header="567" w:footer="851" w:gutter="0"/>
          <w:cols w:space="720" w:num="1"/>
          <w:docGrid w:linePitch="326" w:charSpace="0"/>
        </w:sectPr>
      </w:pPr>
      <w:r>
        <w:rPr>
          <w:sz w:val="28"/>
          <w:szCs w:val="28"/>
        </w:rPr>
        <w:t>附件</w:t>
      </w:r>
      <w:r>
        <w:rPr>
          <w:rFonts w:hint="eastAsia"/>
          <w:sz w:val="28"/>
          <w:szCs w:val="28"/>
        </w:rPr>
        <w:t>7 厂房调整说明</w:t>
      </w:r>
      <w:r>
        <w:rPr>
          <w:sz w:val="28"/>
          <w:szCs w:val="28"/>
        </w:rPr>
        <w:br w:type="page"/>
      </w:r>
    </w:p>
    <w:p>
      <w:pPr>
        <w:widowControl/>
        <w:spacing w:line="240" w:lineRule="auto"/>
        <w:ind w:firstLine="0" w:firstLineChars="0"/>
        <w:jc w:val="left"/>
        <w:rPr>
          <w:b/>
          <w:bCs/>
          <w:kern w:val="0"/>
          <w:sz w:val="28"/>
          <w:szCs w:val="28"/>
        </w:rPr>
      </w:pPr>
    </w:p>
    <w:p>
      <w:pPr>
        <w:pStyle w:val="4"/>
        <w:spacing w:before="120" w:after="120" w:line="240" w:lineRule="auto"/>
        <w:jc w:val="left"/>
        <w:rPr>
          <w:sz w:val="28"/>
          <w:szCs w:val="28"/>
        </w:rPr>
        <w:sectPr>
          <w:pgSz w:w="16838" w:h="11905" w:orient="landscape"/>
          <w:pgMar w:top="1418" w:right="1418" w:bottom="1418" w:left="1418" w:header="567" w:footer="851" w:gutter="0"/>
          <w:cols w:space="720" w:num="1"/>
          <w:docGrid w:linePitch="326" w:charSpace="0"/>
        </w:sectPr>
      </w:pPr>
      <w:r>
        <w:rPr>
          <w:sz w:val="28"/>
          <w:szCs w:val="28"/>
        </w:rPr>
        <w:t>附件</w:t>
      </w:r>
      <w:r>
        <w:rPr>
          <w:rFonts w:hint="eastAsia"/>
          <w:sz w:val="28"/>
          <w:szCs w:val="28"/>
        </w:rPr>
        <w:t>8 不动产权证</w:t>
      </w:r>
    </w:p>
    <w:p>
      <w:pPr>
        <w:pStyle w:val="4"/>
        <w:spacing w:before="120" w:after="120" w:line="240" w:lineRule="auto"/>
        <w:jc w:val="left"/>
        <w:rPr>
          <w:sz w:val="28"/>
          <w:szCs w:val="28"/>
        </w:rPr>
      </w:pPr>
    </w:p>
    <w:p>
      <w:pPr>
        <w:ind w:firstLine="480"/>
        <w:sectPr>
          <w:pgSz w:w="23811" w:h="16838" w:orient="landscape"/>
          <w:pgMar w:top="720" w:right="720" w:bottom="720" w:left="720" w:header="567" w:footer="851" w:gutter="0"/>
          <w:cols w:space="720" w:num="1"/>
          <w:docGrid w:linePitch="326" w:charSpace="0"/>
        </w:sectPr>
      </w:pPr>
    </w:p>
    <w:p>
      <w:pPr>
        <w:pStyle w:val="2"/>
        <w:rPr>
          <w:sz w:val="28"/>
          <w:szCs w:val="28"/>
        </w:rPr>
      </w:pPr>
      <w:r>
        <w:rPr>
          <w:sz w:val="28"/>
          <w:szCs w:val="28"/>
        </w:rPr>
        <w:t>附件</w:t>
      </w:r>
      <w:r>
        <w:rPr>
          <w:rFonts w:hint="eastAsia"/>
          <w:sz w:val="28"/>
          <w:szCs w:val="28"/>
        </w:rPr>
        <w:t>9福建省生态环境分区管控查询报告</w:t>
      </w:r>
    </w:p>
    <w:p>
      <w:pPr>
        <w:ind w:firstLine="480"/>
        <w:jc w:val="left"/>
      </w:pPr>
    </w:p>
    <w:p>
      <w:pPr>
        <w:ind w:firstLine="0" w:firstLineChars="0"/>
        <w:sectPr>
          <w:pgSz w:w="11907" w:h="16839"/>
          <w:pgMar w:top="720" w:right="720" w:bottom="720" w:left="720" w:header="851" w:footer="850" w:gutter="0"/>
          <w:cols w:space="720" w:num="1"/>
          <w:docGrid w:linePitch="326" w:charSpace="0"/>
        </w:sectPr>
      </w:pPr>
    </w:p>
    <w:p>
      <w:pPr>
        <w:pStyle w:val="2"/>
        <w:jc w:val="left"/>
        <w:rPr>
          <w:sz w:val="28"/>
          <w:szCs w:val="28"/>
        </w:rPr>
      </w:pPr>
      <w:r>
        <w:rPr>
          <w:sz w:val="28"/>
          <w:szCs w:val="28"/>
        </w:rPr>
        <w:br w:type="page"/>
      </w:r>
      <w:r>
        <w:rPr>
          <w:sz w:val="28"/>
          <w:szCs w:val="28"/>
        </w:rPr>
        <w:t>附件</w:t>
      </w:r>
      <w:r>
        <w:rPr>
          <w:rFonts w:hint="eastAsia"/>
          <w:sz w:val="28"/>
          <w:szCs w:val="28"/>
        </w:rPr>
        <w:t>10 元洪投资区总体规划审查意见</w:t>
      </w:r>
    </w:p>
    <w:p>
      <w:pPr>
        <w:ind w:firstLine="560"/>
        <w:rPr>
          <w:sz w:val="28"/>
          <w:szCs w:val="28"/>
        </w:rPr>
      </w:pPr>
      <w:r>
        <w:rPr>
          <w:rFonts w:hint="eastAsia"/>
          <w:sz w:val="28"/>
          <w:szCs w:val="28"/>
        </w:rPr>
        <w:br w:type="page"/>
      </w:r>
    </w:p>
    <w:p>
      <w:pPr>
        <w:ind w:firstLine="562"/>
        <w:jc w:val="left"/>
        <w:rPr>
          <w:b/>
          <w:bCs/>
          <w:sz w:val="28"/>
          <w:szCs w:val="28"/>
        </w:rPr>
      </w:pPr>
      <w:r>
        <w:rPr>
          <w:b/>
          <w:bCs/>
          <w:sz w:val="28"/>
          <w:szCs w:val="28"/>
        </w:rPr>
        <w:t>附件</w:t>
      </w:r>
      <w:r>
        <w:rPr>
          <w:rFonts w:hint="eastAsia"/>
          <w:b/>
          <w:bCs/>
          <w:sz w:val="28"/>
          <w:szCs w:val="28"/>
        </w:rPr>
        <w:t>11 化粪池情况说明</w:t>
      </w:r>
    </w:p>
    <w:p>
      <w:pPr>
        <w:pStyle w:val="2"/>
      </w:pPr>
      <w:r>
        <w:br w:type="page"/>
      </w:r>
    </w:p>
    <w:p>
      <w:pPr>
        <w:ind w:firstLine="562"/>
        <w:jc w:val="left"/>
        <w:rPr>
          <w:b/>
          <w:sz w:val="28"/>
        </w:rPr>
      </w:pPr>
      <w:r>
        <w:rPr>
          <w:b/>
          <w:bCs/>
          <w:sz w:val="28"/>
          <w:szCs w:val="28"/>
        </w:rPr>
        <w:t>附件</w:t>
      </w:r>
      <w:r>
        <w:rPr>
          <w:rFonts w:hint="eastAsia"/>
          <w:b/>
          <w:bCs/>
          <w:sz w:val="28"/>
          <w:szCs w:val="28"/>
        </w:rPr>
        <w:t>12</w:t>
      </w:r>
      <w:r>
        <w:rPr>
          <w:rFonts w:hint="eastAsia"/>
          <w:b/>
          <w:sz w:val="28"/>
        </w:rPr>
        <w:t>关于公开建设项目环评文件等信息情况的说明</w:t>
      </w:r>
    </w:p>
    <w:p>
      <w:pPr>
        <w:ind w:firstLine="562"/>
        <w:rPr>
          <w:b/>
          <w:sz w:val="28"/>
        </w:rPr>
      </w:pPr>
      <w:r>
        <w:rPr>
          <w:b/>
          <w:sz w:val="28"/>
        </w:rPr>
        <w:br w:type="page"/>
      </w:r>
    </w:p>
    <w:p>
      <w:pPr>
        <w:ind w:firstLine="0" w:firstLineChars="0"/>
        <w:jc w:val="left"/>
        <w:rPr>
          <w:b/>
          <w:sz w:val="28"/>
        </w:rPr>
      </w:pPr>
      <w:r>
        <w:rPr>
          <w:b/>
          <w:bCs/>
          <w:sz w:val="28"/>
          <w:szCs w:val="28"/>
        </w:rPr>
        <w:t>附件</w:t>
      </w:r>
      <w:r>
        <w:rPr>
          <w:rFonts w:hint="eastAsia"/>
          <w:b/>
          <w:bCs/>
          <w:sz w:val="28"/>
          <w:szCs w:val="28"/>
        </w:rPr>
        <w:t>13</w:t>
      </w:r>
      <w:r>
        <w:rPr>
          <w:rFonts w:hint="eastAsia"/>
          <w:b/>
          <w:sz w:val="28"/>
        </w:rPr>
        <w:t>涉及国家秘密、商业秘密等内容的说明</w:t>
      </w:r>
    </w:p>
    <w:p>
      <w:pPr>
        <w:pStyle w:val="2"/>
      </w:pPr>
      <w:r>
        <w:rPr>
          <w:b/>
          <w:sz w:val="28"/>
        </w:rPr>
        <w:drawing>
          <wp:inline distT="0" distB="0" distL="0" distR="0">
            <wp:extent cx="5544185" cy="7411085"/>
            <wp:effectExtent l="0" t="0" r="3175" b="1079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5544323" cy="7411484"/>
                    </a:xfrm>
                    <a:prstGeom prst="rect">
                      <a:avLst/>
                    </a:prstGeom>
                  </pic:spPr>
                </pic:pic>
              </a:graphicData>
            </a:graphic>
          </wp:inline>
        </w:drawing>
      </w:r>
      <w:r>
        <w:rPr>
          <w:b/>
          <w:sz w:val="28"/>
        </w:rPr>
        <w:drawing>
          <wp:inline distT="0" distB="0" distL="0" distR="0">
            <wp:extent cx="5534660" cy="7649210"/>
            <wp:effectExtent l="0" t="0" r="12700" b="127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5534797" cy="7649643"/>
                    </a:xfrm>
                    <a:prstGeom prst="rect">
                      <a:avLst/>
                    </a:prstGeom>
                  </pic:spPr>
                </pic:pic>
              </a:graphicData>
            </a:graphic>
          </wp:inline>
        </w:drawing>
      </w:r>
      <w:r>
        <w:br w:type="page"/>
      </w:r>
    </w:p>
    <w:p>
      <w:pPr>
        <w:ind w:firstLine="0" w:firstLineChars="0"/>
        <w:jc w:val="left"/>
        <w:rPr>
          <w:b/>
          <w:sz w:val="28"/>
        </w:rPr>
      </w:pPr>
      <w:r>
        <w:rPr>
          <w:b/>
          <w:bCs/>
          <w:sz w:val="28"/>
          <w:szCs w:val="28"/>
        </w:rPr>
        <w:t>附件</w:t>
      </w:r>
      <w:r>
        <w:rPr>
          <w:rFonts w:hint="eastAsia"/>
          <w:b/>
          <w:bCs/>
          <w:sz w:val="28"/>
          <w:szCs w:val="28"/>
        </w:rPr>
        <w:t>14</w:t>
      </w:r>
      <w:r>
        <w:rPr>
          <w:rFonts w:hint="eastAsia"/>
          <w:b/>
          <w:sz w:val="28"/>
        </w:rPr>
        <w:t>环境影响评价文件审批申请书</w:t>
      </w:r>
    </w:p>
    <w:p>
      <w:pPr>
        <w:pStyle w:val="2"/>
      </w:pPr>
    </w:p>
    <w:sectPr>
      <w:pgSz w:w="11907" w:h="16839"/>
      <w:pgMar w:top="1418" w:right="680" w:bottom="1418" w:left="680" w:header="567" w:footer="851"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Segoe UI">
    <w:panose1 w:val="020B0502040204020203"/>
    <w:charset w:val="00"/>
    <w:family w:val="swiss"/>
    <w:pitch w:val="default"/>
    <w:sig w:usb0="E10022FF" w:usb1="C000E47F" w:usb2="00000029" w:usb3="00000000" w:csb0="200001DF" w:csb1="2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222250"/>
              <wp:effectExtent l="0" t="0" r="12065" b="0"/>
              <wp:wrapNone/>
              <wp:docPr id="45" name="文本框 45"/>
              <wp:cNvGraphicFramePr/>
              <a:graphic xmlns:a="http://schemas.openxmlformats.org/drawingml/2006/main">
                <a:graphicData uri="http://schemas.microsoft.com/office/word/2010/wordprocessingShape">
                  <wps:wsp>
                    <wps:cNvSpPr txBox="1"/>
                    <wps:spPr>
                      <a:xfrm>
                        <a:off x="0" y="0"/>
                        <a:ext cx="343535" cy="222250"/>
                      </a:xfrm>
                      <a:prstGeom prst="rect">
                        <a:avLst/>
                      </a:prstGeom>
                      <a:noFill/>
                      <a:ln w="6350">
                        <a:noFill/>
                      </a:ln>
                      <a:effectLst/>
                    </wps:spPr>
                    <wps:txbx>
                      <w:txbxContent>
                        <w:p>
                          <w:pPr>
                            <w:pStyle w:val="20"/>
                            <w:ind w:firstLine="36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5pt;width:27.05pt;mso-position-horizontal:center;mso-position-horizontal-relative:margin;mso-wrap-style:none;z-index:251662336;mso-width-relative:page;mso-height-relative:page;" filled="f" stroked="f" coordsize="21600,21600" o:gfxdata="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iehnX0wAAAAMBAAAPAAAAAAAAAAEAIAAAACIAAABkcnMvZG93bnJldi54bWxQ&#10;SwECFAAUAAAACACHTuJALJzI9TUCAABjBAAADgAAAAAAAAABACAAAAAiAQAAZHJzL2Uyb0RvYy54&#10;bWxQSwUGAAAAAAYABgBZAQAAyQU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firstLine="360"/>
      <w:rPr>
        <w:rStyle w:val="35"/>
      </w:rPr>
    </w:pPr>
    <w:r>
      <w:fldChar w:fldCharType="begin"/>
    </w:r>
    <w:r>
      <w:rPr>
        <w:rStyle w:val="35"/>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3360" behindDoc="0" locked="0" layoutInCell="1" allowOverlap="1">
              <wp:simplePos x="0" y="0"/>
              <wp:positionH relativeFrom="margin">
                <wp:posOffset>2729230</wp:posOffset>
              </wp:positionH>
              <wp:positionV relativeFrom="paragraph">
                <wp:posOffset>-128905</wp:posOffset>
              </wp:positionV>
              <wp:extent cx="447675" cy="3556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447675" cy="355600"/>
                      </a:xfrm>
                      <a:prstGeom prst="rect">
                        <a:avLst/>
                      </a:prstGeom>
                      <a:noFill/>
                      <a:ln w="6350">
                        <a:noFill/>
                      </a:ln>
                      <a:effectLst/>
                    </wps:spPr>
                    <wps:txbx>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3" o:spid="_x0000_s1026" o:spt="202" type="#_x0000_t202" style="position:absolute;left:0pt;margin-left:214.9pt;margin-top:-10.15pt;height:28pt;width:35.25pt;mso-position-horizontal-relative:margin;z-index:251663360;mso-width-relative:page;mso-height-relative:page;" filled="f" stroked="f" coordsize="21600,21600" o:gfxdata="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v2JU7ZAAAACgEAAA8AAAAAAAAAAQAgAAAAIgAAAGRycy9k&#10;b3ducmV2LnhtbFBLAQIUABQAAAAIAIdO4kAahre0OgIAAGQEAAAOAAAAAAAAAAEAIAAAACgBAABk&#10;cnMvZTJvRG9jLnhtbFBLBQYAAAAABgAGAFkBAADUBQAAAAA=&#10;">
              <v:fill on="f" focussize="0,0"/>
              <v:stroke on="f" weight="0.5pt"/>
              <v:imagedata o:title=""/>
              <o:lock v:ext="edit" aspectratio="f"/>
              <v:textbox inset="0mm,0mm,0mm,0mm">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59264" behindDoc="0" locked="0" layoutInCell="1" allowOverlap="1">
              <wp:simplePos x="0" y="0"/>
              <wp:positionH relativeFrom="margin">
                <wp:posOffset>2729230</wp:posOffset>
              </wp:positionH>
              <wp:positionV relativeFrom="paragraph">
                <wp:posOffset>-128905</wp:posOffset>
              </wp:positionV>
              <wp:extent cx="447675" cy="355600"/>
              <wp:effectExtent l="0" t="0" r="0" b="0"/>
              <wp:wrapNone/>
              <wp:docPr id="27" name="文本框 44"/>
              <wp:cNvGraphicFramePr/>
              <a:graphic xmlns:a="http://schemas.openxmlformats.org/drawingml/2006/main">
                <a:graphicData uri="http://schemas.microsoft.com/office/word/2010/wordprocessingShape">
                  <wps:wsp>
                    <wps:cNvSpPr txBox="1"/>
                    <wps:spPr>
                      <a:xfrm>
                        <a:off x="0" y="0"/>
                        <a:ext cx="447675" cy="355600"/>
                      </a:xfrm>
                      <a:prstGeom prst="rect">
                        <a:avLst/>
                      </a:prstGeom>
                      <a:noFill/>
                      <a:ln w="6350">
                        <a:noFill/>
                      </a:ln>
                      <a:effectLst/>
                    </wps:spPr>
                    <wps:txbx>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4" o:spid="_x0000_s1026" o:spt="202" type="#_x0000_t202" style="position:absolute;left:0pt;margin-left:214.9pt;margin-top:-10.15pt;height:28pt;width:35.25pt;mso-position-horizontal-relative:margin;z-index:251659264;mso-width-relative:page;mso-height-relative:page;" filled="f" stroked="f" coordsize="21600,21600" o:gfxdata="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9iVO2QAAAAoBAAAPAAAAAAAAAAEAIAAAACIAAABkcnMv&#10;ZG93bnJldi54bWxQSwECFAAUAAAACACHTuJAP1koGDsCAABlBAAADgAAAAAAAAABACAAAAAoAQAA&#10;ZHJzL2Uyb0RvYy54bWxQSwUGAAAAAAYABgBZAQAA1QUAAAAA&#10;">
              <v:fill on="f" focussize="0,0"/>
              <v:stroke on="f" weight="0.5pt"/>
              <v:imagedata o:title=""/>
              <o:lock v:ext="edit" aspectratio="f"/>
              <v:textbox inset="0mm,0mm,0mm,0mm">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222250"/>
              <wp:effectExtent l="0" t="0" r="12065" b="0"/>
              <wp:wrapNone/>
              <wp:docPr id="26" name="文本框 45"/>
              <wp:cNvGraphicFramePr/>
              <a:graphic xmlns:a="http://schemas.openxmlformats.org/drawingml/2006/main">
                <a:graphicData uri="http://schemas.microsoft.com/office/word/2010/wordprocessingShape">
                  <wps:wsp>
                    <wps:cNvSpPr txBox="1"/>
                    <wps:spPr>
                      <a:xfrm>
                        <a:off x="0" y="0"/>
                        <a:ext cx="343535" cy="222250"/>
                      </a:xfrm>
                      <a:prstGeom prst="rect">
                        <a:avLst/>
                      </a:prstGeom>
                      <a:noFill/>
                      <a:ln w="6350">
                        <a:noFill/>
                      </a:ln>
                      <a:effectLst/>
                    </wps:spPr>
                    <wps:txbx>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5" o:spid="_x0000_s1026" o:spt="202" type="#_x0000_t202" style="position:absolute;left:0pt;margin-top:0pt;height:17.5pt;width:27.05pt;mso-position-horizontal:center;mso-position-horizontal-relative:margin;mso-wrap-style:none;z-index:251660288;mso-width-relative:page;mso-height-relative:page;" filled="f" stroked="f" coordsize="21600,21600" o:gfxdata="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noZ19MAAAADAQAADwAAAAAAAAABACAAAAAiAAAAZHJzL2Rvd25yZXYueG1s&#10;UEsBAhQAFAAAAAgAh07iQIjjjeQ2AgAAYwQAAA4AAAAAAAAAAQAgAAAAIgEAAGRycy9lMm9Eb2Mu&#10;eG1sUEsFBgAAAAAGAAYAWQEAAMoFAAAAAA==&#10;">
              <v:fill on="f" focussize="0,0"/>
              <v:stroke on="f" weight="0.5pt"/>
              <v:imagedata o:title=""/>
              <o:lock v:ext="edit" aspectratio="f"/>
              <v:textbox inset="0mm,0mm,0mm,0mm" style="mso-fit-shape-to-text:t;">
                <w:txbxContent>
                  <w:p>
                    <w:pPr>
                      <w:pStyle w:val="20"/>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1312" behindDoc="0" locked="0" layoutInCell="1" allowOverlap="1">
              <wp:simplePos x="0" y="0"/>
              <wp:positionH relativeFrom="margin">
                <wp:posOffset>2729230</wp:posOffset>
              </wp:positionH>
              <wp:positionV relativeFrom="paragraph">
                <wp:posOffset>-128905</wp:posOffset>
              </wp:positionV>
              <wp:extent cx="447675" cy="355600"/>
              <wp:effectExtent l="0" t="0" r="9525" b="6350"/>
              <wp:wrapNone/>
              <wp:docPr id="44" name="文本框 44"/>
              <wp:cNvGraphicFramePr/>
              <a:graphic xmlns:a="http://schemas.openxmlformats.org/drawingml/2006/main">
                <a:graphicData uri="http://schemas.microsoft.com/office/word/2010/wordprocessingShape">
                  <wps:wsp>
                    <wps:cNvSpPr txBox="1"/>
                    <wps:spPr>
                      <a:xfrm>
                        <a:off x="0" y="0"/>
                        <a:ext cx="447675" cy="355600"/>
                      </a:xfrm>
                      <a:prstGeom prst="rect">
                        <a:avLst/>
                      </a:prstGeom>
                      <a:noFill/>
                      <a:ln w="6350">
                        <a:noFill/>
                      </a:ln>
                      <a:effectLst/>
                    </wps:spPr>
                    <wps:txbx>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41</w:t>
                          </w:r>
                          <w:r>
                            <w:rPr>
                              <w:rFonts w:ascii="Times New Roman" w:hAnsi="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9pt;margin-top:-10.15pt;height:28pt;width:35.25pt;mso-position-horizontal-relative:margin;z-index:251661312;mso-width-relative:page;mso-height-relative:page;" filled="f" stroked="f" coordsize="21600,21600" o:gfxdata="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v2JU7ZAAAACgEAAA8AAAAAAAAAAQAgAAAAIgAAAGRycy9k&#10;b3ducmV2LnhtbFBLAQIUABQAAAAIAIdO4kA6XfkSOgIAAGUEAAAOAAAAAAAAAAEAIAAAACgBAABk&#10;cnMvZTJvRG9jLnhtbFBLBQYAAAAABgAGAFkBAADUBQAAAAA=&#10;">
              <v:fill on="f" focussize="0,0"/>
              <v:stroke on="f" weight="0.5pt"/>
              <v:imagedata o:title=""/>
              <o:lock v:ext="edit" aspectratio="f"/>
              <v:textbox inset="0mm,0mm,0mm,0mm">
                <w:txbxContent>
                  <w:p>
                    <w:pPr>
                      <w:pStyle w:val="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41</w:t>
                    </w:r>
                    <w:r>
                      <w:rPr>
                        <w:rFonts w:ascii="Times New Roman" w:hAnsi="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C1A1D"/>
    <w:multiLevelType w:val="singleLevel"/>
    <w:tmpl w:val="406C1A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89"/>
    <w:rsid w:val="0000134C"/>
    <w:rsid w:val="00001475"/>
    <w:rsid w:val="00002B70"/>
    <w:rsid w:val="00002E31"/>
    <w:rsid w:val="00004234"/>
    <w:rsid w:val="00005E8F"/>
    <w:rsid w:val="00005F55"/>
    <w:rsid w:val="00006611"/>
    <w:rsid w:val="000069DA"/>
    <w:rsid w:val="00006A7E"/>
    <w:rsid w:val="00007A9E"/>
    <w:rsid w:val="000101C4"/>
    <w:rsid w:val="00011394"/>
    <w:rsid w:val="0001145A"/>
    <w:rsid w:val="00011548"/>
    <w:rsid w:val="00011CD3"/>
    <w:rsid w:val="00012AC4"/>
    <w:rsid w:val="00012C51"/>
    <w:rsid w:val="0001328A"/>
    <w:rsid w:val="00013915"/>
    <w:rsid w:val="00013A28"/>
    <w:rsid w:val="00013EB8"/>
    <w:rsid w:val="0001440A"/>
    <w:rsid w:val="00014F39"/>
    <w:rsid w:val="00015572"/>
    <w:rsid w:val="00015652"/>
    <w:rsid w:val="0001678A"/>
    <w:rsid w:val="00016A51"/>
    <w:rsid w:val="00016CC0"/>
    <w:rsid w:val="00017330"/>
    <w:rsid w:val="0001759E"/>
    <w:rsid w:val="00017A2B"/>
    <w:rsid w:val="00017FFD"/>
    <w:rsid w:val="0002183F"/>
    <w:rsid w:val="000221C9"/>
    <w:rsid w:val="00022BBC"/>
    <w:rsid w:val="00023889"/>
    <w:rsid w:val="00024289"/>
    <w:rsid w:val="00024C90"/>
    <w:rsid w:val="00025213"/>
    <w:rsid w:val="000252D5"/>
    <w:rsid w:val="000256E0"/>
    <w:rsid w:val="0002647C"/>
    <w:rsid w:val="00026862"/>
    <w:rsid w:val="00027A12"/>
    <w:rsid w:val="00027A5F"/>
    <w:rsid w:val="000300EF"/>
    <w:rsid w:val="00030135"/>
    <w:rsid w:val="0003024D"/>
    <w:rsid w:val="000304D2"/>
    <w:rsid w:val="00030AC0"/>
    <w:rsid w:val="00030FFD"/>
    <w:rsid w:val="0003110F"/>
    <w:rsid w:val="000315D2"/>
    <w:rsid w:val="00032F50"/>
    <w:rsid w:val="00034CAA"/>
    <w:rsid w:val="00034CF5"/>
    <w:rsid w:val="00035261"/>
    <w:rsid w:val="00035462"/>
    <w:rsid w:val="00035D9A"/>
    <w:rsid w:val="0003721D"/>
    <w:rsid w:val="00037843"/>
    <w:rsid w:val="000379CD"/>
    <w:rsid w:val="00037E00"/>
    <w:rsid w:val="000402E3"/>
    <w:rsid w:val="00040D49"/>
    <w:rsid w:val="000422DC"/>
    <w:rsid w:val="00043609"/>
    <w:rsid w:val="0004373A"/>
    <w:rsid w:val="00043802"/>
    <w:rsid w:val="00044506"/>
    <w:rsid w:val="00044A3D"/>
    <w:rsid w:val="00044CD6"/>
    <w:rsid w:val="00045022"/>
    <w:rsid w:val="0004568C"/>
    <w:rsid w:val="0004592C"/>
    <w:rsid w:val="0004597B"/>
    <w:rsid w:val="000461F3"/>
    <w:rsid w:val="000465F8"/>
    <w:rsid w:val="00046639"/>
    <w:rsid w:val="00047EC7"/>
    <w:rsid w:val="00050AE5"/>
    <w:rsid w:val="0005100D"/>
    <w:rsid w:val="0005101F"/>
    <w:rsid w:val="00051F17"/>
    <w:rsid w:val="00052548"/>
    <w:rsid w:val="000531FE"/>
    <w:rsid w:val="000545C3"/>
    <w:rsid w:val="0005471E"/>
    <w:rsid w:val="00054C5F"/>
    <w:rsid w:val="0005515E"/>
    <w:rsid w:val="00055C57"/>
    <w:rsid w:val="00056599"/>
    <w:rsid w:val="000568CE"/>
    <w:rsid w:val="00056FC7"/>
    <w:rsid w:val="000574FC"/>
    <w:rsid w:val="0006000B"/>
    <w:rsid w:val="0006046A"/>
    <w:rsid w:val="0006143B"/>
    <w:rsid w:val="000614F0"/>
    <w:rsid w:val="000615FF"/>
    <w:rsid w:val="00061922"/>
    <w:rsid w:val="00062248"/>
    <w:rsid w:val="000628C5"/>
    <w:rsid w:val="00062F00"/>
    <w:rsid w:val="00063F5B"/>
    <w:rsid w:val="00065300"/>
    <w:rsid w:val="00065D19"/>
    <w:rsid w:val="0006606C"/>
    <w:rsid w:val="00066821"/>
    <w:rsid w:val="000668C0"/>
    <w:rsid w:val="00066BEC"/>
    <w:rsid w:val="000670B0"/>
    <w:rsid w:val="00067132"/>
    <w:rsid w:val="00067218"/>
    <w:rsid w:val="00067347"/>
    <w:rsid w:val="0006775C"/>
    <w:rsid w:val="00067D78"/>
    <w:rsid w:val="0007004D"/>
    <w:rsid w:val="00070453"/>
    <w:rsid w:val="000708A7"/>
    <w:rsid w:val="00071233"/>
    <w:rsid w:val="00071541"/>
    <w:rsid w:val="00071B70"/>
    <w:rsid w:val="000727B6"/>
    <w:rsid w:val="00072E6D"/>
    <w:rsid w:val="00073373"/>
    <w:rsid w:val="000733FB"/>
    <w:rsid w:val="00074461"/>
    <w:rsid w:val="00074995"/>
    <w:rsid w:val="00074A92"/>
    <w:rsid w:val="00074CA7"/>
    <w:rsid w:val="000751CF"/>
    <w:rsid w:val="000753EE"/>
    <w:rsid w:val="000754DD"/>
    <w:rsid w:val="000761E8"/>
    <w:rsid w:val="00077391"/>
    <w:rsid w:val="000774C2"/>
    <w:rsid w:val="00077EAC"/>
    <w:rsid w:val="00080360"/>
    <w:rsid w:val="000807BD"/>
    <w:rsid w:val="00080AB2"/>
    <w:rsid w:val="00080ABE"/>
    <w:rsid w:val="00080FCA"/>
    <w:rsid w:val="0008235D"/>
    <w:rsid w:val="000828FB"/>
    <w:rsid w:val="00082D31"/>
    <w:rsid w:val="00082DA4"/>
    <w:rsid w:val="00083B35"/>
    <w:rsid w:val="00084080"/>
    <w:rsid w:val="00084315"/>
    <w:rsid w:val="00084CF5"/>
    <w:rsid w:val="00085086"/>
    <w:rsid w:val="0008515C"/>
    <w:rsid w:val="00085BAB"/>
    <w:rsid w:val="000874AF"/>
    <w:rsid w:val="000906F7"/>
    <w:rsid w:val="000908E9"/>
    <w:rsid w:val="00090C27"/>
    <w:rsid w:val="000924C2"/>
    <w:rsid w:val="00092C10"/>
    <w:rsid w:val="00093422"/>
    <w:rsid w:val="000934A5"/>
    <w:rsid w:val="00093888"/>
    <w:rsid w:val="00094363"/>
    <w:rsid w:val="00095052"/>
    <w:rsid w:val="000950EE"/>
    <w:rsid w:val="0009545E"/>
    <w:rsid w:val="000954DF"/>
    <w:rsid w:val="0009598B"/>
    <w:rsid w:val="00095C7B"/>
    <w:rsid w:val="000964BF"/>
    <w:rsid w:val="00097AB1"/>
    <w:rsid w:val="00097C04"/>
    <w:rsid w:val="000A0FFD"/>
    <w:rsid w:val="000A1096"/>
    <w:rsid w:val="000A3A6C"/>
    <w:rsid w:val="000A3A95"/>
    <w:rsid w:val="000A49BD"/>
    <w:rsid w:val="000A4CF6"/>
    <w:rsid w:val="000A4F51"/>
    <w:rsid w:val="000A5794"/>
    <w:rsid w:val="000A6217"/>
    <w:rsid w:val="000A66AB"/>
    <w:rsid w:val="000A6B34"/>
    <w:rsid w:val="000A6D8F"/>
    <w:rsid w:val="000A7EC0"/>
    <w:rsid w:val="000A7F25"/>
    <w:rsid w:val="000B0038"/>
    <w:rsid w:val="000B0405"/>
    <w:rsid w:val="000B07CD"/>
    <w:rsid w:val="000B1C32"/>
    <w:rsid w:val="000B20E1"/>
    <w:rsid w:val="000B339D"/>
    <w:rsid w:val="000B4A0C"/>
    <w:rsid w:val="000B4A91"/>
    <w:rsid w:val="000B4BCC"/>
    <w:rsid w:val="000B5F41"/>
    <w:rsid w:val="000B638B"/>
    <w:rsid w:val="000B6971"/>
    <w:rsid w:val="000B6F4F"/>
    <w:rsid w:val="000B73CF"/>
    <w:rsid w:val="000C0171"/>
    <w:rsid w:val="000C0329"/>
    <w:rsid w:val="000C05A2"/>
    <w:rsid w:val="000C0BCE"/>
    <w:rsid w:val="000C10A2"/>
    <w:rsid w:val="000C1164"/>
    <w:rsid w:val="000C23E2"/>
    <w:rsid w:val="000C3202"/>
    <w:rsid w:val="000C3252"/>
    <w:rsid w:val="000C3A00"/>
    <w:rsid w:val="000C44D2"/>
    <w:rsid w:val="000C463C"/>
    <w:rsid w:val="000C47A6"/>
    <w:rsid w:val="000C4C3B"/>
    <w:rsid w:val="000C4DB3"/>
    <w:rsid w:val="000C51FB"/>
    <w:rsid w:val="000C6F58"/>
    <w:rsid w:val="000C734F"/>
    <w:rsid w:val="000C76D7"/>
    <w:rsid w:val="000C7AE0"/>
    <w:rsid w:val="000C7DDD"/>
    <w:rsid w:val="000D047C"/>
    <w:rsid w:val="000D1207"/>
    <w:rsid w:val="000D154D"/>
    <w:rsid w:val="000D18D3"/>
    <w:rsid w:val="000D2093"/>
    <w:rsid w:val="000D2A84"/>
    <w:rsid w:val="000D30EB"/>
    <w:rsid w:val="000D3517"/>
    <w:rsid w:val="000D3B31"/>
    <w:rsid w:val="000D4548"/>
    <w:rsid w:val="000D4594"/>
    <w:rsid w:val="000D5842"/>
    <w:rsid w:val="000D6EF5"/>
    <w:rsid w:val="000D72C0"/>
    <w:rsid w:val="000E0542"/>
    <w:rsid w:val="000E0676"/>
    <w:rsid w:val="000E090C"/>
    <w:rsid w:val="000E14E8"/>
    <w:rsid w:val="000E222C"/>
    <w:rsid w:val="000E25F8"/>
    <w:rsid w:val="000E2DD1"/>
    <w:rsid w:val="000E2E87"/>
    <w:rsid w:val="000E2E9D"/>
    <w:rsid w:val="000E47A0"/>
    <w:rsid w:val="000E537C"/>
    <w:rsid w:val="000E55C4"/>
    <w:rsid w:val="000E5AFA"/>
    <w:rsid w:val="000E5D82"/>
    <w:rsid w:val="000E6773"/>
    <w:rsid w:val="000E6A0F"/>
    <w:rsid w:val="000E6B4E"/>
    <w:rsid w:val="000E72EB"/>
    <w:rsid w:val="000E77B5"/>
    <w:rsid w:val="000E7BF7"/>
    <w:rsid w:val="000E7E55"/>
    <w:rsid w:val="000F07CE"/>
    <w:rsid w:val="000F136C"/>
    <w:rsid w:val="000F176F"/>
    <w:rsid w:val="000F19D1"/>
    <w:rsid w:val="000F252B"/>
    <w:rsid w:val="000F2731"/>
    <w:rsid w:val="000F2B8C"/>
    <w:rsid w:val="000F4B81"/>
    <w:rsid w:val="000F51FD"/>
    <w:rsid w:val="000F58B4"/>
    <w:rsid w:val="000F61A2"/>
    <w:rsid w:val="001004C2"/>
    <w:rsid w:val="00100A6C"/>
    <w:rsid w:val="00100AA7"/>
    <w:rsid w:val="00100DF3"/>
    <w:rsid w:val="0010127F"/>
    <w:rsid w:val="00101B7B"/>
    <w:rsid w:val="00102642"/>
    <w:rsid w:val="00102B03"/>
    <w:rsid w:val="0010307B"/>
    <w:rsid w:val="00103D07"/>
    <w:rsid w:val="0010546B"/>
    <w:rsid w:val="00105550"/>
    <w:rsid w:val="001068AD"/>
    <w:rsid w:val="00106E83"/>
    <w:rsid w:val="00107EA0"/>
    <w:rsid w:val="00110531"/>
    <w:rsid w:val="00110556"/>
    <w:rsid w:val="00111ED1"/>
    <w:rsid w:val="00112699"/>
    <w:rsid w:val="00112846"/>
    <w:rsid w:val="00112978"/>
    <w:rsid w:val="001130CF"/>
    <w:rsid w:val="001135E1"/>
    <w:rsid w:val="00113737"/>
    <w:rsid w:val="00113AE7"/>
    <w:rsid w:val="00114101"/>
    <w:rsid w:val="00114A5C"/>
    <w:rsid w:val="00114A85"/>
    <w:rsid w:val="00114E63"/>
    <w:rsid w:val="00115639"/>
    <w:rsid w:val="00115A56"/>
    <w:rsid w:val="00117161"/>
    <w:rsid w:val="00117BD9"/>
    <w:rsid w:val="00117D29"/>
    <w:rsid w:val="0012000C"/>
    <w:rsid w:val="001200CD"/>
    <w:rsid w:val="001203FB"/>
    <w:rsid w:val="00120726"/>
    <w:rsid w:val="00120AF0"/>
    <w:rsid w:val="00120E8B"/>
    <w:rsid w:val="0012241B"/>
    <w:rsid w:val="00122CF1"/>
    <w:rsid w:val="001232E2"/>
    <w:rsid w:val="00123BC6"/>
    <w:rsid w:val="0012420F"/>
    <w:rsid w:val="00124336"/>
    <w:rsid w:val="001248CE"/>
    <w:rsid w:val="00124A54"/>
    <w:rsid w:val="00125669"/>
    <w:rsid w:val="00125AD8"/>
    <w:rsid w:val="001269B2"/>
    <w:rsid w:val="00127097"/>
    <w:rsid w:val="00127274"/>
    <w:rsid w:val="00127526"/>
    <w:rsid w:val="001278C7"/>
    <w:rsid w:val="00127B9A"/>
    <w:rsid w:val="00127FA6"/>
    <w:rsid w:val="001302F4"/>
    <w:rsid w:val="00130688"/>
    <w:rsid w:val="00130A20"/>
    <w:rsid w:val="00131374"/>
    <w:rsid w:val="001318ED"/>
    <w:rsid w:val="00132A14"/>
    <w:rsid w:val="00133D78"/>
    <w:rsid w:val="00133DBF"/>
    <w:rsid w:val="00134A70"/>
    <w:rsid w:val="00134F6A"/>
    <w:rsid w:val="00134FA1"/>
    <w:rsid w:val="0013537F"/>
    <w:rsid w:val="001357AB"/>
    <w:rsid w:val="001357ED"/>
    <w:rsid w:val="0013647C"/>
    <w:rsid w:val="00136726"/>
    <w:rsid w:val="0013694E"/>
    <w:rsid w:val="00136A85"/>
    <w:rsid w:val="00136D1C"/>
    <w:rsid w:val="0013741E"/>
    <w:rsid w:val="001406C1"/>
    <w:rsid w:val="001408B9"/>
    <w:rsid w:val="00141205"/>
    <w:rsid w:val="00141328"/>
    <w:rsid w:val="00141D4F"/>
    <w:rsid w:val="00142139"/>
    <w:rsid w:val="00142690"/>
    <w:rsid w:val="001435C0"/>
    <w:rsid w:val="001437B4"/>
    <w:rsid w:val="00143970"/>
    <w:rsid w:val="00143CDA"/>
    <w:rsid w:val="0014459E"/>
    <w:rsid w:val="00144DDA"/>
    <w:rsid w:val="00144F55"/>
    <w:rsid w:val="00145B26"/>
    <w:rsid w:val="001461D3"/>
    <w:rsid w:val="001463D4"/>
    <w:rsid w:val="00146400"/>
    <w:rsid w:val="00147081"/>
    <w:rsid w:val="001470B3"/>
    <w:rsid w:val="00147494"/>
    <w:rsid w:val="001478FD"/>
    <w:rsid w:val="0015038A"/>
    <w:rsid w:val="0015048D"/>
    <w:rsid w:val="00150ADD"/>
    <w:rsid w:val="00150BDC"/>
    <w:rsid w:val="0015140A"/>
    <w:rsid w:val="00151998"/>
    <w:rsid w:val="00152945"/>
    <w:rsid w:val="00152AB0"/>
    <w:rsid w:val="00152DC6"/>
    <w:rsid w:val="00153D27"/>
    <w:rsid w:val="0015456E"/>
    <w:rsid w:val="001556E7"/>
    <w:rsid w:val="00155809"/>
    <w:rsid w:val="0015589A"/>
    <w:rsid w:val="001559F2"/>
    <w:rsid w:val="00155B9A"/>
    <w:rsid w:val="00155BA3"/>
    <w:rsid w:val="00156509"/>
    <w:rsid w:val="00157D06"/>
    <w:rsid w:val="00160085"/>
    <w:rsid w:val="0016070C"/>
    <w:rsid w:val="001607AA"/>
    <w:rsid w:val="001607F9"/>
    <w:rsid w:val="00160A66"/>
    <w:rsid w:val="0016279C"/>
    <w:rsid w:val="001628AB"/>
    <w:rsid w:val="00162CB4"/>
    <w:rsid w:val="001634E6"/>
    <w:rsid w:val="00163EE9"/>
    <w:rsid w:val="001648C2"/>
    <w:rsid w:val="00170177"/>
    <w:rsid w:val="001710DF"/>
    <w:rsid w:val="001728CC"/>
    <w:rsid w:val="00172A0C"/>
    <w:rsid w:val="00172A27"/>
    <w:rsid w:val="001732F2"/>
    <w:rsid w:val="0017361E"/>
    <w:rsid w:val="00173648"/>
    <w:rsid w:val="00173846"/>
    <w:rsid w:val="00173E7E"/>
    <w:rsid w:val="0017439E"/>
    <w:rsid w:val="00174482"/>
    <w:rsid w:val="0017450E"/>
    <w:rsid w:val="00174D19"/>
    <w:rsid w:val="00175AD6"/>
    <w:rsid w:val="00175BF1"/>
    <w:rsid w:val="001763AF"/>
    <w:rsid w:val="00177061"/>
    <w:rsid w:val="00177204"/>
    <w:rsid w:val="001772F2"/>
    <w:rsid w:val="00177916"/>
    <w:rsid w:val="00177C1C"/>
    <w:rsid w:val="001807D7"/>
    <w:rsid w:val="001807E3"/>
    <w:rsid w:val="001816E0"/>
    <w:rsid w:val="00181F73"/>
    <w:rsid w:val="0018200C"/>
    <w:rsid w:val="0018263E"/>
    <w:rsid w:val="001839E5"/>
    <w:rsid w:val="00183C3E"/>
    <w:rsid w:val="0018481D"/>
    <w:rsid w:val="001848BC"/>
    <w:rsid w:val="00184B7E"/>
    <w:rsid w:val="00185BB2"/>
    <w:rsid w:val="0018615C"/>
    <w:rsid w:val="0018708C"/>
    <w:rsid w:val="001870E1"/>
    <w:rsid w:val="001872C9"/>
    <w:rsid w:val="0019032F"/>
    <w:rsid w:val="001913A5"/>
    <w:rsid w:val="00191644"/>
    <w:rsid w:val="001919A8"/>
    <w:rsid w:val="00192316"/>
    <w:rsid w:val="0019257A"/>
    <w:rsid w:val="001927D1"/>
    <w:rsid w:val="0019281F"/>
    <w:rsid w:val="00192962"/>
    <w:rsid w:val="00192A65"/>
    <w:rsid w:val="001933A4"/>
    <w:rsid w:val="00193BAF"/>
    <w:rsid w:val="00193E14"/>
    <w:rsid w:val="001941C4"/>
    <w:rsid w:val="00194351"/>
    <w:rsid w:val="001957EF"/>
    <w:rsid w:val="001958B5"/>
    <w:rsid w:val="00196459"/>
    <w:rsid w:val="0019740B"/>
    <w:rsid w:val="00197AD2"/>
    <w:rsid w:val="00197B22"/>
    <w:rsid w:val="001A036B"/>
    <w:rsid w:val="001A0426"/>
    <w:rsid w:val="001A0B97"/>
    <w:rsid w:val="001A0C4C"/>
    <w:rsid w:val="001A0FDE"/>
    <w:rsid w:val="001A1640"/>
    <w:rsid w:val="001A192B"/>
    <w:rsid w:val="001A2C6B"/>
    <w:rsid w:val="001A3BDF"/>
    <w:rsid w:val="001A3E77"/>
    <w:rsid w:val="001A429C"/>
    <w:rsid w:val="001A4CDB"/>
    <w:rsid w:val="001A542C"/>
    <w:rsid w:val="001A601A"/>
    <w:rsid w:val="001A6524"/>
    <w:rsid w:val="001A6976"/>
    <w:rsid w:val="001A6DDB"/>
    <w:rsid w:val="001A76FE"/>
    <w:rsid w:val="001A7812"/>
    <w:rsid w:val="001A7A4D"/>
    <w:rsid w:val="001A7FED"/>
    <w:rsid w:val="001B014F"/>
    <w:rsid w:val="001B01BE"/>
    <w:rsid w:val="001B02C4"/>
    <w:rsid w:val="001B0D07"/>
    <w:rsid w:val="001B134E"/>
    <w:rsid w:val="001B1507"/>
    <w:rsid w:val="001B1A63"/>
    <w:rsid w:val="001B1DA9"/>
    <w:rsid w:val="001B2085"/>
    <w:rsid w:val="001B208E"/>
    <w:rsid w:val="001B3323"/>
    <w:rsid w:val="001B33DC"/>
    <w:rsid w:val="001B348F"/>
    <w:rsid w:val="001B3664"/>
    <w:rsid w:val="001B3F61"/>
    <w:rsid w:val="001B5376"/>
    <w:rsid w:val="001B7C5C"/>
    <w:rsid w:val="001B7F5C"/>
    <w:rsid w:val="001B7FB5"/>
    <w:rsid w:val="001C0020"/>
    <w:rsid w:val="001C03EB"/>
    <w:rsid w:val="001C08EC"/>
    <w:rsid w:val="001C0A80"/>
    <w:rsid w:val="001C0C38"/>
    <w:rsid w:val="001C0D5D"/>
    <w:rsid w:val="001C10DD"/>
    <w:rsid w:val="001C127E"/>
    <w:rsid w:val="001C16A4"/>
    <w:rsid w:val="001C188F"/>
    <w:rsid w:val="001C1E46"/>
    <w:rsid w:val="001C23B2"/>
    <w:rsid w:val="001C28A8"/>
    <w:rsid w:val="001C2A6C"/>
    <w:rsid w:val="001C2D91"/>
    <w:rsid w:val="001C3DAB"/>
    <w:rsid w:val="001C3DB5"/>
    <w:rsid w:val="001C4AD6"/>
    <w:rsid w:val="001C4F5C"/>
    <w:rsid w:val="001C5312"/>
    <w:rsid w:val="001C55F6"/>
    <w:rsid w:val="001C7B7A"/>
    <w:rsid w:val="001D00CA"/>
    <w:rsid w:val="001D0397"/>
    <w:rsid w:val="001D0441"/>
    <w:rsid w:val="001D049B"/>
    <w:rsid w:val="001D0712"/>
    <w:rsid w:val="001D0D76"/>
    <w:rsid w:val="001D1854"/>
    <w:rsid w:val="001D1B9D"/>
    <w:rsid w:val="001D1FF5"/>
    <w:rsid w:val="001D2AB6"/>
    <w:rsid w:val="001D3042"/>
    <w:rsid w:val="001D3553"/>
    <w:rsid w:val="001D38C6"/>
    <w:rsid w:val="001D4A1D"/>
    <w:rsid w:val="001D4E45"/>
    <w:rsid w:val="001D5144"/>
    <w:rsid w:val="001D514B"/>
    <w:rsid w:val="001D531E"/>
    <w:rsid w:val="001D59E1"/>
    <w:rsid w:val="001D5B97"/>
    <w:rsid w:val="001D67F4"/>
    <w:rsid w:val="001D68FE"/>
    <w:rsid w:val="001D6B1F"/>
    <w:rsid w:val="001D7223"/>
    <w:rsid w:val="001D7410"/>
    <w:rsid w:val="001D7683"/>
    <w:rsid w:val="001E0199"/>
    <w:rsid w:val="001E05CF"/>
    <w:rsid w:val="001E066A"/>
    <w:rsid w:val="001E149C"/>
    <w:rsid w:val="001E1740"/>
    <w:rsid w:val="001E1FD3"/>
    <w:rsid w:val="001E2697"/>
    <w:rsid w:val="001E2736"/>
    <w:rsid w:val="001E304E"/>
    <w:rsid w:val="001E3105"/>
    <w:rsid w:val="001E320C"/>
    <w:rsid w:val="001E33FF"/>
    <w:rsid w:val="001E3585"/>
    <w:rsid w:val="001E3B47"/>
    <w:rsid w:val="001E51A8"/>
    <w:rsid w:val="001E69F6"/>
    <w:rsid w:val="001E721A"/>
    <w:rsid w:val="001E74DC"/>
    <w:rsid w:val="001E7B41"/>
    <w:rsid w:val="001F014C"/>
    <w:rsid w:val="001F057D"/>
    <w:rsid w:val="001F09E5"/>
    <w:rsid w:val="001F0B94"/>
    <w:rsid w:val="001F0EB9"/>
    <w:rsid w:val="001F105D"/>
    <w:rsid w:val="001F1F16"/>
    <w:rsid w:val="001F3129"/>
    <w:rsid w:val="001F3983"/>
    <w:rsid w:val="001F3A24"/>
    <w:rsid w:val="001F3ADB"/>
    <w:rsid w:val="001F3D63"/>
    <w:rsid w:val="001F4F8B"/>
    <w:rsid w:val="001F5946"/>
    <w:rsid w:val="001F62ED"/>
    <w:rsid w:val="001F6919"/>
    <w:rsid w:val="001F7055"/>
    <w:rsid w:val="001F711D"/>
    <w:rsid w:val="001F71A3"/>
    <w:rsid w:val="001F7826"/>
    <w:rsid w:val="001F7A75"/>
    <w:rsid w:val="001F7C29"/>
    <w:rsid w:val="00200C7A"/>
    <w:rsid w:val="00200FBE"/>
    <w:rsid w:val="002010FF"/>
    <w:rsid w:val="002023BB"/>
    <w:rsid w:val="00202DBD"/>
    <w:rsid w:val="00202F2F"/>
    <w:rsid w:val="002032AE"/>
    <w:rsid w:val="0020338E"/>
    <w:rsid w:val="00203F09"/>
    <w:rsid w:val="002055D1"/>
    <w:rsid w:val="00205B0A"/>
    <w:rsid w:val="00206187"/>
    <w:rsid w:val="0020642E"/>
    <w:rsid w:val="002070EC"/>
    <w:rsid w:val="00207819"/>
    <w:rsid w:val="002104CE"/>
    <w:rsid w:val="0021057B"/>
    <w:rsid w:val="00210DC3"/>
    <w:rsid w:val="002110D0"/>
    <w:rsid w:val="00211AD2"/>
    <w:rsid w:val="00211AF2"/>
    <w:rsid w:val="00212618"/>
    <w:rsid w:val="00212866"/>
    <w:rsid w:val="00213002"/>
    <w:rsid w:val="00213CDA"/>
    <w:rsid w:val="0021428B"/>
    <w:rsid w:val="002144CA"/>
    <w:rsid w:val="00214DD7"/>
    <w:rsid w:val="002157B0"/>
    <w:rsid w:val="00216075"/>
    <w:rsid w:val="0021637D"/>
    <w:rsid w:val="002163D9"/>
    <w:rsid w:val="002165A2"/>
    <w:rsid w:val="002168A9"/>
    <w:rsid w:val="00217AD2"/>
    <w:rsid w:val="00217CC8"/>
    <w:rsid w:val="002202D0"/>
    <w:rsid w:val="00220621"/>
    <w:rsid w:val="002207A2"/>
    <w:rsid w:val="002209AA"/>
    <w:rsid w:val="0022169E"/>
    <w:rsid w:val="00222773"/>
    <w:rsid w:val="002238AE"/>
    <w:rsid w:val="0022485C"/>
    <w:rsid w:val="0022520B"/>
    <w:rsid w:val="0022522A"/>
    <w:rsid w:val="0022563C"/>
    <w:rsid w:val="00225D79"/>
    <w:rsid w:val="00226512"/>
    <w:rsid w:val="002274EC"/>
    <w:rsid w:val="00227DA7"/>
    <w:rsid w:val="00227FCC"/>
    <w:rsid w:val="00230313"/>
    <w:rsid w:val="00231592"/>
    <w:rsid w:val="002318D9"/>
    <w:rsid w:val="002323C7"/>
    <w:rsid w:val="00232ACA"/>
    <w:rsid w:val="00233783"/>
    <w:rsid w:val="00233FEC"/>
    <w:rsid w:val="00234039"/>
    <w:rsid w:val="002346DE"/>
    <w:rsid w:val="002347B4"/>
    <w:rsid w:val="00234D91"/>
    <w:rsid w:val="00234F0E"/>
    <w:rsid w:val="00237045"/>
    <w:rsid w:val="00237CA9"/>
    <w:rsid w:val="00237CBB"/>
    <w:rsid w:val="00240817"/>
    <w:rsid w:val="00240A76"/>
    <w:rsid w:val="002425DB"/>
    <w:rsid w:val="00242BAB"/>
    <w:rsid w:val="00242F5A"/>
    <w:rsid w:val="0024338C"/>
    <w:rsid w:val="00243D10"/>
    <w:rsid w:val="00244515"/>
    <w:rsid w:val="00244AF2"/>
    <w:rsid w:val="002450C8"/>
    <w:rsid w:val="002454AC"/>
    <w:rsid w:val="00245898"/>
    <w:rsid w:val="00245B89"/>
    <w:rsid w:val="00245E32"/>
    <w:rsid w:val="00246478"/>
    <w:rsid w:val="002479E6"/>
    <w:rsid w:val="00247AB8"/>
    <w:rsid w:val="00250069"/>
    <w:rsid w:val="002500DD"/>
    <w:rsid w:val="002504D1"/>
    <w:rsid w:val="00251DF8"/>
    <w:rsid w:val="002525AB"/>
    <w:rsid w:val="00253642"/>
    <w:rsid w:val="002539BB"/>
    <w:rsid w:val="00253C5F"/>
    <w:rsid w:val="002550BC"/>
    <w:rsid w:val="00256590"/>
    <w:rsid w:val="00257273"/>
    <w:rsid w:val="00257638"/>
    <w:rsid w:val="00257CF1"/>
    <w:rsid w:val="002614E3"/>
    <w:rsid w:val="00261D7A"/>
    <w:rsid w:val="00262AAB"/>
    <w:rsid w:val="0026353C"/>
    <w:rsid w:val="00263C78"/>
    <w:rsid w:val="002648C3"/>
    <w:rsid w:val="00264A46"/>
    <w:rsid w:val="002650A7"/>
    <w:rsid w:val="002669F7"/>
    <w:rsid w:val="00266CE4"/>
    <w:rsid w:val="00266EBA"/>
    <w:rsid w:val="002673BB"/>
    <w:rsid w:val="002705A1"/>
    <w:rsid w:val="0027063E"/>
    <w:rsid w:val="00270A1B"/>
    <w:rsid w:val="00270C71"/>
    <w:rsid w:val="00271059"/>
    <w:rsid w:val="0027128E"/>
    <w:rsid w:val="002717C8"/>
    <w:rsid w:val="00271C4B"/>
    <w:rsid w:val="00271FB5"/>
    <w:rsid w:val="002725F1"/>
    <w:rsid w:val="00272DB7"/>
    <w:rsid w:val="002730C6"/>
    <w:rsid w:val="00273970"/>
    <w:rsid w:val="00273C12"/>
    <w:rsid w:val="0027409B"/>
    <w:rsid w:val="0027472B"/>
    <w:rsid w:val="0027479A"/>
    <w:rsid w:val="00274967"/>
    <w:rsid w:val="00274F37"/>
    <w:rsid w:val="00275456"/>
    <w:rsid w:val="002757DA"/>
    <w:rsid w:val="00275DAB"/>
    <w:rsid w:val="002765AA"/>
    <w:rsid w:val="00277141"/>
    <w:rsid w:val="0027722D"/>
    <w:rsid w:val="002775DA"/>
    <w:rsid w:val="00277915"/>
    <w:rsid w:val="002800D0"/>
    <w:rsid w:val="00281197"/>
    <w:rsid w:val="0028205B"/>
    <w:rsid w:val="00282AA8"/>
    <w:rsid w:val="00283CD4"/>
    <w:rsid w:val="00283FED"/>
    <w:rsid w:val="002844B3"/>
    <w:rsid w:val="0028501B"/>
    <w:rsid w:val="00285480"/>
    <w:rsid w:val="0028555A"/>
    <w:rsid w:val="002866FB"/>
    <w:rsid w:val="0028713B"/>
    <w:rsid w:val="002872F2"/>
    <w:rsid w:val="00287E78"/>
    <w:rsid w:val="0029045F"/>
    <w:rsid w:val="0029091A"/>
    <w:rsid w:val="00290AB1"/>
    <w:rsid w:val="00290AD7"/>
    <w:rsid w:val="00291241"/>
    <w:rsid w:val="0029195A"/>
    <w:rsid w:val="00292FF2"/>
    <w:rsid w:val="0029354D"/>
    <w:rsid w:val="00293885"/>
    <w:rsid w:val="00293D94"/>
    <w:rsid w:val="0029407A"/>
    <w:rsid w:val="00294419"/>
    <w:rsid w:val="00294A70"/>
    <w:rsid w:val="0029593E"/>
    <w:rsid w:val="0029603C"/>
    <w:rsid w:val="002967FF"/>
    <w:rsid w:val="00296DF2"/>
    <w:rsid w:val="002971C9"/>
    <w:rsid w:val="00297575"/>
    <w:rsid w:val="00297B99"/>
    <w:rsid w:val="002A00EE"/>
    <w:rsid w:val="002A0475"/>
    <w:rsid w:val="002A05F7"/>
    <w:rsid w:val="002A1586"/>
    <w:rsid w:val="002A1739"/>
    <w:rsid w:val="002A211F"/>
    <w:rsid w:val="002A2E85"/>
    <w:rsid w:val="002A3130"/>
    <w:rsid w:val="002A4113"/>
    <w:rsid w:val="002A4811"/>
    <w:rsid w:val="002A48C8"/>
    <w:rsid w:val="002A4EBE"/>
    <w:rsid w:val="002A57CC"/>
    <w:rsid w:val="002A6CD9"/>
    <w:rsid w:val="002A7E82"/>
    <w:rsid w:val="002A7F5B"/>
    <w:rsid w:val="002B0B3A"/>
    <w:rsid w:val="002B1B2C"/>
    <w:rsid w:val="002B3217"/>
    <w:rsid w:val="002B3A99"/>
    <w:rsid w:val="002B3C5B"/>
    <w:rsid w:val="002B3F97"/>
    <w:rsid w:val="002B4797"/>
    <w:rsid w:val="002B4D2E"/>
    <w:rsid w:val="002B5ED0"/>
    <w:rsid w:val="002B5ED8"/>
    <w:rsid w:val="002B5FAE"/>
    <w:rsid w:val="002B5FF1"/>
    <w:rsid w:val="002B6532"/>
    <w:rsid w:val="002B65B7"/>
    <w:rsid w:val="002B6E18"/>
    <w:rsid w:val="002B6F08"/>
    <w:rsid w:val="002B6FB5"/>
    <w:rsid w:val="002B7757"/>
    <w:rsid w:val="002B780E"/>
    <w:rsid w:val="002C0446"/>
    <w:rsid w:val="002C0513"/>
    <w:rsid w:val="002C0A81"/>
    <w:rsid w:val="002C0C15"/>
    <w:rsid w:val="002C1266"/>
    <w:rsid w:val="002C27E6"/>
    <w:rsid w:val="002C2AC1"/>
    <w:rsid w:val="002C2BFC"/>
    <w:rsid w:val="002C3530"/>
    <w:rsid w:val="002C3A8B"/>
    <w:rsid w:val="002C42A3"/>
    <w:rsid w:val="002C521E"/>
    <w:rsid w:val="002C53D1"/>
    <w:rsid w:val="002C5DAD"/>
    <w:rsid w:val="002C68DB"/>
    <w:rsid w:val="002C7885"/>
    <w:rsid w:val="002C7CBD"/>
    <w:rsid w:val="002D03CA"/>
    <w:rsid w:val="002D0691"/>
    <w:rsid w:val="002D089E"/>
    <w:rsid w:val="002D1122"/>
    <w:rsid w:val="002D12EA"/>
    <w:rsid w:val="002D1368"/>
    <w:rsid w:val="002D17CE"/>
    <w:rsid w:val="002D18BA"/>
    <w:rsid w:val="002D1997"/>
    <w:rsid w:val="002D1C79"/>
    <w:rsid w:val="002D20D5"/>
    <w:rsid w:val="002D21D5"/>
    <w:rsid w:val="002D246B"/>
    <w:rsid w:val="002D2543"/>
    <w:rsid w:val="002D27B0"/>
    <w:rsid w:val="002D2E19"/>
    <w:rsid w:val="002D36F0"/>
    <w:rsid w:val="002D384D"/>
    <w:rsid w:val="002D3FA7"/>
    <w:rsid w:val="002D4464"/>
    <w:rsid w:val="002D4D85"/>
    <w:rsid w:val="002D51EB"/>
    <w:rsid w:val="002D521D"/>
    <w:rsid w:val="002D560D"/>
    <w:rsid w:val="002D6D69"/>
    <w:rsid w:val="002D7663"/>
    <w:rsid w:val="002E0168"/>
    <w:rsid w:val="002E0A4C"/>
    <w:rsid w:val="002E1402"/>
    <w:rsid w:val="002E16FF"/>
    <w:rsid w:val="002E1B63"/>
    <w:rsid w:val="002E2055"/>
    <w:rsid w:val="002E23BD"/>
    <w:rsid w:val="002E2401"/>
    <w:rsid w:val="002E2AE8"/>
    <w:rsid w:val="002E2F99"/>
    <w:rsid w:val="002E36B6"/>
    <w:rsid w:val="002E4365"/>
    <w:rsid w:val="002E4C5F"/>
    <w:rsid w:val="002E4F1C"/>
    <w:rsid w:val="002E5290"/>
    <w:rsid w:val="002E5705"/>
    <w:rsid w:val="002E5F2A"/>
    <w:rsid w:val="002E6228"/>
    <w:rsid w:val="002E65B7"/>
    <w:rsid w:val="002E69E0"/>
    <w:rsid w:val="002E714A"/>
    <w:rsid w:val="002E73D9"/>
    <w:rsid w:val="002E7D03"/>
    <w:rsid w:val="002F17E3"/>
    <w:rsid w:val="002F2CA1"/>
    <w:rsid w:val="002F3081"/>
    <w:rsid w:val="002F3765"/>
    <w:rsid w:val="002F376D"/>
    <w:rsid w:val="002F38DF"/>
    <w:rsid w:val="002F4057"/>
    <w:rsid w:val="002F416D"/>
    <w:rsid w:val="002F4A29"/>
    <w:rsid w:val="002F4AB1"/>
    <w:rsid w:val="002F52D1"/>
    <w:rsid w:val="002F7B4C"/>
    <w:rsid w:val="0030036E"/>
    <w:rsid w:val="00300D18"/>
    <w:rsid w:val="00300DBD"/>
    <w:rsid w:val="003011D6"/>
    <w:rsid w:val="00301A90"/>
    <w:rsid w:val="00302960"/>
    <w:rsid w:val="00302C24"/>
    <w:rsid w:val="003035E6"/>
    <w:rsid w:val="0030360B"/>
    <w:rsid w:val="00303762"/>
    <w:rsid w:val="00303884"/>
    <w:rsid w:val="00303AC0"/>
    <w:rsid w:val="00303B77"/>
    <w:rsid w:val="003045CF"/>
    <w:rsid w:val="00304929"/>
    <w:rsid w:val="00304D5B"/>
    <w:rsid w:val="003050DB"/>
    <w:rsid w:val="00305194"/>
    <w:rsid w:val="00305473"/>
    <w:rsid w:val="00305A0E"/>
    <w:rsid w:val="00305EFF"/>
    <w:rsid w:val="00306551"/>
    <w:rsid w:val="003068C3"/>
    <w:rsid w:val="00306FCB"/>
    <w:rsid w:val="00307746"/>
    <w:rsid w:val="00307ADF"/>
    <w:rsid w:val="003102B0"/>
    <w:rsid w:val="00310620"/>
    <w:rsid w:val="003113F0"/>
    <w:rsid w:val="00311BC1"/>
    <w:rsid w:val="00312DA7"/>
    <w:rsid w:val="00312E28"/>
    <w:rsid w:val="003130CD"/>
    <w:rsid w:val="003134E8"/>
    <w:rsid w:val="00313983"/>
    <w:rsid w:val="003146C9"/>
    <w:rsid w:val="00314B86"/>
    <w:rsid w:val="00315C09"/>
    <w:rsid w:val="00315CE1"/>
    <w:rsid w:val="00315FEB"/>
    <w:rsid w:val="00316115"/>
    <w:rsid w:val="00317177"/>
    <w:rsid w:val="00317789"/>
    <w:rsid w:val="003178DD"/>
    <w:rsid w:val="003204E2"/>
    <w:rsid w:val="0032076E"/>
    <w:rsid w:val="00320972"/>
    <w:rsid w:val="00321D6F"/>
    <w:rsid w:val="00323712"/>
    <w:rsid w:val="00323DA6"/>
    <w:rsid w:val="00324567"/>
    <w:rsid w:val="00324D27"/>
    <w:rsid w:val="00325606"/>
    <w:rsid w:val="003266F4"/>
    <w:rsid w:val="00326BCC"/>
    <w:rsid w:val="00326D56"/>
    <w:rsid w:val="0032716D"/>
    <w:rsid w:val="003274A6"/>
    <w:rsid w:val="003307A2"/>
    <w:rsid w:val="003307C7"/>
    <w:rsid w:val="00330F5B"/>
    <w:rsid w:val="003313ED"/>
    <w:rsid w:val="003314CB"/>
    <w:rsid w:val="003317FC"/>
    <w:rsid w:val="00331C5E"/>
    <w:rsid w:val="003324AF"/>
    <w:rsid w:val="00334645"/>
    <w:rsid w:val="00334A39"/>
    <w:rsid w:val="00334FF8"/>
    <w:rsid w:val="00335809"/>
    <w:rsid w:val="00335DB0"/>
    <w:rsid w:val="0033605E"/>
    <w:rsid w:val="00337572"/>
    <w:rsid w:val="00337B5D"/>
    <w:rsid w:val="0034001A"/>
    <w:rsid w:val="00342265"/>
    <w:rsid w:val="003426F5"/>
    <w:rsid w:val="00342AD4"/>
    <w:rsid w:val="00342C5C"/>
    <w:rsid w:val="00343DDB"/>
    <w:rsid w:val="00344494"/>
    <w:rsid w:val="00344649"/>
    <w:rsid w:val="00344CEC"/>
    <w:rsid w:val="00344FF2"/>
    <w:rsid w:val="003465B8"/>
    <w:rsid w:val="00346DFB"/>
    <w:rsid w:val="00346F66"/>
    <w:rsid w:val="0034758D"/>
    <w:rsid w:val="003477FF"/>
    <w:rsid w:val="00347ACD"/>
    <w:rsid w:val="00347ACF"/>
    <w:rsid w:val="00347AE2"/>
    <w:rsid w:val="00350021"/>
    <w:rsid w:val="00350F7C"/>
    <w:rsid w:val="0035154B"/>
    <w:rsid w:val="0035175F"/>
    <w:rsid w:val="00351BA7"/>
    <w:rsid w:val="00351DCF"/>
    <w:rsid w:val="00352554"/>
    <w:rsid w:val="003526E1"/>
    <w:rsid w:val="00352A45"/>
    <w:rsid w:val="00352C2D"/>
    <w:rsid w:val="0035309D"/>
    <w:rsid w:val="0035329C"/>
    <w:rsid w:val="00353D71"/>
    <w:rsid w:val="00353DE9"/>
    <w:rsid w:val="00354223"/>
    <w:rsid w:val="00354674"/>
    <w:rsid w:val="00354A7D"/>
    <w:rsid w:val="00356248"/>
    <w:rsid w:val="00356781"/>
    <w:rsid w:val="003567B2"/>
    <w:rsid w:val="003579D7"/>
    <w:rsid w:val="0036008A"/>
    <w:rsid w:val="003611DF"/>
    <w:rsid w:val="003613FD"/>
    <w:rsid w:val="00361D1B"/>
    <w:rsid w:val="00361DDB"/>
    <w:rsid w:val="003620D5"/>
    <w:rsid w:val="00362571"/>
    <w:rsid w:val="003625D1"/>
    <w:rsid w:val="003635CD"/>
    <w:rsid w:val="00363B2B"/>
    <w:rsid w:val="00364177"/>
    <w:rsid w:val="00364A53"/>
    <w:rsid w:val="00364B0B"/>
    <w:rsid w:val="003666ED"/>
    <w:rsid w:val="00366F37"/>
    <w:rsid w:val="003670A2"/>
    <w:rsid w:val="0036726A"/>
    <w:rsid w:val="00367618"/>
    <w:rsid w:val="00367A29"/>
    <w:rsid w:val="00370607"/>
    <w:rsid w:val="00370D5B"/>
    <w:rsid w:val="0037145C"/>
    <w:rsid w:val="00371FD2"/>
    <w:rsid w:val="0037205A"/>
    <w:rsid w:val="003726B1"/>
    <w:rsid w:val="00373086"/>
    <w:rsid w:val="0037366B"/>
    <w:rsid w:val="00373B81"/>
    <w:rsid w:val="003743B3"/>
    <w:rsid w:val="00374E21"/>
    <w:rsid w:val="00375F01"/>
    <w:rsid w:val="00376C0C"/>
    <w:rsid w:val="00376C36"/>
    <w:rsid w:val="00377EEA"/>
    <w:rsid w:val="00377F4D"/>
    <w:rsid w:val="00377F82"/>
    <w:rsid w:val="00380991"/>
    <w:rsid w:val="0038170C"/>
    <w:rsid w:val="00381ED4"/>
    <w:rsid w:val="003827A1"/>
    <w:rsid w:val="00383B77"/>
    <w:rsid w:val="00384347"/>
    <w:rsid w:val="003852D0"/>
    <w:rsid w:val="00385652"/>
    <w:rsid w:val="00385F02"/>
    <w:rsid w:val="00386934"/>
    <w:rsid w:val="00386B57"/>
    <w:rsid w:val="00387531"/>
    <w:rsid w:val="003877FE"/>
    <w:rsid w:val="00390366"/>
    <w:rsid w:val="00393219"/>
    <w:rsid w:val="0039361C"/>
    <w:rsid w:val="00393A9B"/>
    <w:rsid w:val="00393F62"/>
    <w:rsid w:val="00394295"/>
    <w:rsid w:val="0039438C"/>
    <w:rsid w:val="003943C6"/>
    <w:rsid w:val="00394CC9"/>
    <w:rsid w:val="00396DF8"/>
    <w:rsid w:val="00397103"/>
    <w:rsid w:val="00397E1E"/>
    <w:rsid w:val="003A06B5"/>
    <w:rsid w:val="003A097E"/>
    <w:rsid w:val="003A1ECB"/>
    <w:rsid w:val="003A221D"/>
    <w:rsid w:val="003A239E"/>
    <w:rsid w:val="003A26CF"/>
    <w:rsid w:val="003A2A00"/>
    <w:rsid w:val="003A2C9A"/>
    <w:rsid w:val="003A300E"/>
    <w:rsid w:val="003A460D"/>
    <w:rsid w:val="003A4819"/>
    <w:rsid w:val="003A4B40"/>
    <w:rsid w:val="003A6520"/>
    <w:rsid w:val="003A6A34"/>
    <w:rsid w:val="003A6C85"/>
    <w:rsid w:val="003A72EA"/>
    <w:rsid w:val="003B046E"/>
    <w:rsid w:val="003B0617"/>
    <w:rsid w:val="003B0B41"/>
    <w:rsid w:val="003B0CA4"/>
    <w:rsid w:val="003B0DDF"/>
    <w:rsid w:val="003B2003"/>
    <w:rsid w:val="003B2538"/>
    <w:rsid w:val="003B4B62"/>
    <w:rsid w:val="003B5352"/>
    <w:rsid w:val="003B596E"/>
    <w:rsid w:val="003B66F6"/>
    <w:rsid w:val="003B6B60"/>
    <w:rsid w:val="003B713C"/>
    <w:rsid w:val="003B71B1"/>
    <w:rsid w:val="003B7519"/>
    <w:rsid w:val="003B7939"/>
    <w:rsid w:val="003B79A7"/>
    <w:rsid w:val="003B7CC5"/>
    <w:rsid w:val="003C0CFD"/>
    <w:rsid w:val="003C11BB"/>
    <w:rsid w:val="003C151C"/>
    <w:rsid w:val="003C164F"/>
    <w:rsid w:val="003C1C7B"/>
    <w:rsid w:val="003C1D79"/>
    <w:rsid w:val="003C2040"/>
    <w:rsid w:val="003C2410"/>
    <w:rsid w:val="003C3201"/>
    <w:rsid w:val="003C3398"/>
    <w:rsid w:val="003C3E1A"/>
    <w:rsid w:val="003C4E40"/>
    <w:rsid w:val="003C5976"/>
    <w:rsid w:val="003C5C2E"/>
    <w:rsid w:val="003C5FB5"/>
    <w:rsid w:val="003C6207"/>
    <w:rsid w:val="003C7F0A"/>
    <w:rsid w:val="003D023A"/>
    <w:rsid w:val="003D03A9"/>
    <w:rsid w:val="003D07A3"/>
    <w:rsid w:val="003D0B0A"/>
    <w:rsid w:val="003D1647"/>
    <w:rsid w:val="003D2B65"/>
    <w:rsid w:val="003D2E12"/>
    <w:rsid w:val="003D50B2"/>
    <w:rsid w:val="003D5175"/>
    <w:rsid w:val="003D5837"/>
    <w:rsid w:val="003D5CBF"/>
    <w:rsid w:val="003D6129"/>
    <w:rsid w:val="003D62E2"/>
    <w:rsid w:val="003D6763"/>
    <w:rsid w:val="003D69C2"/>
    <w:rsid w:val="003D6FF9"/>
    <w:rsid w:val="003D79DE"/>
    <w:rsid w:val="003E0135"/>
    <w:rsid w:val="003E0556"/>
    <w:rsid w:val="003E1E6B"/>
    <w:rsid w:val="003E1E7A"/>
    <w:rsid w:val="003E2628"/>
    <w:rsid w:val="003E27BF"/>
    <w:rsid w:val="003E3571"/>
    <w:rsid w:val="003E39F8"/>
    <w:rsid w:val="003E4173"/>
    <w:rsid w:val="003E41C2"/>
    <w:rsid w:val="003E426D"/>
    <w:rsid w:val="003E64C4"/>
    <w:rsid w:val="003E6A90"/>
    <w:rsid w:val="003E75BA"/>
    <w:rsid w:val="003E7C46"/>
    <w:rsid w:val="003E7DDE"/>
    <w:rsid w:val="003E7ECB"/>
    <w:rsid w:val="003F0573"/>
    <w:rsid w:val="003F14B1"/>
    <w:rsid w:val="003F2314"/>
    <w:rsid w:val="003F2926"/>
    <w:rsid w:val="003F29E7"/>
    <w:rsid w:val="003F386B"/>
    <w:rsid w:val="003F3DE3"/>
    <w:rsid w:val="003F3F06"/>
    <w:rsid w:val="003F4613"/>
    <w:rsid w:val="003F49A5"/>
    <w:rsid w:val="003F533D"/>
    <w:rsid w:val="003F6149"/>
    <w:rsid w:val="003F6D76"/>
    <w:rsid w:val="0040047D"/>
    <w:rsid w:val="00400526"/>
    <w:rsid w:val="00402195"/>
    <w:rsid w:val="00402A5B"/>
    <w:rsid w:val="00402C8F"/>
    <w:rsid w:val="00402C99"/>
    <w:rsid w:val="00403174"/>
    <w:rsid w:val="00403413"/>
    <w:rsid w:val="00404284"/>
    <w:rsid w:val="00404420"/>
    <w:rsid w:val="00405168"/>
    <w:rsid w:val="004057EF"/>
    <w:rsid w:val="00405942"/>
    <w:rsid w:val="00405F64"/>
    <w:rsid w:val="0040633D"/>
    <w:rsid w:val="00407B9E"/>
    <w:rsid w:val="00410B70"/>
    <w:rsid w:val="00410CEF"/>
    <w:rsid w:val="0041192E"/>
    <w:rsid w:val="00411DF7"/>
    <w:rsid w:val="00411E35"/>
    <w:rsid w:val="004121DE"/>
    <w:rsid w:val="0041283D"/>
    <w:rsid w:val="004137B5"/>
    <w:rsid w:val="00413CD8"/>
    <w:rsid w:val="00414511"/>
    <w:rsid w:val="00414AC2"/>
    <w:rsid w:val="004156F1"/>
    <w:rsid w:val="00415EDD"/>
    <w:rsid w:val="0041611D"/>
    <w:rsid w:val="00416BE8"/>
    <w:rsid w:val="00417544"/>
    <w:rsid w:val="00417EE5"/>
    <w:rsid w:val="00417F2D"/>
    <w:rsid w:val="00420401"/>
    <w:rsid w:val="00420A97"/>
    <w:rsid w:val="00422072"/>
    <w:rsid w:val="004222B7"/>
    <w:rsid w:val="00422417"/>
    <w:rsid w:val="00422F88"/>
    <w:rsid w:val="0042427F"/>
    <w:rsid w:val="00425997"/>
    <w:rsid w:val="00425CA4"/>
    <w:rsid w:val="0042695C"/>
    <w:rsid w:val="00426E8E"/>
    <w:rsid w:val="00427475"/>
    <w:rsid w:val="0042748F"/>
    <w:rsid w:val="00427858"/>
    <w:rsid w:val="004308E4"/>
    <w:rsid w:val="004313C1"/>
    <w:rsid w:val="0043252D"/>
    <w:rsid w:val="00432A4D"/>
    <w:rsid w:val="004340A2"/>
    <w:rsid w:val="00434CA3"/>
    <w:rsid w:val="00434CDD"/>
    <w:rsid w:val="00435206"/>
    <w:rsid w:val="00435522"/>
    <w:rsid w:val="00436CF2"/>
    <w:rsid w:val="004370CA"/>
    <w:rsid w:val="00437206"/>
    <w:rsid w:val="00437D63"/>
    <w:rsid w:val="00437F8D"/>
    <w:rsid w:val="00440232"/>
    <w:rsid w:val="004402E6"/>
    <w:rsid w:val="004408D5"/>
    <w:rsid w:val="00440E6F"/>
    <w:rsid w:val="0044138F"/>
    <w:rsid w:val="004415B5"/>
    <w:rsid w:val="00441B52"/>
    <w:rsid w:val="004433AF"/>
    <w:rsid w:val="00444B75"/>
    <w:rsid w:val="00444CF5"/>
    <w:rsid w:val="004453A0"/>
    <w:rsid w:val="0044565C"/>
    <w:rsid w:val="00445CF4"/>
    <w:rsid w:val="00445F6B"/>
    <w:rsid w:val="00446C61"/>
    <w:rsid w:val="004471CF"/>
    <w:rsid w:val="004473E3"/>
    <w:rsid w:val="00447E17"/>
    <w:rsid w:val="004502E4"/>
    <w:rsid w:val="00450C63"/>
    <w:rsid w:val="00451800"/>
    <w:rsid w:val="00451AD9"/>
    <w:rsid w:val="00452292"/>
    <w:rsid w:val="00452460"/>
    <w:rsid w:val="004526B6"/>
    <w:rsid w:val="00452D68"/>
    <w:rsid w:val="00453D76"/>
    <w:rsid w:val="00453EB5"/>
    <w:rsid w:val="00455227"/>
    <w:rsid w:val="004553B7"/>
    <w:rsid w:val="00455447"/>
    <w:rsid w:val="004579D2"/>
    <w:rsid w:val="004633F5"/>
    <w:rsid w:val="00463BAB"/>
    <w:rsid w:val="00463F7B"/>
    <w:rsid w:val="0046529C"/>
    <w:rsid w:val="0046558E"/>
    <w:rsid w:val="00465615"/>
    <w:rsid w:val="0046576E"/>
    <w:rsid w:val="00467C39"/>
    <w:rsid w:val="004700B3"/>
    <w:rsid w:val="004707DD"/>
    <w:rsid w:val="004707E4"/>
    <w:rsid w:val="0047096B"/>
    <w:rsid w:val="00470DC4"/>
    <w:rsid w:val="00470E7C"/>
    <w:rsid w:val="00471324"/>
    <w:rsid w:val="004717DB"/>
    <w:rsid w:val="00472C9D"/>
    <w:rsid w:val="004732DB"/>
    <w:rsid w:val="00473E8C"/>
    <w:rsid w:val="00474140"/>
    <w:rsid w:val="00475146"/>
    <w:rsid w:val="004755F6"/>
    <w:rsid w:val="00475CEE"/>
    <w:rsid w:val="00475D4B"/>
    <w:rsid w:val="004771D1"/>
    <w:rsid w:val="0047786A"/>
    <w:rsid w:val="00477D81"/>
    <w:rsid w:val="00480B23"/>
    <w:rsid w:val="00480D86"/>
    <w:rsid w:val="0048159A"/>
    <w:rsid w:val="004815EE"/>
    <w:rsid w:val="004816E3"/>
    <w:rsid w:val="00481909"/>
    <w:rsid w:val="00482245"/>
    <w:rsid w:val="0048238D"/>
    <w:rsid w:val="00482E77"/>
    <w:rsid w:val="0048344B"/>
    <w:rsid w:val="00483A8B"/>
    <w:rsid w:val="00483E97"/>
    <w:rsid w:val="00483ECA"/>
    <w:rsid w:val="004845E2"/>
    <w:rsid w:val="00484EBD"/>
    <w:rsid w:val="00485117"/>
    <w:rsid w:val="00485158"/>
    <w:rsid w:val="0048532B"/>
    <w:rsid w:val="004878CC"/>
    <w:rsid w:val="00487F92"/>
    <w:rsid w:val="00487F96"/>
    <w:rsid w:val="00490002"/>
    <w:rsid w:val="00490260"/>
    <w:rsid w:val="00490C7C"/>
    <w:rsid w:val="00491450"/>
    <w:rsid w:val="004917B1"/>
    <w:rsid w:val="0049280D"/>
    <w:rsid w:val="00493104"/>
    <w:rsid w:val="00494058"/>
    <w:rsid w:val="0049433F"/>
    <w:rsid w:val="00494693"/>
    <w:rsid w:val="0049484C"/>
    <w:rsid w:val="00494CEC"/>
    <w:rsid w:val="004951BA"/>
    <w:rsid w:val="0049552E"/>
    <w:rsid w:val="00495ECA"/>
    <w:rsid w:val="004964C4"/>
    <w:rsid w:val="00496F41"/>
    <w:rsid w:val="0049704E"/>
    <w:rsid w:val="00497399"/>
    <w:rsid w:val="004978B4"/>
    <w:rsid w:val="004A003E"/>
    <w:rsid w:val="004A0480"/>
    <w:rsid w:val="004A0722"/>
    <w:rsid w:val="004A0F59"/>
    <w:rsid w:val="004A15FA"/>
    <w:rsid w:val="004A18EA"/>
    <w:rsid w:val="004A2BC7"/>
    <w:rsid w:val="004A3090"/>
    <w:rsid w:val="004A328E"/>
    <w:rsid w:val="004A3565"/>
    <w:rsid w:val="004A3C12"/>
    <w:rsid w:val="004A4222"/>
    <w:rsid w:val="004A457A"/>
    <w:rsid w:val="004A49B1"/>
    <w:rsid w:val="004A4E3D"/>
    <w:rsid w:val="004A5897"/>
    <w:rsid w:val="004A6878"/>
    <w:rsid w:val="004A698A"/>
    <w:rsid w:val="004A6EE0"/>
    <w:rsid w:val="004A71F8"/>
    <w:rsid w:val="004A7BC4"/>
    <w:rsid w:val="004B00F0"/>
    <w:rsid w:val="004B0D04"/>
    <w:rsid w:val="004B15D8"/>
    <w:rsid w:val="004B1E43"/>
    <w:rsid w:val="004B2D4D"/>
    <w:rsid w:val="004B3BBD"/>
    <w:rsid w:val="004B4F6E"/>
    <w:rsid w:val="004B522E"/>
    <w:rsid w:val="004B5243"/>
    <w:rsid w:val="004B69CD"/>
    <w:rsid w:val="004B6A61"/>
    <w:rsid w:val="004B7FB8"/>
    <w:rsid w:val="004C0038"/>
    <w:rsid w:val="004C102E"/>
    <w:rsid w:val="004C154C"/>
    <w:rsid w:val="004C1C07"/>
    <w:rsid w:val="004C24D5"/>
    <w:rsid w:val="004C2BB4"/>
    <w:rsid w:val="004C2F44"/>
    <w:rsid w:val="004C3A1B"/>
    <w:rsid w:val="004C3C8F"/>
    <w:rsid w:val="004C3EE2"/>
    <w:rsid w:val="004C4481"/>
    <w:rsid w:val="004C4520"/>
    <w:rsid w:val="004C4586"/>
    <w:rsid w:val="004C4631"/>
    <w:rsid w:val="004C548A"/>
    <w:rsid w:val="004C54E3"/>
    <w:rsid w:val="004C6021"/>
    <w:rsid w:val="004C6363"/>
    <w:rsid w:val="004C64DB"/>
    <w:rsid w:val="004C6B56"/>
    <w:rsid w:val="004C7FCE"/>
    <w:rsid w:val="004D02A9"/>
    <w:rsid w:val="004D0374"/>
    <w:rsid w:val="004D09BB"/>
    <w:rsid w:val="004D0E18"/>
    <w:rsid w:val="004D29E0"/>
    <w:rsid w:val="004D3160"/>
    <w:rsid w:val="004D39B9"/>
    <w:rsid w:val="004D3E40"/>
    <w:rsid w:val="004D52E7"/>
    <w:rsid w:val="004D54FA"/>
    <w:rsid w:val="004D6C2C"/>
    <w:rsid w:val="004D79BB"/>
    <w:rsid w:val="004D7A90"/>
    <w:rsid w:val="004D7F06"/>
    <w:rsid w:val="004E0165"/>
    <w:rsid w:val="004E06D6"/>
    <w:rsid w:val="004E114D"/>
    <w:rsid w:val="004E12B5"/>
    <w:rsid w:val="004E1ED4"/>
    <w:rsid w:val="004E2A83"/>
    <w:rsid w:val="004E3298"/>
    <w:rsid w:val="004E3D2C"/>
    <w:rsid w:val="004E3E72"/>
    <w:rsid w:val="004E3E8E"/>
    <w:rsid w:val="004E3EA7"/>
    <w:rsid w:val="004E41A5"/>
    <w:rsid w:val="004E556E"/>
    <w:rsid w:val="004E6643"/>
    <w:rsid w:val="004E675E"/>
    <w:rsid w:val="004E6AFC"/>
    <w:rsid w:val="004E7013"/>
    <w:rsid w:val="004F0241"/>
    <w:rsid w:val="004F1524"/>
    <w:rsid w:val="004F25DE"/>
    <w:rsid w:val="004F2CEB"/>
    <w:rsid w:val="004F3276"/>
    <w:rsid w:val="004F3BB7"/>
    <w:rsid w:val="004F3D91"/>
    <w:rsid w:val="004F481C"/>
    <w:rsid w:val="004F5461"/>
    <w:rsid w:val="004F5743"/>
    <w:rsid w:val="004F66E0"/>
    <w:rsid w:val="004F6EA7"/>
    <w:rsid w:val="004F720B"/>
    <w:rsid w:val="004F767D"/>
    <w:rsid w:val="004F7EFB"/>
    <w:rsid w:val="004F7FAC"/>
    <w:rsid w:val="00500202"/>
    <w:rsid w:val="005005B0"/>
    <w:rsid w:val="005009C1"/>
    <w:rsid w:val="00500C97"/>
    <w:rsid w:val="00501AA5"/>
    <w:rsid w:val="0050282C"/>
    <w:rsid w:val="00502C53"/>
    <w:rsid w:val="00503CBE"/>
    <w:rsid w:val="00504264"/>
    <w:rsid w:val="00504ABE"/>
    <w:rsid w:val="00505D4F"/>
    <w:rsid w:val="005067F2"/>
    <w:rsid w:val="00506AEC"/>
    <w:rsid w:val="00506F02"/>
    <w:rsid w:val="005076FE"/>
    <w:rsid w:val="00507871"/>
    <w:rsid w:val="00507B30"/>
    <w:rsid w:val="00507C45"/>
    <w:rsid w:val="00507CA0"/>
    <w:rsid w:val="0051069D"/>
    <w:rsid w:val="005107B9"/>
    <w:rsid w:val="0051226E"/>
    <w:rsid w:val="005125B6"/>
    <w:rsid w:val="00512E25"/>
    <w:rsid w:val="00513764"/>
    <w:rsid w:val="00513DDC"/>
    <w:rsid w:val="00514020"/>
    <w:rsid w:val="005154DC"/>
    <w:rsid w:val="00515589"/>
    <w:rsid w:val="00515737"/>
    <w:rsid w:val="00515AE4"/>
    <w:rsid w:val="00515CA4"/>
    <w:rsid w:val="00515D23"/>
    <w:rsid w:val="00516B81"/>
    <w:rsid w:val="00517451"/>
    <w:rsid w:val="00517B03"/>
    <w:rsid w:val="00517BFA"/>
    <w:rsid w:val="00517E82"/>
    <w:rsid w:val="00520524"/>
    <w:rsid w:val="00520A2B"/>
    <w:rsid w:val="00520AD3"/>
    <w:rsid w:val="0052314F"/>
    <w:rsid w:val="0052331E"/>
    <w:rsid w:val="0052363C"/>
    <w:rsid w:val="005239AB"/>
    <w:rsid w:val="00523B8B"/>
    <w:rsid w:val="00524B2D"/>
    <w:rsid w:val="00524EBB"/>
    <w:rsid w:val="0052573F"/>
    <w:rsid w:val="00525884"/>
    <w:rsid w:val="0052753A"/>
    <w:rsid w:val="00527E0A"/>
    <w:rsid w:val="00530786"/>
    <w:rsid w:val="005307B6"/>
    <w:rsid w:val="00531491"/>
    <w:rsid w:val="00531A8F"/>
    <w:rsid w:val="00531B43"/>
    <w:rsid w:val="00532850"/>
    <w:rsid w:val="0053300A"/>
    <w:rsid w:val="00533BFD"/>
    <w:rsid w:val="00533F96"/>
    <w:rsid w:val="00534CBF"/>
    <w:rsid w:val="00535786"/>
    <w:rsid w:val="00536601"/>
    <w:rsid w:val="00537323"/>
    <w:rsid w:val="005375DE"/>
    <w:rsid w:val="005376AA"/>
    <w:rsid w:val="00537DDD"/>
    <w:rsid w:val="00537E90"/>
    <w:rsid w:val="00541093"/>
    <w:rsid w:val="0054200F"/>
    <w:rsid w:val="005424BA"/>
    <w:rsid w:val="005425AC"/>
    <w:rsid w:val="00543D56"/>
    <w:rsid w:val="00543D86"/>
    <w:rsid w:val="00543D99"/>
    <w:rsid w:val="00543E79"/>
    <w:rsid w:val="00544058"/>
    <w:rsid w:val="005443B8"/>
    <w:rsid w:val="005444D5"/>
    <w:rsid w:val="00544D8A"/>
    <w:rsid w:val="0054507E"/>
    <w:rsid w:val="0054571C"/>
    <w:rsid w:val="00545F44"/>
    <w:rsid w:val="00546048"/>
    <w:rsid w:val="005461D7"/>
    <w:rsid w:val="00546C2B"/>
    <w:rsid w:val="00546F75"/>
    <w:rsid w:val="00547F98"/>
    <w:rsid w:val="00551276"/>
    <w:rsid w:val="00551E85"/>
    <w:rsid w:val="00551FF6"/>
    <w:rsid w:val="005520DD"/>
    <w:rsid w:val="0055252C"/>
    <w:rsid w:val="0055276B"/>
    <w:rsid w:val="00552C6E"/>
    <w:rsid w:val="005535E8"/>
    <w:rsid w:val="00553DE4"/>
    <w:rsid w:val="00554B87"/>
    <w:rsid w:val="00555CC8"/>
    <w:rsid w:val="00556476"/>
    <w:rsid w:val="0055655B"/>
    <w:rsid w:val="0055749B"/>
    <w:rsid w:val="005576AB"/>
    <w:rsid w:val="0055780B"/>
    <w:rsid w:val="005601F9"/>
    <w:rsid w:val="005603A7"/>
    <w:rsid w:val="00560BA4"/>
    <w:rsid w:val="00560E35"/>
    <w:rsid w:val="0056198F"/>
    <w:rsid w:val="00561F9C"/>
    <w:rsid w:val="00562044"/>
    <w:rsid w:val="005621F5"/>
    <w:rsid w:val="00562C65"/>
    <w:rsid w:val="005633B6"/>
    <w:rsid w:val="00564B2C"/>
    <w:rsid w:val="0056514A"/>
    <w:rsid w:val="00565B49"/>
    <w:rsid w:val="005662E5"/>
    <w:rsid w:val="00566454"/>
    <w:rsid w:val="0056743E"/>
    <w:rsid w:val="00567E17"/>
    <w:rsid w:val="00567FAE"/>
    <w:rsid w:val="00570169"/>
    <w:rsid w:val="00570FB1"/>
    <w:rsid w:val="005716FE"/>
    <w:rsid w:val="00571F74"/>
    <w:rsid w:val="005720BC"/>
    <w:rsid w:val="0057231D"/>
    <w:rsid w:val="005728B3"/>
    <w:rsid w:val="00572C05"/>
    <w:rsid w:val="00573109"/>
    <w:rsid w:val="00573766"/>
    <w:rsid w:val="00575A23"/>
    <w:rsid w:val="00575FAF"/>
    <w:rsid w:val="00576692"/>
    <w:rsid w:val="00576C76"/>
    <w:rsid w:val="0058071C"/>
    <w:rsid w:val="005808CE"/>
    <w:rsid w:val="00581D62"/>
    <w:rsid w:val="005821E7"/>
    <w:rsid w:val="00582574"/>
    <w:rsid w:val="00582715"/>
    <w:rsid w:val="005828A1"/>
    <w:rsid w:val="00582B14"/>
    <w:rsid w:val="00582B3A"/>
    <w:rsid w:val="00584743"/>
    <w:rsid w:val="0058509B"/>
    <w:rsid w:val="00585BEC"/>
    <w:rsid w:val="00586196"/>
    <w:rsid w:val="0058785D"/>
    <w:rsid w:val="00587A32"/>
    <w:rsid w:val="00590868"/>
    <w:rsid w:val="005928FF"/>
    <w:rsid w:val="00592B0D"/>
    <w:rsid w:val="00592B3C"/>
    <w:rsid w:val="00592D84"/>
    <w:rsid w:val="005931B1"/>
    <w:rsid w:val="0059460E"/>
    <w:rsid w:val="0059475D"/>
    <w:rsid w:val="005947B4"/>
    <w:rsid w:val="00594A1A"/>
    <w:rsid w:val="0059548B"/>
    <w:rsid w:val="00597074"/>
    <w:rsid w:val="005A03AA"/>
    <w:rsid w:val="005A07D3"/>
    <w:rsid w:val="005A08B4"/>
    <w:rsid w:val="005A0DC2"/>
    <w:rsid w:val="005A1071"/>
    <w:rsid w:val="005A1DD0"/>
    <w:rsid w:val="005A1FB5"/>
    <w:rsid w:val="005A207B"/>
    <w:rsid w:val="005A2675"/>
    <w:rsid w:val="005A4213"/>
    <w:rsid w:val="005A4A21"/>
    <w:rsid w:val="005A4D9C"/>
    <w:rsid w:val="005A4FBC"/>
    <w:rsid w:val="005A5546"/>
    <w:rsid w:val="005A57CA"/>
    <w:rsid w:val="005A6697"/>
    <w:rsid w:val="005A6C21"/>
    <w:rsid w:val="005A6F56"/>
    <w:rsid w:val="005A76AD"/>
    <w:rsid w:val="005A79D6"/>
    <w:rsid w:val="005A7DA4"/>
    <w:rsid w:val="005B04A7"/>
    <w:rsid w:val="005B11B2"/>
    <w:rsid w:val="005B1675"/>
    <w:rsid w:val="005B1A62"/>
    <w:rsid w:val="005B281B"/>
    <w:rsid w:val="005B379F"/>
    <w:rsid w:val="005B3860"/>
    <w:rsid w:val="005B42DD"/>
    <w:rsid w:val="005B4D8D"/>
    <w:rsid w:val="005B579D"/>
    <w:rsid w:val="005B59EF"/>
    <w:rsid w:val="005B62FA"/>
    <w:rsid w:val="005B6391"/>
    <w:rsid w:val="005B6806"/>
    <w:rsid w:val="005B6AFB"/>
    <w:rsid w:val="005B6ED1"/>
    <w:rsid w:val="005B70FD"/>
    <w:rsid w:val="005B71D0"/>
    <w:rsid w:val="005B75A4"/>
    <w:rsid w:val="005B7707"/>
    <w:rsid w:val="005B7992"/>
    <w:rsid w:val="005B7CED"/>
    <w:rsid w:val="005B7E72"/>
    <w:rsid w:val="005C01AD"/>
    <w:rsid w:val="005C0645"/>
    <w:rsid w:val="005C066A"/>
    <w:rsid w:val="005C11E2"/>
    <w:rsid w:val="005C199B"/>
    <w:rsid w:val="005C1B8A"/>
    <w:rsid w:val="005C1F42"/>
    <w:rsid w:val="005C252E"/>
    <w:rsid w:val="005C307E"/>
    <w:rsid w:val="005C41FA"/>
    <w:rsid w:val="005C4C33"/>
    <w:rsid w:val="005C4D70"/>
    <w:rsid w:val="005C5369"/>
    <w:rsid w:val="005C583A"/>
    <w:rsid w:val="005C6015"/>
    <w:rsid w:val="005C653C"/>
    <w:rsid w:val="005C73DA"/>
    <w:rsid w:val="005C7739"/>
    <w:rsid w:val="005C7791"/>
    <w:rsid w:val="005D101F"/>
    <w:rsid w:val="005D124D"/>
    <w:rsid w:val="005D13B5"/>
    <w:rsid w:val="005D1749"/>
    <w:rsid w:val="005D1B53"/>
    <w:rsid w:val="005D1E86"/>
    <w:rsid w:val="005D25A4"/>
    <w:rsid w:val="005D292E"/>
    <w:rsid w:val="005D2F03"/>
    <w:rsid w:val="005D30E1"/>
    <w:rsid w:val="005D32AB"/>
    <w:rsid w:val="005D35CD"/>
    <w:rsid w:val="005D3904"/>
    <w:rsid w:val="005D3C11"/>
    <w:rsid w:val="005D3D71"/>
    <w:rsid w:val="005D4004"/>
    <w:rsid w:val="005D5293"/>
    <w:rsid w:val="005D628D"/>
    <w:rsid w:val="005D672D"/>
    <w:rsid w:val="005D6A25"/>
    <w:rsid w:val="005D7B3E"/>
    <w:rsid w:val="005E0505"/>
    <w:rsid w:val="005E1FAD"/>
    <w:rsid w:val="005E22C7"/>
    <w:rsid w:val="005E3F33"/>
    <w:rsid w:val="005E463D"/>
    <w:rsid w:val="005E49E1"/>
    <w:rsid w:val="005E4BE9"/>
    <w:rsid w:val="005E544C"/>
    <w:rsid w:val="005E606D"/>
    <w:rsid w:val="005E64A4"/>
    <w:rsid w:val="005E672A"/>
    <w:rsid w:val="005E74DA"/>
    <w:rsid w:val="005E7B9B"/>
    <w:rsid w:val="005F1352"/>
    <w:rsid w:val="005F1864"/>
    <w:rsid w:val="005F256C"/>
    <w:rsid w:val="005F3B61"/>
    <w:rsid w:val="005F43D4"/>
    <w:rsid w:val="005F5B3D"/>
    <w:rsid w:val="005F6204"/>
    <w:rsid w:val="005F6D26"/>
    <w:rsid w:val="005F7189"/>
    <w:rsid w:val="005F766D"/>
    <w:rsid w:val="00600679"/>
    <w:rsid w:val="00600AFA"/>
    <w:rsid w:val="00601751"/>
    <w:rsid w:val="006022F4"/>
    <w:rsid w:val="006028ED"/>
    <w:rsid w:val="00602A25"/>
    <w:rsid w:val="006032FB"/>
    <w:rsid w:val="00603625"/>
    <w:rsid w:val="00604013"/>
    <w:rsid w:val="0060430F"/>
    <w:rsid w:val="00604901"/>
    <w:rsid w:val="00604B70"/>
    <w:rsid w:val="00605328"/>
    <w:rsid w:val="00605522"/>
    <w:rsid w:val="00606470"/>
    <w:rsid w:val="00606E3A"/>
    <w:rsid w:val="00607D78"/>
    <w:rsid w:val="00611C51"/>
    <w:rsid w:val="00611EDC"/>
    <w:rsid w:val="00612054"/>
    <w:rsid w:val="0061248D"/>
    <w:rsid w:val="006125BB"/>
    <w:rsid w:val="00612FA2"/>
    <w:rsid w:val="006152AF"/>
    <w:rsid w:val="0061537E"/>
    <w:rsid w:val="006160F6"/>
    <w:rsid w:val="00616451"/>
    <w:rsid w:val="00620B45"/>
    <w:rsid w:val="00620D9C"/>
    <w:rsid w:val="00621EA7"/>
    <w:rsid w:val="00622793"/>
    <w:rsid w:val="00624504"/>
    <w:rsid w:val="0062698C"/>
    <w:rsid w:val="00627137"/>
    <w:rsid w:val="0062759F"/>
    <w:rsid w:val="00627B0E"/>
    <w:rsid w:val="00627B33"/>
    <w:rsid w:val="00627BAA"/>
    <w:rsid w:val="006304B7"/>
    <w:rsid w:val="00630F29"/>
    <w:rsid w:val="0063139B"/>
    <w:rsid w:val="00631BA4"/>
    <w:rsid w:val="00632AF9"/>
    <w:rsid w:val="006333DF"/>
    <w:rsid w:val="00633C24"/>
    <w:rsid w:val="00634030"/>
    <w:rsid w:val="006344A5"/>
    <w:rsid w:val="00635137"/>
    <w:rsid w:val="00635730"/>
    <w:rsid w:val="00636269"/>
    <w:rsid w:val="0063688A"/>
    <w:rsid w:val="00637549"/>
    <w:rsid w:val="00641292"/>
    <w:rsid w:val="00642134"/>
    <w:rsid w:val="006431FB"/>
    <w:rsid w:val="00643875"/>
    <w:rsid w:val="0064398C"/>
    <w:rsid w:val="006467C5"/>
    <w:rsid w:val="0064706A"/>
    <w:rsid w:val="00647167"/>
    <w:rsid w:val="006475F1"/>
    <w:rsid w:val="006501DE"/>
    <w:rsid w:val="00650552"/>
    <w:rsid w:val="00650AF3"/>
    <w:rsid w:val="00650D3D"/>
    <w:rsid w:val="0065125F"/>
    <w:rsid w:val="00651CB6"/>
    <w:rsid w:val="006531A2"/>
    <w:rsid w:val="006532C2"/>
    <w:rsid w:val="0065385E"/>
    <w:rsid w:val="006538CA"/>
    <w:rsid w:val="006538E7"/>
    <w:rsid w:val="006539A9"/>
    <w:rsid w:val="006546A2"/>
    <w:rsid w:val="00654795"/>
    <w:rsid w:val="00654F7E"/>
    <w:rsid w:val="006557B6"/>
    <w:rsid w:val="00655E93"/>
    <w:rsid w:val="006562EC"/>
    <w:rsid w:val="00656358"/>
    <w:rsid w:val="006566FF"/>
    <w:rsid w:val="006576C5"/>
    <w:rsid w:val="0066035D"/>
    <w:rsid w:val="0066043B"/>
    <w:rsid w:val="0066135B"/>
    <w:rsid w:val="00661546"/>
    <w:rsid w:val="0066196E"/>
    <w:rsid w:val="00661CF4"/>
    <w:rsid w:val="00661E25"/>
    <w:rsid w:val="006633C5"/>
    <w:rsid w:val="0066345B"/>
    <w:rsid w:val="00663557"/>
    <w:rsid w:val="006638B4"/>
    <w:rsid w:val="00663C97"/>
    <w:rsid w:val="00664045"/>
    <w:rsid w:val="00665055"/>
    <w:rsid w:val="00665096"/>
    <w:rsid w:val="006654DB"/>
    <w:rsid w:val="006658B9"/>
    <w:rsid w:val="00665D7B"/>
    <w:rsid w:val="00666405"/>
    <w:rsid w:val="00666562"/>
    <w:rsid w:val="00667F42"/>
    <w:rsid w:val="006702A7"/>
    <w:rsid w:val="00670507"/>
    <w:rsid w:val="00671A78"/>
    <w:rsid w:val="00673341"/>
    <w:rsid w:val="00673D90"/>
    <w:rsid w:val="006746EF"/>
    <w:rsid w:val="0067486D"/>
    <w:rsid w:val="00674DDA"/>
    <w:rsid w:val="00675ABE"/>
    <w:rsid w:val="006771D8"/>
    <w:rsid w:val="0067733C"/>
    <w:rsid w:val="00677867"/>
    <w:rsid w:val="00677A24"/>
    <w:rsid w:val="00677B27"/>
    <w:rsid w:val="00680028"/>
    <w:rsid w:val="0068126B"/>
    <w:rsid w:val="00681427"/>
    <w:rsid w:val="00681D56"/>
    <w:rsid w:val="006820EE"/>
    <w:rsid w:val="006825AB"/>
    <w:rsid w:val="00682A9E"/>
    <w:rsid w:val="00682C6F"/>
    <w:rsid w:val="00683C77"/>
    <w:rsid w:val="00683DD5"/>
    <w:rsid w:val="00684210"/>
    <w:rsid w:val="00684B66"/>
    <w:rsid w:val="00685085"/>
    <w:rsid w:val="006873BE"/>
    <w:rsid w:val="00687D97"/>
    <w:rsid w:val="006902F7"/>
    <w:rsid w:val="00690A2B"/>
    <w:rsid w:val="006910F7"/>
    <w:rsid w:val="0069140E"/>
    <w:rsid w:val="00691EDA"/>
    <w:rsid w:val="00691F6D"/>
    <w:rsid w:val="00692418"/>
    <w:rsid w:val="006924B2"/>
    <w:rsid w:val="0069257C"/>
    <w:rsid w:val="00693527"/>
    <w:rsid w:val="006935CC"/>
    <w:rsid w:val="00694EC7"/>
    <w:rsid w:val="00695E44"/>
    <w:rsid w:val="00697AB0"/>
    <w:rsid w:val="006A06D5"/>
    <w:rsid w:val="006A42D0"/>
    <w:rsid w:val="006A4EF2"/>
    <w:rsid w:val="006A5011"/>
    <w:rsid w:val="006A5459"/>
    <w:rsid w:val="006A5516"/>
    <w:rsid w:val="006A5BEA"/>
    <w:rsid w:val="006A6380"/>
    <w:rsid w:val="006A66FC"/>
    <w:rsid w:val="006A73FE"/>
    <w:rsid w:val="006A74DE"/>
    <w:rsid w:val="006B08C1"/>
    <w:rsid w:val="006B0CAC"/>
    <w:rsid w:val="006B0DCB"/>
    <w:rsid w:val="006B1234"/>
    <w:rsid w:val="006B1447"/>
    <w:rsid w:val="006B1A79"/>
    <w:rsid w:val="006B1E68"/>
    <w:rsid w:val="006B2980"/>
    <w:rsid w:val="006B328D"/>
    <w:rsid w:val="006B3319"/>
    <w:rsid w:val="006B436C"/>
    <w:rsid w:val="006B4659"/>
    <w:rsid w:val="006B4C51"/>
    <w:rsid w:val="006B507D"/>
    <w:rsid w:val="006B5770"/>
    <w:rsid w:val="006B5B3C"/>
    <w:rsid w:val="006B609A"/>
    <w:rsid w:val="006B6598"/>
    <w:rsid w:val="006B6F22"/>
    <w:rsid w:val="006B707A"/>
    <w:rsid w:val="006B7670"/>
    <w:rsid w:val="006C046E"/>
    <w:rsid w:val="006C068C"/>
    <w:rsid w:val="006C08EF"/>
    <w:rsid w:val="006C0E45"/>
    <w:rsid w:val="006C117E"/>
    <w:rsid w:val="006C1F53"/>
    <w:rsid w:val="006C22BB"/>
    <w:rsid w:val="006C2619"/>
    <w:rsid w:val="006C26AD"/>
    <w:rsid w:val="006C3152"/>
    <w:rsid w:val="006C45F1"/>
    <w:rsid w:val="006C45FC"/>
    <w:rsid w:val="006C4A50"/>
    <w:rsid w:val="006C4ECE"/>
    <w:rsid w:val="006C5E47"/>
    <w:rsid w:val="006C617E"/>
    <w:rsid w:val="006C6C59"/>
    <w:rsid w:val="006C7136"/>
    <w:rsid w:val="006C7232"/>
    <w:rsid w:val="006C79A5"/>
    <w:rsid w:val="006C7C38"/>
    <w:rsid w:val="006D01DB"/>
    <w:rsid w:val="006D088F"/>
    <w:rsid w:val="006D1097"/>
    <w:rsid w:val="006D1933"/>
    <w:rsid w:val="006D2908"/>
    <w:rsid w:val="006D304D"/>
    <w:rsid w:val="006D3EC1"/>
    <w:rsid w:val="006D4895"/>
    <w:rsid w:val="006D4A23"/>
    <w:rsid w:val="006D53B3"/>
    <w:rsid w:val="006D605D"/>
    <w:rsid w:val="006D62E6"/>
    <w:rsid w:val="006D6C61"/>
    <w:rsid w:val="006D746C"/>
    <w:rsid w:val="006D7766"/>
    <w:rsid w:val="006D7A02"/>
    <w:rsid w:val="006D7BB7"/>
    <w:rsid w:val="006E06C0"/>
    <w:rsid w:val="006E0E82"/>
    <w:rsid w:val="006E310A"/>
    <w:rsid w:val="006E345B"/>
    <w:rsid w:val="006E3988"/>
    <w:rsid w:val="006E43A3"/>
    <w:rsid w:val="006E4672"/>
    <w:rsid w:val="006E52B9"/>
    <w:rsid w:val="006E55B8"/>
    <w:rsid w:val="006E589C"/>
    <w:rsid w:val="006E66CF"/>
    <w:rsid w:val="006E67B5"/>
    <w:rsid w:val="006E6A6B"/>
    <w:rsid w:val="006E6B6E"/>
    <w:rsid w:val="006E770E"/>
    <w:rsid w:val="006E792B"/>
    <w:rsid w:val="006E7C47"/>
    <w:rsid w:val="006E7DFF"/>
    <w:rsid w:val="006E7F67"/>
    <w:rsid w:val="006E7F75"/>
    <w:rsid w:val="006F03EF"/>
    <w:rsid w:val="006F078E"/>
    <w:rsid w:val="006F0896"/>
    <w:rsid w:val="006F0EFD"/>
    <w:rsid w:val="006F1295"/>
    <w:rsid w:val="006F14B6"/>
    <w:rsid w:val="006F17D5"/>
    <w:rsid w:val="006F2AF4"/>
    <w:rsid w:val="006F314E"/>
    <w:rsid w:val="006F3F8F"/>
    <w:rsid w:val="006F6070"/>
    <w:rsid w:val="006F61FB"/>
    <w:rsid w:val="006F62A0"/>
    <w:rsid w:val="006F6356"/>
    <w:rsid w:val="006F70A8"/>
    <w:rsid w:val="006F7C3E"/>
    <w:rsid w:val="00700A4E"/>
    <w:rsid w:val="00701337"/>
    <w:rsid w:val="007013BD"/>
    <w:rsid w:val="00701FE0"/>
    <w:rsid w:val="007020F0"/>
    <w:rsid w:val="0070212A"/>
    <w:rsid w:val="0070256E"/>
    <w:rsid w:val="00703CD1"/>
    <w:rsid w:val="007040C1"/>
    <w:rsid w:val="007045BA"/>
    <w:rsid w:val="0070519B"/>
    <w:rsid w:val="007051E3"/>
    <w:rsid w:val="00705253"/>
    <w:rsid w:val="007060F4"/>
    <w:rsid w:val="007066A1"/>
    <w:rsid w:val="007066E5"/>
    <w:rsid w:val="00706830"/>
    <w:rsid w:val="00707656"/>
    <w:rsid w:val="007078D3"/>
    <w:rsid w:val="007101D8"/>
    <w:rsid w:val="007103C3"/>
    <w:rsid w:val="007103E4"/>
    <w:rsid w:val="007106F4"/>
    <w:rsid w:val="00711282"/>
    <w:rsid w:val="00712CC1"/>
    <w:rsid w:val="007134EF"/>
    <w:rsid w:val="00713D10"/>
    <w:rsid w:val="00714B58"/>
    <w:rsid w:val="00715515"/>
    <w:rsid w:val="0071581A"/>
    <w:rsid w:val="007158D1"/>
    <w:rsid w:val="00715993"/>
    <w:rsid w:val="007165CD"/>
    <w:rsid w:val="007167D5"/>
    <w:rsid w:val="00716A22"/>
    <w:rsid w:val="00717171"/>
    <w:rsid w:val="007179CC"/>
    <w:rsid w:val="00717CCA"/>
    <w:rsid w:val="00720AEB"/>
    <w:rsid w:val="00720D0D"/>
    <w:rsid w:val="00721AFE"/>
    <w:rsid w:val="00722B2D"/>
    <w:rsid w:val="00722DAA"/>
    <w:rsid w:val="007240DD"/>
    <w:rsid w:val="007244C6"/>
    <w:rsid w:val="00724A93"/>
    <w:rsid w:val="00725072"/>
    <w:rsid w:val="00725748"/>
    <w:rsid w:val="00725D06"/>
    <w:rsid w:val="00726381"/>
    <w:rsid w:val="007264C1"/>
    <w:rsid w:val="00727AC4"/>
    <w:rsid w:val="00727DC0"/>
    <w:rsid w:val="00731485"/>
    <w:rsid w:val="007315E0"/>
    <w:rsid w:val="00731815"/>
    <w:rsid w:val="00731DDB"/>
    <w:rsid w:val="00732058"/>
    <w:rsid w:val="00732489"/>
    <w:rsid w:val="00732612"/>
    <w:rsid w:val="00733991"/>
    <w:rsid w:val="00733C44"/>
    <w:rsid w:val="00733D9D"/>
    <w:rsid w:val="00737137"/>
    <w:rsid w:val="007379C7"/>
    <w:rsid w:val="00737B55"/>
    <w:rsid w:val="00740384"/>
    <w:rsid w:val="00740BAB"/>
    <w:rsid w:val="00740C0B"/>
    <w:rsid w:val="007419BD"/>
    <w:rsid w:val="00742E84"/>
    <w:rsid w:val="00744534"/>
    <w:rsid w:val="00745927"/>
    <w:rsid w:val="00747148"/>
    <w:rsid w:val="00747258"/>
    <w:rsid w:val="0074738A"/>
    <w:rsid w:val="00747A4F"/>
    <w:rsid w:val="007504AB"/>
    <w:rsid w:val="007509BE"/>
    <w:rsid w:val="00751145"/>
    <w:rsid w:val="00751794"/>
    <w:rsid w:val="007528CD"/>
    <w:rsid w:val="00753150"/>
    <w:rsid w:val="00753748"/>
    <w:rsid w:val="00753B63"/>
    <w:rsid w:val="007542CE"/>
    <w:rsid w:val="00754401"/>
    <w:rsid w:val="00754558"/>
    <w:rsid w:val="0075459C"/>
    <w:rsid w:val="00754923"/>
    <w:rsid w:val="007556D1"/>
    <w:rsid w:val="0075595D"/>
    <w:rsid w:val="0075630A"/>
    <w:rsid w:val="00756A28"/>
    <w:rsid w:val="0075797E"/>
    <w:rsid w:val="00757988"/>
    <w:rsid w:val="00757C29"/>
    <w:rsid w:val="007606FD"/>
    <w:rsid w:val="0076093C"/>
    <w:rsid w:val="00760F2E"/>
    <w:rsid w:val="0076198F"/>
    <w:rsid w:val="007621A4"/>
    <w:rsid w:val="00762B60"/>
    <w:rsid w:val="00762C97"/>
    <w:rsid w:val="007635D4"/>
    <w:rsid w:val="00763B25"/>
    <w:rsid w:val="00763D5D"/>
    <w:rsid w:val="007642DD"/>
    <w:rsid w:val="00764422"/>
    <w:rsid w:val="007645FC"/>
    <w:rsid w:val="00764EA7"/>
    <w:rsid w:val="007659E3"/>
    <w:rsid w:val="0076645C"/>
    <w:rsid w:val="00766A59"/>
    <w:rsid w:val="0076704F"/>
    <w:rsid w:val="00767B69"/>
    <w:rsid w:val="00770273"/>
    <w:rsid w:val="0077124F"/>
    <w:rsid w:val="00771E99"/>
    <w:rsid w:val="00771F8D"/>
    <w:rsid w:val="0077233D"/>
    <w:rsid w:val="007723E9"/>
    <w:rsid w:val="007727D4"/>
    <w:rsid w:val="00773FF7"/>
    <w:rsid w:val="007754AA"/>
    <w:rsid w:val="00775981"/>
    <w:rsid w:val="00775B2A"/>
    <w:rsid w:val="0077624F"/>
    <w:rsid w:val="00777077"/>
    <w:rsid w:val="00777200"/>
    <w:rsid w:val="007779BE"/>
    <w:rsid w:val="007809A0"/>
    <w:rsid w:val="00780A16"/>
    <w:rsid w:val="00780B3F"/>
    <w:rsid w:val="00781096"/>
    <w:rsid w:val="00781544"/>
    <w:rsid w:val="00781EEB"/>
    <w:rsid w:val="00782E5D"/>
    <w:rsid w:val="0078340D"/>
    <w:rsid w:val="00783948"/>
    <w:rsid w:val="00783EDD"/>
    <w:rsid w:val="007844B9"/>
    <w:rsid w:val="00784B54"/>
    <w:rsid w:val="00784B7B"/>
    <w:rsid w:val="00784E2D"/>
    <w:rsid w:val="00785B2D"/>
    <w:rsid w:val="00785D8C"/>
    <w:rsid w:val="00785D9A"/>
    <w:rsid w:val="00786546"/>
    <w:rsid w:val="00786B2E"/>
    <w:rsid w:val="00786D9F"/>
    <w:rsid w:val="0078707D"/>
    <w:rsid w:val="0078731E"/>
    <w:rsid w:val="0078749E"/>
    <w:rsid w:val="00787B9C"/>
    <w:rsid w:val="00790858"/>
    <w:rsid w:val="00792347"/>
    <w:rsid w:val="007938C2"/>
    <w:rsid w:val="00793A8C"/>
    <w:rsid w:val="0079424C"/>
    <w:rsid w:val="0079460E"/>
    <w:rsid w:val="00794F4B"/>
    <w:rsid w:val="007955BF"/>
    <w:rsid w:val="007957DC"/>
    <w:rsid w:val="00795C4D"/>
    <w:rsid w:val="00796F48"/>
    <w:rsid w:val="0079722D"/>
    <w:rsid w:val="0079792F"/>
    <w:rsid w:val="00797A50"/>
    <w:rsid w:val="00797C0F"/>
    <w:rsid w:val="007A0840"/>
    <w:rsid w:val="007A0E92"/>
    <w:rsid w:val="007A101D"/>
    <w:rsid w:val="007A1814"/>
    <w:rsid w:val="007A1C00"/>
    <w:rsid w:val="007A2603"/>
    <w:rsid w:val="007A2DED"/>
    <w:rsid w:val="007A3D33"/>
    <w:rsid w:val="007A402D"/>
    <w:rsid w:val="007A44EA"/>
    <w:rsid w:val="007A4E9A"/>
    <w:rsid w:val="007A507C"/>
    <w:rsid w:val="007A623C"/>
    <w:rsid w:val="007A667B"/>
    <w:rsid w:val="007A66D2"/>
    <w:rsid w:val="007A6731"/>
    <w:rsid w:val="007A7027"/>
    <w:rsid w:val="007B00B3"/>
    <w:rsid w:val="007B02BC"/>
    <w:rsid w:val="007B052F"/>
    <w:rsid w:val="007B0EAA"/>
    <w:rsid w:val="007B0FFC"/>
    <w:rsid w:val="007B16DD"/>
    <w:rsid w:val="007B1CB0"/>
    <w:rsid w:val="007B29B1"/>
    <w:rsid w:val="007B2E59"/>
    <w:rsid w:val="007B2FA4"/>
    <w:rsid w:val="007B2FCD"/>
    <w:rsid w:val="007B3638"/>
    <w:rsid w:val="007B367F"/>
    <w:rsid w:val="007B53FB"/>
    <w:rsid w:val="007B5CEF"/>
    <w:rsid w:val="007B6E06"/>
    <w:rsid w:val="007B729E"/>
    <w:rsid w:val="007C0183"/>
    <w:rsid w:val="007C0459"/>
    <w:rsid w:val="007C0595"/>
    <w:rsid w:val="007C1F90"/>
    <w:rsid w:val="007C2D5E"/>
    <w:rsid w:val="007C310D"/>
    <w:rsid w:val="007C3B5E"/>
    <w:rsid w:val="007C4AFB"/>
    <w:rsid w:val="007C58FC"/>
    <w:rsid w:val="007C5B41"/>
    <w:rsid w:val="007C61B2"/>
    <w:rsid w:val="007C795A"/>
    <w:rsid w:val="007C7BF2"/>
    <w:rsid w:val="007D0306"/>
    <w:rsid w:val="007D1AE1"/>
    <w:rsid w:val="007D1DBF"/>
    <w:rsid w:val="007D1EB9"/>
    <w:rsid w:val="007D2262"/>
    <w:rsid w:val="007D2D0E"/>
    <w:rsid w:val="007D36E2"/>
    <w:rsid w:val="007D5405"/>
    <w:rsid w:val="007D5A6E"/>
    <w:rsid w:val="007D6243"/>
    <w:rsid w:val="007D64DF"/>
    <w:rsid w:val="007D67E6"/>
    <w:rsid w:val="007D6A28"/>
    <w:rsid w:val="007D718B"/>
    <w:rsid w:val="007D7DD1"/>
    <w:rsid w:val="007E04D9"/>
    <w:rsid w:val="007E0E73"/>
    <w:rsid w:val="007E1C4C"/>
    <w:rsid w:val="007E1EEE"/>
    <w:rsid w:val="007E36B7"/>
    <w:rsid w:val="007E3932"/>
    <w:rsid w:val="007E3AFB"/>
    <w:rsid w:val="007E4166"/>
    <w:rsid w:val="007E43BB"/>
    <w:rsid w:val="007E49D7"/>
    <w:rsid w:val="007E69EF"/>
    <w:rsid w:val="007E7007"/>
    <w:rsid w:val="007E795D"/>
    <w:rsid w:val="007F072A"/>
    <w:rsid w:val="007F07FA"/>
    <w:rsid w:val="007F124C"/>
    <w:rsid w:val="007F2407"/>
    <w:rsid w:val="007F2B9D"/>
    <w:rsid w:val="007F34FF"/>
    <w:rsid w:val="007F35A7"/>
    <w:rsid w:val="007F53C1"/>
    <w:rsid w:val="007F5441"/>
    <w:rsid w:val="007F5D3E"/>
    <w:rsid w:val="007F66CA"/>
    <w:rsid w:val="007F6DFA"/>
    <w:rsid w:val="007F768E"/>
    <w:rsid w:val="007F78F7"/>
    <w:rsid w:val="007F79DB"/>
    <w:rsid w:val="0080011D"/>
    <w:rsid w:val="008002FE"/>
    <w:rsid w:val="00800F17"/>
    <w:rsid w:val="00801C0D"/>
    <w:rsid w:val="00802138"/>
    <w:rsid w:val="0080231E"/>
    <w:rsid w:val="00802BD0"/>
    <w:rsid w:val="00802E0A"/>
    <w:rsid w:val="0080383E"/>
    <w:rsid w:val="0080437A"/>
    <w:rsid w:val="008046F5"/>
    <w:rsid w:val="008048E6"/>
    <w:rsid w:val="00804D75"/>
    <w:rsid w:val="00804D93"/>
    <w:rsid w:val="00805571"/>
    <w:rsid w:val="00807673"/>
    <w:rsid w:val="00807675"/>
    <w:rsid w:val="00807AE2"/>
    <w:rsid w:val="0081051E"/>
    <w:rsid w:val="00811B19"/>
    <w:rsid w:val="00812CE7"/>
    <w:rsid w:val="00812E99"/>
    <w:rsid w:val="00814F3C"/>
    <w:rsid w:val="00815159"/>
    <w:rsid w:val="0081538F"/>
    <w:rsid w:val="00815877"/>
    <w:rsid w:val="00815FBA"/>
    <w:rsid w:val="00816010"/>
    <w:rsid w:val="00816205"/>
    <w:rsid w:val="0081779D"/>
    <w:rsid w:val="00817D5E"/>
    <w:rsid w:val="00820A1B"/>
    <w:rsid w:val="0082118F"/>
    <w:rsid w:val="00821B08"/>
    <w:rsid w:val="00821C18"/>
    <w:rsid w:val="008229F3"/>
    <w:rsid w:val="00822DFF"/>
    <w:rsid w:val="00823105"/>
    <w:rsid w:val="008233F7"/>
    <w:rsid w:val="00823EA4"/>
    <w:rsid w:val="00826008"/>
    <w:rsid w:val="008264C0"/>
    <w:rsid w:val="0082738F"/>
    <w:rsid w:val="008275FA"/>
    <w:rsid w:val="00830A5D"/>
    <w:rsid w:val="0083117F"/>
    <w:rsid w:val="00831340"/>
    <w:rsid w:val="00831969"/>
    <w:rsid w:val="008335C3"/>
    <w:rsid w:val="00833E98"/>
    <w:rsid w:val="008344AA"/>
    <w:rsid w:val="0083527D"/>
    <w:rsid w:val="00835CAD"/>
    <w:rsid w:val="00836B88"/>
    <w:rsid w:val="00836F7A"/>
    <w:rsid w:val="008371C1"/>
    <w:rsid w:val="00837870"/>
    <w:rsid w:val="00840020"/>
    <w:rsid w:val="00840228"/>
    <w:rsid w:val="00840339"/>
    <w:rsid w:val="00840B1E"/>
    <w:rsid w:val="00840E2B"/>
    <w:rsid w:val="0084176F"/>
    <w:rsid w:val="00841F2E"/>
    <w:rsid w:val="008426A1"/>
    <w:rsid w:val="00842D81"/>
    <w:rsid w:val="008430ED"/>
    <w:rsid w:val="00843A53"/>
    <w:rsid w:val="00843BE1"/>
    <w:rsid w:val="00843D07"/>
    <w:rsid w:val="00843DA8"/>
    <w:rsid w:val="00843FBF"/>
    <w:rsid w:val="00843FC4"/>
    <w:rsid w:val="00844460"/>
    <w:rsid w:val="008465C1"/>
    <w:rsid w:val="008466DC"/>
    <w:rsid w:val="00846B51"/>
    <w:rsid w:val="00847546"/>
    <w:rsid w:val="00847A13"/>
    <w:rsid w:val="00847A69"/>
    <w:rsid w:val="00847C36"/>
    <w:rsid w:val="008502FC"/>
    <w:rsid w:val="00850331"/>
    <w:rsid w:val="008509DB"/>
    <w:rsid w:val="00850CF9"/>
    <w:rsid w:val="00851393"/>
    <w:rsid w:val="00852365"/>
    <w:rsid w:val="008524FA"/>
    <w:rsid w:val="008526BB"/>
    <w:rsid w:val="00852BDD"/>
    <w:rsid w:val="00852FCB"/>
    <w:rsid w:val="0085316E"/>
    <w:rsid w:val="00853D99"/>
    <w:rsid w:val="00853F99"/>
    <w:rsid w:val="008542ED"/>
    <w:rsid w:val="00854303"/>
    <w:rsid w:val="0085473F"/>
    <w:rsid w:val="00854C0D"/>
    <w:rsid w:val="0085515F"/>
    <w:rsid w:val="0085588B"/>
    <w:rsid w:val="00855EA7"/>
    <w:rsid w:val="0085619F"/>
    <w:rsid w:val="00856545"/>
    <w:rsid w:val="00857FD3"/>
    <w:rsid w:val="00860065"/>
    <w:rsid w:val="00860A8B"/>
    <w:rsid w:val="00860ABF"/>
    <w:rsid w:val="00860C2A"/>
    <w:rsid w:val="00861D6D"/>
    <w:rsid w:val="00861EA0"/>
    <w:rsid w:val="00862019"/>
    <w:rsid w:val="00862342"/>
    <w:rsid w:val="00862510"/>
    <w:rsid w:val="008635A2"/>
    <w:rsid w:val="00864AA3"/>
    <w:rsid w:val="0086549E"/>
    <w:rsid w:val="0086581A"/>
    <w:rsid w:val="00867127"/>
    <w:rsid w:val="008703AF"/>
    <w:rsid w:val="00870AF2"/>
    <w:rsid w:val="00871794"/>
    <w:rsid w:val="0087226E"/>
    <w:rsid w:val="00872FB1"/>
    <w:rsid w:val="00873623"/>
    <w:rsid w:val="00874236"/>
    <w:rsid w:val="008745CE"/>
    <w:rsid w:val="00874E41"/>
    <w:rsid w:val="00875061"/>
    <w:rsid w:val="00875513"/>
    <w:rsid w:val="0087580F"/>
    <w:rsid w:val="00875F73"/>
    <w:rsid w:val="00876555"/>
    <w:rsid w:val="00877B9A"/>
    <w:rsid w:val="00877D95"/>
    <w:rsid w:val="00877E1A"/>
    <w:rsid w:val="008806EF"/>
    <w:rsid w:val="00881135"/>
    <w:rsid w:val="00882B5B"/>
    <w:rsid w:val="00882BC7"/>
    <w:rsid w:val="00883157"/>
    <w:rsid w:val="008832CE"/>
    <w:rsid w:val="00883673"/>
    <w:rsid w:val="00883AA9"/>
    <w:rsid w:val="00883DB1"/>
    <w:rsid w:val="008841F6"/>
    <w:rsid w:val="008849C5"/>
    <w:rsid w:val="008853D0"/>
    <w:rsid w:val="00885BE4"/>
    <w:rsid w:val="00886552"/>
    <w:rsid w:val="008867CF"/>
    <w:rsid w:val="008868EA"/>
    <w:rsid w:val="00887424"/>
    <w:rsid w:val="00887E08"/>
    <w:rsid w:val="00887E26"/>
    <w:rsid w:val="00890137"/>
    <w:rsid w:val="00891F52"/>
    <w:rsid w:val="00891F91"/>
    <w:rsid w:val="008924D2"/>
    <w:rsid w:val="00892A59"/>
    <w:rsid w:val="008931B0"/>
    <w:rsid w:val="00894462"/>
    <w:rsid w:val="0089545F"/>
    <w:rsid w:val="00895BE5"/>
    <w:rsid w:val="00895E74"/>
    <w:rsid w:val="008963C1"/>
    <w:rsid w:val="00896D48"/>
    <w:rsid w:val="008979F5"/>
    <w:rsid w:val="00897BEC"/>
    <w:rsid w:val="008A1851"/>
    <w:rsid w:val="008A197C"/>
    <w:rsid w:val="008A233F"/>
    <w:rsid w:val="008A2BE5"/>
    <w:rsid w:val="008A3583"/>
    <w:rsid w:val="008A3704"/>
    <w:rsid w:val="008A3955"/>
    <w:rsid w:val="008A397E"/>
    <w:rsid w:val="008A39AC"/>
    <w:rsid w:val="008A3E44"/>
    <w:rsid w:val="008A41FB"/>
    <w:rsid w:val="008A4BF1"/>
    <w:rsid w:val="008A516E"/>
    <w:rsid w:val="008A5259"/>
    <w:rsid w:val="008A53D7"/>
    <w:rsid w:val="008A5B5B"/>
    <w:rsid w:val="008A5CB3"/>
    <w:rsid w:val="008A6003"/>
    <w:rsid w:val="008A6B34"/>
    <w:rsid w:val="008A6E95"/>
    <w:rsid w:val="008A7899"/>
    <w:rsid w:val="008A7AC4"/>
    <w:rsid w:val="008B0336"/>
    <w:rsid w:val="008B0A06"/>
    <w:rsid w:val="008B16BA"/>
    <w:rsid w:val="008B183E"/>
    <w:rsid w:val="008B3947"/>
    <w:rsid w:val="008B42F3"/>
    <w:rsid w:val="008B5AE4"/>
    <w:rsid w:val="008B5BDD"/>
    <w:rsid w:val="008B5C4E"/>
    <w:rsid w:val="008B64A3"/>
    <w:rsid w:val="008B6791"/>
    <w:rsid w:val="008C2B1F"/>
    <w:rsid w:val="008C2F9D"/>
    <w:rsid w:val="008C3776"/>
    <w:rsid w:val="008C40FA"/>
    <w:rsid w:val="008C442F"/>
    <w:rsid w:val="008C475D"/>
    <w:rsid w:val="008C4CF8"/>
    <w:rsid w:val="008C5A58"/>
    <w:rsid w:val="008C5F5A"/>
    <w:rsid w:val="008C6511"/>
    <w:rsid w:val="008C6602"/>
    <w:rsid w:val="008C6E91"/>
    <w:rsid w:val="008C70DF"/>
    <w:rsid w:val="008C7763"/>
    <w:rsid w:val="008D08EF"/>
    <w:rsid w:val="008D11B0"/>
    <w:rsid w:val="008D1C8B"/>
    <w:rsid w:val="008D2FFB"/>
    <w:rsid w:val="008D3089"/>
    <w:rsid w:val="008D3F6F"/>
    <w:rsid w:val="008D493A"/>
    <w:rsid w:val="008D4E65"/>
    <w:rsid w:val="008D5B30"/>
    <w:rsid w:val="008D5B31"/>
    <w:rsid w:val="008D5DB7"/>
    <w:rsid w:val="008D6EA5"/>
    <w:rsid w:val="008D75B0"/>
    <w:rsid w:val="008D7DBA"/>
    <w:rsid w:val="008E01ED"/>
    <w:rsid w:val="008E08EC"/>
    <w:rsid w:val="008E2D14"/>
    <w:rsid w:val="008E3DB1"/>
    <w:rsid w:val="008E4A3F"/>
    <w:rsid w:val="008E5071"/>
    <w:rsid w:val="008E6006"/>
    <w:rsid w:val="008E6533"/>
    <w:rsid w:val="008E690D"/>
    <w:rsid w:val="008E6A22"/>
    <w:rsid w:val="008E7BD9"/>
    <w:rsid w:val="008F0362"/>
    <w:rsid w:val="008F0FB5"/>
    <w:rsid w:val="008F1218"/>
    <w:rsid w:val="008F1421"/>
    <w:rsid w:val="008F200D"/>
    <w:rsid w:val="008F210C"/>
    <w:rsid w:val="008F26E1"/>
    <w:rsid w:val="008F351B"/>
    <w:rsid w:val="008F35EF"/>
    <w:rsid w:val="008F3E7C"/>
    <w:rsid w:val="008F428F"/>
    <w:rsid w:val="008F4827"/>
    <w:rsid w:val="008F52F1"/>
    <w:rsid w:val="008F556A"/>
    <w:rsid w:val="008F55AD"/>
    <w:rsid w:val="008F56E7"/>
    <w:rsid w:val="008F6A9B"/>
    <w:rsid w:val="008F7A76"/>
    <w:rsid w:val="008F7ACD"/>
    <w:rsid w:val="008F7DE6"/>
    <w:rsid w:val="00900374"/>
    <w:rsid w:val="0090040E"/>
    <w:rsid w:val="009008B2"/>
    <w:rsid w:val="009008CF"/>
    <w:rsid w:val="009011EB"/>
    <w:rsid w:val="00901202"/>
    <w:rsid w:val="009013EF"/>
    <w:rsid w:val="0090153B"/>
    <w:rsid w:val="00901B10"/>
    <w:rsid w:val="009020C8"/>
    <w:rsid w:val="00902618"/>
    <w:rsid w:val="00903036"/>
    <w:rsid w:val="00903EDD"/>
    <w:rsid w:val="009040F5"/>
    <w:rsid w:val="009047AA"/>
    <w:rsid w:val="00904967"/>
    <w:rsid w:val="00904F31"/>
    <w:rsid w:val="00904FAC"/>
    <w:rsid w:val="0090549E"/>
    <w:rsid w:val="009056BE"/>
    <w:rsid w:val="009062F9"/>
    <w:rsid w:val="00906F93"/>
    <w:rsid w:val="00907E56"/>
    <w:rsid w:val="009105E7"/>
    <w:rsid w:val="00910682"/>
    <w:rsid w:val="00910989"/>
    <w:rsid w:val="009111CF"/>
    <w:rsid w:val="00912056"/>
    <w:rsid w:val="0091483C"/>
    <w:rsid w:val="00915BBA"/>
    <w:rsid w:val="009164F9"/>
    <w:rsid w:val="00916B8B"/>
    <w:rsid w:val="00916F34"/>
    <w:rsid w:val="00917643"/>
    <w:rsid w:val="00917AD0"/>
    <w:rsid w:val="00917ECF"/>
    <w:rsid w:val="009205D3"/>
    <w:rsid w:val="00920720"/>
    <w:rsid w:val="009212DB"/>
    <w:rsid w:val="00922D58"/>
    <w:rsid w:val="0092310D"/>
    <w:rsid w:val="009231E1"/>
    <w:rsid w:val="00923282"/>
    <w:rsid w:val="0092370A"/>
    <w:rsid w:val="00923D13"/>
    <w:rsid w:val="00923D26"/>
    <w:rsid w:val="009241A3"/>
    <w:rsid w:val="00924EC1"/>
    <w:rsid w:val="0092532E"/>
    <w:rsid w:val="009256E8"/>
    <w:rsid w:val="009259EF"/>
    <w:rsid w:val="00925BB5"/>
    <w:rsid w:val="00926235"/>
    <w:rsid w:val="00926C52"/>
    <w:rsid w:val="009270B8"/>
    <w:rsid w:val="00927172"/>
    <w:rsid w:val="009271DB"/>
    <w:rsid w:val="009276D5"/>
    <w:rsid w:val="00930744"/>
    <w:rsid w:val="00930EE6"/>
    <w:rsid w:val="00931001"/>
    <w:rsid w:val="00931D99"/>
    <w:rsid w:val="0093245A"/>
    <w:rsid w:val="0093385E"/>
    <w:rsid w:val="00933F87"/>
    <w:rsid w:val="0093415D"/>
    <w:rsid w:val="0093594E"/>
    <w:rsid w:val="0093632B"/>
    <w:rsid w:val="0093698D"/>
    <w:rsid w:val="00937780"/>
    <w:rsid w:val="00937F12"/>
    <w:rsid w:val="0094032F"/>
    <w:rsid w:val="00940A7E"/>
    <w:rsid w:val="009414FE"/>
    <w:rsid w:val="00942169"/>
    <w:rsid w:val="0094221E"/>
    <w:rsid w:val="009423C7"/>
    <w:rsid w:val="009431C2"/>
    <w:rsid w:val="00943210"/>
    <w:rsid w:val="009436DE"/>
    <w:rsid w:val="00943D80"/>
    <w:rsid w:val="0094487D"/>
    <w:rsid w:val="00944D4C"/>
    <w:rsid w:val="0094533C"/>
    <w:rsid w:val="0094539E"/>
    <w:rsid w:val="0094603F"/>
    <w:rsid w:val="009463E3"/>
    <w:rsid w:val="0094691B"/>
    <w:rsid w:val="00946A46"/>
    <w:rsid w:val="00947CD8"/>
    <w:rsid w:val="00950885"/>
    <w:rsid w:val="00951457"/>
    <w:rsid w:val="009519AE"/>
    <w:rsid w:val="0095250F"/>
    <w:rsid w:val="00952AFC"/>
    <w:rsid w:val="00953522"/>
    <w:rsid w:val="00954C63"/>
    <w:rsid w:val="00954EFE"/>
    <w:rsid w:val="0095502F"/>
    <w:rsid w:val="009554DB"/>
    <w:rsid w:val="00955BD1"/>
    <w:rsid w:val="00956877"/>
    <w:rsid w:val="00957139"/>
    <w:rsid w:val="00957672"/>
    <w:rsid w:val="00957AB1"/>
    <w:rsid w:val="00960253"/>
    <w:rsid w:val="009609C6"/>
    <w:rsid w:val="009609E6"/>
    <w:rsid w:val="00960E99"/>
    <w:rsid w:val="0096188E"/>
    <w:rsid w:val="0096232E"/>
    <w:rsid w:val="0096256C"/>
    <w:rsid w:val="00962DA0"/>
    <w:rsid w:val="009641DC"/>
    <w:rsid w:val="009653D7"/>
    <w:rsid w:val="009656B4"/>
    <w:rsid w:val="0096650B"/>
    <w:rsid w:val="00966938"/>
    <w:rsid w:val="0096711A"/>
    <w:rsid w:val="00967D5C"/>
    <w:rsid w:val="00970C3A"/>
    <w:rsid w:val="00971202"/>
    <w:rsid w:val="00971797"/>
    <w:rsid w:val="00971F8E"/>
    <w:rsid w:val="00973270"/>
    <w:rsid w:val="009738A9"/>
    <w:rsid w:val="00973F87"/>
    <w:rsid w:val="009753CC"/>
    <w:rsid w:val="009754B0"/>
    <w:rsid w:val="009754C3"/>
    <w:rsid w:val="00975C47"/>
    <w:rsid w:val="00977091"/>
    <w:rsid w:val="009779F3"/>
    <w:rsid w:val="009804AD"/>
    <w:rsid w:val="0098201D"/>
    <w:rsid w:val="0098219C"/>
    <w:rsid w:val="009827CD"/>
    <w:rsid w:val="00982C0B"/>
    <w:rsid w:val="00982F79"/>
    <w:rsid w:val="009836E4"/>
    <w:rsid w:val="00983A40"/>
    <w:rsid w:val="00984054"/>
    <w:rsid w:val="0098418F"/>
    <w:rsid w:val="0098478C"/>
    <w:rsid w:val="00984B91"/>
    <w:rsid w:val="00985490"/>
    <w:rsid w:val="0098572A"/>
    <w:rsid w:val="00986066"/>
    <w:rsid w:val="00986137"/>
    <w:rsid w:val="00986F76"/>
    <w:rsid w:val="00986FA0"/>
    <w:rsid w:val="00987554"/>
    <w:rsid w:val="00987867"/>
    <w:rsid w:val="00990161"/>
    <w:rsid w:val="0099025B"/>
    <w:rsid w:val="00990B2C"/>
    <w:rsid w:val="00991802"/>
    <w:rsid w:val="00991970"/>
    <w:rsid w:val="00992342"/>
    <w:rsid w:val="009926AC"/>
    <w:rsid w:val="00992998"/>
    <w:rsid w:val="00993704"/>
    <w:rsid w:val="009937AC"/>
    <w:rsid w:val="00993C16"/>
    <w:rsid w:val="00993C95"/>
    <w:rsid w:val="00993CE7"/>
    <w:rsid w:val="00993FEA"/>
    <w:rsid w:val="009947B3"/>
    <w:rsid w:val="009966B8"/>
    <w:rsid w:val="00996784"/>
    <w:rsid w:val="0099679B"/>
    <w:rsid w:val="00996866"/>
    <w:rsid w:val="00996C16"/>
    <w:rsid w:val="00996CF1"/>
    <w:rsid w:val="009A0EA7"/>
    <w:rsid w:val="009A1857"/>
    <w:rsid w:val="009A289A"/>
    <w:rsid w:val="009A290B"/>
    <w:rsid w:val="009A3FBB"/>
    <w:rsid w:val="009A43A2"/>
    <w:rsid w:val="009A5177"/>
    <w:rsid w:val="009A560D"/>
    <w:rsid w:val="009A5FDD"/>
    <w:rsid w:val="009A6653"/>
    <w:rsid w:val="009A6B44"/>
    <w:rsid w:val="009A6C78"/>
    <w:rsid w:val="009A6E7F"/>
    <w:rsid w:val="009A6F41"/>
    <w:rsid w:val="009A7C99"/>
    <w:rsid w:val="009B2B83"/>
    <w:rsid w:val="009B2E0D"/>
    <w:rsid w:val="009B3337"/>
    <w:rsid w:val="009B33C2"/>
    <w:rsid w:val="009B3ACA"/>
    <w:rsid w:val="009B4790"/>
    <w:rsid w:val="009B47E9"/>
    <w:rsid w:val="009B5A97"/>
    <w:rsid w:val="009B6D05"/>
    <w:rsid w:val="009C1956"/>
    <w:rsid w:val="009C2F97"/>
    <w:rsid w:val="009C3005"/>
    <w:rsid w:val="009C31FF"/>
    <w:rsid w:val="009C3A18"/>
    <w:rsid w:val="009C3A48"/>
    <w:rsid w:val="009C3CC3"/>
    <w:rsid w:val="009C3ECF"/>
    <w:rsid w:val="009C50BC"/>
    <w:rsid w:val="009C59DC"/>
    <w:rsid w:val="009C5B5E"/>
    <w:rsid w:val="009C6C3B"/>
    <w:rsid w:val="009C7054"/>
    <w:rsid w:val="009C7982"/>
    <w:rsid w:val="009D0421"/>
    <w:rsid w:val="009D0A5F"/>
    <w:rsid w:val="009D11B4"/>
    <w:rsid w:val="009D17B4"/>
    <w:rsid w:val="009D1849"/>
    <w:rsid w:val="009D1C7D"/>
    <w:rsid w:val="009D1D50"/>
    <w:rsid w:val="009D260E"/>
    <w:rsid w:val="009D45F8"/>
    <w:rsid w:val="009D59F6"/>
    <w:rsid w:val="009D6990"/>
    <w:rsid w:val="009D6FE9"/>
    <w:rsid w:val="009D7B85"/>
    <w:rsid w:val="009E07BC"/>
    <w:rsid w:val="009E0831"/>
    <w:rsid w:val="009E0AB3"/>
    <w:rsid w:val="009E108A"/>
    <w:rsid w:val="009E1154"/>
    <w:rsid w:val="009E1261"/>
    <w:rsid w:val="009E1324"/>
    <w:rsid w:val="009E2231"/>
    <w:rsid w:val="009E228A"/>
    <w:rsid w:val="009E5B44"/>
    <w:rsid w:val="009E6FC3"/>
    <w:rsid w:val="009E73B1"/>
    <w:rsid w:val="009E79DD"/>
    <w:rsid w:val="009F0435"/>
    <w:rsid w:val="009F129A"/>
    <w:rsid w:val="009F12C1"/>
    <w:rsid w:val="009F1584"/>
    <w:rsid w:val="009F1FCD"/>
    <w:rsid w:val="009F2915"/>
    <w:rsid w:val="009F3B75"/>
    <w:rsid w:val="009F556D"/>
    <w:rsid w:val="009F586D"/>
    <w:rsid w:val="009F59AC"/>
    <w:rsid w:val="009F5FE5"/>
    <w:rsid w:val="009F63B8"/>
    <w:rsid w:val="009F653C"/>
    <w:rsid w:val="009F6C3F"/>
    <w:rsid w:val="009F734B"/>
    <w:rsid w:val="00A007FE"/>
    <w:rsid w:val="00A0113D"/>
    <w:rsid w:val="00A012BB"/>
    <w:rsid w:val="00A0133F"/>
    <w:rsid w:val="00A01556"/>
    <w:rsid w:val="00A01A0F"/>
    <w:rsid w:val="00A01C54"/>
    <w:rsid w:val="00A026AB"/>
    <w:rsid w:val="00A02876"/>
    <w:rsid w:val="00A02B34"/>
    <w:rsid w:val="00A02C02"/>
    <w:rsid w:val="00A03073"/>
    <w:rsid w:val="00A038C0"/>
    <w:rsid w:val="00A03C2D"/>
    <w:rsid w:val="00A043BB"/>
    <w:rsid w:val="00A04B5E"/>
    <w:rsid w:val="00A04C09"/>
    <w:rsid w:val="00A04F66"/>
    <w:rsid w:val="00A04FC9"/>
    <w:rsid w:val="00A05279"/>
    <w:rsid w:val="00A05371"/>
    <w:rsid w:val="00A057D4"/>
    <w:rsid w:val="00A05DBB"/>
    <w:rsid w:val="00A066EF"/>
    <w:rsid w:val="00A06F21"/>
    <w:rsid w:val="00A07144"/>
    <w:rsid w:val="00A07C6F"/>
    <w:rsid w:val="00A101F8"/>
    <w:rsid w:val="00A10253"/>
    <w:rsid w:val="00A10C80"/>
    <w:rsid w:val="00A10F8C"/>
    <w:rsid w:val="00A1117F"/>
    <w:rsid w:val="00A11F2F"/>
    <w:rsid w:val="00A12347"/>
    <w:rsid w:val="00A12413"/>
    <w:rsid w:val="00A12DA4"/>
    <w:rsid w:val="00A138BF"/>
    <w:rsid w:val="00A141FF"/>
    <w:rsid w:val="00A15817"/>
    <w:rsid w:val="00A163C5"/>
    <w:rsid w:val="00A17336"/>
    <w:rsid w:val="00A17A0D"/>
    <w:rsid w:val="00A17A87"/>
    <w:rsid w:val="00A17B1E"/>
    <w:rsid w:val="00A2061A"/>
    <w:rsid w:val="00A2101A"/>
    <w:rsid w:val="00A212A9"/>
    <w:rsid w:val="00A21300"/>
    <w:rsid w:val="00A2173F"/>
    <w:rsid w:val="00A225F3"/>
    <w:rsid w:val="00A22F92"/>
    <w:rsid w:val="00A23BCD"/>
    <w:rsid w:val="00A246EA"/>
    <w:rsid w:val="00A30118"/>
    <w:rsid w:val="00A31756"/>
    <w:rsid w:val="00A319F1"/>
    <w:rsid w:val="00A335ED"/>
    <w:rsid w:val="00A33ADA"/>
    <w:rsid w:val="00A33B10"/>
    <w:rsid w:val="00A33C56"/>
    <w:rsid w:val="00A3430A"/>
    <w:rsid w:val="00A34DDE"/>
    <w:rsid w:val="00A351A6"/>
    <w:rsid w:val="00A35289"/>
    <w:rsid w:val="00A3553A"/>
    <w:rsid w:val="00A35661"/>
    <w:rsid w:val="00A35B96"/>
    <w:rsid w:val="00A376AD"/>
    <w:rsid w:val="00A37ABD"/>
    <w:rsid w:val="00A4016B"/>
    <w:rsid w:val="00A4017A"/>
    <w:rsid w:val="00A4018F"/>
    <w:rsid w:val="00A410CC"/>
    <w:rsid w:val="00A4181E"/>
    <w:rsid w:val="00A43666"/>
    <w:rsid w:val="00A4379E"/>
    <w:rsid w:val="00A4382B"/>
    <w:rsid w:val="00A43E70"/>
    <w:rsid w:val="00A441D3"/>
    <w:rsid w:val="00A4424A"/>
    <w:rsid w:val="00A44491"/>
    <w:rsid w:val="00A44C4F"/>
    <w:rsid w:val="00A44CC0"/>
    <w:rsid w:val="00A45F48"/>
    <w:rsid w:val="00A467C1"/>
    <w:rsid w:val="00A4722C"/>
    <w:rsid w:val="00A47B47"/>
    <w:rsid w:val="00A47C3F"/>
    <w:rsid w:val="00A50194"/>
    <w:rsid w:val="00A50E3F"/>
    <w:rsid w:val="00A51B3C"/>
    <w:rsid w:val="00A53202"/>
    <w:rsid w:val="00A5335A"/>
    <w:rsid w:val="00A53CFE"/>
    <w:rsid w:val="00A54E13"/>
    <w:rsid w:val="00A54E41"/>
    <w:rsid w:val="00A54E50"/>
    <w:rsid w:val="00A55880"/>
    <w:rsid w:val="00A55DEC"/>
    <w:rsid w:val="00A56A9E"/>
    <w:rsid w:val="00A56C6E"/>
    <w:rsid w:val="00A57170"/>
    <w:rsid w:val="00A577EA"/>
    <w:rsid w:val="00A57C8E"/>
    <w:rsid w:val="00A605A7"/>
    <w:rsid w:val="00A6130D"/>
    <w:rsid w:val="00A6274A"/>
    <w:rsid w:val="00A63461"/>
    <w:rsid w:val="00A634A7"/>
    <w:rsid w:val="00A63A20"/>
    <w:rsid w:val="00A63BD4"/>
    <w:rsid w:val="00A63FDE"/>
    <w:rsid w:val="00A6459D"/>
    <w:rsid w:val="00A64672"/>
    <w:rsid w:val="00A64694"/>
    <w:rsid w:val="00A64E0E"/>
    <w:rsid w:val="00A65661"/>
    <w:rsid w:val="00A65835"/>
    <w:rsid w:val="00A65A1F"/>
    <w:rsid w:val="00A65DA9"/>
    <w:rsid w:val="00A66066"/>
    <w:rsid w:val="00A66346"/>
    <w:rsid w:val="00A666F7"/>
    <w:rsid w:val="00A66834"/>
    <w:rsid w:val="00A671CE"/>
    <w:rsid w:val="00A6720B"/>
    <w:rsid w:val="00A6798E"/>
    <w:rsid w:val="00A67BF5"/>
    <w:rsid w:val="00A70174"/>
    <w:rsid w:val="00A705D6"/>
    <w:rsid w:val="00A70946"/>
    <w:rsid w:val="00A70F83"/>
    <w:rsid w:val="00A7121E"/>
    <w:rsid w:val="00A72456"/>
    <w:rsid w:val="00A72DC9"/>
    <w:rsid w:val="00A72EF9"/>
    <w:rsid w:val="00A72F99"/>
    <w:rsid w:val="00A73C80"/>
    <w:rsid w:val="00A74723"/>
    <w:rsid w:val="00A74F20"/>
    <w:rsid w:val="00A75227"/>
    <w:rsid w:val="00A75975"/>
    <w:rsid w:val="00A75F72"/>
    <w:rsid w:val="00A76613"/>
    <w:rsid w:val="00A77513"/>
    <w:rsid w:val="00A800BA"/>
    <w:rsid w:val="00A8021D"/>
    <w:rsid w:val="00A80314"/>
    <w:rsid w:val="00A80460"/>
    <w:rsid w:val="00A813DE"/>
    <w:rsid w:val="00A817B1"/>
    <w:rsid w:val="00A819F8"/>
    <w:rsid w:val="00A81B3F"/>
    <w:rsid w:val="00A81F0D"/>
    <w:rsid w:val="00A82061"/>
    <w:rsid w:val="00A8233C"/>
    <w:rsid w:val="00A82AD4"/>
    <w:rsid w:val="00A840E5"/>
    <w:rsid w:val="00A8417F"/>
    <w:rsid w:val="00A8488F"/>
    <w:rsid w:val="00A84903"/>
    <w:rsid w:val="00A84CBA"/>
    <w:rsid w:val="00A850EE"/>
    <w:rsid w:val="00A85262"/>
    <w:rsid w:val="00A857CD"/>
    <w:rsid w:val="00A85FB6"/>
    <w:rsid w:val="00A86675"/>
    <w:rsid w:val="00A871D5"/>
    <w:rsid w:val="00A87A0C"/>
    <w:rsid w:val="00A87B04"/>
    <w:rsid w:val="00A90594"/>
    <w:rsid w:val="00A90CDF"/>
    <w:rsid w:val="00A913C6"/>
    <w:rsid w:val="00A91462"/>
    <w:rsid w:val="00A91617"/>
    <w:rsid w:val="00A91794"/>
    <w:rsid w:val="00A926F0"/>
    <w:rsid w:val="00A92760"/>
    <w:rsid w:val="00A92E00"/>
    <w:rsid w:val="00A931A7"/>
    <w:rsid w:val="00A9326E"/>
    <w:rsid w:val="00A932EB"/>
    <w:rsid w:val="00A93C22"/>
    <w:rsid w:val="00A944CD"/>
    <w:rsid w:val="00A946F8"/>
    <w:rsid w:val="00A94CB0"/>
    <w:rsid w:val="00A94CFC"/>
    <w:rsid w:val="00A95242"/>
    <w:rsid w:val="00A956D6"/>
    <w:rsid w:val="00A96102"/>
    <w:rsid w:val="00A9657E"/>
    <w:rsid w:val="00A969E0"/>
    <w:rsid w:val="00A96F26"/>
    <w:rsid w:val="00A973E6"/>
    <w:rsid w:val="00A97D06"/>
    <w:rsid w:val="00AA02C0"/>
    <w:rsid w:val="00AA1879"/>
    <w:rsid w:val="00AA1E37"/>
    <w:rsid w:val="00AA2070"/>
    <w:rsid w:val="00AA2613"/>
    <w:rsid w:val="00AA26BD"/>
    <w:rsid w:val="00AA2B56"/>
    <w:rsid w:val="00AA2FF2"/>
    <w:rsid w:val="00AA3290"/>
    <w:rsid w:val="00AA46AE"/>
    <w:rsid w:val="00AA4C17"/>
    <w:rsid w:val="00AA4CCF"/>
    <w:rsid w:val="00AA566F"/>
    <w:rsid w:val="00AA575F"/>
    <w:rsid w:val="00AA595B"/>
    <w:rsid w:val="00AA5BD3"/>
    <w:rsid w:val="00AA5E60"/>
    <w:rsid w:val="00AA63EF"/>
    <w:rsid w:val="00AA6F5A"/>
    <w:rsid w:val="00AA7FD2"/>
    <w:rsid w:val="00AB0610"/>
    <w:rsid w:val="00AB0A1C"/>
    <w:rsid w:val="00AB113E"/>
    <w:rsid w:val="00AB2889"/>
    <w:rsid w:val="00AB2E4E"/>
    <w:rsid w:val="00AB32B2"/>
    <w:rsid w:val="00AB358E"/>
    <w:rsid w:val="00AB38C0"/>
    <w:rsid w:val="00AB4E92"/>
    <w:rsid w:val="00AB51AC"/>
    <w:rsid w:val="00AB5224"/>
    <w:rsid w:val="00AB789B"/>
    <w:rsid w:val="00AC0874"/>
    <w:rsid w:val="00AC08CE"/>
    <w:rsid w:val="00AC0DD1"/>
    <w:rsid w:val="00AC0E8F"/>
    <w:rsid w:val="00AC10B2"/>
    <w:rsid w:val="00AC3FF7"/>
    <w:rsid w:val="00AC4606"/>
    <w:rsid w:val="00AC4639"/>
    <w:rsid w:val="00AC57F5"/>
    <w:rsid w:val="00AC598F"/>
    <w:rsid w:val="00AC604E"/>
    <w:rsid w:val="00AC615F"/>
    <w:rsid w:val="00AC6335"/>
    <w:rsid w:val="00AC69DA"/>
    <w:rsid w:val="00AC6A0E"/>
    <w:rsid w:val="00AC6AF4"/>
    <w:rsid w:val="00AC6D12"/>
    <w:rsid w:val="00AC7854"/>
    <w:rsid w:val="00AC7D50"/>
    <w:rsid w:val="00AD0192"/>
    <w:rsid w:val="00AD056A"/>
    <w:rsid w:val="00AD06A2"/>
    <w:rsid w:val="00AD0778"/>
    <w:rsid w:val="00AD1302"/>
    <w:rsid w:val="00AD26F2"/>
    <w:rsid w:val="00AD41F5"/>
    <w:rsid w:val="00AD44C7"/>
    <w:rsid w:val="00AD47F6"/>
    <w:rsid w:val="00AD5084"/>
    <w:rsid w:val="00AD520D"/>
    <w:rsid w:val="00AD57E4"/>
    <w:rsid w:val="00AD5FD9"/>
    <w:rsid w:val="00AD64AD"/>
    <w:rsid w:val="00AD6573"/>
    <w:rsid w:val="00AD6D6C"/>
    <w:rsid w:val="00AD6DCD"/>
    <w:rsid w:val="00AD6F4A"/>
    <w:rsid w:val="00AD7244"/>
    <w:rsid w:val="00AD7884"/>
    <w:rsid w:val="00AD7D2F"/>
    <w:rsid w:val="00AE01C5"/>
    <w:rsid w:val="00AE04D8"/>
    <w:rsid w:val="00AE1131"/>
    <w:rsid w:val="00AE1209"/>
    <w:rsid w:val="00AE1240"/>
    <w:rsid w:val="00AE1A94"/>
    <w:rsid w:val="00AE1DD1"/>
    <w:rsid w:val="00AE1E3B"/>
    <w:rsid w:val="00AE2358"/>
    <w:rsid w:val="00AE279B"/>
    <w:rsid w:val="00AE2DB1"/>
    <w:rsid w:val="00AE2E57"/>
    <w:rsid w:val="00AE3291"/>
    <w:rsid w:val="00AE3DD9"/>
    <w:rsid w:val="00AE4538"/>
    <w:rsid w:val="00AE50A7"/>
    <w:rsid w:val="00AE517B"/>
    <w:rsid w:val="00AE521C"/>
    <w:rsid w:val="00AE5C52"/>
    <w:rsid w:val="00AE6844"/>
    <w:rsid w:val="00AE6F79"/>
    <w:rsid w:val="00AF0546"/>
    <w:rsid w:val="00AF060A"/>
    <w:rsid w:val="00AF0718"/>
    <w:rsid w:val="00AF0F7A"/>
    <w:rsid w:val="00AF13FD"/>
    <w:rsid w:val="00AF1E5B"/>
    <w:rsid w:val="00AF4A17"/>
    <w:rsid w:val="00AF4FFF"/>
    <w:rsid w:val="00AF56A0"/>
    <w:rsid w:val="00AF603A"/>
    <w:rsid w:val="00AF698B"/>
    <w:rsid w:val="00AF701D"/>
    <w:rsid w:val="00AF736B"/>
    <w:rsid w:val="00B0031A"/>
    <w:rsid w:val="00B0094B"/>
    <w:rsid w:val="00B01C7F"/>
    <w:rsid w:val="00B01D20"/>
    <w:rsid w:val="00B01E23"/>
    <w:rsid w:val="00B0247C"/>
    <w:rsid w:val="00B02796"/>
    <w:rsid w:val="00B02DA5"/>
    <w:rsid w:val="00B03ED4"/>
    <w:rsid w:val="00B04399"/>
    <w:rsid w:val="00B04449"/>
    <w:rsid w:val="00B047C4"/>
    <w:rsid w:val="00B0581A"/>
    <w:rsid w:val="00B060EA"/>
    <w:rsid w:val="00B06199"/>
    <w:rsid w:val="00B06A66"/>
    <w:rsid w:val="00B06D10"/>
    <w:rsid w:val="00B06D93"/>
    <w:rsid w:val="00B075C6"/>
    <w:rsid w:val="00B07629"/>
    <w:rsid w:val="00B07980"/>
    <w:rsid w:val="00B07B0F"/>
    <w:rsid w:val="00B07E31"/>
    <w:rsid w:val="00B10ED0"/>
    <w:rsid w:val="00B1145D"/>
    <w:rsid w:val="00B11AEE"/>
    <w:rsid w:val="00B11B23"/>
    <w:rsid w:val="00B12696"/>
    <w:rsid w:val="00B1270B"/>
    <w:rsid w:val="00B12E5A"/>
    <w:rsid w:val="00B131BC"/>
    <w:rsid w:val="00B1323C"/>
    <w:rsid w:val="00B1359A"/>
    <w:rsid w:val="00B149A5"/>
    <w:rsid w:val="00B15170"/>
    <w:rsid w:val="00B15B82"/>
    <w:rsid w:val="00B166E8"/>
    <w:rsid w:val="00B17271"/>
    <w:rsid w:val="00B17731"/>
    <w:rsid w:val="00B21116"/>
    <w:rsid w:val="00B21AEB"/>
    <w:rsid w:val="00B21D20"/>
    <w:rsid w:val="00B2286E"/>
    <w:rsid w:val="00B228FA"/>
    <w:rsid w:val="00B2291D"/>
    <w:rsid w:val="00B22B8F"/>
    <w:rsid w:val="00B24936"/>
    <w:rsid w:val="00B2519F"/>
    <w:rsid w:val="00B253D3"/>
    <w:rsid w:val="00B258B3"/>
    <w:rsid w:val="00B259BC"/>
    <w:rsid w:val="00B26068"/>
    <w:rsid w:val="00B266F9"/>
    <w:rsid w:val="00B26F8E"/>
    <w:rsid w:val="00B274C9"/>
    <w:rsid w:val="00B27DDB"/>
    <w:rsid w:val="00B3080F"/>
    <w:rsid w:val="00B3095F"/>
    <w:rsid w:val="00B30F3F"/>
    <w:rsid w:val="00B31098"/>
    <w:rsid w:val="00B318CE"/>
    <w:rsid w:val="00B31F5A"/>
    <w:rsid w:val="00B3234C"/>
    <w:rsid w:val="00B327A9"/>
    <w:rsid w:val="00B32CE3"/>
    <w:rsid w:val="00B32F54"/>
    <w:rsid w:val="00B32F61"/>
    <w:rsid w:val="00B33A94"/>
    <w:rsid w:val="00B33E4B"/>
    <w:rsid w:val="00B33F30"/>
    <w:rsid w:val="00B3504B"/>
    <w:rsid w:val="00B35FED"/>
    <w:rsid w:val="00B37701"/>
    <w:rsid w:val="00B37B74"/>
    <w:rsid w:val="00B4022E"/>
    <w:rsid w:val="00B4028B"/>
    <w:rsid w:val="00B4127E"/>
    <w:rsid w:val="00B416F5"/>
    <w:rsid w:val="00B42284"/>
    <w:rsid w:val="00B424BE"/>
    <w:rsid w:val="00B43556"/>
    <w:rsid w:val="00B439EA"/>
    <w:rsid w:val="00B4410B"/>
    <w:rsid w:val="00B44FC7"/>
    <w:rsid w:val="00B45027"/>
    <w:rsid w:val="00B450E4"/>
    <w:rsid w:val="00B450F7"/>
    <w:rsid w:val="00B4533D"/>
    <w:rsid w:val="00B454F5"/>
    <w:rsid w:val="00B45882"/>
    <w:rsid w:val="00B45EE7"/>
    <w:rsid w:val="00B4636B"/>
    <w:rsid w:val="00B465EC"/>
    <w:rsid w:val="00B46A97"/>
    <w:rsid w:val="00B46D0D"/>
    <w:rsid w:val="00B472E0"/>
    <w:rsid w:val="00B473AF"/>
    <w:rsid w:val="00B47622"/>
    <w:rsid w:val="00B476E6"/>
    <w:rsid w:val="00B50D64"/>
    <w:rsid w:val="00B51B25"/>
    <w:rsid w:val="00B51BCB"/>
    <w:rsid w:val="00B5248B"/>
    <w:rsid w:val="00B535EB"/>
    <w:rsid w:val="00B5402A"/>
    <w:rsid w:val="00B542B4"/>
    <w:rsid w:val="00B54472"/>
    <w:rsid w:val="00B556FF"/>
    <w:rsid w:val="00B560DA"/>
    <w:rsid w:val="00B56200"/>
    <w:rsid w:val="00B566C9"/>
    <w:rsid w:val="00B60020"/>
    <w:rsid w:val="00B6048E"/>
    <w:rsid w:val="00B610D1"/>
    <w:rsid w:val="00B61372"/>
    <w:rsid w:val="00B61A47"/>
    <w:rsid w:val="00B61A67"/>
    <w:rsid w:val="00B61F49"/>
    <w:rsid w:val="00B62260"/>
    <w:rsid w:val="00B62DAD"/>
    <w:rsid w:val="00B63A60"/>
    <w:rsid w:val="00B63FD6"/>
    <w:rsid w:val="00B645C4"/>
    <w:rsid w:val="00B6463D"/>
    <w:rsid w:val="00B6488F"/>
    <w:rsid w:val="00B6591E"/>
    <w:rsid w:val="00B65AE2"/>
    <w:rsid w:val="00B65B25"/>
    <w:rsid w:val="00B662F2"/>
    <w:rsid w:val="00B6633D"/>
    <w:rsid w:val="00B66AD8"/>
    <w:rsid w:val="00B67EFB"/>
    <w:rsid w:val="00B70310"/>
    <w:rsid w:val="00B70D1D"/>
    <w:rsid w:val="00B70D2D"/>
    <w:rsid w:val="00B70E38"/>
    <w:rsid w:val="00B713D6"/>
    <w:rsid w:val="00B71C99"/>
    <w:rsid w:val="00B7211A"/>
    <w:rsid w:val="00B7214B"/>
    <w:rsid w:val="00B7228A"/>
    <w:rsid w:val="00B72430"/>
    <w:rsid w:val="00B7271B"/>
    <w:rsid w:val="00B72B81"/>
    <w:rsid w:val="00B73215"/>
    <w:rsid w:val="00B7343E"/>
    <w:rsid w:val="00B73A1F"/>
    <w:rsid w:val="00B7437E"/>
    <w:rsid w:val="00B76163"/>
    <w:rsid w:val="00B76542"/>
    <w:rsid w:val="00B76682"/>
    <w:rsid w:val="00B7671B"/>
    <w:rsid w:val="00B76F9A"/>
    <w:rsid w:val="00B80129"/>
    <w:rsid w:val="00B80681"/>
    <w:rsid w:val="00B807DC"/>
    <w:rsid w:val="00B80CEF"/>
    <w:rsid w:val="00B80E1E"/>
    <w:rsid w:val="00B814DE"/>
    <w:rsid w:val="00B817FE"/>
    <w:rsid w:val="00B82971"/>
    <w:rsid w:val="00B82B27"/>
    <w:rsid w:val="00B83B1A"/>
    <w:rsid w:val="00B83B4E"/>
    <w:rsid w:val="00B85AB6"/>
    <w:rsid w:val="00B866D7"/>
    <w:rsid w:val="00B873E1"/>
    <w:rsid w:val="00B87BDB"/>
    <w:rsid w:val="00B90240"/>
    <w:rsid w:val="00B9046A"/>
    <w:rsid w:val="00B91143"/>
    <w:rsid w:val="00B9120A"/>
    <w:rsid w:val="00B91643"/>
    <w:rsid w:val="00B91B02"/>
    <w:rsid w:val="00B91DA4"/>
    <w:rsid w:val="00B91DF0"/>
    <w:rsid w:val="00B91EBF"/>
    <w:rsid w:val="00B91ED0"/>
    <w:rsid w:val="00B91F10"/>
    <w:rsid w:val="00B92735"/>
    <w:rsid w:val="00B92845"/>
    <w:rsid w:val="00B92B3E"/>
    <w:rsid w:val="00B92C93"/>
    <w:rsid w:val="00B9357A"/>
    <w:rsid w:val="00B93C54"/>
    <w:rsid w:val="00B94CB6"/>
    <w:rsid w:val="00B94DED"/>
    <w:rsid w:val="00B9572A"/>
    <w:rsid w:val="00B9594B"/>
    <w:rsid w:val="00B9610B"/>
    <w:rsid w:val="00B961EF"/>
    <w:rsid w:val="00B9706E"/>
    <w:rsid w:val="00BA006B"/>
    <w:rsid w:val="00BA030E"/>
    <w:rsid w:val="00BA0616"/>
    <w:rsid w:val="00BA09A2"/>
    <w:rsid w:val="00BA0E2B"/>
    <w:rsid w:val="00BA1D8E"/>
    <w:rsid w:val="00BA2142"/>
    <w:rsid w:val="00BA75E2"/>
    <w:rsid w:val="00BA79A0"/>
    <w:rsid w:val="00BB0BD9"/>
    <w:rsid w:val="00BB106F"/>
    <w:rsid w:val="00BB18D5"/>
    <w:rsid w:val="00BB1D21"/>
    <w:rsid w:val="00BB2929"/>
    <w:rsid w:val="00BB2D32"/>
    <w:rsid w:val="00BB3D0A"/>
    <w:rsid w:val="00BB40DB"/>
    <w:rsid w:val="00BB4366"/>
    <w:rsid w:val="00BB4800"/>
    <w:rsid w:val="00BB48A0"/>
    <w:rsid w:val="00BB53E2"/>
    <w:rsid w:val="00BB5C04"/>
    <w:rsid w:val="00BB6B70"/>
    <w:rsid w:val="00BB6EA2"/>
    <w:rsid w:val="00BB6FED"/>
    <w:rsid w:val="00BC00E6"/>
    <w:rsid w:val="00BC01EB"/>
    <w:rsid w:val="00BC0A15"/>
    <w:rsid w:val="00BC2524"/>
    <w:rsid w:val="00BC269C"/>
    <w:rsid w:val="00BC3917"/>
    <w:rsid w:val="00BC3C5A"/>
    <w:rsid w:val="00BC41A0"/>
    <w:rsid w:val="00BC4DD4"/>
    <w:rsid w:val="00BC570A"/>
    <w:rsid w:val="00BC5718"/>
    <w:rsid w:val="00BC5845"/>
    <w:rsid w:val="00BC59D4"/>
    <w:rsid w:val="00BC6BC9"/>
    <w:rsid w:val="00BC71C5"/>
    <w:rsid w:val="00BC782F"/>
    <w:rsid w:val="00BC7999"/>
    <w:rsid w:val="00BC7B21"/>
    <w:rsid w:val="00BD3272"/>
    <w:rsid w:val="00BD3E87"/>
    <w:rsid w:val="00BD4026"/>
    <w:rsid w:val="00BD43AA"/>
    <w:rsid w:val="00BD5221"/>
    <w:rsid w:val="00BD5AEA"/>
    <w:rsid w:val="00BD5D62"/>
    <w:rsid w:val="00BD5EE0"/>
    <w:rsid w:val="00BD5F01"/>
    <w:rsid w:val="00BD659C"/>
    <w:rsid w:val="00BD6823"/>
    <w:rsid w:val="00BD7874"/>
    <w:rsid w:val="00BD78F4"/>
    <w:rsid w:val="00BD7A63"/>
    <w:rsid w:val="00BE08BB"/>
    <w:rsid w:val="00BE0D14"/>
    <w:rsid w:val="00BE0E04"/>
    <w:rsid w:val="00BE1BF3"/>
    <w:rsid w:val="00BE1EC8"/>
    <w:rsid w:val="00BE2029"/>
    <w:rsid w:val="00BE247B"/>
    <w:rsid w:val="00BE4830"/>
    <w:rsid w:val="00BE5621"/>
    <w:rsid w:val="00BE5A55"/>
    <w:rsid w:val="00BE66A8"/>
    <w:rsid w:val="00BE7058"/>
    <w:rsid w:val="00BE7C32"/>
    <w:rsid w:val="00BF0033"/>
    <w:rsid w:val="00BF2223"/>
    <w:rsid w:val="00BF35B5"/>
    <w:rsid w:val="00BF37D7"/>
    <w:rsid w:val="00BF415C"/>
    <w:rsid w:val="00BF418F"/>
    <w:rsid w:val="00BF4517"/>
    <w:rsid w:val="00BF49F7"/>
    <w:rsid w:val="00BF4A1B"/>
    <w:rsid w:val="00BF502A"/>
    <w:rsid w:val="00BF5B12"/>
    <w:rsid w:val="00BF6C77"/>
    <w:rsid w:val="00BF6CA3"/>
    <w:rsid w:val="00BF6CCA"/>
    <w:rsid w:val="00BF7537"/>
    <w:rsid w:val="00C0026F"/>
    <w:rsid w:val="00C00A20"/>
    <w:rsid w:val="00C00FFD"/>
    <w:rsid w:val="00C019D6"/>
    <w:rsid w:val="00C01EC5"/>
    <w:rsid w:val="00C0218F"/>
    <w:rsid w:val="00C027A8"/>
    <w:rsid w:val="00C02C3A"/>
    <w:rsid w:val="00C02CFA"/>
    <w:rsid w:val="00C036FC"/>
    <w:rsid w:val="00C03AEA"/>
    <w:rsid w:val="00C03F72"/>
    <w:rsid w:val="00C04318"/>
    <w:rsid w:val="00C044E2"/>
    <w:rsid w:val="00C0721C"/>
    <w:rsid w:val="00C0769A"/>
    <w:rsid w:val="00C07C0C"/>
    <w:rsid w:val="00C07F75"/>
    <w:rsid w:val="00C10982"/>
    <w:rsid w:val="00C10CA4"/>
    <w:rsid w:val="00C12B32"/>
    <w:rsid w:val="00C13689"/>
    <w:rsid w:val="00C13E8E"/>
    <w:rsid w:val="00C1456E"/>
    <w:rsid w:val="00C145FB"/>
    <w:rsid w:val="00C1502F"/>
    <w:rsid w:val="00C169D9"/>
    <w:rsid w:val="00C1720A"/>
    <w:rsid w:val="00C17EC2"/>
    <w:rsid w:val="00C206C5"/>
    <w:rsid w:val="00C217F3"/>
    <w:rsid w:val="00C21C61"/>
    <w:rsid w:val="00C21F31"/>
    <w:rsid w:val="00C221EA"/>
    <w:rsid w:val="00C22ADE"/>
    <w:rsid w:val="00C22FC0"/>
    <w:rsid w:val="00C24362"/>
    <w:rsid w:val="00C25389"/>
    <w:rsid w:val="00C2557D"/>
    <w:rsid w:val="00C25B3C"/>
    <w:rsid w:val="00C25F17"/>
    <w:rsid w:val="00C26110"/>
    <w:rsid w:val="00C27E7C"/>
    <w:rsid w:val="00C30040"/>
    <w:rsid w:val="00C305C3"/>
    <w:rsid w:val="00C309D6"/>
    <w:rsid w:val="00C32D66"/>
    <w:rsid w:val="00C33FE0"/>
    <w:rsid w:val="00C34275"/>
    <w:rsid w:val="00C348DB"/>
    <w:rsid w:val="00C353E0"/>
    <w:rsid w:val="00C3567A"/>
    <w:rsid w:val="00C366D3"/>
    <w:rsid w:val="00C3698D"/>
    <w:rsid w:val="00C37016"/>
    <w:rsid w:val="00C37060"/>
    <w:rsid w:val="00C370E1"/>
    <w:rsid w:val="00C3718D"/>
    <w:rsid w:val="00C3734F"/>
    <w:rsid w:val="00C40319"/>
    <w:rsid w:val="00C403C2"/>
    <w:rsid w:val="00C40BF3"/>
    <w:rsid w:val="00C41168"/>
    <w:rsid w:val="00C41779"/>
    <w:rsid w:val="00C417D0"/>
    <w:rsid w:val="00C41A2E"/>
    <w:rsid w:val="00C4216B"/>
    <w:rsid w:val="00C4241E"/>
    <w:rsid w:val="00C425CA"/>
    <w:rsid w:val="00C44993"/>
    <w:rsid w:val="00C44FD6"/>
    <w:rsid w:val="00C458CD"/>
    <w:rsid w:val="00C463CC"/>
    <w:rsid w:val="00C47675"/>
    <w:rsid w:val="00C47943"/>
    <w:rsid w:val="00C47C9A"/>
    <w:rsid w:val="00C47E4E"/>
    <w:rsid w:val="00C505F4"/>
    <w:rsid w:val="00C50806"/>
    <w:rsid w:val="00C51E0D"/>
    <w:rsid w:val="00C527DA"/>
    <w:rsid w:val="00C53778"/>
    <w:rsid w:val="00C53829"/>
    <w:rsid w:val="00C5417F"/>
    <w:rsid w:val="00C54468"/>
    <w:rsid w:val="00C548A1"/>
    <w:rsid w:val="00C54A76"/>
    <w:rsid w:val="00C54ABC"/>
    <w:rsid w:val="00C54E8D"/>
    <w:rsid w:val="00C55566"/>
    <w:rsid w:val="00C55B65"/>
    <w:rsid w:val="00C55FB9"/>
    <w:rsid w:val="00C56B38"/>
    <w:rsid w:val="00C56C89"/>
    <w:rsid w:val="00C57318"/>
    <w:rsid w:val="00C5765C"/>
    <w:rsid w:val="00C57AEE"/>
    <w:rsid w:val="00C57DF1"/>
    <w:rsid w:val="00C6128E"/>
    <w:rsid w:val="00C612F9"/>
    <w:rsid w:val="00C61453"/>
    <w:rsid w:val="00C6172A"/>
    <w:rsid w:val="00C62245"/>
    <w:rsid w:val="00C6420B"/>
    <w:rsid w:val="00C648D2"/>
    <w:rsid w:val="00C64932"/>
    <w:rsid w:val="00C64AFF"/>
    <w:rsid w:val="00C64C0A"/>
    <w:rsid w:val="00C64E99"/>
    <w:rsid w:val="00C65532"/>
    <w:rsid w:val="00C65E83"/>
    <w:rsid w:val="00C65EB4"/>
    <w:rsid w:val="00C66B72"/>
    <w:rsid w:val="00C66B8A"/>
    <w:rsid w:val="00C66BD3"/>
    <w:rsid w:val="00C671BF"/>
    <w:rsid w:val="00C6760A"/>
    <w:rsid w:val="00C70191"/>
    <w:rsid w:val="00C70807"/>
    <w:rsid w:val="00C70FF9"/>
    <w:rsid w:val="00C71C3F"/>
    <w:rsid w:val="00C71D02"/>
    <w:rsid w:val="00C729B4"/>
    <w:rsid w:val="00C74C10"/>
    <w:rsid w:val="00C74EE2"/>
    <w:rsid w:val="00C752E7"/>
    <w:rsid w:val="00C75C4B"/>
    <w:rsid w:val="00C76393"/>
    <w:rsid w:val="00C7670C"/>
    <w:rsid w:val="00C767B4"/>
    <w:rsid w:val="00C76A9F"/>
    <w:rsid w:val="00C76BDF"/>
    <w:rsid w:val="00C76C68"/>
    <w:rsid w:val="00C76D64"/>
    <w:rsid w:val="00C771DE"/>
    <w:rsid w:val="00C77432"/>
    <w:rsid w:val="00C77535"/>
    <w:rsid w:val="00C77D1E"/>
    <w:rsid w:val="00C80001"/>
    <w:rsid w:val="00C81054"/>
    <w:rsid w:val="00C818F2"/>
    <w:rsid w:val="00C820FE"/>
    <w:rsid w:val="00C82B11"/>
    <w:rsid w:val="00C830BF"/>
    <w:rsid w:val="00C845BC"/>
    <w:rsid w:val="00C85430"/>
    <w:rsid w:val="00C866E8"/>
    <w:rsid w:val="00C8675D"/>
    <w:rsid w:val="00C879B4"/>
    <w:rsid w:val="00C902CA"/>
    <w:rsid w:val="00C908F2"/>
    <w:rsid w:val="00C919F1"/>
    <w:rsid w:val="00C9254A"/>
    <w:rsid w:val="00C925EF"/>
    <w:rsid w:val="00C933C5"/>
    <w:rsid w:val="00C9346E"/>
    <w:rsid w:val="00C9385A"/>
    <w:rsid w:val="00C939E6"/>
    <w:rsid w:val="00C93CBD"/>
    <w:rsid w:val="00C93D4B"/>
    <w:rsid w:val="00C947B3"/>
    <w:rsid w:val="00C94CC0"/>
    <w:rsid w:val="00C95459"/>
    <w:rsid w:val="00C95568"/>
    <w:rsid w:val="00C95BCB"/>
    <w:rsid w:val="00C95BFC"/>
    <w:rsid w:val="00C969E2"/>
    <w:rsid w:val="00C96D56"/>
    <w:rsid w:val="00C9763F"/>
    <w:rsid w:val="00C97D5A"/>
    <w:rsid w:val="00CA10F4"/>
    <w:rsid w:val="00CA1DD9"/>
    <w:rsid w:val="00CA21F5"/>
    <w:rsid w:val="00CA22E6"/>
    <w:rsid w:val="00CA2906"/>
    <w:rsid w:val="00CA35CF"/>
    <w:rsid w:val="00CA3B2D"/>
    <w:rsid w:val="00CA3E64"/>
    <w:rsid w:val="00CA47D0"/>
    <w:rsid w:val="00CA4CC5"/>
    <w:rsid w:val="00CA4EC2"/>
    <w:rsid w:val="00CA5475"/>
    <w:rsid w:val="00CA5AC7"/>
    <w:rsid w:val="00CA6311"/>
    <w:rsid w:val="00CA67D7"/>
    <w:rsid w:val="00CA7053"/>
    <w:rsid w:val="00CA75B0"/>
    <w:rsid w:val="00CB0195"/>
    <w:rsid w:val="00CB04D9"/>
    <w:rsid w:val="00CB0510"/>
    <w:rsid w:val="00CB075C"/>
    <w:rsid w:val="00CB0886"/>
    <w:rsid w:val="00CB0B5E"/>
    <w:rsid w:val="00CB0DF0"/>
    <w:rsid w:val="00CB106D"/>
    <w:rsid w:val="00CB16D4"/>
    <w:rsid w:val="00CB1881"/>
    <w:rsid w:val="00CB1902"/>
    <w:rsid w:val="00CB26EC"/>
    <w:rsid w:val="00CB2A87"/>
    <w:rsid w:val="00CB3162"/>
    <w:rsid w:val="00CB3496"/>
    <w:rsid w:val="00CB3EB8"/>
    <w:rsid w:val="00CB4653"/>
    <w:rsid w:val="00CB4888"/>
    <w:rsid w:val="00CB49B7"/>
    <w:rsid w:val="00CB4DF0"/>
    <w:rsid w:val="00CB5AB7"/>
    <w:rsid w:val="00CB7B3F"/>
    <w:rsid w:val="00CC0D0C"/>
    <w:rsid w:val="00CC0FA6"/>
    <w:rsid w:val="00CC162B"/>
    <w:rsid w:val="00CC1A72"/>
    <w:rsid w:val="00CC1AB0"/>
    <w:rsid w:val="00CC1AB1"/>
    <w:rsid w:val="00CC27FA"/>
    <w:rsid w:val="00CC27FC"/>
    <w:rsid w:val="00CC3DB7"/>
    <w:rsid w:val="00CC400D"/>
    <w:rsid w:val="00CC410C"/>
    <w:rsid w:val="00CC4660"/>
    <w:rsid w:val="00CC506A"/>
    <w:rsid w:val="00CC5759"/>
    <w:rsid w:val="00CC59C8"/>
    <w:rsid w:val="00CC671D"/>
    <w:rsid w:val="00CC6908"/>
    <w:rsid w:val="00CC7399"/>
    <w:rsid w:val="00CD08FA"/>
    <w:rsid w:val="00CD1530"/>
    <w:rsid w:val="00CD154D"/>
    <w:rsid w:val="00CD1742"/>
    <w:rsid w:val="00CD18F3"/>
    <w:rsid w:val="00CD2BE1"/>
    <w:rsid w:val="00CD2BFB"/>
    <w:rsid w:val="00CD3041"/>
    <w:rsid w:val="00CD3ABB"/>
    <w:rsid w:val="00CD4970"/>
    <w:rsid w:val="00CD50D2"/>
    <w:rsid w:val="00CD5EBE"/>
    <w:rsid w:val="00CD6621"/>
    <w:rsid w:val="00CD687B"/>
    <w:rsid w:val="00CD6BE2"/>
    <w:rsid w:val="00CD73D3"/>
    <w:rsid w:val="00CD7E67"/>
    <w:rsid w:val="00CE026D"/>
    <w:rsid w:val="00CE08F0"/>
    <w:rsid w:val="00CE191B"/>
    <w:rsid w:val="00CE1D05"/>
    <w:rsid w:val="00CE223C"/>
    <w:rsid w:val="00CE2636"/>
    <w:rsid w:val="00CE2D55"/>
    <w:rsid w:val="00CE2E29"/>
    <w:rsid w:val="00CE3764"/>
    <w:rsid w:val="00CE42CB"/>
    <w:rsid w:val="00CE43E1"/>
    <w:rsid w:val="00CE447B"/>
    <w:rsid w:val="00CE45F8"/>
    <w:rsid w:val="00CE4A1A"/>
    <w:rsid w:val="00CE50B9"/>
    <w:rsid w:val="00CE5116"/>
    <w:rsid w:val="00CE559F"/>
    <w:rsid w:val="00CE58E4"/>
    <w:rsid w:val="00CE6276"/>
    <w:rsid w:val="00CE6F90"/>
    <w:rsid w:val="00CE729B"/>
    <w:rsid w:val="00CE744C"/>
    <w:rsid w:val="00CE7A33"/>
    <w:rsid w:val="00CF04A3"/>
    <w:rsid w:val="00CF0EB3"/>
    <w:rsid w:val="00CF0EE5"/>
    <w:rsid w:val="00CF1794"/>
    <w:rsid w:val="00CF272F"/>
    <w:rsid w:val="00CF29ED"/>
    <w:rsid w:val="00CF2DA7"/>
    <w:rsid w:val="00CF43AD"/>
    <w:rsid w:val="00CF440D"/>
    <w:rsid w:val="00CF5458"/>
    <w:rsid w:val="00CF5C45"/>
    <w:rsid w:val="00CF5D2C"/>
    <w:rsid w:val="00CF5E67"/>
    <w:rsid w:val="00CF7338"/>
    <w:rsid w:val="00CF7AF9"/>
    <w:rsid w:val="00CF7B9E"/>
    <w:rsid w:val="00D0307E"/>
    <w:rsid w:val="00D0316D"/>
    <w:rsid w:val="00D03539"/>
    <w:rsid w:val="00D03C54"/>
    <w:rsid w:val="00D04962"/>
    <w:rsid w:val="00D05DC4"/>
    <w:rsid w:val="00D05F5F"/>
    <w:rsid w:val="00D072F6"/>
    <w:rsid w:val="00D07455"/>
    <w:rsid w:val="00D079B7"/>
    <w:rsid w:val="00D07B7B"/>
    <w:rsid w:val="00D07EF3"/>
    <w:rsid w:val="00D104B1"/>
    <w:rsid w:val="00D10E70"/>
    <w:rsid w:val="00D1114A"/>
    <w:rsid w:val="00D117C1"/>
    <w:rsid w:val="00D11ABD"/>
    <w:rsid w:val="00D12543"/>
    <w:rsid w:val="00D127D0"/>
    <w:rsid w:val="00D12CD8"/>
    <w:rsid w:val="00D13510"/>
    <w:rsid w:val="00D13E00"/>
    <w:rsid w:val="00D13EB5"/>
    <w:rsid w:val="00D144A4"/>
    <w:rsid w:val="00D15A49"/>
    <w:rsid w:val="00D15FFD"/>
    <w:rsid w:val="00D1640F"/>
    <w:rsid w:val="00D17B1B"/>
    <w:rsid w:val="00D21083"/>
    <w:rsid w:val="00D22820"/>
    <w:rsid w:val="00D22D1A"/>
    <w:rsid w:val="00D23317"/>
    <w:rsid w:val="00D235D3"/>
    <w:rsid w:val="00D23A4D"/>
    <w:rsid w:val="00D23EC1"/>
    <w:rsid w:val="00D24DEB"/>
    <w:rsid w:val="00D24F04"/>
    <w:rsid w:val="00D24F36"/>
    <w:rsid w:val="00D26A5E"/>
    <w:rsid w:val="00D26D5E"/>
    <w:rsid w:val="00D27A2F"/>
    <w:rsid w:val="00D27ADB"/>
    <w:rsid w:val="00D301E6"/>
    <w:rsid w:val="00D30299"/>
    <w:rsid w:val="00D30E97"/>
    <w:rsid w:val="00D317BA"/>
    <w:rsid w:val="00D32254"/>
    <w:rsid w:val="00D32D58"/>
    <w:rsid w:val="00D33116"/>
    <w:rsid w:val="00D33567"/>
    <w:rsid w:val="00D33D93"/>
    <w:rsid w:val="00D3534D"/>
    <w:rsid w:val="00D35971"/>
    <w:rsid w:val="00D35B67"/>
    <w:rsid w:val="00D35C0C"/>
    <w:rsid w:val="00D35D03"/>
    <w:rsid w:val="00D367E4"/>
    <w:rsid w:val="00D378B8"/>
    <w:rsid w:val="00D379C5"/>
    <w:rsid w:val="00D37DD7"/>
    <w:rsid w:val="00D37F26"/>
    <w:rsid w:val="00D40B12"/>
    <w:rsid w:val="00D41E3C"/>
    <w:rsid w:val="00D43D81"/>
    <w:rsid w:val="00D43F71"/>
    <w:rsid w:val="00D448C7"/>
    <w:rsid w:val="00D4500C"/>
    <w:rsid w:val="00D450F8"/>
    <w:rsid w:val="00D4549B"/>
    <w:rsid w:val="00D454CC"/>
    <w:rsid w:val="00D45BE7"/>
    <w:rsid w:val="00D4610C"/>
    <w:rsid w:val="00D4635F"/>
    <w:rsid w:val="00D463FE"/>
    <w:rsid w:val="00D46BEE"/>
    <w:rsid w:val="00D47B0A"/>
    <w:rsid w:val="00D47B57"/>
    <w:rsid w:val="00D47DF4"/>
    <w:rsid w:val="00D5002A"/>
    <w:rsid w:val="00D5097F"/>
    <w:rsid w:val="00D5152E"/>
    <w:rsid w:val="00D51D6C"/>
    <w:rsid w:val="00D52606"/>
    <w:rsid w:val="00D52AAF"/>
    <w:rsid w:val="00D52AB1"/>
    <w:rsid w:val="00D53420"/>
    <w:rsid w:val="00D53616"/>
    <w:rsid w:val="00D542D8"/>
    <w:rsid w:val="00D548F7"/>
    <w:rsid w:val="00D56276"/>
    <w:rsid w:val="00D56CFE"/>
    <w:rsid w:val="00D56D96"/>
    <w:rsid w:val="00D573A1"/>
    <w:rsid w:val="00D620FE"/>
    <w:rsid w:val="00D62248"/>
    <w:rsid w:val="00D62899"/>
    <w:rsid w:val="00D62905"/>
    <w:rsid w:val="00D62FE5"/>
    <w:rsid w:val="00D64695"/>
    <w:rsid w:val="00D649D7"/>
    <w:rsid w:val="00D6525D"/>
    <w:rsid w:val="00D65A34"/>
    <w:rsid w:val="00D65ACC"/>
    <w:rsid w:val="00D65B12"/>
    <w:rsid w:val="00D66209"/>
    <w:rsid w:val="00D663B7"/>
    <w:rsid w:val="00D6687C"/>
    <w:rsid w:val="00D6690E"/>
    <w:rsid w:val="00D66E62"/>
    <w:rsid w:val="00D67EBA"/>
    <w:rsid w:val="00D70E9C"/>
    <w:rsid w:val="00D71C18"/>
    <w:rsid w:val="00D71CE2"/>
    <w:rsid w:val="00D71E9F"/>
    <w:rsid w:val="00D7227E"/>
    <w:rsid w:val="00D723B1"/>
    <w:rsid w:val="00D731C9"/>
    <w:rsid w:val="00D731EF"/>
    <w:rsid w:val="00D734D3"/>
    <w:rsid w:val="00D73C70"/>
    <w:rsid w:val="00D74F15"/>
    <w:rsid w:val="00D74F93"/>
    <w:rsid w:val="00D752DA"/>
    <w:rsid w:val="00D75637"/>
    <w:rsid w:val="00D75737"/>
    <w:rsid w:val="00D76174"/>
    <w:rsid w:val="00D7768E"/>
    <w:rsid w:val="00D77777"/>
    <w:rsid w:val="00D77AA2"/>
    <w:rsid w:val="00D803DD"/>
    <w:rsid w:val="00D8089B"/>
    <w:rsid w:val="00D80A0D"/>
    <w:rsid w:val="00D81820"/>
    <w:rsid w:val="00D81D27"/>
    <w:rsid w:val="00D81F3E"/>
    <w:rsid w:val="00D820D7"/>
    <w:rsid w:val="00D8362E"/>
    <w:rsid w:val="00D8367E"/>
    <w:rsid w:val="00D84FAE"/>
    <w:rsid w:val="00D86793"/>
    <w:rsid w:val="00D877BF"/>
    <w:rsid w:val="00D9001B"/>
    <w:rsid w:val="00D90411"/>
    <w:rsid w:val="00D91233"/>
    <w:rsid w:val="00D914D4"/>
    <w:rsid w:val="00D91CCD"/>
    <w:rsid w:val="00D9327F"/>
    <w:rsid w:val="00D93B1C"/>
    <w:rsid w:val="00D93BA6"/>
    <w:rsid w:val="00D94725"/>
    <w:rsid w:val="00D95650"/>
    <w:rsid w:val="00D9568A"/>
    <w:rsid w:val="00D95EA6"/>
    <w:rsid w:val="00D9620E"/>
    <w:rsid w:val="00D968BC"/>
    <w:rsid w:val="00D96A81"/>
    <w:rsid w:val="00D96DF5"/>
    <w:rsid w:val="00D96F9A"/>
    <w:rsid w:val="00D9745A"/>
    <w:rsid w:val="00D974EE"/>
    <w:rsid w:val="00D97E10"/>
    <w:rsid w:val="00DA0036"/>
    <w:rsid w:val="00DA0E66"/>
    <w:rsid w:val="00DA1467"/>
    <w:rsid w:val="00DA2020"/>
    <w:rsid w:val="00DA20B7"/>
    <w:rsid w:val="00DA2152"/>
    <w:rsid w:val="00DA2578"/>
    <w:rsid w:val="00DA3628"/>
    <w:rsid w:val="00DA3658"/>
    <w:rsid w:val="00DA3771"/>
    <w:rsid w:val="00DA3BE4"/>
    <w:rsid w:val="00DA4160"/>
    <w:rsid w:val="00DA4672"/>
    <w:rsid w:val="00DA5290"/>
    <w:rsid w:val="00DA589C"/>
    <w:rsid w:val="00DA6BD2"/>
    <w:rsid w:val="00DA6C8E"/>
    <w:rsid w:val="00DA7A00"/>
    <w:rsid w:val="00DB01C4"/>
    <w:rsid w:val="00DB078D"/>
    <w:rsid w:val="00DB1624"/>
    <w:rsid w:val="00DB23F6"/>
    <w:rsid w:val="00DB30BA"/>
    <w:rsid w:val="00DB3403"/>
    <w:rsid w:val="00DB3AFD"/>
    <w:rsid w:val="00DB3CF5"/>
    <w:rsid w:val="00DB40EC"/>
    <w:rsid w:val="00DB414D"/>
    <w:rsid w:val="00DB4850"/>
    <w:rsid w:val="00DB534F"/>
    <w:rsid w:val="00DB54DA"/>
    <w:rsid w:val="00DB6221"/>
    <w:rsid w:val="00DB7725"/>
    <w:rsid w:val="00DB79C0"/>
    <w:rsid w:val="00DB7AE9"/>
    <w:rsid w:val="00DC034D"/>
    <w:rsid w:val="00DC04DB"/>
    <w:rsid w:val="00DC0DB1"/>
    <w:rsid w:val="00DC0FD1"/>
    <w:rsid w:val="00DC193D"/>
    <w:rsid w:val="00DC1F36"/>
    <w:rsid w:val="00DC2054"/>
    <w:rsid w:val="00DC215E"/>
    <w:rsid w:val="00DC28E3"/>
    <w:rsid w:val="00DC3063"/>
    <w:rsid w:val="00DC3116"/>
    <w:rsid w:val="00DC3787"/>
    <w:rsid w:val="00DC3B7B"/>
    <w:rsid w:val="00DC3D5E"/>
    <w:rsid w:val="00DC3F17"/>
    <w:rsid w:val="00DC3F9B"/>
    <w:rsid w:val="00DC4470"/>
    <w:rsid w:val="00DC4FA0"/>
    <w:rsid w:val="00DC5248"/>
    <w:rsid w:val="00DC6655"/>
    <w:rsid w:val="00DC7147"/>
    <w:rsid w:val="00DC71E0"/>
    <w:rsid w:val="00DD113C"/>
    <w:rsid w:val="00DD11E8"/>
    <w:rsid w:val="00DD19C4"/>
    <w:rsid w:val="00DD1C1F"/>
    <w:rsid w:val="00DD2813"/>
    <w:rsid w:val="00DD285A"/>
    <w:rsid w:val="00DD2CCC"/>
    <w:rsid w:val="00DD322E"/>
    <w:rsid w:val="00DD3374"/>
    <w:rsid w:val="00DD3CE4"/>
    <w:rsid w:val="00DD3D44"/>
    <w:rsid w:val="00DD4C1D"/>
    <w:rsid w:val="00DD4E01"/>
    <w:rsid w:val="00DD4F7C"/>
    <w:rsid w:val="00DD59CC"/>
    <w:rsid w:val="00DD62F0"/>
    <w:rsid w:val="00DD6BC6"/>
    <w:rsid w:val="00DD6D53"/>
    <w:rsid w:val="00DD6ED5"/>
    <w:rsid w:val="00DD76E7"/>
    <w:rsid w:val="00DE0552"/>
    <w:rsid w:val="00DE06A6"/>
    <w:rsid w:val="00DE18D9"/>
    <w:rsid w:val="00DE1D22"/>
    <w:rsid w:val="00DE1F9E"/>
    <w:rsid w:val="00DE1FD1"/>
    <w:rsid w:val="00DE2584"/>
    <w:rsid w:val="00DE2D03"/>
    <w:rsid w:val="00DE2EDD"/>
    <w:rsid w:val="00DE317E"/>
    <w:rsid w:val="00DE36E0"/>
    <w:rsid w:val="00DE387D"/>
    <w:rsid w:val="00DE4235"/>
    <w:rsid w:val="00DE4328"/>
    <w:rsid w:val="00DE43D0"/>
    <w:rsid w:val="00DE4B5F"/>
    <w:rsid w:val="00DE6123"/>
    <w:rsid w:val="00DE6398"/>
    <w:rsid w:val="00DE69C6"/>
    <w:rsid w:val="00DE6FA8"/>
    <w:rsid w:val="00DE700A"/>
    <w:rsid w:val="00DE7532"/>
    <w:rsid w:val="00DE7F68"/>
    <w:rsid w:val="00DF0AF4"/>
    <w:rsid w:val="00DF0C9B"/>
    <w:rsid w:val="00DF11AA"/>
    <w:rsid w:val="00DF1704"/>
    <w:rsid w:val="00DF1748"/>
    <w:rsid w:val="00DF1FD8"/>
    <w:rsid w:val="00DF27A0"/>
    <w:rsid w:val="00DF29BF"/>
    <w:rsid w:val="00DF317D"/>
    <w:rsid w:val="00DF38F9"/>
    <w:rsid w:val="00DF426E"/>
    <w:rsid w:val="00DF4E3C"/>
    <w:rsid w:val="00DF538D"/>
    <w:rsid w:val="00DF5FF0"/>
    <w:rsid w:val="00DF677E"/>
    <w:rsid w:val="00DF688D"/>
    <w:rsid w:val="00DF770A"/>
    <w:rsid w:val="00DF79C0"/>
    <w:rsid w:val="00E00F4A"/>
    <w:rsid w:val="00E01129"/>
    <w:rsid w:val="00E019CE"/>
    <w:rsid w:val="00E01A14"/>
    <w:rsid w:val="00E01D30"/>
    <w:rsid w:val="00E03814"/>
    <w:rsid w:val="00E04620"/>
    <w:rsid w:val="00E05C1F"/>
    <w:rsid w:val="00E0602F"/>
    <w:rsid w:val="00E079FC"/>
    <w:rsid w:val="00E10AA1"/>
    <w:rsid w:val="00E10B04"/>
    <w:rsid w:val="00E11685"/>
    <w:rsid w:val="00E11AFA"/>
    <w:rsid w:val="00E12AE5"/>
    <w:rsid w:val="00E13076"/>
    <w:rsid w:val="00E133F2"/>
    <w:rsid w:val="00E13450"/>
    <w:rsid w:val="00E13F97"/>
    <w:rsid w:val="00E1400E"/>
    <w:rsid w:val="00E14046"/>
    <w:rsid w:val="00E140C2"/>
    <w:rsid w:val="00E146CB"/>
    <w:rsid w:val="00E14810"/>
    <w:rsid w:val="00E14876"/>
    <w:rsid w:val="00E15381"/>
    <w:rsid w:val="00E15A6C"/>
    <w:rsid w:val="00E16765"/>
    <w:rsid w:val="00E170EC"/>
    <w:rsid w:val="00E172C3"/>
    <w:rsid w:val="00E17DB8"/>
    <w:rsid w:val="00E202A3"/>
    <w:rsid w:val="00E207A0"/>
    <w:rsid w:val="00E220B4"/>
    <w:rsid w:val="00E22990"/>
    <w:rsid w:val="00E22D50"/>
    <w:rsid w:val="00E2300F"/>
    <w:rsid w:val="00E23122"/>
    <w:rsid w:val="00E2315D"/>
    <w:rsid w:val="00E23456"/>
    <w:rsid w:val="00E238AC"/>
    <w:rsid w:val="00E244C1"/>
    <w:rsid w:val="00E2498C"/>
    <w:rsid w:val="00E24FDB"/>
    <w:rsid w:val="00E25065"/>
    <w:rsid w:val="00E25B23"/>
    <w:rsid w:val="00E25DA3"/>
    <w:rsid w:val="00E265BB"/>
    <w:rsid w:val="00E27396"/>
    <w:rsid w:val="00E279D4"/>
    <w:rsid w:val="00E27CE1"/>
    <w:rsid w:val="00E308DC"/>
    <w:rsid w:val="00E30C00"/>
    <w:rsid w:val="00E3206F"/>
    <w:rsid w:val="00E32B80"/>
    <w:rsid w:val="00E330F6"/>
    <w:rsid w:val="00E3343A"/>
    <w:rsid w:val="00E33908"/>
    <w:rsid w:val="00E33C02"/>
    <w:rsid w:val="00E341B8"/>
    <w:rsid w:val="00E342CF"/>
    <w:rsid w:val="00E346EE"/>
    <w:rsid w:val="00E34B3B"/>
    <w:rsid w:val="00E3585F"/>
    <w:rsid w:val="00E35B41"/>
    <w:rsid w:val="00E36CAC"/>
    <w:rsid w:val="00E37904"/>
    <w:rsid w:val="00E404B7"/>
    <w:rsid w:val="00E4104B"/>
    <w:rsid w:val="00E42F70"/>
    <w:rsid w:val="00E431ED"/>
    <w:rsid w:val="00E43C2D"/>
    <w:rsid w:val="00E44648"/>
    <w:rsid w:val="00E45213"/>
    <w:rsid w:val="00E4706B"/>
    <w:rsid w:val="00E47CA3"/>
    <w:rsid w:val="00E52EC3"/>
    <w:rsid w:val="00E53398"/>
    <w:rsid w:val="00E5368A"/>
    <w:rsid w:val="00E53858"/>
    <w:rsid w:val="00E55AAA"/>
    <w:rsid w:val="00E56574"/>
    <w:rsid w:val="00E56CC7"/>
    <w:rsid w:val="00E57444"/>
    <w:rsid w:val="00E5753B"/>
    <w:rsid w:val="00E57AA1"/>
    <w:rsid w:val="00E60024"/>
    <w:rsid w:val="00E60598"/>
    <w:rsid w:val="00E607A6"/>
    <w:rsid w:val="00E6089B"/>
    <w:rsid w:val="00E6093B"/>
    <w:rsid w:val="00E61532"/>
    <w:rsid w:val="00E61A1F"/>
    <w:rsid w:val="00E61FC9"/>
    <w:rsid w:val="00E6298C"/>
    <w:rsid w:val="00E634CE"/>
    <w:rsid w:val="00E63E44"/>
    <w:rsid w:val="00E63F35"/>
    <w:rsid w:val="00E646C5"/>
    <w:rsid w:val="00E649EB"/>
    <w:rsid w:val="00E64E57"/>
    <w:rsid w:val="00E653E2"/>
    <w:rsid w:val="00E65EA3"/>
    <w:rsid w:val="00E66080"/>
    <w:rsid w:val="00E66386"/>
    <w:rsid w:val="00E663F1"/>
    <w:rsid w:val="00E66775"/>
    <w:rsid w:val="00E676BD"/>
    <w:rsid w:val="00E67C8F"/>
    <w:rsid w:val="00E67D6E"/>
    <w:rsid w:val="00E702A5"/>
    <w:rsid w:val="00E712F0"/>
    <w:rsid w:val="00E725F3"/>
    <w:rsid w:val="00E73072"/>
    <w:rsid w:val="00E748DF"/>
    <w:rsid w:val="00E74C45"/>
    <w:rsid w:val="00E74D4B"/>
    <w:rsid w:val="00E75302"/>
    <w:rsid w:val="00E75754"/>
    <w:rsid w:val="00E76517"/>
    <w:rsid w:val="00E76971"/>
    <w:rsid w:val="00E76AB3"/>
    <w:rsid w:val="00E77281"/>
    <w:rsid w:val="00E77AC0"/>
    <w:rsid w:val="00E77C0C"/>
    <w:rsid w:val="00E803E1"/>
    <w:rsid w:val="00E80A56"/>
    <w:rsid w:val="00E80C62"/>
    <w:rsid w:val="00E813CD"/>
    <w:rsid w:val="00E829FB"/>
    <w:rsid w:val="00E82A88"/>
    <w:rsid w:val="00E82DEA"/>
    <w:rsid w:val="00E83360"/>
    <w:rsid w:val="00E8362E"/>
    <w:rsid w:val="00E8415F"/>
    <w:rsid w:val="00E84886"/>
    <w:rsid w:val="00E85E08"/>
    <w:rsid w:val="00E86119"/>
    <w:rsid w:val="00E864A4"/>
    <w:rsid w:val="00E87BF5"/>
    <w:rsid w:val="00E90EFE"/>
    <w:rsid w:val="00E91100"/>
    <w:rsid w:val="00E913B0"/>
    <w:rsid w:val="00E91650"/>
    <w:rsid w:val="00E919C5"/>
    <w:rsid w:val="00E920E6"/>
    <w:rsid w:val="00E92C6F"/>
    <w:rsid w:val="00E9331C"/>
    <w:rsid w:val="00E93AAA"/>
    <w:rsid w:val="00E93B53"/>
    <w:rsid w:val="00E93EDC"/>
    <w:rsid w:val="00E95326"/>
    <w:rsid w:val="00E95B19"/>
    <w:rsid w:val="00E96037"/>
    <w:rsid w:val="00E97395"/>
    <w:rsid w:val="00EA0F0D"/>
    <w:rsid w:val="00EA1B87"/>
    <w:rsid w:val="00EA27AD"/>
    <w:rsid w:val="00EA3A14"/>
    <w:rsid w:val="00EA3A5F"/>
    <w:rsid w:val="00EA3CBA"/>
    <w:rsid w:val="00EA43B2"/>
    <w:rsid w:val="00EA4452"/>
    <w:rsid w:val="00EA5220"/>
    <w:rsid w:val="00EA56ED"/>
    <w:rsid w:val="00EA589F"/>
    <w:rsid w:val="00EA7363"/>
    <w:rsid w:val="00EA7527"/>
    <w:rsid w:val="00EA7A27"/>
    <w:rsid w:val="00EB0730"/>
    <w:rsid w:val="00EB0D05"/>
    <w:rsid w:val="00EB0E3D"/>
    <w:rsid w:val="00EB1559"/>
    <w:rsid w:val="00EB1B91"/>
    <w:rsid w:val="00EB2B51"/>
    <w:rsid w:val="00EB3B5D"/>
    <w:rsid w:val="00EB3EE3"/>
    <w:rsid w:val="00EB3FCE"/>
    <w:rsid w:val="00EB4097"/>
    <w:rsid w:val="00EB48E7"/>
    <w:rsid w:val="00EB4A56"/>
    <w:rsid w:val="00EB4DD1"/>
    <w:rsid w:val="00EB5472"/>
    <w:rsid w:val="00EB57E0"/>
    <w:rsid w:val="00EB5D05"/>
    <w:rsid w:val="00EB63BF"/>
    <w:rsid w:val="00EB681A"/>
    <w:rsid w:val="00EB7BD8"/>
    <w:rsid w:val="00EB7F70"/>
    <w:rsid w:val="00EC01C4"/>
    <w:rsid w:val="00EC15B1"/>
    <w:rsid w:val="00EC190B"/>
    <w:rsid w:val="00EC1D5D"/>
    <w:rsid w:val="00EC272B"/>
    <w:rsid w:val="00EC2BF5"/>
    <w:rsid w:val="00EC321D"/>
    <w:rsid w:val="00EC43BC"/>
    <w:rsid w:val="00EC4463"/>
    <w:rsid w:val="00EC53F4"/>
    <w:rsid w:val="00EC5465"/>
    <w:rsid w:val="00EC5874"/>
    <w:rsid w:val="00EC628F"/>
    <w:rsid w:val="00EC6E62"/>
    <w:rsid w:val="00EC7AEE"/>
    <w:rsid w:val="00EC7BF7"/>
    <w:rsid w:val="00ED0737"/>
    <w:rsid w:val="00ED0D20"/>
    <w:rsid w:val="00ED16BC"/>
    <w:rsid w:val="00ED22D3"/>
    <w:rsid w:val="00ED279D"/>
    <w:rsid w:val="00ED2D74"/>
    <w:rsid w:val="00ED2FDE"/>
    <w:rsid w:val="00ED3994"/>
    <w:rsid w:val="00ED420A"/>
    <w:rsid w:val="00ED50C4"/>
    <w:rsid w:val="00ED5E0D"/>
    <w:rsid w:val="00ED6093"/>
    <w:rsid w:val="00ED6845"/>
    <w:rsid w:val="00ED6E76"/>
    <w:rsid w:val="00ED7368"/>
    <w:rsid w:val="00ED76ED"/>
    <w:rsid w:val="00ED7B35"/>
    <w:rsid w:val="00ED7C75"/>
    <w:rsid w:val="00EE115E"/>
    <w:rsid w:val="00EE13A4"/>
    <w:rsid w:val="00EE163C"/>
    <w:rsid w:val="00EE16FC"/>
    <w:rsid w:val="00EE1AAA"/>
    <w:rsid w:val="00EE1F73"/>
    <w:rsid w:val="00EE27DB"/>
    <w:rsid w:val="00EE290C"/>
    <w:rsid w:val="00EE31A7"/>
    <w:rsid w:val="00EE33AE"/>
    <w:rsid w:val="00EE3AC4"/>
    <w:rsid w:val="00EE47F0"/>
    <w:rsid w:val="00EE48A1"/>
    <w:rsid w:val="00EE4D32"/>
    <w:rsid w:val="00EE4FA0"/>
    <w:rsid w:val="00EE5606"/>
    <w:rsid w:val="00EE57EC"/>
    <w:rsid w:val="00EE5B45"/>
    <w:rsid w:val="00EE5C44"/>
    <w:rsid w:val="00EE5CC6"/>
    <w:rsid w:val="00EE5E03"/>
    <w:rsid w:val="00EE5E65"/>
    <w:rsid w:val="00EE6253"/>
    <w:rsid w:val="00EE6731"/>
    <w:rsid w:val="00EE6D89"/>
    <w:rsid w:val="00EE70EC"/>
    <w:rsid w:val="00EE728D"/>
    <w:rsid w:val="00EE73A0"/>
    <w:rsid w:val="00EE7772"/>
    <w:rsid w:val="00EE78BB"/>
    <w:rsid w:val="00EF08A8"/>
    <w:rsid w:val="00EF0BAA"/>
    <w:rsid w:val="00EF39E9"/>
    <w:rsid w:val="00EF3DE1"/>
    <w:rsid w:val="00EF3FD1"/>
    <w:rsid w:val="00EF40AD"/>
    <w:rsid w:val="00EF453B"/>
    <w:rsid w:val="00EF4C1D"/>
    <w:rsid w:val="00EF4D3B"/>
    <w:rsid w:val="00EF4FD5"/>
    <w:rsid w:val="00EF5168"/>
    <w:rsid w:val="00EF5A2D"/>
    <w:rsid w:val="00EF5DB9"/>
    <w:rsid w:val="00EF61CF"/>
    <w:rsid w:val="00EF62C5"/>
    <w:rsid w:val="00EF70E4"/>
    <w:rsid w:val="00EF72BD"/>
    <w:rsid w:val="00F000FE"/>
    <w:rsid w:val="00F0013B"/>
    <w:rsid w:val="00F00350"/>
    <w:rsid w:val="00F00400"/>
    <w:rsid w:val="00F00E62"/>
    <w:rsid w:val="00F0190D"/>
    <w:rsid w:val="00F01952"/>
    <w:rsid w:val="00F01EED"/>
    <w:rsid w:val="00F020EB"/>
    <w:rsid w:val="00F021E1"/>
    <w:rsid w:val="00F0250A"/>
    <w:rsid w:val="00F02BD6"/>
    <w:rsid w:val="00F0305D"/>
    <w:rsid w:val="00F0398A"/>
    <w:rsid w:val="00F03BD2"/>
    <w:rsid w:val="00F043E3"/>
    <w:rsid w:val="00F04640"/>
    <w:rsid w:val="00F04A6D"/>
    <w:rsid w:val="00F04B3B"/>
    <w:rsid w:val="00F051FD"/>
    <w:rsid w:val="00F067E3"/>
    <w:rsid w:val="00F06ECD"/>
    <w:rsid w:val="00F06FD3"/>
    <w:rsid w:val="00F078BC"/>
    <w:rsid w:val="00F07935"/>
    <w:rsid w:val="00F109E9"/>
    <w:rsid w:val="00F10AE3"/>
    <w:rsid w:val="00F10C0D"/>
    <w:rsid w:val="00F117E6"/>
    <w:rsid w:val="00F12713"/>
    <w:rsid w:val="00F129FA"/>
    <w:rsid w:val="00F12BE2"/>
    <w:rsid w:val="00F1304A"/>
    <w:rsid w:val="00F139E2"/>
    <w:rsid w:val="00F13C1F"/>
    <w:rsid w:val="00F14106"/>
    <w:rsid w:val="00F14676"/>
    <w:rsid w:val="00F15056"/>
    <w:rsid w:val="00F15144"/>
    <w:rsid w:val="00F15831"/>
    <w:rsid w:val="00F15FB6"/>
    <w:rsid w:val="00F16849"/>
    <w:rsid w:val="00F16D90"/>
    <w:rsid w:val="00F174C8"/>
    <w:rsid w:val="00F1772F"/>
    <w:rsid w:val="00F17A1F"/>
    <w:rsid w:val="00F17D60"/>
    <w:rsid w:val="00F200FB"/>
    <w:rsid w:val="00F2042A"/>
    <w:rsid w:val="00F20A22"/>
    <w:rsid w:val="00F20E4E"/>
    <w:rsid w:val="00F21483"/>
    <w:rsid w:val="00F21817"/>
    <w:rsid w:val="00F21826"/>
    <w:rsid w:val="00F21AFB"/>
    <w:rsid w:val="00F221EB"/>
    <w:rsid w:val="00F22A6E"/>
    <w:rsid w:val="00F2336C"/>
    <w:rsid w:val="00F23AA5"/>
    <w:rsid w:val="00F241B9"/>
    <w:rsid w:val="00F25BE4"/>
    <w:rsid w:val="00F25E10"/>
    <w:rsid w:val="00F25E7C"/>
    <w:rsid w:val="00F2669A"/>
    <w:rsid w:val="00F2765C"/>
    <w:rsid w:val="00F279EB"/>
    <w:rsid w:val="00F30E7B"/>
    <w:rsid w:val="00F30F43"/>
    <w:rsid w:val="00F319B0"/>
    <w:rsid w:val="00F31A9F"/>
    <w:rsid w:val="00F32042"/>
    <w:rsid w:val="00F32579"/>
    <w:rsid w:val="00F3396D"/>
    <w:rsid w:val="00F33E44"/>
    <w:rsid w:val="00F34028"/>
    <w:rsid w:val="00F34BC5"/>
    <w:rsid w:val="00F35AE2"/>
    <w:rsid w:val="00F36058"/>
    <w:rsid w:val="00F366A3"/>
    <w:rsid w:val="00F3706F"/>
    <w:rsid w:val="00F37350"/>
    <w:rsid w:val="00F37C30"/>
    <w:rsid w:val="00F408EC"/>
    <w:rsid w:val="00F40E5A"/>
    <w:rsid w:val="00F41573"/>
    <w:rsid w:val="00F42135"/>
    <w:rsid w:val="00F42167"/>
    <w:rsid w:val="00F4230E"/>
    <w:rsid w:val="00F423E5"/>
    <w:rsid w:val="00F42D4F"/>
    <w:rsid w:val="00F43179"/>
    <w:rsid w:val="00F438BE"/>
    <w:rsid w:val="00F43EA5"/>
    <w:rsid w:val="00F442B5"/>
    <w:rsid w:val="00F45221"/>
    <w:rsid w:val="00F45918"/>
    <w:rsid w:val="00F46205"/>
    <w:rsid w:val="00F46BE1"/>
    <w:rsid w:val="00F47C85"/>
    <w:rsid w:val="00F50393"/>
    <w:rsid w:val="00F50B23"/>
    <w:rsid w:val="00F50DE1"/>
    <w:rsid w:val="00F511BD"/>
    <w:rsid w:val="00F51633"/>
    <w:rsid w:val="00F52284"/>
    <w:rsid w:val="00F5237D"/>
    <w:rsid w:val="00F5253F"/>
    <w:rsid w:val="00F5262D"/>
    <w:rsid w:val="00F535F5"/>
    <w:rsid w:val="00F5398F"/>
    <w:rsid w:val="00F5418A"/>
    <w:rsid w:val="00F54356"/>
    <w:rsid w:val="00F543B2"/>
    <w:rsid w:val="00F54627"/>
    <w:rsid w:val="00F5464D"/>
    <w:rsid w:val="00F55116"/>
    <w:rsid w:val="00F564DA"/>
    <w:rsid w:val="00F5678A"/>
    <w:rsid w:val="00F56910"/>
    <w:rsid w:val="00F5748F"/>
    <w:rsid w:val="00F60034"/>
    <w:rsid w:val="00F6062E"/>
    <w:rsid w:val="00F6236B"/>
    <w:rsid w:val="00F63C05"/>
    <w:rsid w:val="00F64037"/>
    <w:rsid w:val="00F646AC"/>
    <w:rsid w:val="00F65101"/>
    <w:rsid w:val="00F65589"/>
    <w:rsid w:val="00F660FF"/>
    <w:rsid w:val="00F66D28"/>
    <w:rsid w:val="00F66EAC"/>
    <w:rsid w:val="00F67A29"/>
    <w:rsid w:val="00F67D35"/>
    <w:rsid w:val="00F67D4F"/>
    <w:rsid w:val="00F67F0D"/>
    <w:rsid w:val="00F7015E"/>
    <w:rsid w:val="00F71779"/>
    <w:rsid w:val="00F71FD5"/>
    <w:rsid w:val="00F7215E"/>
    <w:rsid w:val="00F72E46"/>
    <w:rsid w:val="00F733AE"/>
    <w:rsid w:val="00F73B10"/>
    <w:rsid w:val="00F73B15"/>
    <w:rsid w:val="00F74570"/>
    <w:rsid w:val="00F770F1"/>
    <w:rsid w:val="00F777B7"/>
    <w:rsid w:val="00F77871"/>
    <w:rsid w:val="00F77D85"/>
    <w:rsid w:val="00F77E79"/>
    <w:rsid w:val="00F77EB0"/>
    <w:rsid w:val="00F80163"/>
    <w:rsid w:val="00F80D78"/>
    <w:rsid w:val="00F80EA6"/>
    <w:rsid w:val="00F81F47"/>
    <w:rsid w:val="00F8239D"/>
    <w:rsid w:val="00F82986"/>
    <w:rsid w:val="00F83022"/>
    <w:rsid w:val="00F830EE"/>
    <w:rsid w:val="00F83816"/>
    <w:rsid w:val="00F83946"/>
    <w:rsid w:val="00F843D7"/>
    <w:rsid w:val="00F843D8"/>
    <w:rsid w:val="00F84409"/>
    <w:rsid w:val="00F8467E"/>
    <w:rsid w:val="00F84A3C"/>
    <w:rsid w:val="00F84DFD"/>
    <w:rsid w:val="00F8533B"/>
    <w:rsid w:val="00F854C1"/>
    <w:rsid w:val="00F8608A"/>
    <w:rsid w:val="00F866A8"/>
    <w:rsid w:val="00F87592"/>
    <w:rsid w:val="00F87637"/>
    <w:rsid w:val="00F87A20"/>
    <w:rsid w:val="00F87CEB"/>
    <w:rsid w:val="00F90E84"/>
    <w:rsid w:val="00F92653"/>
    <w:rsid w:val="00F92FF2"/>
    <w:rsid w:val="00F9305E"/>
    <w:rsid w:val="00F930FA"/>
    <w:rsid w:val="00F941D5"/>
    <w:rsid w:val="00F945D0"/>
    <w:rsid w:val="00F95A84"/>
    <w:rsid w:val="00F95CA9"/>
    <w:rsid w:val="00F96178"/>
    <w:rsid w:val="00F96443"/>
    <w:rsid w:val="00F96609"/>
    <w:rsid w:val="00F96AF2"/>
    <w:rsid w:val="00F97552"/>
    <w:rsid w:val="00F97A02"/>
    <w:rsid w:val="00F97A33"/>
    <w:rsid w:val="00F97F61"/>
    <w:rsid w:val="00FA0531"/>
    <w:rsid w:val="00FA062A"/>
    <w:rsid w:val="00FA0829"/>
    <w:rsid w:val="00FA0B20"/>
    <w:rsid w:val="00FA10EA"/>
    <w:rsid w:val="00FA1EA1"/>
    <w:rsid w:val="00FA2308"/>
    <w:rsid w:val="00FA2A29"/>
    <w:rsid w:val="00FA2C3D"/>
    <w:rsid w:val="00FA47EA"/>
    <w:rsid w:val="00FA4813"/>
    <w:rsid w:val="00FA5054"/>
    <w:rsid w:val="00FA54FA"/>
    <w:rsid w:val="00FA5E0F"/>
    <w:rsid w:val="00FA69F7"/>
    <w:rsid w:val="00FA728F"/>
    <w:rsid w:val="00FA7303"/>
    <w:rsid w:val="00FA798A"/>
    <w:rsid w:val="00FB0682"/>
    <w:rsid w:val="00FB076D"/>
    <w:rsid w:val="00FB0DFD"/>
    <w:rsid w:val="00FB0F7C"/>
    <w:rsid w:val="00FB10FF"/>
    <w:rsid w:val="00FB15E8"/>
    <w:rsid w:val="00FB1F0C"/>
    <w:rsid w:val="00FB384D"/>
    <w:rsid w:val="00FB3CB7"/>
    <w:rsid w:val="00FB3E0D"/>
    <w:rsid w:val="00FB49CC"/>
    <w:rsid w:val="00FB5A70"/>
    <w:rsid w:val="00FB6D8B"/>
    <w:rsid w:val="00FB6FB7"/>
    <w:rsid w:val="00FB6FBB"/>
    <w:rsid w:val="00FB7887"/>
    <w:rsid w:val="00FB7CCD"/>
    <w:rsid w:val="00FB7E78"/>
    <w:rsid w:val="00FC05B3"/>
    <w:rsid w:val="00FC0D24"/>
    <w:rsid w:val="00FC1163"/>
    <w:rsid w:val="00FC1513"/>
    <w:rsid w:val="00FC1C9F"/>
    <w:rsid w:val="00FC2264"/>
    <w:rsid w:val="00FC22CF"/>
    <w:rsid w:val="00FC26FA"/>
    <w:rsid w:val="00FC2743"/>
    <w:rsid w:val="00FC33B7"/>
    <w:rsid w:val="00FC3B1B"/>
    <w:rsid w:val="00FC4878"/>
    <w:rsid w:val="00FC53F5"/>
    <w:rsid w:val="00FC571B"/>
    <w:rsid w:val="00FC5929"/>
    <w:rsid w:val="00FC5B43"/>
    <w:rsid w:val="00FC60FC"/>
    <w:rsid w:val="00FC7101"/>
    <w:rsid w:val="00FC7570"/>
    <w:rsid w:val="00FD070E"/>
    <w:rsid w:val="00FD0770"/>
    <w:rsid w:val="00FD090C"/>
    <w:rsid w:val="00FD2592"/>
    <w:rsid w:val="00FD26AA"/>
    <w:rsid w:val="00FD29BC"/>
    <w:rsid w:val="00FD2FA4"/>
    <w:rsid w:val="00FD389F"/>
    <w:rsid w:val="00FD41E9"/>
    <w:rsid w:val="00FD4CD2"/>
    <w:rsid w:val="00FD5A3D"/>
    <w:rsid w:val="00FD5CC4"/>
    <w:rsid w:val="00FD5EEF"/>
    <w:rsid w:val="00FD6421"/>
    <w:rsid w:val="00FD6A60"/>
    <w:rsid w:val="00FD6CE1"/>
    <w:rsid w:val="00FD7CFA"/>
    <w:rsid w:val="00FE1833"/>
    <w:rsid w:val="00FE1A19"/>
    <w:rsid w:val="00FE1D92"/>
    <w:rsid w:val="00FE249F"/>
    <w:rsid w:val="00FE2D37"/>
    <w:rsid w:val="00FE34C9"/>
    <w:rsid w:val="00FE3542"/>
    <w:rsid w:val="00FE372A"/>
    <w:rsid w:val="00FE3CC8"/>
    <w:rsid w:val="00FE46B5"/>
    <w:rsid w:val="00FE494D"/>
    <w:rsid w:val="00FE4CE4"/>
    <w:rsid w:val="00FE4CFA"/>
    <w:rsid w:val="00FE536B"/>
    <w:rsid w:val="00FE53FB"/>
    <w:rsid w:val="00FE627C"/>
    <w:rsid w:val="00FE6AF8"/>
    <w:rsid w:val="00FE6FD7"/>
    <w:rsid w:val="00FE778F"/>
    <w:rsid w:val="00FF0AB9"/>
    <w:rsid w:val="00FF0F71"/>
    <w:rsid w:val="00FF205E"/>
    <w:rsid w:val="00FF2227"/>
    <w:rsid w:val="00FF2D5F"/>
    <w:rsid w:val="00FF377D"/>
    <w:rsid w:val="00FF3B73"/>
    <w:rsid w:val="00FF4502"/>
    <w:rsid w:val="00FF550F"/>
    <w:rsid w:val="00FF600E"/>
    <w:rsid w:val="00FF6971"/>
    <w:rsid w:val="00FF6AFD"/>
    <w:rsid w:val="00FF6D1F"/>
    <w:rsid w:val="00FF7715"/>
    <w:rsid w:val="00FF7756"/>
    <w:rsid w:val="00FF77FD"/>
    <w:rsid w:val="00FF7C5C"/>
    <w:rsid w:val="010A2FEF"/>
    <w:rsid w:val="01705BA7"/>
    <w:rsid w:val="01726C99"/>
    <w:rsid w:val="017A716C"/>
    <w:rsid w:val="018E701C"/>
    <w:rsid w:val="01927CB8"/>
    <w:rsid w:val="01E77E55"/>
    <w:rsid w:val="01FE26B3"/>
    <w:rsid w:val="02411D63"/>
    <w:rsid w:val="024C0C1C"/>
    <w:rsid w:val="025F725B"/>
    <w:rsid w:val="02631E0C"/>
    <w:rsid w:val="026773F7"/>
    <w:rsid w:val="026B2F60"/>
    <w:rsid w:val="0277649D"/>
    <w:rsid w:val="02942B85"/>
    <w:rsid w:val="02B4308A"/>
    <w:rsid w:val="02BE1F13"/>
    <w:rsid w:val="02BF3CB3"/>
    <w:rsid w:val="02D94BDC"/>
    <w:rsid w:val="02E05980"/>
    <w:rsid w:val="02E10158"/>
    <w:rsid w:val="02E33B11"/>
    <w:rsid w:val="02E82CFF"/>
    <w:rsid w:val="02E90CED"/>
    <w:rsid w:val="03044816"/>
    <w:rsid w:val="031200E5"/>
    <w:rsid w:val="03147647"/>
    <w:rsid w:val="031B44D3"/>
    <w:rsid w:val="032F25B7"/>
    <w:rsid w:val="034355F6"/>
    <w:rsid w:val="03626918"/>
    <w:rsid w:val="03693B71"/>
    <w:rsid w:val="03790224"/>
    <w:rsid w:val="04017E0F"/>
    <w:rsid w:val="040629FE"/>
    <w:rsid w:val="042F07BA"/>
    <w:rsid w:val="0454051D"/>
    <w:rsid w:val="04625B87"/>
    <w:rsid w:val="04641C3D"/>
    <w:rsid w:val="046D74CC"/>
    <w:rsid w:val="04AA43B1"/>
    <w:rsid w:val="04AA6170"/>
    <w:rsid w:val="04C03310"/>
    <w:rsid w:val="04C27C6B"/>
    <w:rsid w:val="04C5725A"/>
    <w:rsid w:val="04CD7BA7"/>
    <w:rsid w:val="04E10ED2"/>
    <w:rsid w:val="04E61A3C"/>
    <w:rsid w:val="04F965FD"/>
    <w:rsid w:val="05030EBC"/>
    <w:rsid w:val="050538AA"/>
    <w:rsid w:val="05131C44"/>
    <w:rsid w:val="05173208"/>
    <w:rsid w:val="052E40A0"/>
    <w:rsid w:val="054D1F0A"/>
    <w:rsid w:val="058F4C45"/>
    <w:rsid w:val="05982A2A"/>
    <w:rsid w:val="059E6A53"/>
    <w:rsid w:val="05AE51B5"/>
    <w:rsid w:val="05C9773C"/>
    <w:rsid w:val="05D1588D"/>
    <w:rsid w:val="05F36630"/>
    <w:rsid w:val="05F5326C"/>
    <w:rsid w:val="0604552E"/>
    <w:rsid w:val="06054992"/>
    <w:rsid w:val="061B3CEF"/>
    <w:rsid w:val="06287BE0"/>
    <w:rsid w:val="06824DC3"/>
    <w:rsid w:val="06835717"/>
    <w:rsid w:val="06835E10"/>
    <w:rsid w:val="068573EE"/>
    <w:rsid w:val="068C7AAD"/>
    <w:rsid w:val="068F5C58"/>
    <w:rsid w:val="06B659C8"/>
    <w:rsid w:val="06E2427F"/>
    <w:rsid w:val="06F80AEE"/>
    <w:rsid w:val="06FD4286"/>
    <w:rsid w:val="070614A8"/>
    <w:rsid w:val="07177C67"/>
    <w:rsid w:val="07207745"/>
    <w:rsid w:val="073C0D88"/>
    <w:rsid w:val="075528FF"/>
    <w:rsid w:val="0789573B"/>
    <w:rsid w:val="07F97307"/>
    <w:rsid w:val="08194EF9"/>
    <w:rsid w:val="083046A9"/>
    <w:rsid w:val="083418BD"/>
    <w:rsid w:val="08595FA0"/>
    <w:rsid w:val="08912130"/>
    <w:rsid w:val="08A1265A"/>
    <w:rsid w:val="08B913BC"/>
    <w:rsid w:val="08CD2B89"/>
    <w:rsid w:val="08D85547"/>
    <w:rsid w:val="08E007C9"/>
    <w:rsid w:val="08E72D92"/>
    <w:rsid w:val="091245C6"/>
    <w:rsid w:val="09164C4A"/>
    <w:rsid w:val="091B25B7"/>
    <w:rsid w:val="09691C08"/>
    <w:rsid w:val="096D03BE"/>
    <w:rsid w:val="09812741"/>
    <w:rsid w:val="0988070A"/>
    <w:rsid w:val="09C5637B"/>
    <w:rsid w:val="09C92BA8"/>
    <w:rsid w:val="09D50EA4"/>
    <w:rsid w:val="09E55964"/>
    <w:rsid w:val="09ED0D1D"/>
    <w:rsid w:val="0A0A16AF"/>
    <w:rsid w:val="0A29309E"/>
    <w:rsid w:val="0A3563A4"/>
    <w:rsid w:val="0A3979D6"/>
    <w:rsid w:val="0A791C35"/>
    <w:rsid w:val="0A7C4068"/>
    <w:rsid w:val="0A934BA1"/>
    <w:rsid w:val="0ACE533A"/>
    <w:rsid w:val="0B074084"/>
    <w:rsid w:val="0B740C9C"/>
    <w:rsid w:val="0BA96CFF"/>
    <w:rsid w:val="0BD1195E"/>
    <w:rsid w:val="0BDF1AE1"/>
    <w:rsid w:val="0C0078D3"/>
    <w:rsid w:val="0C123C63"/>
    <w:rsid w:val="0C3B7A34"/>
    <w:rsid w:val="0C7F54FE"/>
    <w:rsid w:val="0C84056D"/>
    <w:rsid w:val="0C93493F"/>
    <w:rsid w:val="0CCE08D6"/>
    <w:rsid w:val="0CE506AC"/>
    <w:rsid w:val="0D03428C"/>
    <w:rsid w:val="0D0C62A1"/>
    <w:rsid w:val="0D0E13B7"/>
    <w:rsid w:val="0D173BE7"/>
    <w:rsid w:val="0D213465"/>
    <w:rsid w:val="0D694CC1"/>
    <w:rsid w:val="0D735FEE"/>
    <w:rsid w:val="0D752E99"/>
    <w:rsid w:val="0D8408F5"/>
    <w:rsid w:val="0D846158"/>
    <w:rsid w:val="0D944E97"/>
    <w:rsid w:val="0D994639"/>
    <w:rsid w:val="0DEB3C90"/>
    <w:rsid w:val="0DF84ABB"/>
    <w:rsid w:val="0E041A04"/>
    <w:rsid w:val="0E1868F3"/>
    <w:rsid w:val="0E363440"/>
    <w:rsid w:val="0E435125"/>
    <w:rsid w:val="0E4522A7"/>
    <w:rsid w:val="0E4F57CD"/>
    <w:rsid w:val="0E517564"/>
    <w:rsid w:val="0E5957C8"/>
    <w:rsid w:val="0E634B8E"/>
    <w:rsid w:val="0E65630C"/>
    <w:rsid w:val="0E7F0710"/>
    <w:rsid w:val="0E8F3B67"/>
    <w:rsid w:val="0E9476AA"/>
    <w:rsid w:val="0EB372B5"/>
    <w:rsid w:val="0ECC15A3"/>
    <w:rsid w:val="0EEE2CF1"/>
    <w:rsid w:val="0F1C7046"/>
    <w:rsid w:val="0F1D6ACA"/>
    <w:rsid w:val="0F211204"/>
    <w:rsid w:val="0F2277DE"/>
    <w:rsid w:val="0F2D011C"/>
    <w:rsid w:val="0F7E3EF4"/>
    <w:rsid w:val="0FA70F62"/>
    <w:rsid w:val="0FA86C95"/>
    <w:rsid w:val="0FB019A6"/>
    <w:rsid w:val="0FB14527"/>
    <w:rsid w:val="0FB72085"/>
    <w:rsid w:val="0FB97EEB"/>
    <w:rsid w:val="0FC02D3A"/>
    <w:rsid w:val="0FD26C91"/>
    <w:rsid w:val="100867D6"/>
    <w:rsid w:val="10191BD6"/>
    <w:rsid w:val="101B7472"/>
    <w:rsid w:val="10372324"/>
    <w:rsid w:val="10465AF9"/>
    <w:rsid w:val="104B6726"/>
    <w:rsid w:val="107444AE"/>
    <w:rsid w:val="10763440"/>
    <w:rsid w:val="10786E06"/>
    <w:rsid w:val="107E07D5"/>
    <w:rsid w:val="107F536F"/>
    <w:rsid w:val="109628B6"/>
    <w:rsid w:val="10C21920"/>
    <w:rsid w:val="10D84E44"/>
    <w:rsid w:val="10EF4E57"/>
    <w:rsid w:val="111C1411"/>
    <w:rsid w:val="111C6228"/>
    <w:rsid w:val="115E356C"/>
    <w:rsid w:val="116C04DB"/>
    <w:rsid w:val="1185512F"/>
    <w:rsid w:val="119903C7"/>
    <w:rsid w:val="11DE6DFA"/>
    <w:rsid w:val="11E174E6"/>
    <w:rsid w:val="11E235A9"/>
    <w:rsid w:val="11EB1D92"/>
    <w:rsid w:val="11F64A0A"/>
    <w:rsid w:val="121644DB"/>
    <w:rsid w:val="121E60C8"/>
    <w:rsid w:val="124E1DE3"/>
    <w:rsid w:val="12554D36"/>
    <w:rsid w:val="128B7392"/>
    <w:rsid w:val="128F3F92"/>
    <w:rsid w:val="1299538A"/>
    <w:rsid w:val="12BE5715"/>
    <w:rsid w:val="12FC48FE"/>
    <w:rsid w:val="13077AC7"/>
    <w:rsid w:val="130B3CE1"/>
    <w:rsid w:val="13301B1C"/>
    <w:rsid w:val="136B2F62"/>
    <w:rsid w:val="13840CD1"/>
    <w:rsid w:val="13B710FA"/>
    <w:rsid w:val="13DD186B"/>
    <w:rsid w:val="13DF5635"/>
    <w:rsid w:val="13EC4F4C"/>
    <w:rsid w:val="13F14FFF"/>
    <w:rsid w:val="13F35AFE"/>
    <w:rsid w:val="14190F6A"/>
    <w:rsid w:val="141F7479"/>
    <w:rsid w:val="142B7F2C"/>
    <w:rsid w:val="14657C81"/>
    <w:rsid w:val="14925750"/>
    <w:rsid w:val="14953182"/>
    <w:rsid w:val="14D31857"/>
    <w:rsid w:val="14F346E2"/>
    <w:rsid w:val="14F876B9"/>
    <w:rsid w:val="15004878"/>
    <w:rsid w:val="150C73B6"/>
    <w:rsid w:val="151A0AEB"/>
    <w:rsid w:val="152461AC"/>
    <w:rsid w:val="15251EB6"/>
    <w:rsid w:val="152F2B30"/>
    <w:rsid w:val="153556E8"/>
    <w:rsid w:val="15355A80"/>
    <w:rsid w:val="154920D7"/>
    <w:rsid w:val="1577265B"/>
    <w:rsid w:val="15897252"/>
    <w:rsid w:val="15AD15B6"/>
    <w:rsid w:val="15D30B7E"/>
    <w:rsid w:val="15EB684A"/>
    <w:rsid w:val="16121360"/>
    <w:rsid w:val="161C6D36"/>
    <w:rsid w:val="16246FDE"/>
    <w:rsid w:val="165B184F"/>
    <w:rsid w:val="167B566B"/>
    <w:rsid w:val="167E1871"/>
    <w:rsid w:val="16AA7430"/>
    <w:rsid w:val="16DD0CDB"/>
    <w:rsid w:val="16EA2FDC"/>
    <w:rsid w:val="17063449"/>
    <w:rsid w:val="17107107"/>
    <w:rsid w:val="171E590A"/>
    <w:rsid w:val="17246E52"/>
    <w:rsid w:val="172F230F"/>
    <w:rsid w:val="177253D3"/>
    <w:rsid w:val="17806D60"/>
    <w:rsid w:val="17881E6C"/>
    <w:rsid w:val="17A71141"/>
    <w:rsid w:val="17B236B5"/>
    <w:rsid w:val="17BE3E94"/>
    <w:rsid w:val="18046306"/>
    <w:rsid w:val="180E0EC8"/>
    <w:rsid w:val="181E2C19"/>
    <w:rsid w:val="183773AF"/>
    <w:rsid w:val="185F401D"/>
    <w:rsid w:val="18633A4B"/>
    <w:rsid w:val="18685440"/>
    <w:rsid w:val="186F2311"/>
    <w:rsid w:val="18A830AD"/>
    <w:rsid w:val="18C26371"/>
    <w:rsid w:val="18D53797"/>
    <w:rsid w:val="19271C70"/>
    <w:rsid w:val="19285DF4"/>
    <w:rsid w:val="19332DD4"/>
    <w:rsid w:val="199C7F6E"/>
    <w:rsid w:val="1A0010FD"/>
    <w:rsid w:val="1A035C59"/>
    <w:rsid w:val="1A0B515B"/>
    <w:rsid w:val="1A193DA8"/>
    <w:rsid w:val="1A242396"/>
    <w:rsid w:val="1A254FB4"/>
    <w:rsid w:val="1A276E32"/>
    <w:rsid w:val="1A3B6A10"/>
    <w:rsid w:val="1A53026F"/>
    <w:rsid w:val="1A625F46"/>
    <w:rsid w:val="1A9F5490"/>
    <w:rsid w:val="1AA95BD9"/>
    <w:rsid w:val="1AAD51D0"/>
    <w:rsid w:val="1ACB1E03"/>
    <w:rsid w:val="1AE14082"/>
    <w:rsid w:val="1AE15AD0"/>
    <w:rsid w:val="1B0048AC"/>
    <w:rsid w:val="1B0458F0"/>
    <w:rsid w:val="1B1C3FDE"/>
    <w:rsid w:val="1B1D6BE9"/>
    <w:rsid w:val="1B460BF5"/>
    <w:rsid w:val="1B470047"/>
    <w:rsid w:val="1B7D6308"/>
    <w:rsid w:val="1B836DFE"/>
    <w:rsid w:val="1BAB4E16"/>
    <w:rsid w:val="1BB53BDC"/>
    <w:rsid w:val="1BBA23FE"/>
    <w:rsid w:val="1BCB68D4"/>
    <w:rsid w:val="1BD27C1A"/>
    <w:rsid w:val="1BD44279"/>
    <w:rsid w:val="1BDE07FE"/>
    <w:rsid w:val="1BDE24B0"/>
    <w:rsid w:val="1BE40CBC"/>
    <w:rsid w:val="1C030CB5"/>
    <w:rsid w:val="1C24592E"/>
    <w:rsid w:val="1C5D784B"/>
    <w:rsid w:val="1C8247FD"/>
    <w:rsid w:val="1C914B11"/>
    <w:rsid w:val="1C921ADF"/>
    <w:rsid w:val="1CB8192D"/>
    <w:rsid w:val="1D223145"/>
    <w:rsid w:val="1D53441A"/>
    <w:rsid w:val="1D716283"/>
    <w:rsid w:val="1D8100B5"/>
    <w:rsid w:val="1DA13704"/>
    <w:rsid w:val="1DC2652B"/>
    <w:rsid w:val="1E042043"/>
    <w:rsid w:val="1E50111D"/>
    <w:rsid w:val="1E6122A1"/>
    <w:rsid w:val="1E7B1B3B"/>
    <w:rsid w:val="1E825AED"/>
    <w:rsid w:val="1E93323C"/>
    <w:rsid w:val="1E9F39E5"/>
    <w:rsid w:val="1EA11E30"/>
    <w:rsid w:val="1ECE67C5"/>
    <w:rsid w:val="1EE06428"/>
    <w:rsid w:val="1EEA3FFB"/>
    <w:rsid w:val="1F400353"/>
    <w:rsid w:val="1F546A64"/>
    <w:rsid w:val="1F8E3152"/>
    <w:rsid w:val="1F953480"/>
    <w:rsid w:val="1F9976C1"/>
    <w:rsid w:val="1FC40D46"/>
    <w:rsid w:val="1FC82B6F"/>
    <w:rsid w:val="1FCA5B9A"/>
    <w:rsid w:val="1FDF3A0E"/>
    <w:rsid w:val="2019069B"/>
    <w:rsid w:val="201C3D2B"/>
    <w:rsid w:val="202A699D"/>
    <w:rsid w:val="202E1591"/>
    <w:rsid w:val="202F6D94"/>
    <w:rsid w:val="204C13D7"/>
    <w:rsid w:val="20646E41"/>
    <w:rsid w:val="20734975"/>
    <w:rsid w:val="20796AF4"/>
    <w:rsid w:val="20905B4B"/>
    <w:rsid w:val="20A46ED6"/>
    <w:rsid w:val="20C935A5"/>
    <w:rsid w:val="20DC6F73"/>
    <w:rsid w:val="20DF7E26"/>
    <w:rsid w:val="20E03073"/>
    <w:rsid w:val="21155B71"/>
    <w:rsid w:val="21194F67"/>
    <w:rsid w:val="212B4CD1"/>
    <w:rsid w:val="21544755"/>
    <w:rsid w:val="21566265"/>
    <w:rsid w:val="2159748B"/>
    <w:rsid w:val="215E1C5B"/>
    <w:rsid w:val="21630CD5"/>
    <w:rsid w:val="218B19D5"/>
    <w:rsid w:val="219B1AE5"/>
    <w:rsid w:val="21D25D41"/>
    <w:rsid w:val="21EA38E6"/>
    <w:rsid w:val="21EB385C"/>
    <w:rsid w:val="21EB4C83"/>
    <w:rsid w:val="22091F11"/>
    <w:rsid w:val="220D1DB7"/>
    <w:rsid w:val="221649C2"/>
    <w:rsid w:val="22243D75"/>
    <w:rsid w:val="22450F11"/>
    <w:rsid w:val="22455F55"/>
    <w:rsid w:val="22463EE2"/>
    <w:rsid w:val="224C7674"/>
    <w:rsid w:val="22521649"/>
    <w:rsid w:val="22682187"/>
    <w:rsid w:val="22867836"/>
    <w:rsid w:val="229B5DD9"/>
    <w:rsid w:val="22DF3107"/>
    <w:rsid w:val="23165B7F"/>
    <w:rsid w:val="23655234"/>
    <w:rsid w:val="238B5388"/>
    <w:rsid w:val="23A70A99"/>
    <w:rsid w:val="23FB0972"/>
    <w:rsid w:val="24077B63"/>
    <w:rsid w:val="24393CCB"/>
    <w:rsid w:val="24617A32"/>
    <w:rsid w:val="24715930"/>
    <w:rsid w:val="249E3FA1"/>
    <w:rsid w:val="24C45B67"/>
    <w:rsid w:val="24D51090"/>
    <w:rsid w:val="24E02810"/>
    <w:rsid w:val="24E80B31"/>
    <w:rsid w:val="24F7481F"/>
    <w:rsid w:val="24FC10C0"/>
    <w:rsid w:val="251F4612"/>
    <w:rsid w:val="25264295"/>
    <w:rsid w:val="253D0353"/>
    <w:rsid w:val="25411DF7"/>
    <w:rsid w:val="254E47E0"/>
    <w:rsid w:val="255F119C"/>
    <w:rsid w:val="256226AE"/>
    <w:rsid w:val="256D3A84"/>
    <w:rsid w:val="259750E6"/>
    <w:rsid w:val="25A16D81"/>
    <w:rsid w:val="25C063ED"/>
    <w:rsid w:val="25C222B7"/>
    <w:rsid w:val="25D70626"/>
    <w:rsid w:val="25EB0CCD"/>
    <w:rsid w:val="25EE7C35"/>
    <w:rsid w:val="260B5FB3"/>
    <w:rsid w:val="260E3EFC"/>
    <w:rsid w:val="261906FB"/>
    <w:rsid w:val="26262DF1"/>
    <w:rsid w:val="263D2762"/>
    <w:rsid w:val="26501462"/>
    <w:rsid w:val="265E7E4A"/>
    <w:rsid w:val="267D3321"/>
    <w:rsid w:val="26BA1789"/>
    <w:rsid w:val="26D21F5A"/>
    <w:rsid w:val="26E52F4A"/>
    <w:rsid w:val="26F6393B"/>
    <w:rsid w:val="26F663A5"/>
    <w:rsid w:val="26FD7255"/>
    <w:rsid w:val="271A330B"/>
    <w:rsid w:val="272D1A36"/>
    <w:rsid w:val="27432E2C"/>
    <w:rsid w:val="27441883"/>
    <w:rsid w:val="27745F0A"/>
    <w:rsid w:val="277928A1"/>
    <w:rsid w:val="27872954"/>
    <w:rsid w:val="27B207DF"/>
    <w:rsid w:val="27B36FE8"/>
    <w:rsid w:val="27C35DBC"/>
    <w:rsid w:val="27CB12A0"/>
    <w:rsid w:val="27D37F2A"/>
    <w:rsid w:val="27DB4604"/>
    <w:rsid w:val="281E7C90"/>
    <w:rsid w:val="2839734E"/>
    <w:rsid w:val="28444955"/>
    <w:rsid w:val="2858761E"/>
    <w:rsid w:val="285B580A"/>
    <w:rsid w:val="28886CCF"/>
    <w:rsid w:val="288A69DC"/>
    <w:rsid w:val="289F676F"/>
    <w:rsid w:val="28E00E19"/>
    <w:rsid w:val="29051E9E"/>
    <w:rsid w:val="292148E0"/>
    <w:rsid w:val="292D48E1"/>
    <w:rsid w:val="293A5EAD"/>
    <w:rsid w:val="2942068D"/>
    <w:rsid w:val="294B3401"/>
    <w:rsid w:val="29501D76"/>
    <w:rsid w:val="29BC13EC"/>
    <w:rsid w:val="29C52923"/>
    <w:rsid w:val="29C7492B"/>
    <w:rsid w:val="29CF4F42"/>
    <w:rsid w:val="29EB325A"/>
    <w:rsid w:val="29EF4C68"/>
    <w:rsid w:val="29F25573"/>
    <w:rsid w:val="2A070CD0"/>
    <w:rsid w:val="2A28518E"/>
    <w:rsid w:val="2A3428A6"/>
    <w:rsid w:val="2A457DE6"/>
    <w:rsid w:val="2A5074A7"/>
    <w:rsid w:val="2A5741BB"/>
    <w:rsid w:val="2A82394C"/>
    <w:rsid w:val="2A9026B7"/>
    <w:rsid w:val="2A92586B"/>
    <w:rsid w:val="2AB24713"/>
    <w:rsid w:val="2AB257F0"/>
    <w:rsid w:val="2ABA7960"/>
    <w:rsid w:val="2ABB462F"/>
    <w:rsid w:val="2AD66330"/>
    <w:rsid w:val="2AD9739F"/>
    <w:rsid w:val="2AE207DD"/>
    <w:rsid w:val="2AE81EBB"/>
    <w:rsid w:val="2AF83048"/>
    <w:rsid w:val="2B0E2CC8"/>
    <w:rsid w:val="2B3D3D8A"/>
    <w:rsid w:val="2B4176EA"/>
    <w:rsid w:val="2B4963B4"/>
    <w:rsid w:val="2B511DC9"/>
    <w:rsid w:val="2B53711C"/>
    <w:rsid w:val="2B7526C8"/>
    <w:rsid w:val="2B82332B"/>
    <w:rsid w:val="2BC216D4"/>
    <w:rsid w:val="2BC36FC5"/>
    <w:rsid w:val="2BDA1145"/>
    <w:rsid w:val="2C0E6B61"/>
    <w:rsid w:val="2C1440F5"/>
    <w:rsid w:val="2C164D3E"/>
    <w:rsid w:val="2C3F7E49"/>
    <w:rsid w:val="2C58214E"/>
    <w:rsid w:val="2C621DC4"/>
    <w:rsid w:val="2C7A3207"/>
    <w:rsid w:val="2C836EED"/>
    <w:rsid w:val="2C8535B1"/>
    <w:rsid w:val="2CA3527E"/>
    <w:rsid w:val="2CE1321F"/>
    <w:rsid w:val="2CEA67A1"/>
    <w:rsid w:val="2D0263E5"/>
    <w:rsid w:val="2D223DB9"/>
    <w:rsid w:val="2D232CD4"/>
    <w:rsid w:val="2D2C5236"/>
    <w:rsid w:val="2D4A1FFF"/>
    <w:rsid w:val="2D6505E1"/>
    <w:rsid w:val="2D7042AF"/>
    <w:rsid w:val="2D7E0B4D"/>
    <w:rsid w:val="2DC8120A"/>
    <w:rsid w:val="2DD04474"/>
    <w:rsid w:val="2DD764F6"/>
    <w:rsid w:val="2DE3095E"/>
    <w:rsid w:val="2E6115DE"/>
    <w:rsid w:val="2E8B762B"/>
    <w:rsid w:val="2EA748D4"/>
    <w:rsid w:val="2EB94543"/>
    <w:rsid w:val="2ECA7EA6"/>
    <w:rsid w:val="2ED40D31"/>
    <w:rsid w:val="2ED5277E"/>
    <w:rsid w:val="2ED94C9B"/>
    <w:rsid w:val="2EE02321"/>
    <w:rsid w:val="2EF106DD"/>
    <w:rsid w:val="2EFE4A55"/>
    <w:rsid w:val="2F06465A"/>
    <w:rsid w:val="2F15723F"/>
    <w:rsid w:val="2F2B1B51"/>
    <w:rsid w:val="2F6B46F6"/>
    <w:rsid w:val="2F7775F3"/>
    <w:rsid w:val="2F8D56DC"/>
    <w:rsid w:val="2FA742B0"/>
    <w:rsid w:val="2FA7473E"/>
    <w:rsid w:val="2FAE5BC7"/>
    <w:rsid w:val="2FB46134"/>
    <w:rsid w:val="300278EC"/>
    <w:rsid w:val="302734B6"/>
    <w:rsid w:val="30505040"/>
    <w:rsid w:val="30550F51"/>
    <w:rsid w:val="307D642B"/>
    <w:rsid w:val="309F40C7"/>
    <w:rsid w:val="30A66662"/>
    <w:rsid w:val="30C41B9E"/>
    <w:rsid w:val="30F10F49"/>
    <w:rsid w:val="30F53E09"/>
    <w:rsid w:val="3143335C"/>
    <w:rsid w:val="318241E8"/>
    <w:rsid w:val="318C6694"/>
    <w:rsid w:val="318E3D40"/>
    <w:rsid w:val="319B6819"/>
    <w:rsid w:val="31AD608F"/>
    <w:rsid w:val="31B8238D"/>
    <w:rsid w:val="31BA5F3E"/>
    <w:rsid w:val="31E72DD1"/>
    <w:rsid w:val="31EE0715"/>
    <w:rsid w:val="32194E3A"/>
    <w:rsid w:val="324870FD"/>
    <w:rsid w:val="324C4E2B"/>
    <w:rsid w:val="325309FC"/>
    <w:rsid w:val="32593FDB"/>
    <w:rsid w:val="326D0B59"/>
    <w:rsid w:val="32812F19"/>
    <w:rsid w:val="328D30F8"/>
    <w:rsid w:val="3292316E"/>
    <w:rsid w:val="32B220AC"/>
    <w:rsid w:val="32BA5020"/>
    <w:rsid w:val="32E52AE4"/>
    <w:rsid w:val="32FE34A1"/>
    <w:rsid w:val="331065D7"/>
    <w:rsid w:val="331B032F"/>
    <w:rsid w:val="335D1995"/>
    <w:rsid w:val="3387262B"/>
    <w:rsid w:val="339305F5"/>
    <w:rsid w:val="33A04EA1"/>
    <w:rsid w:val="33A647EE"/>
    <w:rsid w:val="33AF3E18"/>
    <w:rsid w:val="33C62382"/>
    <w:rsid w:val="33D770C1"/>
    <w:rsid w:val="33F1507D"/>
    <w:rsid w:val="34072C17"/>
    <w:rsid w:val="340C39BA"/>
    <w:rsid w:val="341D7F60"/>
    <w:rsid w:val="343B3845"/>
    <w:rsid w:val="34512AC2"/>
    <w:rsid w:val="345E48BF"/>
    <w:rsid w:val="346B46B8"/>
    <w:rsid w:val="349B7004"/>
    <w:rsid w:val="34B74DF8"/>
    <w:rsid w:val="34BC1EA5"/>
    <w:rsid w:val="34CB5812"/>
    <w:rsid w:val="34F52C48"/>
    <w:rsid w:val="34FB0D4E"/>
    <w:rsid w:val="353941D9"/>
    <w:rsid w:val="353E5826"/>
    <w:rsid w:val="35581A08"/>
    <w:rsid w:val="355E7D31"/>
    <w:rsid w:val="357F1C79"/>
    <w:rsid w:val="35A60286"/>
    <w:rsid w:val="35A713CC"/>
    <w:rsid w:val="35B00934"/>
    <w:rsid w:val="35CA43D7"/>
    <w:rsid w:val="35CA4885"/>
    <w:rsid w:val="35D526C8"/>
    <w:rsid w:val="35E320C6"/>
    <w:rsid w:val="360A4F67"/>
    <w:rsid w:val="360F22D8"/>
    <w:rsid w:val="361B56A7"/>
    <w:rsid w:val="36227506"/>
    <w:rsid w:val="363B0CA5"/>
    <w:rsid w:val="364A22F5"/>
    <w:rsid w:val="3651559C"/>
    <w:rsid w:val="36905963"/>
    <w:rsid w:val="36A6151F"/>
    <w:rsid w:val="36B1398D"/>
    <w:rsid w:val="36ED4CB1"/>
    <w:rsid w:val="36F22CB5"/>
    <w:rsid w:val="370B4277"/>
    <w:rsid w:val="370C3F45"/>
    <w:rsid w:val="37111AA6"/>
    <w:rsid w:val="37113D06"/>
    <w:rsid w:val="372B6CED"/>
    <w:rsid w:val="37620335"/>
    <w:rsid w:val="37A7410F"/>
    <w:rsid w:val="381276B3"/>
    <w:rsid w:val="38602911"/>
    <w:rsid w:val="389D11D5"/>
    <w:rsid w:val="38B23081"/>
    <w:rsid w:val="38C62455"/>
    <w:rsid w:val="38D23B23"/>
    <w:rsid w:val="38F65F5D"/>
    <w:rsid w:val="391921C1"/>
    <w:rsid w:val="392F38B8"/>
    <w:rsid w:val="39304BFD"/>
    <w:rsid w:val="393A22E6"/>
    <w:rsid w:val="395138E3"/>
    <w:rsid w:val="39636ACC"/>
    <w:rsid w:val="397074B2"/>
    <w:rsid w:val="39750984"/>
    <w:rsid w:val="39872778"/>
    <w:rsid w:val="39AF0FA6"/>
    <w:rsid w:val="39FC0411"/>
    <w:rsid w:val="3A047098"/>
    <w:rsid w:val="3A316CBF"/>
    <w:rsid w:val="3A380917"/>
    <w:rsid w:val="3A3B1BB8"/>
    <w:rsid w:val="3A8A13BB"/>
    <w:rsid w:val="3AD416D0"/>
    <w:rsid w:val="3ADB1A23"/>
    <w:rsid w:val="3ADC1AD0"/>
    <w:rsid w:val="3AEA0DEB"/>
    <w:rsid w:val="3B16161F"/>
    <w:rsid w:val="3B251B47"/>
    <w:rsid w:val="3B2E7CD6"/>
    <w:rsid w:val="3B5740B9"/>
    <w:rsid w:val="3B614C29"/>
    <w:rsid w:val="3B6647A0"/>
    <w:rsid w:val="3B92483B"/>
    <w:rsid w:val="3BA62E05"/>
    <w:rsid w:val="3BAD27FE"/>
    <w:rsid w:val="3BD762A9"/>
    <w:rsid w:val="3C200CD6"/>
    <w:rsid w:val="3C395053"/>
    <w:rsid w:val="3C922955"/>
    <w:rsid w:val="3CB93556"/>
    <w:rsid w:val="3CBC240D"/>
    <w:rsid w:val="3CD63D5A"/>
    <w:rsid w:val="3CDD7510"/>
    <w:rsid w:val="3D1F4A23"/>
    <w:rsid w:val="3D297EFF"/>
    <w:rsid w:val="3D2E3638"/>
    <w:rsid w:val="3D3E022D"/>
    <w:rsid w:val="3D4273AB"/>
    <w:rsid w:val="3D562148"/>
    <w:rsid w:val="3D6F3DF7"/>
    <w:rsid w:val="3DA507C9"/>
    <w:rsid w:val="3DAC097E"/>
    <w:rsid w:val="3DF10550"/>
    <w:rsid w:val="3DF5376E"/>
    <w:rsid w:val="3DF979E5"/>
    <w:rsid w:val="3E0C0F5E"/>
    <w:rsid w:val="3E0D7909"/>
    <w:rsid w:val="3E1C7671"/>
    <w:rsid w:val="3E286A6D"/>
    <w:rsid w:val="3E3A41D2"/>
    <w:rsid w:val="3E4443DC"/>
    <w:rsid w:val="3E6C709A"/>
    <w:rsid w:val="3E7265F8"/>
    <w:rsid w:val="3E806B79"/>
    <w:rsid w:val="3E9451C2"/>
    <w:rsid w:val="3E967C46"/>
    <w:rsid w:val="3E977D54"/>
    <w:rsid w:val="3E9B6380"/>
    <w:rsid w:val="3EC2339D"/>
    <w:rsid w:val="3EC711C7"/>
    <w:rsid w:val="3EC84B25"/>
    <w:rsid w:val="3EFC2417"/>
    <w:rsid w:val="3F0E378D"/>
    <w:rsid w:val="3F197FC7"/>
    <w:rsid w:val="3F3032DC"/>
    <w:rsid w:val="3F4A6C32"/>
    <w:rsid w:val="3F4B7CBB"/>
    <w:rsid w:val="3F5F00BD"/>
    <w:rsid w:val="3F604604"/>
    <w:rsid w:val="3F650C5E"/>
    <w:rsid w:val="3F673237"/>
    <w:rsid w:val="3F6B5943"/>
    <w:rsid w:val="3F775368"/>
    <w:rsid w:val="3F7D0346"/>
    <w:rsid w:val="3FA21386"/>
    <w:rsid w:val="3FAD65F2"/>
    <w:rsid w:val="3FAE3C04"/>
    <w:rsid w:val="3FBD17C8"/>
    <w:rsid w:val="3FDF7CCB"/>
    <w:rsid w:val="3FF4770F"/>
    <w:rsid w:val="3FF56C74"/>
    <w:rsid w:val="400E245B"/>
    <w:rsid w:val="403F4829"/>
    <w:rsid w:val="404A56AB"/>
    <w:rsid w:val="40640B2E"/>
    <w:rsid w:val="40737B03"/>
    <w:rsid w:val="408565DF"/>
    <w:rsid w:val="40A94B29"/>
    <w:rsid w:val="40D52974"/>
    <w:rsid w:val="40DE4F05"/>
    <w:rsid w:val="41017D38"/>
    <w:rsid w:val="41052F15"/>
    <w:rsid w:val="412716C0"/>
    <w:rsid w:val="412D73AF"/>
    <w:rsid w:val="41394620"/>
    <w:rsid w:val="414A04D7"/>
    <w:rsid w:val="41532E93"/>
    <w:rsid w:val="417B5C65"/>
    <w:rsid w:val="418109C5"/>
    <w:rsid w:val="41861158"/>
    <w:rsid w:val="41A127F7"/>
    <w:rsid w:val="41C10458"/>
    <w:rsid w:val="41D13D4D"/>
    <w:rsid w:val="41F161F5"/>
    <w:rsid w:val="42077704"/>
    <w:rsid w:val="422618CD"/>
    <w:rsid w:val="42333A14"/>
    <w:rsid w:val="423B5B60"/>
    <w:rsid w:val="425B4F53"/>
    <w:rsid w:val="4288177A"/>
    <w:rsid w:val="428D21DA"/>
    <w:rsid w:val="42D07995"/>
    <w:rsid w:val="42E66E8B"/>
    <w:rsid w:val="42FB68A1"/>
    <w:rsid w:val="430D1E4F"/>
    <w:rsid w:val="430D2998"/>
    <w:rsid w:val="430F6DC9"/>
    <w:rsid w:val="4337538F"/>
    <w:rsid w:val="433E6644"/>
    <w:rsid w:val="43512CB3"/>
    <w:rsid w:val="43562DC3"/>
    <w:rsid w:val="435A1B44"/>
    <w:rsid w:val="439829C4"/>
    <w:rsid w:val="43A147C3"/>
    <w:rsid w:val="43A81949"/>
    <w:rsid w:val="43BC36FB"/>
    <w:rsid w:val="43DF7138"/>
    <w:rsid w:val="44077B8C"/>
    <w:rsid w:val="44375AAB"/>
    <w:rsid w:val="444A7F72"/>
    <w:rsid w:val="44555484"/>
    <w:rsid w:val="44626529"/>
    <w:rsid w:val="44847E27"/>
    <w:rsid w:val="448C733E"/>
    <w:rsid w:val="44A13B07"/>
    <w:rsid w:val="44A604BE"/>
    <w:rsid w:val="44AD6158"/>
    <w:rsid w:val="44B05695"/>
    <w:rsid w:val="45187E2F"/>
    <w:rsid w:val="454262F4"/>
    <w:rsid w:val="454F2282"/>
    <w:rsid w:val="455307FA"/>
    <w:rsid w:val="456301CB"/>
    <w:rsid w:val="45732C54"/>
    <w:rsid w:val="458B6D53"/>
    <w:rsid w:val="458F476F"/>
    <w:rsid w:val="459271BB"/>
    <w:rsid w:val="45A178F6"/>
    <w:rsid w:val="45DE7238"/>
    <w:rsid w:val="460B5E22"/>
    <w:rsid w:val="4631359B"/>
    <w:rsid w:val="463C35B8"/>
    <w:rsid w:val="463E2A74"/>
    <w:rsid w:val="46627EB8"/>
    <w:rsid w:val="46987E28"/>
    <w:rsid w:val="46A92D0D"/>
    <w:rsid w:val="46C8388C"/>
    <w:rsid w:val="46ED024E"/>
    <w:rsid w:val="46FA742D"/>
    <w:rsid w:val="47276FB2"/>
    <w:rsid w:val="47505B9C"/>
    <w:rsid w:val="47507355"/>
    <w:rsid w:val="476A326E"/>
    <w:rsid w:val="476F5BD3"/>
    <w:rsid w:val="47727F60"/>
    <w:rsid w:val="477D2019"/>
    <w:rsid w:val="47902AE8"/>
    <w:rsid w:val="479162DE"/>
    <w:rsid w:val="47AB3CBC"/>
    <w:rsid w:val="47CA6E65"/>
    <w:rsid w:val="47CC2C93"/>
    <w:rsid w:val="481952B5"/>
    <w:rsid w:val="486A10B0"/>
    <w:rsid w:val="486D749A"/>
    <w:rsid w:val="486F1D0F"/>
    <w:rsid w:val="48802C01"/>
    <w:rsid w:val="48826229"/>
    <w:rsid w:val="48864939"/>
    <w:rsid w:val="489068E9"/>
    <w:rsid w:val="489733D4"/>
    <w:rsid w:val="489D325F"/>
    <w:rsid w:val="489E49A7"/>
    <w:rsid w:val="48A241E7"/>
    <w:rsid w:val="48B301AB"/>
    <w:rsid w:val="48C47A30"/>
    <w:rsid w:val="48CA6296"/>
    <w:rsid w:val="48E0744C"/>
    <w:rsid w:val="48F82DE8"/>
    <w:rsid w:val="493265F8"/>
    <w:rsid w:val="494E4363"/>
    <w:rsid w:val="49615D42"/>
    <w:rsid w:val="496623AD"/>
    <w:rsid w:val="49761EC9"/>
    <w:rsid w:val="49771AF9"/>
    <w:rsid w:val="499F38FE"/>
    <w:rsid w:val="49A047B8"/>
    <w:rsid w:val="49AF22EA"/>
    <w:rsid w:val="49D62C9D"/>
    <w:rsid w:val="49E10F14"/>
    <w:rsid w:val="49FE3165"/>
    <w:rsid w:val="4A007C4A"/>
    <w:rsid w:val="4A1B7422"/>
    <w:rsid w:val="4A2160D4"/>
    <w:rsid w:val="4A220012"/>
    <w:rsid w:val="4A352D71"/>
    <w:rsid w:val="4A5B6FCD"/>
    <w:rsid w:val="4A817D56"/>
    <w:rsid w:val="4A9C3C2A"/>
    <w:rsid w:val="4AA15CDF"/>
    <w:rsid w:val="4AAC7872"/>
    <w:rsid w:val="4AD435BE"/>
    <w:rsid w:val="4AE10180"/>
    <w:rsid w:val="4B161097"/>
    <w:rsid w:val="4B4007A0"/>
    <w:rsid w:val="4B6039CA"/>
    <w:rsid w:val="4B6F757C"/>
    <w:rsid w:val="4B7579F5"/>
    <w:rsid w:val="4B915592"/>
    <w:rsid w:val="4B927ADB"/>
    <w:rsid w:val="4BE1137A"/>
    <w:rsid w:val="4BE470E3"/>
    <w:rsid w:val="4BE8236B"/>
    <w:rsid w:val="4C1E5B7B"/>
    <w:rsid w:val="4C5B72A6"/>
    <w:rsid w:val="4C5C44A8"/>
    <w:rsid w:val="4C647F8B"/>
    <w:rsid w:val="4CB66E06"/>
    <w:rsid w:val="4CD9658D"/>
    <w:rsid w:val="4CF30DFC"/>
    <w:rsid w:val="4D111FE3"/>
    <w:rsid w:val="4D1F33AF"/>
    <w:rsid w:val="4D255833"/>
    <w:rsid w:val="4D512157"/>
    <w:rsid w:val="4D7022CF"/>
    <w:rsid w:val="4D810EFD"/>
    <w:rsid w:val="4D836E6B"/>
    <w:rsid w:val="4DAA7220"/>
    <w:rsid w:val="4DB43B53"/>
    <w:rsid w:val="4DBD60A1"/>
    <w:rsid w:val="4DC73CEB"/>
    <w:rsid w:val="4DEA2DBD"/>
    <w:rsid w:val="4E0956EA"/>
    <w:rsid w:val="4E2918B5"/>
    <w:rsid w:val="4E4576D0"/>
    <w:rsid w:val="4E4647AF"/>
    <w:rsid w:val="4E6B29FE"/>
    <w:rsid w:val="4E7C03B8"/>
    <w:rsid w:val="4E7D20D1"/>
    <w:rsid w:val="4E9071DC"/>
    <w:rsid w:val="4E9D56E7"/>
    <w:rsid w:val="4EA273A7"/>
    <w:rsid w:val="4EBB1D33"/>
    <w:rsid w:val="4EBD7738"/>
    <w:rsid w:val="4ED15F4A"/>
    <w:rsid w:val="4EE566FA"/>
    <w:rsid w:val="4EF3605B"/>
    <w:rsid w:val="4F1B66EA"/>
    <w:rsid w:val="4F1D1FFB"/>
    <w:rsid w:val="4F4169B1"/>
    <w:rsid w:val="4F49434E"/>
    <w:rsid w:val="4F524790"/>
    <w:rsid w:val="4F59011D"/>
    <w:rsid w:val="4F710BA2"/>
    <w:rsid w:val="4FC123A3"/>
    <w:rsid w:val="4FE6647D"/>
    <w:rsid w:val="4FE722BC"/>
    <w:rsid w:val="50291026"/>
    <w:rsid w:val="503C25D7"/>
    <w:rsid w:val="50516642"/>
    <w:rsid w:val="505B0F00"/>
    <w:rsid w:val="50A63B01"/>
    <w:rsid w:val="50A95C1F"/>
    <w:rsid w:val="50C07DA6"/>
    <w:rsid w:val="50DA4CC0"/>
    <w:rsid w:val="50E708D0"/>
    <w:rsid w:val="50FC0C08"/>
    <w:rsid w:val="5101521E"/>
    <w:rsid w:val="5106568F"/>
    <w:rsid w:val="5118746F"/>
    <w:rsid w:val="513A6742"/>
    <w:rsid w:val="513B0E77"/>
    <w:rsid w:val="51613259"/>
    <w:rsid w:val="516967C4"/>
    <w:rsid w:val="51792461"/>
    <w:rsid w:val="517C5E04"/>
    <w:rsid w:val="51B015D8"/>
    <w:rsid w:val="51B72D30"/>
    <w:rsid w:val="51DF4586"/>
    <w:rsid w:val="51E6689E"/>
    <w:rsid w:val="520366C7"/>
    <w:rsid w:val="520C673C"/>
    <w:rsid w:val="5210793F"/>
    <w:rsid w:val="521F208E"/>
    <w:rsid w:val="524E1B19"/>
    <w:rsid w:val="525F396D"/>
    <w:rsid w:val="526B2321"/>
    <w:rsid w:val="526C4169"/>
    <w:rsid w:val="528F074A"/>
    <w:rsid w:val="528F1686"/>
    <w:rsid w:val="52AE49EE"/>
    <w:rsid w:val="52C214F6"/>
    <w:rsid w:val="52CD015B"/>
    <w:rsid w:val="532C753B"/>
    <w:rsid w:val="53392927"/>
    <w:rsid w:val="53434A77"/>
    <w:rsid w:val="5359147A"/>
    <w:rsid w:val="53784E94"/>
    <w:rsid w:val="540143DE"/>
    <w:rsid w:val="540E566C"/>
    <w:rsid w:val="5460247A"/>
    <w:rsid w:val="546219CD"/>
    <w:rsid w:val="54977793"/>
    <w:rsid w:val="54C44BDE"/>
    <w:rsid w:val="54D11704"/>
    <w:rsid w:val="55063CA9"/>
    <w:rsid w:val="55344B3D"/>
    <w:rsid w:val="554E4389"/>
    <w:rsid w:val="5568004D"/>
    <w:rsid w:val="55906AA8"/>
    <w:rsid w:val="559D66D5"/>
    <w:rsid w:val="55A91E9E"/>
    <w:rsid w:val="55C82FEE"/>
    <w:rsid w:val="55CB4E15"/>
    <w:rsid w:val="55CF78BA"/>
    <w:rsid w:val="561F5FBF"/>
    <w:rsid w:val="56551CBC"/>
    <w:rsid w:val="565948FE"/>
    <w:rsid w:val="565B0BFE"/>
    <w:rsid w:val="56726DE3"/>
    <w:rsid w:val="5679285B"/>
    <w:rsid w:val="56C3779F"/>
    <w:rsid w:val="56C47BCE"/>
    <w:rsid w:val="572B1BB7"/>
    <w:rsid w:val="57311600"/>
    <w:rsid w:val="574B0427"/>
    <w:rsid w:val="57802582"/>
    <w:rsid w:val="57A2433B"/>
    <w:rsid w:val="57CE42C8"/>
    <w:rsid w:val="57E6062E"/>
    <w:rsid w:val="57E718ED"/>
    <w:rsid w:val="57FE0694"/>
    <w:rsid w:val="58022D77"/>
    <w:rsid w:val="58056FCA"/>
    <w:rsid w:val="582E7C78"/>
    <w:rsid w:val="58423FB0"/>
    <w:rsid w:val="58425AC6"/>
    <w:rsid w:val="58620987"/>
    <w:rsid w:val="587A0060"/>
    <w:rsid w:val="588A0052"/>
    <w:rsid w:val="58CC62EF"/>
    <w:rsid w:val="58DF795E"/>
    <w:rsid w:val="58E12FD2"/>
    <w:rsid w:val="59062F98"/>
    <w:rsid w:val="590C1835"/>
    <w:rsid w:val="590C5F03"/>
    <w:rsid w:val="592733D1"/>
    <w:rsid w:val="59606B56"/>
    <w:rsid w:val="598B5EF6"/>
    <w:rsid w:val="59B457C4"/>
    <w:rsid w:val="59CC5B1E"/>
    <w:rsid w:val="59CF30D9"/>
    <w:rsid w:val="59D547F8"/>
    <w:rsid w:val="59F8471F"/>
    <w:rsid w:val="5A107D10"/>
    <w:rsid w:val="5A1C320C"/>
    <w:rsid w:val="5A450BD8"/>
    <w:rsid w:val="5A627599"/>
    <w:rsid w:val="5A6E293F"/>
    <w:rsid w:val="5A9A1E11"/>
    <w:rsid w:val="5AB93129"/>
    <w:rsid w:val="5AEF5B4E"/>
    <w:rsid w:val="5AF44415"/>
    <w:rsid w:val="5B0A54D9"/>
    <w:rsid w:val="5B145EC9"/>
    <w:rsid w:val="5B494DB1"/>
    <w:rsid w:val="5B904974"/>
    <w:rsid w:val="5B9A60B4"/>
    <w:rsid w:val="5B9F27AC"/>
    <w:rsid w:val="5BB573A6"/>
    <w:rsid w:val="5BBC5A3F"/>
    <w:rsid w:val="5BCC6EA0"/>
    <w:rsid w:val="5BCD26B9"/>
    <w:rsid w:val="5BFB6679"/>
    <w:rsid w:val="5C1251FE"/>
    <w:rsid w:val="5C2A5D46"/>
    <w:rsid w:val="5C371191"/>
    <w:rsid w:val="5C4B5A28"/>
    <w:rsid w:val="5C6F7CA5"/>
    <w:rsid w:val="5C8F54C2"/>
    <w:rsid w:val="5C9A499D"/>
    <w:rsid w:val="5CBA4308"/>
    <w:rsid w:val="5CD22D09"/>
    <w:rsid w:val="5CE24888"/>
    <w:rsid w:val="5CEF513C"/>
    <w:rsid w:val="5CF31684"/>
    <w:rsid w:val="5D165EC3"/>
    <w:rsid w:val="5D1D206F"/>
    <w:rsid w:val="5D2343FC"/>
    <w:rsid w:val="5D2F578B"/>
    <w:rsid w:val="5D5970AF"/>
    <w:rsid w:val="5D5C2A54"/>
    <w:rsid w:val="5D5D06DD"/>
    <w:rsid w:val="5D614AB8"/>
    <w:rsid w:val="5D7853B2"/>
    <w:rsid w:val="5D7E063F"/>
    <w:rsid w:val="5D8031A1"/>
    <w:rsid w:val="5D8161DE"/>
    <w:rsid w:val="5DA13230"/>
    <w:rsid w:val="5DA7079C"/>
    <w:rsid w:val="5DCA0508"/>
    <w:rsid w:val="5DCD60E6"/>
    <w:rsid w:val="5DED6DCE"/>
    <w:rsid w:val="5E34444A"/>
    <w:rsid w:val="5E465A3C"/>
    <w:rsid w:val="5E542629"/>
    <w:rsid w:val="5E5566D3"/>
    <w:rsid w:val="5E6F573C"/>
    <w:rsid w:val="5E816F6E"/>
    <w:rsid w:val="5E9A3C9E"/>
    <w:rsid w:val="5EA06FE9"/>
    <w:rsid w:val="5EAA191B"/>
    <w:rsid w:val="5EC2169E"/>
    <w:rsid w:val="5ED0611C"/>
    <w:rsid w:val="5F177A55"/>
    <w:rsid w:val="5F492559"/>
    <w:rsid w:val="5F522D59"/>
    <w:rsid w:val="5F525AB3"/>
    <w:rsid w:val="5F8D2F9F"/>
    <w:rsid w:val="5F921251"/>
    <w:rsid w:val="5FA402FE"/>
    <w:rsid w:val="5FA82790"/>
    <w:rsid w:val="5FBF5463"/>
    <w:rsid w:val="5FED6312"/>
    <w:rsid w:val="5FF4084B"/>
    <w:rsid w:val="5FF60176"/>
    <w:rsid w:val="600B3C7F"/>
    <w:rsid w:val="600E6652"/>
    <w:rsid w:val="60181FFC"/>
    <w:rsid w:val="601D0F10"/>
    <w:rsid w:val="60210744"/>
    <w:rsid w:val="605827C8"/>
    <w:rsid w:val="60606348"/>
    <w:rsid w:val="60620E36"/>
    <w:rsid w:val="606561F6"/>
    <w:rsid w:val="60735001"/>
    <w:rsid w:val="6074623A"/>
    <w:rsid w:val="60787B35"/>
    <w:rsid w:val="6079499F"/>
    <w:rsid w:val="60803E85"/>
    <w:rsid w:val="608D7E06"/>
    <w:rsid w:val="60950F7E"/>
    <w:rsid w:val="60A122FD"/>
    <w:rsid w:val="60B620E5"/>
    <w:rsid w:val="60B85BEE"/>
    <w:rsid w:val="60CC6DA9"/>
    <w:rsid w:val="60D14CD0"/>
    <w:rsid w:val="60F52117"/>
    <w:rsid w:val="61300ED6"/>
    <w:rsid w:val="61395C4A"/>
    <w:rsid w:val="61420686"/>
    <w:rsid w:val="614B6011"/>
    <w:rsid w:val="615745A0"/>
    <w:rsid w:val="61796E59"/>
    <w:rsid w:val="61797930"/>
    <w:rsid w:val="619008D3"/>
    <w:rsid w:val="61AD3B10"/>
    <w:rsid w:val="61E46FAC"/>
    <w:rsid w:val="62216F59"/>
    <w:rsid w:val="623138CC"/>
    <w:rsid w:val="62327A2D"/>
    <w:rsid w:val="624D5629"/>
    <w:rsid w:val="625016FC"/>
    <w:rsid w:val="62781058"/>
    <w:rsid w:val="62AF65BD"/>
    <w:rsid w:val="62CF77C4"/>
    <w:rsid w:val="62DB6800"/>
    <w:rsid w:val="62F47CB4"/>
    <w:rsid w:val="632F5D03"/>
    <w:rsid w:val="63392767"/>
    <w:rsid w:val="634A5110"/>
    <w:rsid w:val="63743881"/>
    <w:rsid w:val="637A3EE3"/>
    <w:rsid w:val="63892193"/>
    <w:rsid w:val="63CB2868"/>
    <w:rsid w:val="63CD433E"/>
    <w:rsid w:val="63DC6B7F"/>
    <w:rsid w:val="63DD27EB"/>
    <w:rsid w:val="63DF4D86"/>
    <w:rsid w:val="63E32A9B"/>
    <w:rsid w:val="643A5C4C"/>
    <w:rsid w:val="64516165"/>
    <w:rsid w:val="64927107"/>
    <w:rsid w:val="649732A7"/>
    <w:rsid w:val="64A928D5"/>
    <w:rsid w:val="64A940DF"/>
    <w:rsid w:val="64B34B87"/>
    <w:rsid w:val="64B673DB"/>
    <w:rsid w:val="64C722AA"/>
    <w:rsid w:val="64C819BC"/>
    <w:rsid w:val="64D26807"/>
    <w:rsid w:val="64E10DB5"/>
    <w:rsid w:val="64E72545"/>
    <w:rsid w:val="6520105E"/>
    <w:rsid w:val="65577E37"/>
    <w:rsid w:val="656F13A8"/>
    <w:rsid w:val="65AA3B2F"/>
    <w:rsid w:val="65BE3CBE"/>
    <w:rsid w:val="65CC7B39"/>
    <w:rsid w:val="65CF20CA"/>
    <w:rsid w:val="65D348F1"/>
    <w:rsid w:val="65D700DA"/>
    <w:rsid w:val="65F52C9E"/>
    <w:rsid w:val="6611070F"/>
    <w:rsid w:val="664D7BFF"/>
    <w:rsid w:val="66891654"/>
    <w:rsid w:val="66A840DC"/>
    <w:rsid w:val="66A91E93"/>
    <w:rsid w:val="66B53CFC"/>
    <w:rsid w:val="66BF5B1D"/>
    <w:rsid w:val="67406F79"/>
    <w:rsid w:val="67671BD5"/>
    <w:rsid w:val="677713C4"/>
    <w:rsid w:val="677E46A7"/>
    <w:rsid w:val="678330E3"/>
    <w:rsid w:val="679145A9"/>
    <w:rsid w:val="67974E21"/>
    <w:rsid w:val="67C151DC"/>
    <w:rsid w:val="67E91CAE"/>
    <w:rsid w:val="67F775A7"/>
    <w:rsid w:val="68081D73"/>
    <w:rsid w:val="681D05D9"/>
    <w:rsid w:val="68201541"/>
    <w:rsid w:val="68234CFE"/>
    <w:rsid w:val="682A04A6"/>
    <w:rsid w:val="685409F3"/>
    <w:rsid w:val="685C6D93"/>
    <w:rsid w:val="686F69B9"/>
    <w:rsid w:val="68D7196A"/>
    <w:rsid w:val="68E1766A"/>
    <w:rsid w:val="69097162"/>
    <w:rsid w:val="691111A8"/>
    <w:rsid w:val="69146A70"/>
    <w:rsid w:val="6916476C"/>
    <w:rsid w:val="691651C1"/>
    <w:rsid w:val="693026A2"/>
    <w:rsid w:val="695A7804"/>
    <w:rsid w:val="69601B67"/>
    <w:rsid w:val="6965288D"/>
    <w:rsid w:val="698D54E0"/>
    <w:rsid w:val="69A408DE"/>
    <w:rsid w:val="69B97ACD"/>
    <w:rsid w:val="69FA14D3"/>
    <w:rsid w:val="6A1C16A7"/>
    <w:rsid w:val="6A1F4B15"/>
    <w:rsid w:val="6A33462B"/>
    <w:rsid w:val="6A3B2632"/>
    <w:rsid w:val="6A4E03B1"/>
    <w:rsid w:val="6A554CDF"/>
    <w:rsid w:val="6A674FEC"/>
    <w:rsid w:val="6A9A309D"/>
    <w:rsid w:val="6AAF047B"/>
    <w:rsid w:val="6ADC10B1"/>
    <w:rsid w:val="6B240C6F"/>
    <w:rsid w:val="6B2A5A31"/>
    <w:rsid w:val="6B5039E9"/>
    <w:rsid w:val="6B805FCF"/>
    <w:rsid w:val="6BA211AC"/>
    <w:rsid w:val="6BB72327"/>
    <w:rsid w:val="6BCD082C"/>
    <w:rsid w:val="6BD054C3"/>
    <w:rsid w:val="6C0511C8"/>
    <w:rsid w:val="6C164D0F"/>
    <w:rsid w:val="6C3D05F2"/>
    <w:rsid w:val="6C3E7B5D"/>
    <w:rsid w:val="6C594EB0"/>
    <w:rsid w:val="6C907AF0"/>
    <w:rsid w:val="6CC87F7F"/>
    <w:rsid w:val="6CC9583C"/>
    <w:rsid w:val="6CDF3CC7"/>
    <w:rsid w:val="6CEA3B0A"/>
    <w:rsid w:val="6CFE3957"/>
    <w:rsid w:val="6D045811"/>
    <w:rsid w:val="6D0A3999"/>
    <w:rsid w:val="6D145B52"/>
    <w:rsid w:val="6D1534FA"/>
    <w:rsid w:val="6D3965D5"/>
    <w:rsid w:val="6D420251"/>
    <w:rsid w:val="6D5034EE"/>
    <w:rsid w:val="6D6C46CA"/>
    <w:rsid w:val="6D7D3CE2"/>
    <w:rsid w:val="6D7F48FC"/>
    <w:rsid w:val="6D892132"/>
    <w:rsid w:val="6DA52C21"/>
    <w:rsid w:val="6DB75882"/>
    <w:rsid w:val="6DE63408"/>
    <w:rsid w:val="6E336A33"/>
    <w:rsid w:val="6E387FCC"/>
    <w:rsid w:val="6E53498E"/>
    <w:rsid w:val="6E5B02EA"/>
    <w:rsid w:val="6E6545B7"/>
    <w:rsid w:val="6E726417"/>
    <w:rsid w:val="6E945FD6"/>
    <w:rsid w:val="6EBB692D"/>
    <w:rsid w:val="6EE01A7E"/>
    <w:rsid w:val="6EE737F4"/>
    <w:rsid w:val="6EEB4AD9"/>
    <w:rsid w:val="6EF10743"/>
    <w:rsid w:val="6EF409EC"/>
    <w:rsid w:val="6F053549"/>
    <w:rsid w:val="6F057F92"/>
    <w:rsid w:val="6F4C5515"/>
    <w:rsid w:val="6F591BF5"/>
    <w:rsid w:val="6F7658C4"/>
    <w:rsid w:val="6F787F25"/>
    <w:rsid w:val="6F8C4889"/>
    <w:rsid w:val="6F9B2765"/>
    <w:rsid w:val="6FC8420E"/>
    <w:rsid w:val="6FD0152A"/>
    <w:rsid w:val="6FE96CA5"/>
    <w:rsid w:val="70047E10"/>
    <w:rsid w:val="702B13DC"/>
    <w:rsid w:val="70515232"/>
    <w:rsid w:val="706B7746"/>
    <w:rsid w:val="70746BE0"/>
    <w:rsid w:val="708779A8"/>
    <w:rsid w:val="70C85D3E"/>
    <w:rsid w:val="70E350C5"/>
    <w:rsid w:val="7107048E"/>
    <w:rsid w:val="712B4B58"/>
    <w:rsid w:val="713A33C9"/>
    <w:rsid w:val="7199726F"/>
    <w:rsid w:val="71A036D8"/>
    <w:rsid w:val="71A57384"/>
    <w:rsid w:val="71A779C5"/>
    <w:rsid w:val="71B03B86"/>
    <w:rsid w:val="71B765EA"/>
    <w:rsid w:val="72250A67"/>
    <w:rsid w:val="722C4F20"/>
    <w:rsid w:val="72560746"/>
    <w:rsid w:val="72601CE5"/>
    <w:rsid w:val="72AB407C"/>
    <w:rsid w:val="72AF7656"/>
    <w:rsid w:val="72BC3A65"/>
    <w:rsid w:val="73107C6E"/>
    <w:rsid w:val="73140457"/>
    <w:rsid w:val="731863FE"/>
    <w:rsid w:val="73192BD4"/>
    <w:rsid w:val="73222DF8"/>
    <w:rsid w:val="733C1C94"/>
    <w:rsid w:val="73490B1E"/>
    <w:rsid w:val="734B7660"/>
    <w:rsid w:val="73513899"/>
    <w:rsid w:val="73614FE8"/>
    <w:rsid w:val="736F601A"/>
    <w:rsid w:val="73752EEA"/>
    <w:rsid w:val="7385546E"/>
    <w:rsid w:val="73932B7E"/>
    <w:rsid w:val="739A3CF2"/>
    <w:rsid w:val="73C619D4"/>
    <w:rsid w:val="73D92058"/>
    <w:rsid w:val="73DA2FF7"/>
    <w:rsid w:val="73E865B5"/>
    <w:rsid w:val="73FC20CF"/>
    <w:rsid w:val="741F0B61"/>
    <w:rsid w:val="7436183E"/>
    <w:rsid w:val="7444535A"/>
    <w:rsid w:val="7455605D"/>
    <w:rsid w:val="74615EF1"/>
    <w:rsid w:val="751037B1"/>
    <w:rsid w:val="751701B2"/>
    <w:rsid w:val="751B5F8E"/>
    <w:rsid w:val="753072F9"/>
    <w:rsid w:val="75482E52"/>
    <w:rsid w:val="755F282A"/>
    <w:rsid w:val="75681E42"/>
    <w:rsid w:val="756B3188"/>
    <w:rsid w:val="758143F8"/>
    <w:rsid w:val="758B61E4"/>
    <w:rsid w:val="75946553"/>
    <w:rsid w:val="75D0529F"/>
    <w:rsid w:val="75E06B6D"/>
    <w:rsid w:val="75E07C85"/>
    <w:rsid w:val="760019A6"/>
    <w:rsid w:val="762360A2"/>
    <w:rsid w:val="764826C0"/>
    <w:rsid w:val="766D79C1"/>
    <w:rsid w:val="766F195A"/>
    <w:rsid w:val="767A3C2C"/>
    <w:rsid w:val="76840B78"/>
    <w:rsid w:val="76B735B1"/>
    <w:rsid w:val="76EB253D"/>
    <w:rsid w:val="76F82B5E"/>
    <w:rsid w:val="77055407"/>
    <w:rsid w:val="772A45DB"/>
    <w:rsid w:val="77334EF4"/>
    <w:rsid w:val="77A730D4"/>
    <w:rsid w:val="77AF2665"/>
    <w:rsid w:val="77B201E1"/>
    <w:rsid w:val="77B558F3"/>
    <w:rsid w:val="77B65D76"/>
    <w:rsid w:val="780C04A0"/>
    <w:rsid w:val="7821297D"/>
    <w:rsid w:val="7825729B"/>
    <w:rsid w:val="785539FA"/>
    <w:rsid w:val="78940BCA"/>
    <w:rsid w:val="789A5089"/>
    <w:rsid w:val="78A5233F"/>
    <w:rsid w:val="78AE3571"/>
    <w:rsid w:val="78B62B41"/>
    <w:rsid w:val="78BB62A9"/>
    <w:rsid w:val="78C26EF8"/>
    <w:rsid w:val="78C46BA9"/>
    <w:rsid w:val="790F548F"/>
    <w:rsid w:val="79216AE0"/>
    <w:rsid w:val="7933454C"/>
    <w:rsid w:val="79505439"/>
    <w:rsid w:val="795243C3"/>
    <w:rsid w:val="7967120D"/>
    <w:rsid w:val="797E032C"/>
    <w:rsid w:val="79860794"/>
    <w:rsid w:val="79895ACD"/>
    <w:rsid w:val="799A1165"/>
    <w:rsid w:val="79AB70C1"/>
    <w:rsid w:val="79E53793"/>
    <w:rsid w:val="79EE1281"/>
    <w:rsid w:val="79FD0D9B"/>
    <w:rsid w:val="79FE467B"/>
    <w:rsid w:val="7A0D04B6"/>
    <w:rsid w:val="7A0D5219"/>
    <w:rsid w:val="7A3F1126"/>
    <w:rsid w:val="7A791FF5"/>
    <w:rsid w:val="7A7B5DF5"/>
    <w:rsid w:val="7A832770"/>
    <w:rsid w:val="7A8C39CB"/>
    <w:rsid w:val="7A930092"/>
    <w:rsid w:val="7AAC5C8A"/>
    <w:rsid w:val="7AC64AAB"/>
    <w:rsid w:val="7ACF4F3D"/>
    <w:rsid w:val="7AE4031C"/>
    <w:rsid w:val="7AFD5BF0"/>
    <w:rsid w:val="7B021315"/>
    <w:rsid w:val="7B3210CE"/>
    <w:rsid w:val="7B85274D"/>
    <w:rsid w:val="7B8E5C58"/>
    <w:rsid w:val="7B9E0B21"/>
    <w:rsid w:val="7BA507E9"/>
    <w:rsid w:val="7BAB579E"/>
    <w:rsid w:val="7BC63E76"/>
    <w:rsid w:val="7BD0702B"/>
    <w:rsid w:val="7BDB74F4"/>
    <w:rsid w:val="7BF3687C"/>
    <w:rsid w:val="7BF64489"/>
    <w:rsid w:val="7C086CD3"/>
    <w:rsid w:val="7C2D2E5E"/>
    <w:rsid w:val="7C4B3371"/>
    <w:rsid w:val="7C9C0C76"/>
    <w:rsid w:val="7CAF634A"/>
    <w:rsid w:val="7CFE6D4A"/>
    <w:rsid w:val="7D010F6F"/>
    <w:rsid w:val="7D065078"/>
    <w:rsid w:val="7D086EDF"/>
    <w:rsid w:val="7D0D2838"/>
    <w:rsid w:val="7D1D1A49"/>
    <w:rsid w:val="7D200A3B"/>
    <w:rsid w:val="7D2166EE"/>
    <w:rsid w:val="7D2C1618"/>
    <w:rsid w:val="7D3A7DD3"/>
    <w:rsid w:val="7D413226"/>
    <w:rsid w:val="7D4437A8"/>
    <w:rsid w:val="7D694BF3"/>
    <w:rsid w:val="7D7647F8"/>
    <w:rsid w:val="7D8D126E"/>
    <w:rsid w:val="7D9977F8"/>
    <w:rsid w:val="7DA138EB"/>
    <w:rsid w:val="7DB3128F"/>
    <w:rsid w:val="7DC1636D"/>
    <w:rsid w:val="7DC26903"/>
    <w:rsid w:val="7DED32BA"/>
    <w:rsid w:val="7E212035"/>
    <w:rsid w:val="7E32395E"/>
    <w:rsid w:val="7E324180"/>
    <w:rsid w:val="7E571A69"/>
    <w:rsid w:val="7E630C55"/>
    <w:rsid w:val="7E923442"/>
    <w:rsid w:val="7EAC5292"/>
    <w:rsid w:val="7EBE6AE9"/>
    <w:rsid w:val="7EDD16E6"/>
    <w:rsid w:val="7F03733F"/>
    <w:rsid w:val="7F23270D"/>
    <w:rsid w:val="7F2F3A1E"/>
    <w:rsid w:val="7F320F9E"/>
    <w:rsid w:val="7F3320BA"/>
    <w:rsid w:val="7F5644EE"/>
    <w:rsid w:val="7F593BCF"/>
    <w:rsid w:val="7F683953"/>
    <w:rsid w:val="7F9333A9"/>
    <w:rsid w:val="7FE30069"/>
    <w:rsid w:val="7FFF1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6"/>
    <w:qFormat/>
    <w:uiPriority w:val="99"/>
    <w:pPr>
      <w:spacing w:beforeLines="50" w:afterLines="50"/>
      <w:ind w:firstLine="0" w:firstLineChars="0"/>
      <w:jc w:val="center"/>
      <w:outlineLvl w:val="0"/>
    </w:pPr>
    <w:rPr>
      <w:b/>
      <w:bCs/>
      <w:kern w:val="44"/>
      <w:sz w:val="32"/>
      <w:szCs w:val="36"/>
    </w:rPr>
  </w:style>
  <w:style w:type="paragraph" w:styleId="4">
    <w:name w:val="heading 2"/>
    <w:basedOn w:val="1"/>
    <w:next w:val="1"/>
    <w:link w:val="41"/>
    <w:qFormat/>
    <w:uiPriority w:val="0"/>
    <w:pPr>
      <w:tabs>
        <w:tab w:val="left" w:pos="5400"/>
      </w:tabs>
      <w:spacing w:beforeLines="50" w:afterLines="50"/>
      <w:ind w:firstLine="0" w:firstLineChars="0"/>
      <w:outlineLvl w:val="1"/>
    </w:pPr>
    <w:rPr>
      <w:b/>
      <w:bCs/>
      <w:kern w:val="0"/>
      <w:sz w:val="30"/>
      <w:szCs w:val="30"/>
    </w:rPr>
  </w:style>
  <w:style w:type="paragraph" w:styleId="5">
    <w:name w:val="heading 3"/>
    <w:basedOn w:val="6"/>
    <w:next w:val="1"/>
    <w:link w:val="122"/>
    <w:qFormat/>
    <w:uiPriority w:val="0"/>
    <w:pPr>
      <w:tabs>
        <w:tab w:val="left" w:pos="5400"/>
      </w:tabs>
      <w:spacing w:beforeLines="50" w:afterLines="50"/>
      <w:ind w:firstLine="0" w:firstLineChars="0"/>
      <w:outlineLvl w:val="2"/>
    </w:pPr>
    <w:rPr>
      <w:b/>
      <w:bCs/>
      <w:sz w:val="28"/>
    </w:rPr>
  </w:style>
  <w:style w:type="paragraph" w:styleId="2">
    <w:name w:val="heading 4"/>
    <w:basedOn w:val="1"/>
    <w:next w:val="1"/>
    <w:link w:val="47"/>
    <w:qFormat/>
    <w:uiPriority w:val="0"/>
    <w:pPr>
      <w:tabs>
        <w:tab w:val="left" w:pos="5400"/>
      </w:tabs>
      <w:ind w:firstLine="0" w:firstLineChars="0"/>
      <w:outlineLvl w:val="3"/>
    </w:pPr>
    <w:rPr>
      <w:b/>
      <w:bCs/>
    </w:rPr>
  </w:style>
  <w:style w:type="paragraph" w:styleId="7">
    <w:name w:val="heading 5"/>
    <w:next w:val="1"/>
    <w:qFormat/>
    <w:uiPriority w:val="0"/>
    <w:pPr>
      <w:keepLines/>
      <w:adjustRightInd w:val="0"/>
      <w:snapToGrid w:val="0"/>
      <w:jc w:val="center"/>
      <w:outlineLvl w:val="4"/>
    </w:pPr>
    <w:rPr>
      <w:rFonts w:ascii="Times New Roman" w:hAnsi="Times New Roman" w:eastAsia="宋体" w:cs="Times New Roman"/>
      <w:b/>
      <w:bCs/>
      <w:kern w:val="2"/>
      <w:sz w:val="24"/>
      <w:szCs w:val="28"/>
      <w:lang w:val="en-US" w:eastAsia="zh-CN" w:bidi="ar-SA"/>
    </w:rPr>
  </w:style>
  <w:style w:type="character" w:default="1" w:styleId="33">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6">
    <w:name w:val="标题3"/>
    <w:basedOn w:val="1"/>
    <w:qFormat/>
    <w:uiPriority w:val="0"/>
  </w:style>
  <w:style w:type="paragraph" w:styleId="8">
    <w:name w:val="Normal Indent"/>
    <w:basedOn w:val="1"/>
    <w:qFormat/>
    <w:uiPriority w:val="0"/>
    <w:pPr>
      <w:ind w:firstLine="420"/>
    </w:p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Document Map"/>
    <w:basedOn w:val="1"/>
    <w:link w:val="165"/>
    <w:unhideWhenUsed/>
    <w:qFormat/>
    <w:uiPriority w:val="0"/>
    <w:rPr>
      <w:rFonts w:ascii="宋体"/>
      <w:sz w:val="18"/>
      <w:szCs w:val="18"/>
    </w:rPr>
  </w:style>
  <w:style w:type="paragraph" w:styleId="11">
    <w:name w:val="annotation text"/>
    <w:basedOn w:val="1"/>
    <w:link w:val="40"/>
    <w:unhideWhenUsed/>
    <w:qFormat/>
    <w:uiPriority w:val="0"/>
    <w:pPr>
      <w:jc w:val="left"/>
    </w:pPr>
  </w:style>
  <w:style w:type="paragraph" w:styleId="12">
    <w:name w:val="Body Text"/>
    <w:basedOn w:val="1"/>
    <w:link w:val="117"/>
    <w:unhideWhenUsed/>
    <w:qFormat/>
    <w:uiPriority w:val="0"/>
    <w:pPr>
      <w:spacing w:after="120"/>
    </w:pPr>
  </w:style>
  <w:style w:type="paragraph" w:styleId="13">
    <w:name w:val="Body Text Indent"/>
    <w:basedOn w:val="1"/>
    <w:link w:val="113"/>
    <w:unhideWhenUsed/>
    <w:qFormat/>
    <w:uiPriority w:val="0"/>
    <w:pPr>
      <w:spacing w:after="120"/>
      <w:ind w:left="420" w:leftChars="200"/>
    </w:pPr>
  </w:style>
  <w:style w:type="paragraph" w:styleId="14">
    <w:name w:val="Block Text"/>
    <w:basedOn w:val="1"/>
    <w:link w:val="126"/>
    <w:qFormat/>
    <w:uiPriority w:val="0"/>
    <w:pPr>
      <w:widowControl/>
      <w:spacing w:line="440" w:lineRule="exact"/>
      <w:ind w:left="113" w:right="113" w:firstLine="567" w:firstLineChars="0"/>
    </w:pPr>
    <w:rPr>
      <w:kern w:val="0"/>
      <w:sz w:val="28"/>
      <w:szCs w:val="20"/>
    </w:rPr>
  </w:style>
  <w:style w:type="paragraph" w:styleId="15">
    <w:name w:val="toc 3"/>
    <w:basedOn w:val="1"/>
    <w:next w:val="1"/>
    <w:qFormat/>
    <w:uiPriority w:val="0"/>
    <w:pPr>
      <w:spacing w:line="240" w:lineRule="auto"/>
      <w:ind w:left="840" w:leftChars="400" w:firstLine="0" w:firstLineChars="0"/>
    </w:pPr>
    <w:rPr>
      <w:sz w:val="21"/>
    </w:rPr>
  </w:style>
  <w:style w:type="paragraph" w:styleId="16">
    <w:name w:val="Plain Text"/>
    <w:basedOn w:val="1"/>
    <w:link w:val="127"/>
    <w:qFormat/>
    <w:uiPriority w:val="0"/>
    <w:pPr>
      <w:spacing w:line="240" w:lineRule="auto"/>
      <w:ind w:firstLine="0" w:firstLineChars="0"/>
    </w:pPr>
    <w:rPr>
      <w:rFonts w:ascii="宋体"/>
      <w:sz w:val="21"/>
      <w:szCs w:val="20"/>
    </w:rPr>
  </w:style>
  <w:style w:type="paragraph" w:styleId="17">
    <w:name w:val="Date"/>
    <w:basedOn w:val="1"/>
    <w:next w:val="1"/>
    <w:link w:val="128"/>
    <w:qFormat/>
    <w:uiPriority w:val="0"/>
    <w:pPr>
      <w:spacing w:line="240" w:lineRule="auto"/>
      <w:ind w:left="100" w:leftChars="2500" w:firstLine="0" w:firstLineChars="0"/>
    </w:pPr>
    <w:rPr>
      <w:kern w:val="0"/>
      <w:szCs w:val="20"/>
    </w:rPr>
  </w:style>
  <w:style w:type="paragraph" w:styleId="18">
    <w:name w:val="Body Text Indent 2"/>
    <w:basedOn w:val="1"/>
    <w:next w:val="1"/>
    <w:link w:val="120"/>
    <w:qFormat/>
    <w:uiPriority w:val="99"/>
    <w:pPr>
      <w:spacing w:after="120" w:line="480" w:lineRule="auto"/>
      <w:ind w:left="420" w:leftChars="200" w:firstLine="0" w:firstLineChars="0"/>
    </w:pPr>
    <w:rPr>
      <w:sz w:val="21"/>
    </w:rPr>
  </w:style>
  <w:style w:type="paragraph" w:styleId="19">
    <w:name w:val="Balloon Text"/>
    <w:basedOn w:val="1"/>
    <w:link w:val="48"/>
    <w:unhideWhenUsed/>
    <w:qFormat/>
    <w:uiPriority w:val="0"/>
    <w:pPr>
      <w:spacing w:line="240" w:lineRule="auto"/>
    </w:pPr>
    <w:rPr>
      <w:sz w:val="18"/>
      <w:szCs w:val="18"/>
    </w:rPr>
  </w:style>
  <w:style w:type="paragraph" w:styleId="20">
    <w:name w:val="footer"/>
    <w:basedOn w:val="1"/>
    <w:link w:val="129"/>
    <w:qFormat/>
    <w:uiPriority w:val="99"/>
    <w:pPr>
      <w:tabs>
        <w:tab w:val="center" w:pos="4153"/>
        <w:tab w:val="right" w:pos="8306"/>
      </w:tabs>
      <w:snapToGrid w:val="0"/>
      <w:jc w:val="left"/>
    </w:pPr>
    <w:rPr>
      <w:rFonts w:ascii="宋体" w:hAnsi="宋体"/>
      <w:sz w:val="18"/>
      <w:szCs w:val="18"/>
    </w:rPr>
  </w:style>
  <w:style w:type="paragraph" w:styleId="21">
    <w:name w:val="header"/>
    <w:basedOn w:val="1"/>
    <w:link w:val="1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qFormat/>
    <w:uiPriority w:val="39"/>
    <w:pPr>
      <w:ind w:firstLine="0" w:firstLineChars="0"/>
    </w:pPr>
    <w:rPr>
      <w:b/>
      <w:sz w:val="28"/>
    </w:rPr>
  </w:style>
  <w:style w:type="paragraph" w:styleId="23">
    <w:name w:val="toc 2"/>
    <w:basedOn w:val="1"/>
    <w:next w:val="1"/>
    <w:qFormat/>
    <w:uiPriority w:val="39"/>
    <w:pPr>
      <w:ind w:firstLine="0" w:firstLineChars="0"/>
    </w:pPr>
  </w:style>
  <w:style w:type="paragraph" w:styleId="24">
    <w:name w:val="Normal (Web)"/>
    <w:basedOn w:val="1"/>
    <w:link w:val="60"/>
    <w:qFormat/>
    <w:uiPriority w:val="0"/>
    <w:pPr>
      <w:widowControl/>
      <w:spacing w:before="100" w:beforeAutospacing="1" w:after="100" w:afterAutospacing="1" w:line="240" w:lineRule="auto"/>
      <w:ind w:firstLine="0" w:firstLineChars="0"/>
      <w:jc w:val="left"/>
    </w:pPr>
    <w:rPr>
      <w:rFonts w:ascii="宋体" w:hAnsi="宋体"/>
      <w:kern w:val="0"/>
      <w:szCs w:val="20"/>
    </w:rPr>
  </w:style>
  <w:style w:type="paragraph" w:styleId="25">
    <w:name w:val="Title"/>
    <w:basedOn w:val="1"/>
    <w:next w:val="1"/>
    <w:link w:val="49"/>
    <w:qFormat/>
    <w:uiPriority w:val="0"/>
    <w:pPr>
      <w:spacing w:before="10" w:after="10"/>
      <w:ind w:firstLine="0" w:firstLineChars="0"/>
      <w:jc w:val="center"/>
      <w:outlineLvl w:val="0"/>
    </w:pPr>
    <w:rPr>
      <w:rFonts w:ascii="Arial" w:hAnsi="Arial" w:cs="Arial"/>
      <w:b/>
      <w:bCs/>
      <w:sz w:val="32"/>
      <w:szCs w:val="32"/>
    </w:rPr>
  </w:style>
  <w:style w:type="paragraph" w:styleId="26">
    <w:name w:val="annotation subject"/>
    <w:basedOn w:val="11"/>
    <w:next w:val="11"/>
    <w:link w:val="50"/>
    <w:unhideWhenUsed/>
    <w:qFormat/>
    <w:uiPriority w:val="0"/>
    <w:rPr>
      <w:b/>
      <w:bCs/>
    </w:rPr>
  </w:style>
  <w:style w:type="paragraph" w:styleId="27">
    <w:name w:val="Body Text First Indent"/>
    <w:basedOn w:val="12"/>
    <w:link w:val="118"/>
    <w:qFormat/>
    <w:uiPriority w:val="99"/>
    <w:pPr>
      <w:ind w:firstLine="420" w:firstLineChars="100"/>
    </w:pPr>
  </w:style>
  <w:style w:type="paragraph" w:styleId="28">
    <w:name w:val="Body Text First Indent 2"/>
    <w:basedOn w:val="13"/>
    <w:next w:val="1"/>
    <w:link w:val="131"/>
    <w:unhideWhenUsed/>
    <w:qFormat/>
    <w:uiPriority w:val="99"/>
    <w:pPr>
      <w:ind w:left="0" w:leftChars="0"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Classic 2"/>
    <w:basedOn w:val="29"/>
    <w:qFormat/>
    <w:uiPriority w:val="0"/>
    <w:pPr>
      <w:widowControl w:val="0"/>
      <w:jc w:val="both"/>
    </w:pPr>
    <w:tblPr>
      <w:tblBorders>
        <w:top w:val="single" w:color="000000" w:sz="12" w:space="0"/>
        <w:bottom w:val="single" w:color="000000" w:sz="12" w:space="0"/>
        <w:insideH w:val="single" w:color="auto" w:sz="4" w:space="0"/>
        <w:insideV w:val="single" w:color="auto" w:sz="4"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2">
    <w:name w:val="Table Simple 1"/>
    <w:basedOn w:val="29"/>
    <w:qFormat/>
    <w:uiPriority w:val="0"/>
    <w:pPr>
      <w:widowControl w:val="0"/>
      <w:spacing w:line="360"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34">
    <w:name w:val="Strong"/>
    <w:qFormat/>
    <w:uiPriority w:val="22"/>
    <w:rPr>
      <w:b/>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Emphasis"/>
    <w:basedOn w:val="33"/>
    <w:qFormat/>
    <w:uiPriority w:val="0"/>
  </w:style>
  <w:style w:type="character" w:styleId="38">
    <w:name w:val="Hyperlink"/>
    <w:unhideWhenUsed/>
    <w:qFormat/>
    <w:uiPriority w:val="99"/>
    <w:rPr>
      <w:color w:val="0000FF"/>
      <w:u w:val="single"/>
    </w:rPr>
  </w:style>
  <w:style w:type="character" w:styleId="39">
    <w:name w:val="annotation reference"/>
    <w:unhideWhenUsed/>
    <w:qFormat/>
    <w:uiPriority w:val="0"/>
    <w:rPr>
      <w:sz w:val="21"/>
      <w:szCs w:val="21"/>
    </w:rPr>
  </w:style>
  <w:style w:type="character" w:customStyle="1" w:styleId="40">
    <w:name w:val="批注文字 Char"/>
    <w:link w:val="11"/>
    <w:qFormat/>
    <w:uiPriority w:val="0"/>
    <w:rPr>
      <w:kern w:val="2"/>
      <w:sz w:val="24"/>
      <w:szCs w:val="24"/>
    </w:rPr>
  </w:style>
  <w:style w:type="character" w:customStyle="1" w:styleId="41">
    <w:name w:val="标题 2 Char"/>
    <w:link w:val="4"/>
    <w:qFormat/>
    <w:uiPriority w:val="0"/>
    <w:rPr>
      <w:rFonts w:ascii="Times New Roman" w:hAnsi="Times New Roman" w:eastAsia="宋体"/>
      <w:b/>
      <w:bCs/>
      <w:sz w:val="30"/>
      <w:szCs w:val="30"/>
      <w:lang w:bidi="ar-SA"/>
    </w:rPr>
  </w:style>
  <w:style w:type="character" w:customStyle="1" w:styleId="42">
    <w:name w:val="表格标题QQ Char"/>
    <w:link w:val="43"/>
    <w:qFormat/>
    <w:uiPriority w:val="0"/>
    <w:rPr>
      <w:rFonts w:ascii="Times New Roman" w:hAnsi="Times New Roman" w:eastAsia="宋体"/>
      <w:b/>
      <w:sz w:val="24"/>
    </w:rPr>
  </w:style>
  <w:style w:type="paragraph" w:customStyle="1" w:styleId="43">
    <w:name w:val="表格标题QQ"/>
    <w:basedOn w:val="1"/>
    <w:link w:val="42"/>
    <w:qFormat/>
    <w:uiPriority w:val="0"/>
    <w:pPr>
      <w:ind w:firstLine="0" w:firstLineChars="0"/>
      <w:jc w:val="center"/>
      <w:outlineLvl w:val="4"/>
    </w:pPr>
    <w:rPr>
      <w:b/>
    </w:rPr>
  </w:style>
  <w:style w:type="character" w:customStyle="1" w:styleId="44">
    <w:name w:val="1.表格标题CM 字符"/>
    <w:link w:val="45"/>
    <w:qFormat/>
    <w:uiPriority w:val="0"/>
    <w:rPr>
      <w:b/>
      <w:kern w:val="2"/>
      <w:sz w:val="24"/>
      <w:szCs w:val="24"/>
      <w:lang w:val="zh-CN" w:eastAsia="zh-CN"/>
    </w:rPr>
  </w:style>
  <w:style w:type="paragraph" w:customStyle="1" w:styleId="45">
    <w:name w:val="1.表格标题CM"/>
    <w:basedOn w:val="1"/>
    <w:link w:val="44"/>
    <w:qFormat/>
    <w:uiPriority w:val="0"/>
    <w:pPr>
      <w:adjustRightInd w:val="0"/>
      <w:snapToGrid w:val="0"/>
      <w:ind w:firstLine="0" w:firstLineChars="0"/>
      <w:jc w:val="center"/>
      <w:outlineLvl w:val="6"/>
    </w:pPr>
    <w:rPr>
      <w:b/>
      <w:lang w:val="zh-CN"/>
    </w:rPr>
  </w:style>
  <w:style w:type="character" w:customStyle="1" w:styleId="46">
    <w:name w:val="标题 1 Char"/>
    <w:link w:val="3"/>
    <w:qFormat/>
    <w:uiPriority w:val="99"/>
    <w:rPr>
      <w:rFonts w:ascii="Times New Roman" w:hAnsi="Times New Roman" w:eastAsia="宋体"/>
      <w:b/>
      <w:kern w:val="44"/>
      <w:sz w:val="32"/>
      <w:szCs w:val="36"/>
      <w:lang w:bidi="ar-SA"/>
    </w:rPr>
  </w:style>
  <w:style w:type="character" w:customStyle="1" w:styleId="47">
    <w:name w:val="标题 4 Char"/>
    <w:link w:val="2"/>
    <w:qFormat/>
    <w:uiPriority w:val="0"/>
    <w:rPr>
      <w:rFonts w:ascii="Times New Roman" w:hAnsi="Times New Roman" w:eastAsia="宋体"/>
      <w:b/>
      <w:bCs/>
      <w:szCs w:val="24"/>
    </w:rPr>
  </w:style>
  <w:style w:type="character" w:customStyle="1" w:styleId="48">
    <w:name w:val="批注框文本 Char"/>
    <w:link w:val="19"/>
    <w:semiHidden/>
    <w:qFormat/>
    <w:uiPriority w:val="0"/>
    <w:rPr>
      <w:kern w:val="2"/>
      <w:sz w:val="18"/>
      <w:szCs w:val="18"/>
    </w:rPr>
  </w:style>
  <w:style w:type="character" w:customStyle="1" w:styleId="49">
    <w:name w:val="标题 Char"/>
    <w:link w:val="25"/>
    <w:qFormat/>
    <w:uiPriority w:val="0"/>
    <w:rPr>
      <w:rFonts w:ascii="Arial" w:hAnsi="Arial" w:eastAsia="宋体" w:cs="Arial"/>
      <w:b/>
      <w:bCs/>
      <w:sz w:val="32"/>
      <w:szCs w:val="32"/>
    </w:rPr>
  </w:style>
  <w:style w:type="character" w:customStyle="1" w:styleId="50">
    <w:name w:val="批注主题 Char"/>
    <w:link w:val="26"/>
    <w:semiHidden/>
    <w:qFormat/>
    <w:uiPriority w:val="0"/>
    <w:rPr>
      <w:b/>
      <w:bCs/>
      <w:kern w:val="2"/>
      <w:sz w:val="24"/>
      <w:szCs w:val="24"/>
    </w:rPr>
  </w:style>
  <w:style w:type="character" w:customStyle="1" w:styleId="51">
    <w:name w:val="[表格内容] Char"/>
    <w:link w:val="52"/>
    <w:qFormat/>
    <w:uiPriority w:val="0"/>
    <w:rPr>
      <w:kern w:val="2"/>
      <w:sz w:val="21"/>
      <w:szCs w:val="21"/>
    </w:rPr>
  </w:style>
  <w:style w:type="paragraph" w:customStyle="1" w:styleId="52">
    <w:name w:val="[表格内容]"/>
    <w:link w:val="51"/>
    <w:qFormat/>
    <w:uiPriority w:val="0"/>
    <w:pPr>
      <w:jc w:val="center"/>
    </w:pPr>
    <w:rPr>
      <w:rFonts w:ascii="Times New Roman" w:hAnsi="Times New Roman" w:eastAsia="宋体" w:cs="Times New Roman"/>
      <w:kern w:val="2"/>
      <w:sz w:val="21"/>
      <w:szCs w:val="21"/>
      <w:lang w:val="en-US" w:eastAsia="zh-CN" w:bidi="ar-SA"/>
    </w:rPr>
  </w:style>
  <w:style w:type="character" w:customStyle="1" w:styleId="53">
    <w:name w:val="表格标题Q Char"/>
    <w:link w:val="54"/>
    <w:qFormat/>
    <w:uiPriority w:val="0"/>
    <w:rPr>
      <w:b/>
    </w:rPr>
  </w:style>
  <w:style w:type="paragraph" w:customStyle="1" w:styleId="54">
    <w:name w:val="表格标题Q"/>
    <w:basedOn w:val="1"/>
    <w:link w:val="53"/>
    <w:qFormat/>
    <w:uiPriority w:val="0"/>
    <w:pPr>
      <w:ind w:firstLine="0" w:firstLineChars="0"/>
      <w:jc w:val="center"/>
    </w:pPr>
    <w:rPr>
      <w:b/>
      <w:kern w:val="0"/>
      <w:sz w:val="20"/>
      <w:szCs w:val="20"/>
    </w:rPr>
  </w:style>
  <w:style w:type="character" w:customStyle="1" w:styleId="55">
    <w:name w:val="表格内容CCW Char"/>
    <w:link w:val="56"/>
    <w:qFormat/>
    <w:uiPriority w:val="0"/>
    <w:rPr>
      <w:sz w:val="21"/>
    </w:rPr>
  </w:style>
  <w:style w:type="paragraph" w:customStyle="1" w:styleId="56">
    <w:name w:val="表格内容CCW"/>
    <w:basedOn w:val="1"/>
    <w:link w:val="55"/>
    <w:qFormat/>
    <w:uiPriority w:val="0"/>
    <w:pPr>
      <w:spacing w:line="240" w:lineRule="auto"/>
      <w:ind w:firstLine="0" w:firstLineChars="0"/>
      <w:jc w:val="center"/>
    </w:pPr>
    <w:rPr>
      <w:kern w:val="0"/>
      <w:sz w:val="21"/>
      <w:szCs w:val="20"/>
    </w:rPr>
  </w:style>
  <w:style w:type="character" w:customStyle="1" w:styleId="57">
    <w:name w:val="表格标题CCW Char"/>
    <w:link w:val="58"/>
    <w:qFormat/>
    <w:uiPriority w:val="0"/>
    <w:rPr>
      <w:b/>
      <w:sz w:val="24"/>
    </w:rPr>
  </w:style>
  <w:style w:type="paragraph" w:customStyle="1" w:styleId="58">
    <w:name w:val="表格标题CCW"/>
    <w:basedOn w:val="1"/>
    <w:next w:val="1"/>
    <w:link w:val="57"/>
    <w:qFormat/>
    <w:uiPriority w:val="0"/>
    <w:pPr>
      <w:ind w:firstLine="0" w:firstLineChars="0"/>
      <w:jc w:val="center"/>
      <w:outlineLvl w:val="4"/>
    </w:pPr>
    <w:rPr>
      <w:b/>
      <w:kern w:val="0"/>
      <w:szCs w:val="20"/>
    </w:rPr>
  </w:style>
  <w:style w:type="character" w:customStyle="1" w:styleId="59">
    <w:name w:val="页脚 字符"/>
    <w:basedOn w:val="33"/>
    <w:qFormat/>
    <w:uiPriority w:val="99"/>
  </w:style>
  <w:style w:type="character" w:customStyle="1" w:styleId="60">
    <w:name w:val="普通(网站) Char"/>
    <w:link w:val="24"/>
    <w:qFormat/>
    <w:locked/>
    <w:uiPriority w:val="0"/>
    <w:rPr>
      <w:rFonts w:ascii="宋体" w:hAnsi="宋体"/>
      <w:sz w:val="24"/>
    </w:rPr>
  </w:style>
  <w:style w:type="paragraph" w:customStyle="1" w:styleId="6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62">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6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6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6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67">
    <w:name w:val="修订1"/>
    <w:unhideWhenUsed/>
    <w:qFormat/>
    <w:uiPriority w:val="99"/>
    <w:rPr>
      <w:rFonts w:ascii="Times New Roman" w:hAnsi="Times New Roman" w:eastAsia="宋体" w:cs="Times New Roman"/>
      <w:kern w:val="2"/>
      <w:sz w:val="24"/>
      <w:szCs w:val="24"/>
      <w:lang w:val="en-US" w:eastAsia="zh-CN" w:bidi="ar-SA"/>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69">
    <w:name w:val="xl77"/>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7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71">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72">
    <w:name w:val="表内容"/>
    <w:qFormat/>
    <w:uiPriority w:val="0"/>
    <w:pPr>
      <w:adjustRightInd w:val="0"/>
      <w:jc w:val="center"/>
    </w:pPr>
    <w:rPr>
      <w:rFonts w:ascii="Times New Roman" w:hAnsi="Times New Roman" w:eastAsia="宋体" w:cs="Times New Roman"/>
      <w:kern w:val="2"/>
      <w:sz w:val="21"/>
      <w:szCs w:val="21"/>
      <w:lang w:val="en-US" w:eastAsia="zh-CN" w:bidi="ar-SA"/>
    </w:rPr>
  </w:style>
  <w:style w:type="paragraph" w:customStyle="1" w:styleId="73">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77">
    <w:name w:val="Char Char"/>
    <w:basedOn w:val="1"/>
    <w:qFormat/>
    <w:uiPriority w:val="0"/>
    <w:pPr>
      <w:spacing w:line="240" w:lineRule="auto"/>
      <w:ind w:firstLine="0" w:firstLineChars="0"/>
    </w:pPr>
    <w:rPr>
      <w:rFonts w:ascii="仿宋_GB2312" w:eastAsia="仿宋_GB2312"/>
      <w:b/>
      <w:sz w:val="32"/>
      <w:szCs w:val="32"/>
    </w:rPr>
  </w:style>
  <w:style w:type="paragraph" w:customStyle="1" w:styleId="78">
    <w:name w:val="修订2"/>
    <w:qFormat/>
    <w:uiPriority w:val="99"/>
    <w:rPr>
      <w:rFonts w:ascii="Times New Roman" w:hAnsi="Times New Roman" w:eastAsia="宋体" w:cs="Times New Roman"/>
      <w:kern w:val="2"/>
      <w:sz w:val="24"/>
      <w:szCs w:val="24"/>
      <w:lang w:val="en-US" w:eastAsia="zh-CN" w:bidi="ar-SA"/>
    </w:rPr>
  </w:style>
  <w:style w:type="paragraph" w:customStyle="1" w:styleId="79">
    <w:name w:val="xl8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81">
    <w:name w:val="font8"/>
    <w:basedOn w:val="1"/>
    <w:qFormat/>
    <w:uiPriority w:val="0"/>
    <w:pPr>
      <w:widowControl/>
      <w:spacing w:before="100" w:beforeAutospacing="1" w:after="100" w:afterAutospacing="1" w:line="240" w:lineRule="auto"/>
      <w:ind w:firstLine="0" w:firstLineChars="0"/>
      <w:jc w:val="left"/>
    </w:pPr>
    <w:rPr>
      <w:color w:val="000000"/>
      <w:kern w:val="0"/>
      <w:sz w:val="21"/>
      <w:szCs w:val="21"/>
    </w:rPr>
  </w:style>
  <w:style w:type="paragraph" w:customStyle="1" w:styleId="82">
    <w:name w:val="font7"/>
    <w:basedOn w:val="1"/>
    <w:qFormat/>
    <w:uiPriority w:val="0"/>
    <w:pPr>
      <w:widowControl/>
      <w:spacing w:before="100" w:beforeAutospacing="1" w:after="100" w:afterAutospacing="1" w:line="240" w:lineRule="auto"/>
      <w:ind w:firstLine="0" w:firstLineChars="0"/>
      <w:jc w:val="left"/>
    </w:pPr>
    <w:rPr>
      <w:color w:val="000000"/>
      <w:kern w:val="0"/>
      <w:sz w:val="22"/>
      <w:szCs w:val="22"/>
    </w:rPr>
  </w:style>
  <w:style w:type="paragraph" w:customStyle="1" w:styleId="83">
    <w:name w:val="font6"/>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85">
    <w:name w:val="font9"/>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8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89">
    <w:name w:val="font10"/>
    <w:basedOn w:val="1"/>
    <w:qFormat/>
    <w:uiPriority w:val="0"/>
    <w:pPr>
      <w:widowControl/>
      <w:spacing w:before="100" w:beforeAutospacing="1" w:after="100" w:afterAutospacing="1" w:line="240" w:lineRule="auto"/>
      <w:ind w:firstLine="0" w:firstLineChars="0"/>
      <w:jc w:val="left"/>
    </w:pPr>
    <w:rPr>
      <w:color w:val="000000"/>
      <w:kern w:val="0"/>
      <w:sz w:val="21"/>
      <w:szCs w:val="21"/>
    </w:rPr>
  </w:style>
  <w:style w:type="paragraph" w:customStyle="1" w:styleId="90">
    <w:name w:val="font1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92">
    <w:name w:val="font12"/>
    <w:basedOn w:val="1"/>
    <w:qFormat/>
    <w:uiPriority w:val="0"/>
    <w:pPr>
      <w:widowControl/>
      <w:spacing w:before="100" w:beforeAutospacing="1" w:after="100" w:afterAutospacing="1" w:line="240" w:lineRule="auto"/>
      <w:ind w:firstLine="0" w:firstLineChars="0"/>
      <w:jc w:val="left"/>
    </w:pPr>
    <w:rPr>
      <w:color w:val="000000"/>
      <w:kern w:val="0"/>
      <w:sz w:val="22"/>
      <w:szCs w:val="22"/>
    </w:rPr>
  </w:style>
  <w:style w:type="paragraph" w:customStyle="1" w:styleId="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9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1"/>
      <w:szCs w:val="21"/>
    </w:rPr>
  </w:style>
  <w:style w:type="paragraph" w:customStyle="1" w:styleId="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table" w:customStyle="1" w:styleId="98">
    <w:name w:val="网格型7"/>
    <w:basedOn w:val="29"/>
    <w:qFormat/>
    <w:uiPriority w:val="0"/>
    <w:pPr>
      <w:widowControl w:val="0"/>
      <w:jc w:val="both"/>
    </w:pPr>
    <w:rPr>
      <w:sz w:val="21"/>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paragraph" w:customStyle="1" w:styleId="99">
    <w:name w:val="报告表 小段"/>
    <w:basedOn w:val="1"/>
    <w:qFormat/>
    <w:uiPriority w:val="0"/>
    <w:pPr>
      <w:wordWrap w:val="0"/>
      <w:overflowPunct w:val="0"/>
      <w:topLinePunct/>
      <w:adjustRightInd w:val="0"/>
      <w:spacing w:before="120"/>
      <w:ind w:firstLine="470" w:firstLineChars="196"/>
    </w:pPr>
    <w:rPr>
      <w:rFonts w:ascii="宋体"/>
      <w:kern w:val="28"/>
      <w:szCs w:val="20"/>
    </w:rPr>
  </w:style>
  <w:style w:type="paragraph" w:customStyle="1" w:styleId="100">
    <w:name w:val="表格"/>
    <w:basedOn w:val="1"/>
    <w:next w:val="1"/>
    <w:link w:val="148"/>
    <w:qFormat/>
    <w:uiPriority w:val="0"/>
    <w:pPr>
      <w:adjustRightInd w:val="0"/>
      <w:snapToGrid w:val="0"/>
      <w:spacing w:line="240" w:lineRule="auto"/>
      <w:ind w:firstLine="0" w:firstLineChars="0"/>
      <w:jc w:val="center"/>
      <w:textAlignment w:val="center"/>
    </w:pPr>
    <w:rPr>
      <w:snapToGrid w:val="0"/>
      <w:kern w:val="0"/>
      <w:sz w:val="21"/>
      <w:szCs w:val="21"/>
    </w:rPr>
  </w:style>
  <w:style w:type="paragraph" w:customStyle="1" w:styleId="101">
    <w:name w:val="Table Paragraph"/>
    <w:basedOn w:val="1"/>
    <w:qFormat/>
    <w:uiPriority w:val="0"/>
    <w:pPr>
      <w:autoSpaceDE w:val="0"/>
      <w:autoSpaceDN w:val="0"/>
      <w:spacing w:line="240" w:lineRule="auto"/>
      <w:ind w:firstLine="0" w:firstLineChars="0"/>
      <w:jc w:val="left"/>
    </w:pPr>
    <w:rPr>
      <w:rFonts w:ascii="宋体" w:hAnsi="宋体" w:cs="宋体"/>
      <w:kern w:val="0"/>
      <w:sz w:val="22"/>
      <w:szCs w:val="22"/>
      <w:lang w:eastAsia="en-US"/>
    </w:rPr>
  </w:style>
  <w:style w:type="table" w:customStyle="1" w:styleId="10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03">
    <w:name w:val="[表头]"/>
    <w:qFormat/>
    <w:uiPriority w:val="0"/>
    <w:pPr>
      <w:widowControl w:val="0"/>
      <w:spacing w:beforeLines="50"/>
      <w:jc w:val="center"/>
    </w:pPr>
    <w:rPr>
      <w:rFonts w:ascii="Times New Roman" w:hAnsi="Times New Roman" w:cs="宋体" w:eastAsiaTheme="minorEastAsia"/>
      <w:b/>
      <w:color w:val="000000"/>
      <w:spacing w:val="6"/>
      <w:kern w:val="2"/>
      <w:sz w:val="24"/>
      <w:lang w:val="en-US" w:eastAsia="zh-CN" w:bidi="ar-SA"/>
    </w:rPr>
  </w:style>
  <w:style w:type="paragraph" w:customStyle="1" w:styleId="104">
    <w:name w:val="样式 黑色 行距: 最小值 26 磅"/>
    <w:basedOn w:val="1"/>
    <w:qFormat/>
    <w:uiPriority w:val="0"/>
    <w:pPr>
      <w:spacing w:line="240" w:lineRule="auto"/>
      <w:jc w:val="left"/>
    </w:pPr>
    <w:rPr>
      <w:rFonts w:eastAsia="楷体_GB2312" w:cs="宋体"/>
      <w:color w:val="000000"/>
      <w:spacing w:val="6"/>
      <w:sz w:val="28"/>
      <w:szCs w:val="20"/>
    </w:rPr>
  </w:style>
  <w:style w:type="character" w:customStyle="1" w:styleId="105">
    <w:name w:val="表格内容Q Char"/>
    <w:link w:val="106"/>
    <w:qFormat/>
    <w:uiPriority w:val="0"/>
    <w:rPr>
      <w:sz w:val="21"/>
      <w:szCs w:val="21"/>
    </w:rPr>
  </w:style>
  <w:style w:type="paragraph" w:customStyle="1" w:styleId="106">
    <w:name w:val="表格内容Q"/>
    <w:basedOn w:val="1"/>
    <w:link w:val="105"/>
    <w:qFormat/>
    <w:uiPriority w:val="0"/>
    <w:pPr>
      <w:spacing w:line="240" w:lineRule="auto"/>
      <w:ind w:firstLine="0" w:firstLineChars="0"/>
      <w:jc w:val="center"/>
    </w:pPr>
    <w:rPr>
      <w:kern w:val="0"/>
      <w:sz w:val="21"/>
      <w:szCs w:val="21"/>
    </w:rPr>
  </w:style>
  <w:style w:type="paragraph" w:customStyle="1" w:styleId="107">
    <w:name w:val="【图】"/>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paragraph" w:customStyle="1" w:styleId="108">
    <w:name w:val="Char Char Char Char Char Char"/>
    <w:basedOn w:val="1"/>
    <w:qFormat/>
    <w:uiPriority w:val="0"/>
    <w:pPr>
      <w:spacing w:line="240" w:lineRule="auto"/>
      <w:ind w:firstLine="0" w:firstLineChars="0"/>
    </w:pPr>
    <w:rPr>
      <w:sz w:val="21"/>
    </w:rPr>
  </w:style>
  <w:style w:type="paragraph" w:customStyle="1" w:styleId="109">
    <w:name w:val="表格式"/>
    <w:basedOn w:val="1"/>
    <w:qFormat/>
    <w:uiPriority w:val="0"/>
    <w:pPr>
      <w:spacing w:line="240" w:lineRule="auto"/>
      <w:ind w:firstLine="0" w:firstLineChars="0"/>
      <w:jc w:val="center"/>
    </w:pPr>
    <w:rPr>
      <w:kern w:val="0"/>
      <w:sz w:val="21"/>
      <w:szCs w:val="21"/>
      <w:lang w:val="en-GB"/>
    </w:rPr>
  </w:style>
  <w:style w:type="paragraph" w:customStyle="1" w:styleId="110">
    <w:name w:val="表头"/>
    <w:basedOn w:val="1"/>
    <w:link w:val="111"/>
    <w:qFormat/>
    <w:uiPriority w:val="0"/>
    <w:pPr>
      <w:spacing w:beforeLines="50" w:line="240" w:lineRule="auto"/>
      <w:ind w:firstLine="0" w:firstLineChars="0"/>
      <w:jc w:val="center"/>
    </w:pPr>
    <w:rPr>
      <w:rFonts w:cs="宋体"/>
      <w:b/>
      <w:kern w:val="0"/>
      <w:szCs w:val="21"/>
    </w:rPr>
  </w:style>
  <w:style w:type="character" w:customStyle="1" w:styleId="111">
    <w:name w:val="表头 Char"/>
    <w:link w:val="110"/>
    <w:qFormat/>
    <w:uiPriority w:val="0"/>
    <w:rPr>
      <w:rFonts w:cs="宋体"/>
      <w:b/>
      <w:sz w:val="24"/>
      <w:szCs w:val="21"/>
    </w:rPr>
  </w:style>
  <w:style w:type="paragraph" w:customStyle="1" w:styleId="112">
    <w:name w:val="zhang正文"/>
    <w:basedOn w:val="13"/>
    <w:qFormat/>
    <w:uiPriority w:val="0"/>
    <w:pPr>
      <w:autoSpaceDE w:val="0"/>
      <w:autoSpaceDN w:val="0"/>
      <w:adjustRightInd w:val="0"/>
      <w:spacing w:after="0"/>
      <w:ind w:left="0" w:leftChars="0"/>
      <w:textAlignment w:val="baseline"/>
    </w:pPr>
    <w:rPr>
      <w:rFonts w:ascii="Courier New" w:hAnsi="Courier New"/>
      <w:sz w:val="21"/>
    </w:rPr>
  </w:style>
  <w:style w:type="character" w:customStyle="1" w:styleId="113">
    <w:name w:val="正文文本缩进 Char"/>
    <w:basedOn w:val="33"/>
    <w:link w:val="13"/>
    <w:qFormat/>
    <w:uiPriority w:val="0"/>
    <w:rPr>
      <w:kern w:val="2"/>
      <w:sz w:val="24"/>
      <w:szCs w:val="24"/>
    </w:rPr>
  </w:style>
  <w:style w:type="paragraph" w:customStyle="1" w:styleId="114">
    <w:name w:val="_Style 5"/>
    <w:unhideWhenUsed/>
    <w:qFormat/>
    <w:uiPriority w:val="0"/>
    <w:pPr>
      <w:widowControl w:val="0"/>
      <w:spacing w:line="320" w:lineRule="exact"/>
      <w:jc w:val="both"/>
    </w:pPr>
    <w:rPr>
      <w:rFonts w:hint="eastAsia" w:ascii="Times New Roman" w:hAnsi="Times New Roman" w:eastAsia="Times New Roman" w:cs="Times New Roman"/>
      <w:kern w:val="2"/>
      <w:sz w:val="21"/>
      <w:lang w:val="en-US" w:eastAsia="zh-CN" w:bidi="ar-SA"/>
    </w:rPr>
  </w:style>
  <w:style w:type="paragraph" w:customStyle="1" w:styleId="115">
    <w:name w:val="表号"/>
    <w:basedOn w:val="1"/>
    <w:qFormat/>
    <w:uiPriority w:val="0"/>
    <w:pPr>
      <w:spacing w:line="320" w:lineRule="exact"/>
      <w:jc w:val="left"/>
    </w:pPr>
    <w:rPr>
      <w:rFonts w:eastAsia="黑体"/>
    </w:rPr>
  </w:style>
  <w:style w:type="paragraph" w:customStyle="1" w:styleId="116">
    <w:name w:val="这才是正文"/>
    <w:basedOn w:val="1"/>
    <w:qFormat/>
    <w:uiPriority w:val="0"/>
    <w:pPr>
      <w:ind w:firstLine="0" w:firstLineChars="0"/>
    </w:pPr>
  </w:style>
  <w:style w:type="character" w:customStyle="1" w:styleId="117">
    <w:name w:val="正文文本 Char"/>
    <w:basedOn w:val="33"/>
    <w:link w:val="12"/>
    <w:qFormat/>
    <w:uiPriority w:val="0"/>
    <w:rPr>
      <w:kern w:val="2"/>
      <w:sz w:val="24"/>
      <w:szCs w:val="24"/>
    </w:rPr>
  </w:style>
  <w:style w:type="character" w:customStyle="1" w:styleId="118">
    <w:name w:val="正文首行缩进 Char"/>
    <w:basedOn w:val="117"/>
    <w:link w:val="27"/>
    <w:qFormat/>
    <w:uiPriority w:val="99"/>
    <w:rPr>
      <w:kern w:val="2"/>
      <w:sz w:val="24"/>
      <w:szCs w:val="24"/>
    </w:rPr>
  </w:style>
  <w:style w:type="paragraph" w:customStyle="1" w:styleId="119">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宋体" w:hAnsi="宋体" w:cs="宋体"/>
      <w:snapToGrid w:val="0"/>
      <w:color w:val="000000"/>
      <w:kern w:val="0"/>
      <w:lang w:eastAsia="en-US"/>
    </w:rPr>
  </w:style>
  <w:style w:type="character" w:customStyle="1" w:styleId="120">
    <w:name w:val="正文文本缩进 2 Char"/>
    <w:basedOn w:val="33"/>
    <w:link w:val="18"/>
    <w:qFormat/>
    <w:uiPriority w:val="99"/>
    <w:rPr>
      <w:kern w:val="2"/>
      <w:sz w:val="21"/>
      <w:szCs w:val="24"/>
    </w:rPr>
  </w:style>
  <w:style w:type="paragraph" w:customStyle="1" w:styleId="121">
    <w:name w:val="样式5"/>
    <w:basedOn w:val="1"/>
    <w:qFormat/>
    <w:uiPriority w:val="0"/>
    <w:pPr>
      <w:widowControl/>
      <w:spacing w:after="36" w:line="432" w:lineRule="auto"/>
      <w:ind w:firstLine="556" w:firstLineChars="0"/>
    </w:pPr>
    <w:rPr>
      <w:color w:val="000000"/>
      <w:kern w:val="0"/>
    </w:rPr>
  </w:style>
  <w:style w:type="character" w:customStyle="1" w:styleId="122">
    <w:name w:val="标题 3 Char"/>
    <w:basedOn w:val="33"/>
    <w:link w:val="5"/>
    <w:qFormat/>
    <w:uiPriority w:val="0"/>
    <w:rPr>
      <w:b/>
      <w:bCs/>
      <w:kern w:val="2"/>
      <w:sz w:val="28"/>
      <w:szCs w:val="24"/>
    </w:rPr>
  </w:style>
  <w:style w:type="paragraph" w:customStyle="1" w:styleId="123">
    <w:name w:val="样式 正文文字缩进 + 小四 首行缩进:  2 字符1"/>
    <w:basedOn w:val="13"/>
    <w:next w:val="124"/>
    <w:qFormat/>
    <w:uiPriority w:val="0"/>
    <w:pPr>
      <w:spacing w:afterLines="50" w:line="400" w:lineRule="exact"/>
      <w:ind w:left="0" w:leftChars="0"/>
    </w:pPr>
    <w:rPr>
      <w:rFonts w:eastAsia="华文楷体" w:cs="宋体"/>
      <w:sz w:val="28"/>
      <w:szCs w:val="20"/>
    </w:rPr>
  </w:style>
  <w:style w:type="paragraph" w:customStyle="1" w:styleId="124">
    <w:name w:val="4级标题"/>
    <w:basedOn w:val="1"/>
    <w:next w:val="125"/>
    <w:qFormat/>
    <w:uiPriority w:val="0"/>
    <w:pPr>
      <w:spacing w:line="240" w:lineRule="auto"/>
      <w:ind w:firstLine="0" w:firstLineChars="0"/>
      <w:jc w:val="left"/>
      <w:outlineLvl w:val="3"/>
    </w:pPr>
    <w:rPr>
      <w:b/>
      <w:szCs w:val="28"/>
    </w:rPr>
  </w:style>
  <w:style w:type="paragraph" w:customStyle="1" w:styleId="125">
    <w:name w:val="5段落"/>
    <w:basedOn w:val="1"/>
    <w:qFormat/>
    <w:uiPriority w:val="0"/>
    <w:rPr>
      <w:szCs w:val="28"/>
    </w:rPr>
  </w:style>
  <w:style w:type="character" w:customStyle="1" w:styleId="126">
    <w:name w:val="文本块 Char"/>
    <w:link w:val="14"/>
    <w:qFormat/>
    <w:uiPriority w:val="0"/>
    <w:rPr>
      <w:sz w:val="28"/>
    </w:rPr>
  </w:style>
  <w:style w:type="character" w:customStyle="1" w:styleId="127">
    <w:name w:val="纯文本 Char"/>
    <w:basedOn w:val="33"/>
    <w:link w:val="16"/>
    <w:qFormat/>
    <w:uiPriority w:val="0"/>
    <w:rPr>
      <w:rFonts w:ascii="宋体"/>
      <w:kern w:val="2"/>
      <w:sz w:val="21"/>
    </w:rPr>
  </w:style>
  <w:style w:type="character" w:customStyle="1" w:styleId="128">
    <w:name w:val="日期 Char"/>
    <w:basedOn w:val="33"/>
    <w:link w:val="17"/>
    <w:qFormat/>
    <w:uiPriority w:val="0"/>
    <w:rPr>
      <w:sz w:val="24"/>
    </w:rPr>
  </w:style>
  <w:style w:type="character" w:customStyle="1" w:styleId="129">
    <w:name w:val="页脚 Char"/>
    <w:basedOn w:val="33"/>
    <w:link w:val="20"/>
    <w:qFormat/>
    <w:uiPriority w:val="99"/>
    <w:rPr>
      <w:rFonts w:ascii="宋体" w:hAnsi="宋体"/>
      <w:kern w:val="2"/>
      <w:sz w:val="18"/>
      <w:szCs w:val="18"/>
    </w:rPr>
  </w:style>
  <w:style w:type="character" w:customStyle="1" w:styleId="130">
    <w:name w:val="页眉 Char"/>
    <w:basedOn w:val="33"/>
    <w:link w:val="21"/>
    <w:qFormat/>
    <w:uiPriority w:val="0"/>
    <w:rPr>
      <w:kern w:val="2"/>
      <w:sz w:val="18"/>
      <w:szCs w:val="24"/>
    </w:rPr>
  </w:style>
  <w:style w:type="character" w:customStyle="1" w:styleId="131">
    <w:name w:val="正文首行缩进 2 Char"/>
    <w:basedOn w:val="113"/>
    <w:link w:val="28"/>
    <w:qFormat/>
    <w:uiPriority w:val="99"/>
    <w:rPr>
      <w:kern w:val="2"/>
      <w:sz w:val="24"/>
      <w:szCs w:val="24"/>
    </w:rPr>
  </w:style>
  <w:style w:type="paragraph" w:customStyle="1" w:styleId="132">
    <w:name w:val="BodyTextIndent2"/>
    <w:basedOn w:val="1"/>
    <w:qFormat/>
    <w:uiPriority w:val="0"/>
    <w:pPr>
      <w:widowControl/>
      <w:ind w:firstLine="555" w:firstLineChars="0"/>
      <w:textAlignment w:val="baseline"/>
    </w:pPr>
    <w:rPr>
      <w:rFonts w:ascii="仿宋_GB2312" w:eastAsia="仿宋_GB2312"/>
      <w:kern w:val="0"/>
      <w:sz w:val="28"/>
      <w:szCs w:val="20"/>
    </w:rPr>
  </w:style>
  <w:style w:type="paragraph" w:customStyle="1" w:styleId="133">
    <w:name w:val="0正文"/>
    <w:basedOn w:val="24"/>
    <w:unhideWhenUsed/>
    <w:qFormat/>
    <w:uiPriority w:val="0"/>
    <w:pPr>
      <w:widowControl w:val="0"/>
      <w:spacing w:line="360" w:lineRule="auto"/>
      <w:ind w:firstLine="720" w:firstLineChars="200"/>
    </w:pPr>
    <w:rPr>
      <w:rFonts w:ascii="Times New Roman" w:hAnsi="Times New Roman"/>
      <w:szCs w:val="22"/>
    </w:rPr>
  </w:style>
  <w:style w:type="character" w:customStyle="1" w:styleId="134">
    <w:name w:val="表格-标题 Char Char"/>
    <w:link w:val="135"/>
    <w:qFormat/>
    <w:uiPriority w:val="0"/>
    <w:rPr>
      <w:rFonts w:ascii="宋体"/>
      <w:b/>
      <w:szCs w:val="21"/>
    </w:rPr>
  </w:style>
  <w:style w:type="paragraph" w:customStyle="1" w:styleId="135">
    <w:name w:val="表格-标题"/>
    <w:basedOn w:val="1"/>
    <w:link w:val="134"/>
    <w:qFormat/>
    <w:uiPriority w:val="0"/>
    <w:pPr>
      <w:spacing w:line="320" w:lineRule="exact"/>
      <w:ind w:firstLine="0" w:firstLineChars="0"/>
      <w:jc w:val="center"/>
    </w:pPr>
    <w:rPr>
      <w:rFonts w:ascii="宋体"/>
      <w:b/>
      <w:kern w:val="0"/>
      <w:sz w:val="20"/>
      <w:szCs w:val="21"/>
    </w:rPr>
  </w:style>
  <w:style w:type="character" w:customStyle="1" w:styleId="136">
    <w:name w:val="日期 字符"/>
    <w:semiHidden/>
    <w:qFormat/>
    <w:uiPriority w:val="0"/>
    <w:rPr>
      <w:rFonts w:ascii="Times New Roman" w:hAnsi="Times New Roman" w:eastAsia="宋体"/>
      <w:sz w:val="24"/>
    </w:rPr>
  </w:style>
  <w:style w:type="character" w:customStyle="1" w:styleId="137">
    <w:name w:val="页眉 Char1"/>
    <w:qFormat/>
    <w:uiPriority w:val="0"/>
    <w:rPr>
      <w:sz w:val="18"/>
    </w:rPr>
  </w:style>
  <w:style w:type="character" w:customStyle="1" w:styleId="138">
    <w:name w:val="正文文本 字符1"/>
    <w:semiHidden/>
    <w:qFormat/>
    <w:uiPriority w:val="0"/>
    <w:rPr>
      <w:rFonts w:ascii="Times New Roman" w:hAnsi="Times New Roman" w:eastAsia="宋体"/>
      <w:sz w:val="24"/>
    </w:rPr>
  </w:style>
  <w:style w:type="character" w:customStyle="1" w:styleId="139">
    <w:name w:val="环评表格内容 Char"/>
    <w:link w:val="140"/>
    <w:qFormat/>
    <w:uiPriority w:val="0"/>
    <w:rPr>
      <w:sz w:val="21"/>
      <w:szCs w:val="21"/>
    </w:rPr>
  </w:style>
  <w:style w:type="paragraph" w:customStyle="1" w:styleId="140">
    <w:name w:val="环评表格内容"/>
    <w:basedOn w:val="1"/>
    <w:link w:val="139"/>
    <w:qFormat/>
    <w:uiPriority w:val="0"/>
    <w:pPr>
      <w:widowControl/>
      <w:adjustRightInd w:val="0"/>
      <w:snapToGrid w:val="0"/>
      <w:spacing w:line="240" w:lineRule="auto"/>
      <w:ind w:firstLine="0" w:firstLineChars="0"/>
      <w:jc w:val="center"/>
    </w:pPr>
    <w:rPr>
      <w:kern w:val="0"/>
      <w:sz w:val="21"/>
      <w:szCs w:val="21"/>
    </w:rPr>
  </w:style>
  <w:style w:type="character" w:customStyle="1" w:styleId="141">
    <w:name w:val="环评文本 Char"/>
    <w:link w:val="142"/>
    <w:qFormat/>
    <w:uiPriority w:val="0"/>
    <w:rPr>
      <w:kern w:val="2"/>
      <w:sz w:val="24"/>
      <w:szCs w:val="24"/>
    </w:rPr>
  </w:style>
  <w:style w:type="paragraph" w:customStyle="1" w:styleId="142">
    <w:name w:val="环评文本"/>
    <w:basedOn w:val="1"/>
    <w:link w:val="141"/>
    <w:qFormat/>
    <w:uiPriority w:val="0"/>
    <w:pPr>
      <w:tabs>
        <w:tab w:val="left" w:pos="4500"/>
      </w:tabs>
      <w:ind w:firstLine="480"/>
    </w:pPr>
  </w:style>
  <w:style w:type="character" w:customStyle="1" w:styleId="143">
    <w:name w:val="表格-居中 Char Char"/>
    <w:link w:val="144"/>
    <w:qFormat/>
    <w:uiPriority w:val="0"/>
    <w:rPr>
      <w:rFonts w:ascii="宋体"/>
      <w:szCs w:val="21"/>
    </w:rPr>
  </w:style>
  <w:style w:type="paragraph" w:customStyle="1" w:styleId="144">
    <w:name w:val="表格-居中"/>
    <w:basedOn w:val="1"/>
    <w:link w:val="143"/>
    <w:qFormat/>
    <w:uiPriority w:val="0"/>
    <w:pPr>
      <w:spacing w:line="320" w:lineRule="exact"/>
      <w:ind w:firstLine="0" w:firstLineChars="0"/>
      <w:jc w:val="center"/>
    </w:pPr>
    <w:rPr>
      <w:rFonts w:ascii="宋体"/>
      <w:kern w:val="0"/>
      <w:sz w:val="20"/>
      <w:szCs w:val="21"/>
    </w:rPr>
  </w:style>
  <w:style w:type="character" w:customStyle="1" w:styleId="145">
    <w:name w:val="批注文字 字符1"/>
    <w:semiHidden/>
    <w:qFormat/>
    <w:uiPriority w:val="0"/>
    <w:rPr>
      <w:rFonts w:ascii="Times New Roman" w:hAnsi="Times New Roman" w:eastAsia="宋体"/>
      <w:sz w:val="24"/>
    </w:rPr>
  </w:style>
  <w:style w:type="character" w:customStyle="1" w:styleId="146">
    <w:name w:val="样式 样式 样式 首行缩进:  2 字符 + 居中 + 行距: 固定值 17 磅 Char Char"/>
    <w:link w:val="147"/>
    <w:qFormat/>
    <w:uiPriority w:val="0"/>
    <w:rPr>
      <w:color w:val="000000"/>
      <w:kern w:val="2"/>
      <w:sz w:val="21"/>
    </w:rPr>
  </w:style>
  <w:style w:type="paragraph" w:customStyle="1" w:styleId="147">
    <w:name w:val="样式 样式 样式 首行缩进:  2 字符 + 居中 + 行距: 固定值 17 磅"/>
    <w:basedOn w:val="1"/>
    <w:link w:val="146"/>
    <w:qFormat/>
    <w:uiPriority w:val="0"/>
    <w:pPr>
      <w:adjustRightInd w:val="0"/>
      <w:snapToGrid w:val="0"/>
      <w:spacing w:line="340" w:lineRule="exact"/>
      <w:ind w:firstLine="0" w:firstLineChars="0"/>
      <w:jc w:val="center"/>
    </w:pPr>
    <w:rPr>
      <w:color w:val="000000"/>
      <w:sz w:val="21"/>
      <w:szCs w:val="20"/>
    </w:rPr>
  </w:style>
  <w:style w:type="character" w:customStyle="1" w:styleId="148">
    <w:name w:val="表格 Char"/>
    <w:link w:val="100"/>
    <w:qFormat/>
    <w:locked/>
    <w:uiPriority w:val="0"/>
    <w:rPr>
      <w:snapToGrid w:val="0"/>
      <w:sz w:val="21"/>
      <w:szCs w:val="21"/>
    </w:rPr>
  </w:style>
  <w:style w:type="paragraph" w:customStyle="1" w:styleId="149">
    <w:name w:val="表格内容自定"/>
    <w:basedOn w:val="1"/>
    <w:qFormat/>
    <w:uiPriority w:val="0"/>
    <w:pPr>
      <w:spacing w:line="280" w:lineRule="exact"/>
      <w:ind w:firstLine="0" w:firstLineChars="0"/>
      <w:jc w:val="center"/>
    </w:pPr>
    <w:rPr>
      <w:kern w:val="0"/>
      <w:sz w:val="18"/>
      <w:szCs w:val="21"/>
    </w:rPr>
  </w:style>
  <w:style w:type="paragraph" w:customStyle="1" w:styleId="150">
    <w:name w:val="登记表标题"/>
    <w:basedOn w:val="1"/>
    <w:qFormat/>
    <w:uiPriority w:val="0"/>
    <w:pPr>
      <w:autoSpaceDE w:val="0"/>
      <w:autoSpaceDN w:val="0"/>
      <w:adjustRightInd w:val="0"/>
      <w:spacing w:line="240" w:lineRule="auto"/>
      <w:ind w:firstLine="0" w:firstLineChars="0"/>
      <w:jc w:val="center"/>
      <w:outlineLvl w:val="0"/>
    </w:pPr>
    <w:rPr>
      <w:rFonts w:eastAsia="黑体"/>
      <w:color w:val="000000"/>
      <w:kern w:val="0"/>
      <w:sz w:val="30"/>
      <w:szCs w:val="30"/>
    </w:rPr>
  </w:style>
  <w:style w:type="paragraph" w:customStyle="1" w:styleId="151">
    <w:name w:val="样式2"/>
    <w:basedOn w:val="1"/>
    <w:qFormat/>
    <w:uiPriority w:val="0"/>
    <w:pPr>
      <w:autoSpaceDE w:val="0"/>
      <w:autoSpaceDN w:val="0"/>
      <w:adjustRightInd w:val="0"/>
      <w:spacing w:line="240" w:lineRule="auto"/>
      <w:ind w:left="-57" w:right="-57" w:firstLine="0" w:firstLineChars="0"/>
      <w:jc w:val="center"/>
    </w:pPr>
    <w:rPr>
      <w:kern w:val="0"/>
      <w:sz w:val="21"/>
      <w:szCs w:val="20"/>
    </w:rPr>
  </w:style>
  <w:style w:type="paragraph" w:customStyle="1" w:styleId="152">
    <w:name w:val="普通(网站)2"/>
    <w:basedOn w:val="1"/>
    <w:qFormat/>
    <w:uiPriority w:val="0"/>
    <w:pPr>
      <w:widowControl/>
      <w:spacing w:before="100" w:beforeAutospacing="1" w:after="100" w:afterAutospacing="1" w:line="240" w:lineRule="auto"/>
      <w:ind w:firstLine="0" w:firstLineChars="0"/>
      <w:jc w:val="left"/>
    </w:pPr>
    <w:rPr>
      <w:rFonts w:ascii="宋体" w:hAnsi="宋体"/>
      <w:szCs w:val="20"/>
    </w:rPr>
  </w:style>
  <w:style w:type="paragraph" w:customStyle="1" w:styleId="153">
    <w:name w:val="标题-小节"/>
    <w:basedOn w:val="1"/>
    <w:qFormat/>
    <w:uiPriority w:val="0"/>
    <w:pPr>
      <w:spacing w:line="500" w:lineRule="exact"/>
      <w:ind w:firstLine="0" w:firstLineChars="0"/>
    </w:pPr>
    <w:rPr>
      <w:rFonts w:ascii="黑体" w:eastAsia="黑体" w:cs="宋体"/>
      <w:spacing w:val="-6"/>
    </w:rPr>
  </w:style>
  <w:style w:type="paragraph" w:customStyle="1" w:styleId="154">
    <w:name w:val="WPS Plain"/>
    <w:qFormat/>
    <w:uiPriority w:val="0"/>
    <w:rPr>
      <w:rFonts w:ascii="Times New Roman" w:hAnsi="Times New Roman" w:eastAsia="宋体" w:cs="Times New Roman"/>
      <w:lang w:val="en-US" w:eastAsia="zh-CN" w:bidi="ar-SA"/>
    </w:rPr>
  </w:style>
  <w:style w:type="paragraph" w:customStyle="1" w:styleId="15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纯文本1"/>
    <w:basedOn w:val="1"/>
    <w:next w:val="16"/>
    <w:qFormat/>
    <w:uiPriority w:val="99"/>
    <w:pPr>
      <w:spacing w:line="240" w:lineRule="auto"/>
      <w:ind w:firstLine="0" w:firstLineChars="0"/>
    </w:pPr>
    <w:rPr>
      <w:rFonts w:ascii="宋体" w:hAnsi="Courier New" w:cs="黑体"/>
      <w:sz w:val="21"/>
      <w:szCs w:val="21"/>
    </w:rPr>
  </w:style>
  <w:style w:type="paragraph" w:customStyle="1" w:styleId="157">
    <w:name w:val="样式35"/>
    <w:next w:val="83"/>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158">
    <w:name w:val="8表格内容"/>
    <w:next w:val="1"/>
    <w:qFormat/>
    <w:uiPriority w:val="0"/>
    <w:pPr>
      <w:widowControl w:val="0"/>
      <w:jc w:val="center"/>
    </w:pPr>
    <w:rPr>
      <w:rFonts w:ascii="Times New Roman" w:hAnsi="Times New Roman" w:eastAsia="宋体" w:cs="Times New Roman"/>
      <w:kern w:val="2"/>
      <w:sz w:val="21"/>
      <w:szCs w:val="28"/>
      <w:lang w:val="en-US" w:eastAsia="zh-CN" w:bidi="ar-SA"/>
    </w:rPr>
  </w:style>
  <w:style w:type="paragraph" w:customStyle="1" w:styleId="159">
    <w:name w:val="样式 首行缩进:  2 字符1"/>
    <w:basedOn w:val="1"/>
    <w:qFormat/>
    <w:uiPriority w:val="0"/>
    <w:pPr>
      <w:adjustRightInd w:val="0"/>
      <w:snapToGrid w:val="0"/>
      <w:ind w:firstLine="480"/>
    </w:pPr>
    <w:rPr>
      <w:szCs w:val="22"/>
    </w:rPr>
  </w:style>
  <w:style w:type="paragraph" w:customStyle="1" w:styleId="160">
    <w:name w:val="表格内文字"/>
    <w:basedOn w:val="1"/>
    <w:qFormat/>
    <w:uiPriority w:val="0"/>
    <w:pPr>
      <w:widowControl/>
      <w:spacing w:line="240" w:lineRule="auto"/>
      <w:ind w:firstLine="0" w:firstLineChars="0"/>
      <w:jc w:val="center"/>
    </w:pPr>
    <w:rPr>
      <w:sz w:val="21"/>
      <w:szCs w:val="21"/>
    </w:rPr>
  </w:style>
  <w:style w:type="paragraph" w:customStyle="1" w:styleId="161">
    <w:name w:val="表格 表头"/>
    <w:qFormat/>
    <w:uiPriority w:val="0"/>
    <w:pPr>
      <w:autoSpaceDE w:val="0"/>
      <w:autoSpaceDN w:val="0"/>
      <w:adjustRightInd w:val="0"/>
      <w:snapToGrid w:val="0"/>
      <w:spacing w:beforeLines="50"/>
      <w:jc w:val="center"/>
      <w:textAlignment w:val="baseline"/>
    </w:pPr>
    <w:rPr>
      <w:rFonts w:ascii="Times New Roman" w:hAnsi="Times New Roman" w:eastAsia="宋体" w:cs="宋体"/>
      <w:b/>
      <w:sz w:val="21"/>
      <w:szCs w:val="24"/>
      <w:lang w:val="en-US" w:eastAsia="zh-CN" w:bidi="ar-SA"/>
    </w:rPr>
  </w:style>
  <w:style w:type="paragraph" w:customStyle="1" w:styleId="162">
    <w:name w:val="正文首行缩进 2 + Times New Roman"/>
    <w:basedOn w:val="1"/>
    <w:qFormat/>
    <w:uiPriority w:val="0"/>
    <w:pPr>
      <w:tabs>
        <w:tab w:val="left" w:pos="0"/>
        <w:tab w:val="left" w:pos="720"/>
        <w:tab w:val="left" w:pos="870"/>
        <w:tab w:val="left" w:pos="3150"/>
      </w:tabs>
      <w:autoSpaceDE w:val="0"/>
      <w:autoSpaceDN w:val="0"/>
      <w:ind w:firstLine="504"/>
    </w:pPr>
    <w:rPr>
      <w:rFonts w:ascii="Arial" w:hAnsi="Arial" w:cs="Arial"/>
      <w:bCs/>
      <w:spacing w:val="6"/>
      <w:kern w:val="0"/>
    </w:rPr>
  </w:style>
  <w:style w:type="character" w:customStyle="1" w:styleId="163">
    <w:name w:val="font41"/>
    <w:basedOn w:val="33"/>
    <w:qFormat/>
    <w:uiPriority w:val="0"/>
    <w:rPr>
      <w:rFonts w:hint="default" w:ascii="Times New Roman" w:hAnsi="Times New Roman" w:cs="Times New Roman"/>
      <w:b/>
      <w:bCs/>
      <w:color w:val="000000"/>
      <w:sz w:val="21"/>
      <w:szCs w:val="21"/>
      <w:u w:val="none"/>
    </w:rPr>
  </w:style>
  <w:style w:type="character" w:customStyle="1" w:styleId="164">
    <w:name w:val="font51"/>
    <w:basedOn w:val="33"/>
    <w:qFormat/>
    <w:uiPriority w:val="0"/>
    <w:rPr>
      <w:rFonts w:hint="default" w:ascii="Times New Roman" w:hAnsi="Times New Roman" w:cs="Times New Roman"/>
      <w:b/>
      <w:bCs/>
      <w:color w:val="000000"/>
      <w:sz w:val="21"/>
      <w:szCs w:val="21"/>
      <w:u w:val="none"/>
      <w:vertAlign w:val="superscript"/>
    </w:rPr>
  </w:style>
  <w:style w:type="character" w:customStyle="1" w:styleId="165">
    <w:name w:val="文档结构图 Char"/>
    <w:basedOn w:val="33"/>
    <w:link w:val="10"/>
    <w:qFormat/>
    <w:uiPriority w:val="0"/>
    <w:rPr>
      <w:rFonts w:ascii="宋体"/>
      <w:kern w:val="2"/>
      <w:sz w:val="18"/>
      <w:szCs w:val="18"/>
    </w:rPr>
  </w:style>
  <w:style w:type="paragraph" w:customStyle="1" w:styleId="166">
    <w:name w:val="表格内容"/>
    <w:basedOn w:val="1"/>
    <w:next w:val="1"/>
    <w:link w:val="167"/>
    <w:qFormat/>
    <w:uiPriority w:val="0"/>
    <w:pPr>
      <w:spacing w:line="240" w:lineRule="auto"/>
      <w:ind w:firstLine="0" w:firstLineChars="0"/>
      <w:jc w:val="center"/>
    </w:pPr>
    <w:rPr>
      <w:sz w:val="21"/>
      <w:szCs w:val="22"/>
    </w:rPr>
  </w:style>
  <w:style w:type="character" w:customStyle="1" w:styleId="167">
    <w:name w:val="表格内容 Char"/>
    <w:link w:val="166"/>
    <w:qFormat/>
    <w:uiPriority w:val="0"/>
    <w:rPr>
      <w:kern w:val="2"/>
      <w:sz w:val="21"/>
      <w:szCs w:val="22"/>
    </w:rPr>
  </w:style>
  <w:style w:type="paragraph" w:customStyle="1" w:styleId="168">
    <w:name w:val="报告书正文"/>
    <w:basedOn w:val="1"/>
    <w:qFormat/>
    <w:uiPriority w:val="0"/>
    <w:pPr>
      <w:widowControl/>
      <w:adjustRightInd w:val="0"/>
      <w:snapToGrid w:val="0"/>
    </w:pPr>
    <w:rPr>
      <w:kern w:val="24"/>
    </w:rPr>
  </w:style>
  <w:style w:type="character" w:customStyle="1" w:styleId="169">
    <w:name w:val="znspantitle"/>
    <w:basedOn w:val="33"/>
    <w:qFormat/>
    <w:uiPriority w:val="0"/>
    <w:rPr>
      <w:b/>
      <w:bCs/>
      <w:color w:val="333333"/>
    </w:rPr>
  </w:style>
  <w:style w:type="character" w:customStyle="1" w:styleId="170">
    <w:name w:val="disabled"/>
    <w:basedOn w:val="33"/>
    <w:qFormat/>
    <w:uiPriority w:val="0"/>
    <w:rPr>
      <w:vanish/>
    </w:rPr>
  </w:style>
  <w:style w:type="paragraph" w:customStyle="1" w:styleId="171">
    <w:name w:val="（环评）表格内容"/>
    <w:basedOn w:val="1"/>
    <w:next w:val="12"/>
    <w:qFormat/>
    <w:uiPriority w:val="0"/>
    <w:pPr>
      <w:adjustRightInd w:val="0"/>
      <w:snapToGrid w:val="0"/>
      <w:spacing w:line="240" w:lineRule="auto"/>
      <w:ind w:firstLine="0" w:firstLineChars="0"/>
      <w:jc w:val="center"/>
    </w:pPr>
    <w:rPr>
      <w:iCs/>
      <w:sz w:val="21"/>
      <w:szCs w:val="21"/>
    </w:rPr>
  </w:style>
  <w:style w:type="paragraph" w:customStyle="1" w:styleId="172">
    <w:name w:val="D正文"/>
    <w:basedOn w:val="1"/>
    <w:qFormat/>
    <w:uiPriority w:val="0"/>
    <w:pPr>
      <w:adjustRightInd w:val="0"/>
      <w:snapToGrid w:val="0"/>
      <w:spacing w:before="120" w:beforeLines="50"/>
      <w:ind w:firstLine="480"/>
    </w:pPr>
    <w:rPr>
      <w:rFonts w:ascii="宋体" w:hAnsi="宋体" w:cs="宋体"/>
      <w:bCs/>
      <w:szCs w:val="21"/>
    </w:rPr>
  </w:style>
  <w:style w:type="paragraph" w:customStyle="1" w:styleId="173">
    <w:name w:val="J报告表大文字"/>
    <w:qFormat/>
    <w:uiPriority w:val="0"/>
    <w:pPr>
      <w:adjustRightInd w:val="0"/>
      <w:snapToGrid w:val="0"/>
      <w:jc w:val="center"/>
    </w:pPr>
    <w:rPr>
      <w:rFonts w:ascii="Times New Roman" w:hAnsi="Times New Roman" w:eastAsia="宋体" w:cs="宋体"/>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6.png"/><Relationship Id="rId50" Type="http://schemas.openxmlformats.org/officeDocument/2006/relationships/image" Target="media/image15.png"/><Relationship Id="rId5" Type="http://schemas.openxmlformats.org/officeDocument/2006/relationships/header" Target="header1.xml"/><Relationship Id="rId49" Type="http://schemas.openxmlformats.org/officeDocument/2006/relationships/image" Target="media/image14.wmf"/><Relationship Id="rId48" Type="http://schemas.openxmlformats.org/officeDocument/2006/relationships/image" Target="media/image13.wmf"/><Relationship Id="rId47" Type="http://schemas.openxmlformats.org/officeDocument/2006/relationships/image" Target="media/image12.wmf"/><Relationship Id="rId46" Type="http://schemas.openxmlformats.org/officeDocument/2006/relationships/image" Target="media/image11.wmf"/><Relationship Id="rId45" Type="http://schemas.openxmlformats.org/officeDocument/2006/relationships/image" Target="media/image10.wmf"/><Relationship Id="rId44" Type="http://schemas.openxmlformats.org/officeDocument/2006/relationships/image" Target="media/image9.wmf"/><Relationship Id="rId43" Type="http://schemas.openxmlformats.org/officeDocument/2006/relationships/image" Target="media/image8.wmf"/><Relationship Id="rId42" Type="http://schemas.openxmlformats.org/officeDocument/2006/relationships/image" Target="media/image7.png"/><Relationship Id="rId41" Type="http://schemas.openxmlformats.org/officeDocument/2006/relationships/image" Target="media/image6.png"/><Relationship Id="rId40" Type="http://schemas.openxmlformats.org/officeDocument/2006/relationships/image" Target="media/image5.jpeg"/><Relationship Id="rId4" Type="http://schemas.openxmlformats.org/officeDocument/2006/relationships/endnotes" Target="endnotes.xml"/><Relationship Id="rId39" Type="http://schemas.openxmlformats.org/officeDocument/2006/relationships/image" Target="media/image4.jpeg"/><Relationship Id="rId38" Type="http://schemas.openxmlformats.org/officeDocument/2006/relationships/image" Target="media/image3.emf"/><Relationship Id="rId37" Type="http://schemas.openxmlformats.org/officeDocument/2006/relationships/package" Target="embeddings/Presentation2.pptx"/><Relationship Id="rId36" Type="http://schemas.openxmlformats.org/officeDocument/2006/relationships/image" Target="media/image2.emf"/><Relationship Id="rId35" Type="http://schemas.openxmlformats.org/officeDocument/2006/relationships/package" Target="embeddings/Slide1.sldx"/><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0.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notes" Target="footnotes.xml"/><Relationship Id="rId29" Type="http://schemas.openxmlformats.org/officeDocument/2006/relationships/header" Target="header16.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9C214-31ED-41E2-9F54-F2AF530A6C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25352</Words>
  <Characters>29322</Characters>
  <Lines>233</Lines>
  <Paragraphs>65</Paragraphs>
  <TotalTime>1</TotalTime>
  <ScaleCrop>false</ScaleCrop>
  <LinksUpToDate>false</LinksUpToDate>
  <CharactersWithSpaces>29507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2025-07-15T03:54:00Z</dcterms:created>
  <dc:creator>曹昌炜</dc:creator>
  <cp:lastModifiedBy>NTKO</cp:lastModifiedBy>
  <cp:lastPrinted>2025-07-09T01:28:00Z</cp:lastPrinted>
  <dcterms:modified xsi:type="dcterms:W3CDTF">2025-07-15T06:17:14Z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MSIP_Label_defa4170-0d19-0005-0004-bc88714345d2_Enabled">
    <vt:lpwstr>true</vt:lpwstr>
  </property>
  <property fmtid="{D5CDD505-2E9C-101B-9397-08002B2CF9AE}" pid="4" name="MSIP_Label_defa4170-0d19-0005-0004-bc88714345d2_SetDate">
    <vt:lpwstr>2024-04-25T08:18:49Z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f5fc9c0b-f80e-4bcc-bb1f-03e97bc2c076</vt:lpwstr>
  </property>
  <property fmtid="{D5CDD505-2E9C-101B-9397-08002B2CF9AE}" pid="8" name="MSIP_Label_defa4170-0d19-0005-0004-bc88714345d2_ActionId">
    <vt:lpwstr>99760271-ac08-4787-a33b-770abf1ddce9</vt:lpwstr>
  </property>
  <property fmtid="{D5CDD505-2E9C-101B-9397-08002B2CF9AE}" pid="9" name="MSIP_Label_defa4170-0d19-0005-0004-bc88714345d2_ContentBits">
    <vt:lpwstr>0</vt:lpwstr>
  </property>
  <property fmtid="{D5CDD505-2E9C-101B-9397-08002B2CF9AE}" pid="10" name="KSOTemplateDocerSaveRecord">
    <vt:lpwstr>eyJoZGlkIjoiYmNmZmI3YWU5ZmNjMThiM2NmODYxNzUyN2I2ZjgxNWMiLCJ1c2VySWQiOiI4MDA1Mjc5MTgifQ==</vt:lpwstr>
  </property>
  <property fmtid="{D5CDD505-2E9C-101B-9397-08002B2CF9AE}" pid="11" name="ICV">
    <vt:lpwstr>28E2FABA8EBC4742808E0EC62F747470_13</vt:lpwstr>
  </property>
</Properties>
</file>