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lang w:eastAsia="zh-CN"/>
        </w:rPr>
      </w:pPr>
      <w:r>
        <w:rPr>
          <w:rFonts w:hint="eastAsia" w:ascii="Times New Roman" w:hAnsi="Times New Roman" w:eastAsia="宋体" w:cs="Times New Roman"/>
          <w:color w:val="auto"/>
          <w:sz w:val="36"/>
          <w:szCs w:val="36"/>
          <w:lang w:eastAsia="zh-CN"/>
        </w:rPr>
        <w:drawing>
          <wp:anchor distT="0" distB="0" distL="114300" distR="114300" simplePos="0" relativeHeight="251663360" behindDoc="0" locked="0" layoutInCell="1" allowOverlap="1">
            <wp:simplePos x="0" y="0"/>
            <wp:positionH relativeFrom="column">
              <wp:posOffset>635</wp:posOffset>
            </wp:positionH>
            <wp:positionV relativeFrom="paragraph">
              <wp:posOffset>208280</wp:posOffset>
            </wp:positionV>
            <wp:extent cx="5737860" cy="8122285"/>
            <wp:effectExtent l="0" t="0" r="15240" b="12065"/>
            <wp:wrapNone/>
            <wp:docPr id="220" name="图片 220" descr="扫描全能王 2025-07-08 14.4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扫描全能王 2025-07-08 14.44_02"/>
                    <pic:cNvPicPr>
                      <a:picLocks noChangeAspect="1"/>
                    </pic:cNvPicPr>
                  </pic:nvPicPr>
                  <pic:blipFill>
                    <a:blip r:embed="rId11"/>
                    <a:stretch>
                      <a:fillRect/>
                    </a:stretch>
                  </pic:blipFill>
                  <pic:spPr>
                    <a:xfrm>
                      <a:off x="0" y="0"/>
                      <a:ext cx="5737860" cy="8122285"/>
                    </a:xfrm>
                    <a:prstGeom prst="rect">
                      <a:avLst/>
                    </a:prstGeom>
                  </pic:spPr>
                </pic:pic>
              </a:graphicData>
            </a:graphic>
          </wp:anchor>
        </w:drawing>
      </w:r>
    </w:p>
    <w:p>
      <w:pPr>
        <w:rPr>
          <w:rFonts w:hint="eastAsia" w:ascii="Times New Roman" w:hAnsi="Times New Roman" w:eastAsia="宋体" w:cs="Times New Roman"/>
          <w:color w:val="auto"/>
          <w:sz w:val="36"/>
          <w:szCs w:val="36"/>
          <w:lang w:eastAsia="zh-CN"/>
        </w:rPr>
      </w:pPr>
    </w:p>
    <w:p>
      <w:pPr>
        <w:rPr>
          <w:rFonts w:hint="eastAsia" w:ascii="Times New Roman" w:hAnsi="Times New Roman" w:eastAsia="宋体" w:cs="Times New Roman"/>
          <w:color w:val="auto"/>
          <w:sz w:val="36"/>
          <w:szCs w:val="36"/>
          <w:lang w:eastAsia="zh-CN"/>
        </w:rPr>
      </w:pPr>
    </w:p>
    <w:p>
      <w:pPr>
        <w:pStyle w:val="18"/>
        <w:rPr>
          <w:rFonts w:hint="eastAsia" w:ascii="Times New Roman" w:hAnsi="Times New Roman" w:eastAsia="宋体"/>
          <w:color w:val="auto"/>
          <w:lang w:eastAsia="zh-CN"/>
        </w:rPr>
      </w:pPr>
    </w:p>
    <w:p>
      <w:pPr>
        <w:rPr>
          <w:rFonts w:hint="default" w:ascii="Times New Roman" w:hAnsi="Times New Roman" w:eastAsia="宋体" w:cs="Times New Roman"/>
          <w:color w:val="auto"/>
          <w:sz w:val="36"/>
          <w:szCs w:val="36"/>
        </w:rPr>
      </w:pPr>
    </w:p>
    <w:p>
      <w:pPr>
        <w:widowControl w:val="0"/>
        <w:autoSpaceDE w:val="0"/>
        <w:autoSpaceDN w:val="0"/>
        <w:spacing w:before="0" w:after="0" w:line="240" w:lineRule="auto"/>
        <w:ind w:left="426" w:right="428"/>
        <w:jc w:val="center"/>
        <w:rPr>
          <w:rFonts w:ascii="PMingLiU" w:hAnsi="PMingLiU" w:eastAsia="PMingLiU" w:cs="PMingLiU"/>
          <w:sz w:val="72"/>
          <w:szCs w:val="72"/>
          <w:lang w:val="en-US" w:eastAsia="zh-CN" w:bidi="ar-SA"/>
        </w:rPr>
      </w:pPr>
      <w:r>
        <w:rPr>
          <w:rFonts w:ascii="PMingLiU" w:hAnsi="PMingLiU" w:eastAsia="PMingLiU" w:cs="PMingLiU"/>
          <w:spacing w:val="-1"/>
          <w:sz w:val="72"/>
          <w:szCs w:val="72"/>
          <w:lang w:val="en-US" w:eastAsia="zh-CN" w:bidi="ar-SA"/>
        </w:rPr>
        <w:t>建设项目环境影响报告表</w:t>
      </w:r>
    </w:p>
    <w:p>
      <w:pPr>
        <w:pStyle w:val="21"/>
        <w:bidi w:val="0"/>
        <w:rPr>
          <w:rFonts w:hint="default"/>
        </w:rPr>
      </w:pPr>
    </w:p>
    <w:p>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pPr>
        <w:jc w:val="center"/>
        <w:rPr>
          <w:rFonts w:hint="default" w:ascii="Times New Roman" w:hAnsi="Times New Roman" w:eastAsia="宋体" w:cs="Times New Roman"/>
          <w:color w:val="auto"/>
          <w:sz w:val="52"/>
          <w:szCs w:val="52"/>
        </w:rPr>
      </w:pPr>
    </w:p>
    <w:p>
      <w:pPr>
        <w:ind w:firstLine="1040"/>
        <w:rPr>
          <w:rFonts w:hint="eastAsia" w:ascii="Times New Roman" w:hAnsi="Times New Roman" w:eastAsia="宋体" w:cs="Times New Roman"/>
          <w:color w:val="auto"/>
          <w:sz w:val="44"/>
          <w:szCs w:val="44"/>
          <w:lang w:val="en-US" w:eastAsia="zh-CN"/>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eastAsia="zh-CN"/>
        </w:rPr>
        <w:t>项目</w:t>
      </w:r>
      <w:r>
        <w:rPr>
          <w:rFonts w:hint="default" w:ascii="Times New Roman" w:hAnsi="Times New Roman" w:eastAsia="宋体" w:cs="Times New Roman"/>
          <w:color w:val="auto"/>
          <w:sz w:val="36"/>
          <w:szCs w:val="36"/>
          <w:u w:val="none"/>
          <w:lang w:eastAsia="zh-CN"/>
        </w:rPr>
        <w:t>名称：</w:t>
      </w:r>
      <w:r>
        <w:rPr>
          <w:rFonts w:hint="eastAsia" w:eastAsia="宋体" w:cs="Times New Roman"/>
          <w:color w:val="auto"/>
          <w:sz w:val="36"/>
          <w:szCs w:val="36"/>
          <w:u w:val="single"/>
          <w:lang w:eastAsia="zh-CN"/>
        </w:rPr>
        <w:t>福州奇联汽车零部件有限公司年加工汽车座椅骨架10万套项目</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建设单位（盖章）：</w:t>
      </w:r>
      <w:r>
        <w:rPr>
          <w:rFonts w:hint="eastAsia" w:eastAsia="宋体" w:cs="Times New Roman"/>
          <w:color w:val="auto"/>
          <w:sz w:val="36"/>
          <w:szCs w:val="36"/>
          <w:u w:val="single"/>
          <w:lang w:val="en-US" w:eastAsia="zh-CN"/>
        </w:rPr>
        <w:t>福州奇联汽车零部件有限公司</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eastAsia"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eastAsia" w:ascii="Times New Roman" w:hAnsi="Times New Roman" w:eastAsia="宋体" w:cs="Times New Roman"/>
          <w:color w:val="auto"/>
          <w:sz w:val="36"/>
          <w:szCs w:val="36"/>
          <w:highlight w:val="none"/>
          <w:u w:val="single"/>
          <w:lang w:val="en-US" w:eastAsia="zh-CN"/>
        </w:rPr>
        <w:t xml:space="preserve">               2</w:t>
      </w:r>
      <w:r>
        <w:rPr>
          <w:rFonts w:hint="default" w:ascii="Times New Roman" w:hAnsi="Times New Roman" w:eastAsia="宋体" w:cs="Times New Roman"/>
          <w:color w:val="auto"/>
          <w:sz w:val="36"/>
          <w:szCs w:val="36"/>
          <w:highlight w:val="none"/>
          <w:u w:val="single"/>
          <w:lang w:val="en-US" w:eastAsia="zh-CN"/>
        </w:rPr>
        <w:t>0</w:t>
      </w:r>
      <w:r>
        <w:rPr>
          <w:rFonts w:hint="eastAsia" w:ascii="Times New Roman" w:hAnsi="Times New Roman" w:eastAsia="宋体" w:cs="Times New Roman"/>
          <w:color w:val="auto"/>
          <w:sz w:val="36"/>
          <w:szCs w:val="36"/>
          <w:highlight w:val="none"/>
          <w:u w:val="single"/>
          <w:lang w:val="en-US" w:eastAsia="zh-CN"/>
        </w:rPr>
        <w:t>25</w:t>
      </w:r>
      <w:r>
        <w:rPr>
          <w:rFonts w:hint="default" w:ascii="Times New Roman" w:hAnsi="Times New Roman" w:eastAsia="宋体" w:cs="Times New Roman"/>
          <w:color w:val="auto"/>
          <w:sz w:val="36"/>
          <w:szCs w:val="36"/>
          <w:highlight w:val="none"/>
          <w:u w:val="single"/>
          <w:lang w:val="en-US" w:eastAsia="zh-CN"/>
        </w:rPr>
        <w:t>年</w:t>
      </w:r>
      <w:r>
        <w:rPr>
          <w:rFonts w:hint="eastAsia" w:eastAsia="宋体" w:cs="Times New Roman"/>
          <w:color w:val="auto"/>
          <w:sz w:val="36"/>
          <w:szCs w:val="36"/>
          <w:highlight w:val="none"/>
          <w:u w:val="single"/>
          <w:lang w:val="en-US" w:eastAsia="zh-CN"/>
        </w:rPr>
        <w:t>7</w:t>
      </w:r>
      <w:r>
        <w:rPr>
          <w:rFonts w:hint="default" w:ascii="Times New Roman" w:hAnsi="Times New Roman" w:eastAsia="宋体" w:cs="Times New Roman"/>
          <w:color w:val="auto"/>
          <w:sz w:val="36"/>
          <w:szCs w:val="36"/>
          <w:highlight w:val="none"/>
          <w:u w:val="single"/>
          <w:lang w:val="en-US" w:eastAsia="zh-CN"/>
        </w:rPr>
        <w:t>月</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pStyle w:val="18"/>
        <w:rPr>
          <w:rFonts w:hint="default" w:ascii="Times New Roman" w:hAnsi="Times New Roman" w:eastAsia="宋体"/>
          <w:color w:val="auto"/>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0"/>
    <w:p>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pPr>
        <w:adjustRightInd w:val="0"/>
        <w:snapToGrid w:val="0"/>
        <w:spacing w:line="288" w:lineRule="auto"/>
        <w:jc w:val="both"/>
        <w:rPr>
          <w:rFonts w:hint="eastAsia" w:ascii="Times New Roman" w:hAnsi="Times New Roman" w:eastAsia="宋体" w:cs="Times New Roman"/>
          <w:color w:val="auto"/>
          <w:sz w:val="36"/>
          <w:szCs w:val="36"/>
          <w:lang w:eastAsia="zh-CN"/>
        </w:rPr>
      </w:pPr>
    </w:p>
    <w:p>
      <w:pPr>
        <w:pStyle w:val="21"/>
        <w:bidi w:val="0"/>
        <w:rPr>
          <w:rFonts w:hint="eastAsia"/>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rPr>
          <w:rFonts w:eastAsia="仿宋_GB2312"/>
          <w:color w:val="000000" w:themeColor="text1"/>
          <w:highlight w:val="none"/>
          <w14:textFill>
            <w14:solidFill>
              <w14:schemeClr w14:val="tx1"/>
            </w14:solidFill>
          </w14:textFill>
        </w:rPr>
      </w:pPr>
      <w:r>
        <w:rPr>
          <w:rFonts w:eastAsia="仿宋_GB2312"/>
          <w:color w:val="000000" w:themeColor="text1"/>
          <w:highlight w:val="none"/>
          <w14:textFill>
            <w14:solidFill>
              <w14:schemeClr w14:val="tx1"/>
            </w14:solidFill>
          </w14:textFill>
        </w:rPr>
        <w:br w:type="page"/>
      </w:r>
    </w:p>
    <w:p>
      <w:pPr>
        <w:rPr>
          <w:rFonts w:hint="eastAsia" w:ascii="楷体_GB2312" w:eastAsia="楷体_GB2312"/>
          <w:color w:val="000000" w:themeColor="text1"/>
          <w:sz w:val="36"/>
          <w:szCs w:val="36"/>
          <w:highlight w:val="none"/>
          <w:lang w:eastAsia="zh-CN"/>
          <w14:textFill>
            <w14:solidFill>
              <w14:schemeClr w14:val="tx1"/>
            </w14:solidFill>
          </w14:textFill>
        </w:rPr>
      </w:pPr>
    </w:p>
    <w:p>
      <w:pPr>
        <w:rPr>
          <w:rFonts w:hint="eastAsia" w:ascii="楷体_GB2312" w:eastAsia="楷体_GB2312"/>
          <w:color w:val="000000" w:themeColor="text1"/>
          <w:sz w:val="36"/>
          <w:szCs w:val="36"/>
          <w:highlight w:val="none"/>
          <w:lang w:eastAsia="zh-CN"/>
          <w14:textFill>
            <w14:solidFill>
              <w14:schemeClr w14:val="tx1"/>
            </w14:solidFill>
          </w14:textFill>
        </w:rPr>
      </w:pPr>
      <w:r>
        <w:rPr>
          <w:rFonts w:hint="eastAsia" w:ascii="楷体_GB2312" w:eastAsia="楷体_GB2312"/>
          <w:color w:val="000000" w:themeColor="text1"/>
          <w:sz w:val="36"/>
          <w:szCs w:val="36"/>
          <w:highlight w:val="none"/>
          <w:lang w:eastAsia="zh-CN"/>
          <w14:textFill>
            <w14:solidFill>
              <w14:schemeClr w14:val="tx1"/>
            </w14:solidFill>
          </w14:textFill>
        </w:rPr>
        <w:br w:type="page"/>
      </w:r>
    </w:p>
    <w:sdt>
      <w:sdtPr>
        <w:rPr>
          <w:rFonts w:ascii="宋体" w:hAnsi="宋体" w:eastAsia="宋体" w:cs="Times New Roman"/>
          <w:kern w:val="2"/>
          <w:sz w:val="21"/>
          <w:szCs w:val="24"/>
          <w:lang w:val="en-US" w:eastAsia="zh-CN" w:bidi="ar-SA"/>
        </w:rPr>
        <w:id w:val="147470745"/>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1" w:name="_Toc3548"/>
          <w:bookmarkStart w:id="2" w:name="_Toc15935"/>
          <w:bookmarkStart w:id="3" w:name="_Toc19820"/>
          <w:bookmarkStart w:id="4" w:name="_Toc26120"/>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26"/>
            <w:tabs>
              <w:tab w:val="right" w:leader="dot" w:pos="9071"/>
            </w:tabs>
          </w:pPr>
          <w:r>
            <w:fldChar w:fldCharType="begin"/>
          </w:r>
          <w:r>
            <w:instrText xml:space="preserve">TOC \o "1-1" \h \u </w:instrText>
          </w:r>
          <w:r>
            <w:fldChar w:fldCharType="separate"/>
          </w:r>
          <w:r>
            <w:fldChar w:fldCharType="begin"/>
          </w:r>
          <w:r>
            <w:instrText xml:space="preserve"> HYPERLINK \l _Toc5790 </w:instrText>
          </w:r>
          <w:r>
            <w:fldChar w:fldCharType="separate"/>
          </w:r>
          <w:r>
            <w:rPr>
              <w:rFonts w:hint="eastAsia" w:ascii="宋体" w:hAnsi="宋体" w:eastAsia="宋体" w:cs="宋体"/>
              <w:bCs/>
              <w:szCs w:val="32"/>
            </w:rPr>
            <w:t xml:space="preserve">一、 </w:t>
          </w:r>
          <w:r>
            <w:rPr>
              <w:rFonts w:hint="eastAsia" w:ascii="Times New Roman" w:hAnsi="Times New Roman" w:eastAsia="宋体" w:cs="Times New Roman"/>
              <w:highlight w:val="none"/>
            </w:rPr>
            <w:t>建设项目基本情况</w:t>
          </w:r>
          <w:r>
            <w:tab/>
          </w:r>
          <w:r>
            <w:fldChar w:fldCharType="begin"/>
          </w:r>
          <w:r>
            <w:instrText xml:space="preserve"> PAGEREF _Toc5790 \h </w:instrText>
          </w:r>
          <w:r>
            <w:fldChar w:fldCharType="separate"/>
          </w:r>
          <w:r>
            <w:t>1</w:t>
          </w:r>
          <w:r>
            <w:fldChar w:fldCharType="end"/>
          </w:r>
          <w:r>
            <w:fldChar w:fldCharType="end"/>
          </w:r>
        </w:p>
        <w:p>
          <w:pPr>
            <w:pStyle w:val="26"/>
            <w:tabs>
              <w:tab w:val="right" w:leader="dot" w:pos="9071"/>
            </w:tabs>
          </w:pPr>
          <w:r>
            <w:fldChar w:fldCharType="begin"/>
          </w:r>
          <w:r>
            <w:instrText xml:space="preserve"> HYPERLINK \l _Toc11244 </w:instrText>
          </w:r>
          <w:r>
            <w:fldChar w:fldCharType="separate"/>
          </w:r>
          <w:r>
            <w:rPr>
              <w:rFonts w:hint="eastAsia" w:ascii="宋体" w:hAnsi="宋体" w:eastAsia="宋体" w:cs="宋体"/>
              <w:bCs/>
              <w:szCs w:val="32"/>
            </w:rPr>
            <w:t xml:space="preserve">二、 </w:t>
          </w:r>
          <w:r>
            <w:rPr>
              <w:rFonts w:hint="eastAsia"/>
              <w:highlight w:val="none"/>
            </w:rPr>
            <w:t>建设项目工程分析</w:t>
          </w:r>
          <w:r>
            <w:tab/>
          </w:r>
          <w:r>
            <w:fldChar w:fldCharType="begin"/>
          </w:r>
          <w:r>
            <w:instrText xml:space="preserve"> PAGEREF _Toc11244 \h </w:instrText>
          </w:r>
          <w:r>
            <w:fldChar w:fldCharType="separate"/>
          </w:r>
          <w:r>
            <w:t>17</w:t>
          </w:r>
          <w:r>
            <w:fldChar w:fldCharType="end"/>
          </w:r>
          <w:r>
            <w:fldChar w:fldCharType="end"/>
          </w:r>
        </w:p>
        <w:p>
          <w:pPr>
            <w:pStyle w:val="26"/>
            <w:tabs>
              <w:tab w:val="right" w:leader="dot" w:pos="9071"/>
            </w:tabs>
          </w:pPr>
          <w:r>
            <w:fldChar w:fldCharType="begin"/>
          </w:r>
          <w:r>
            <w:instrText xml:space="preserve"> HYPERLINK \l _Toc18814 </w:instrText>
          </w:r>
          <w:r>
            <w:fldChar w:fldCharType="separate"/>
          </w:r>
          <w:r>
            <w:rPr>
              <w:rFonts w:hint="eastAsia" w:ascii="宋体" w:hAnsi="宋体" w:eastAsia="宋体" w:cs="宋体"/>
              <w:bCs/>
              <w:szCs w:val="32"/>
            </w:rPr>
            <w:t xml:space="preserve">三、 </w:t>
          </w:r>
          <w:r>
            <w:rPr>
              <w:rFonts w:hint="eastAsia"/>
              <w:highlight w:val="none"/>
            </w:rPr>
            <w:t>区域环境质量现状、环境保护目标及评价标准</w:t>
          </w:r>
          <w:r>
            <w:tab/>
          </w:r>
          <w:r>
            <w:fldChar w:fldCharType="begin"/>
          </w:r>
          <w:r>
            <w:instrText xml:space="preserve"> PAGEREF _Toc18814 \h </w:instrText>
          </w:r>
          <w:r>
            <w:fldChar w:fldCharType="separate"/>
          </w:r>
          <w:r>
            <w:t>33</w:t>
          </w:r>
          <w:r>
            <w:fldChar w:fldCharType="end"/>
          </w:r>
          <w:r>
            <w:fldChar w:fldCharType="end"/>
          </w:r>
        </w:p>
        <w:p>
          <w:pPr>
            <w:pStyle w:val="26"/>
            <w:tabs>
              <w:tab w:val="right" w:leader="dot" w:pos="9071"/>
            </w:tabs>
          </w:pPr>
          <w:r>
            <w:fldChar w:fldCharType="begin"/>
          </w:r>
          <w:r>
            <w:instrText xml:space="preserve"> HYPERLINK \l _Toc3141 </w:instrText>
          </w:r>
          <w:r>
            <w:fldChar w:fldCharType="separate"/>
          </w:r>
          <w:r>
            <w:rPr>
              <w:rFonts w:hint="eastAsia" w:ascii="宋体" w:hAnsi="宋体" w:eastAsia="宋体" w:cs="宋体"/>
              <w:bCs/>
              <w:szCs w:val="32"/>
            </w:rPr>
            <w:t xml:space="preserve">四、 </w:t>
          </w:r>
          <w:r>
            <w:rPr>
              <w:rFonts w:hint="eastAsia"/>
              <w:highlight w:val="none"/>
            </w:rPr>
            <w:t>主要环境影响和保护措施</w:t>
          </w:r>
          <w:r>
            <w:tab/>
          </w:r>
          <w:r>
            <w:fldChar w:fldCharType="begin"/>
          </w:r>
          <w:r>
            <w:instrText xml:space="preserve"> PAGEREF _Toc3141 \h </w:instrText>
          </w:r>
          <w:r>
            <w:fldChar w:fldCharType="separate"/>
          </w:r>
          <w:r>
            <w:t>42</w:t>
          </w:r>
          <w:r>
            <w:fldChar w:fldCharType="end"/>
          </w:r>
          <w:r>
            <w:fldChar w:fldCharType="end"/>
          </w:r>
        </w:p>
        <w:p>
          <w:pPr>
            <w:pStyle w:val="26"/>
            <w:tabs>
              <w:tab w:val="right" w:leader="dot" w:pos="9071"/>
            </w:tabs>
          </w:pPr>
          <w:r>
            <w:fldChar w:fldCharType="begin"/>
          </w:r>
          <w:r>
            <w:instrText xml:space="preserve"> HYPERLINK \l _Toc5548 </w:instrText>
          </w:r>
          <w:r>
            <w:fldChar w:fldCharType="separate"/>
          </w:r>
          <w:r>
            <w:rPr>
              <w:rFonts w:hint="eastAsia" w:ascii="宋体" w:hAnsi="宋体" w:eastAsia="宋体" w:cs="宋体"/>
              <w:bCs/>
              <w:szCs w:val="32"/>
            </w:rPr>
            <w:t xml:space="preserve">五、 </w:t>
          </w:r>
          <w:r>
            <w:rPr>
              <w:rFonts w:hint="eastAsia" w:eastAsia="宋体"/>
              <w:highlight w:val="none"/>
            </w:rPr>
            <w:t>环境保护措施监督检查清单</w:t>
          </w:r>
          <w:r>
            <w:tab/>
          </w:r>
          <w:r>
            <w:fldChar w:fldCharType="begin"/>
          </w:r>
          <w:r>
            <w:instrText xml:space="preserve"> PAGEREF _Toc5548 \h </w:instrText>
          </w:r>
          <w:r>
            <w:fldChar w:fldCharType="separate"/>
          </w:r>
          <w:r>
            <w:t>73</w:t>
          </w:r>
          <w:r>
            <w:fldChar w:fldCharType="end"/>
          </w:r>
          <w:r>
            <w:fldChar w:fldCharType="end"/>
          </w:r>
        </w:p>
        <w:p>
          <w:pPr>
            <w:pStyle w:val="26"/>
            <w:tabs>
              <w:tab w:val="right" w:leader="dot" w:pos="9071"/>
            </w:tabs>
          </w:pPr>
          <w:r>
            <w:fldChar w:fldCharType="begin"/>
          </w:r>
          <w:r>
            <w:instrText xml:space="preserve"> HYPERLINK \l _Toc22445 </w:instrText>
          </w:r>
          <w:r>
            <w:fldChar w:fldCharType="separate"/>
          </w:r>
          <w:r>
            <w:rPr>
              <w:rFonts w:hint="eastAsia" w:ascii="宋体" w:hAnsi="宋体" w:eastAsia="宋体" w:cs="宋体"/>
              <w:bCs/>
              <w:szCs w:val="32"/>
            </w:rPr>
            <w:t xml:space="preserve">六、 </w:t>
          </w:r>
          <w:r>
            <w:rPr>
              <w:rFonts w:hint="eastAsia" w:ascii="Times New Roman" w:hAnsi="Times New Roman" w:eastAsia="宋体"/>
              <w:highlight w:val="none"/>
            </w:rPr>
            <w:t>结论</w:t>
          </w:r>
          <w:r>
            <w:tab/>
          </w:r>
          <w:r>
            <w:fldChar w:fldCharType="begin"/>
          </w:r>
          <w:r>
            <w:instrText xml:space="preserve"> PAGEREF _Toc22445 \h </w:instrText>
          </w:r>
          <w:r>
            <w:fldChar w:fldCharType="separate"/>
          </w:r>
          <w:r>
            <w:t>75</w:t>
          </w:r>
          <w:r>
            <w:fldChar w:fldCharType="end"/>
          </w:r>
          <w:r>
            <w:fldChar w:fldCharType="end"/>
          </w:r>
        </w:p>
        <w:p>
          <w:pPr>
            <w:pStyle w:val="26"/>
            <w:tabs>
              <w:tab w:val="right" w:leader="dot" w:pos="9071"/>
            </w:tabs>
          </w:pPr>
          <w:r>
            <w:fldChar w:fldCharType="begin"/>
          </w:r>
          <w:r>
            <w:instrText xml:space="preserve"> HYPERLINK \l _Toc15545 </w:instrText>
          </w:r>
          <w:r>
            <w:fldChar w:fldCharType="separate"/>
          </w:r>
          <w:r>
            <w:rPr>
              <w:rFonts w:hint="eastAsia" w:ascii="黑体" w:hAnsi="黑体" w:eastAsia="黑体"/>
              <w:snapToGrid w:val="0"/>
              <w:szCs w:val="32"/>
              <w:highlight w:val="none"/>
            </w:rPr>
            <w:t>附表</w:t>
          </w:r>
          <w:r>
            <w:tab/>
          </w:r>
          <w:r>
            <w:fldChar w:fldCharType="begin"/>
          </w:r>
          <w:r>
            <w:instrText xml:space="preserve"> PAGEREF _Toc15545 \h </w:instrText>
          </w:r>
          <w:r>
            <w:fldChar w:fldCharType="separate"/>
          </w:r>
          <w:r>
            <w:t>76</w:t>
          </w:r>
          <w:r>
            <w:fldChar w:fldCharType="end"/>
          </w:r>
          <w:r>
            <w:fldChar w:fldCharType="end"/>
          </w:r>
        </w:p>
        <w:p>
          <w:pPr>
            <w:pStyle w:val="26"/>
            <w:tabs>
              <w:tab w:val="right" w:leader="dot" w:pos="9071"/>
            </w:tabs>
          </w:pPr>
          <w:r>
            <w:fldChar w:fldCharType="begin"/>
          </w:r>
          <w:r>
            <w:instrText xml:space="preserve"> HYPERLINK \l _Toc31577 </w:instrText>
          </w:r>
          <w:r>
            <w:fldChar w:fldCharType="separate"/>
          </w:r>
          <w:r>
            <w:rPr>
              <w:rFonts w:hint="eastAsia" w:ascii="方正小标宋_GBK" w:hAnsi="黑体" w:eastAsia="方正小标宋_GBK"/>
              <w:snapToGrid w:val="0"/>
              <w:szCs w:val="32"/>
              <w:highlight w:val="none"/>
            </w:rPr>
            <w:t>建设项目</w:t>
          </w:r>
          <w:r>
            <w:rPr>
              <w:rFonts w:hint="eastAsia" w:ascii="方正小标宋_GBK" w:hAnsi="黑体" w:eastAsia="方正小标宋_GBK"/>
              <w:bCs w:val="0"/>
              <w:snapToGrid w:val="0"/>
              <w:szCs w:val="32"/>
              <w:highlight w:val="none"/>
            </w:rPr>
            <w:t>污染物排放量汇总</w:t>
          </w:r>
          <w:r>
            <w:rPr>
              <w:rFonts w:hint="eastAsia" w:ascii="方正小标宋_GBK" w:hAnsi="黑体" w:eastAsia="方正小标宋_GBK"/>
              <w:snapToGrid w:val="0"/>
              <w:szCs w:val="32"/>
              <w:highlight w:val="none"/>
            </w:rPr>
            <w:t>表</w:t>
          </w:r>
          <w:r>
            <w:tab/>
          </w:r>
          <w:r>
            <w:fldChar w:fldCharType="begin"/>
          </w:r>
          <w:r>
            <w:instrText xml:space="preserve"> PAGEREF _Toc31577 \h </w:instrText>
          </w:r>
          <w:r>
            <w:fldChar w:fldCharType="separate"/>
          </w:r>
          <w:r>
            <w:t>76</w:t>
          </w:r>
          <w:r>
            <w:fldChar w:fldCharType="end"/>
          </w:r>
          <w:r>
            <w:fldChar w:fldCharType="end"/>
          </w:r>
        </w:p>
        <w:p>
          <w:pPr>
            <w:pStyle w:val="26"/>
            <w:tabs>
              <w:tab w:val="right" w:leader="dot" w:pos="9071"/>
            </w:tabs>
          </w:pPr>
        </w:p>
        <w:p>
          <w:pPr>
            <w:rPr>
              <w:rFonts w:ascii="宋体" w:hAnsi="宋体" w:eastAsia="宋体" w:cs="Times New Roman"/>
              <w:kern w:val="2"/>
              <w:sz w:val="21"/>
              <w:szCs w:val="24"/>
              <w:lang w:val="en-US" w:eastAsia="zh-CN" w:bidi="ar-SA"/>
            </w:rPr>
            <w:sectPr>
              <w:headerReference r:id="rId4" w:type="default"/>
              <w:footerReference r:id="rId5"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r>
            <w:fldChar w:fldCharType="end"/>
          </w:r>
        </w:p>
      </w:sdtContent>
    </w:sdt>
    <w:p>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000000" w:themeColor="text1"/>
          <w:highlight w:val="none"/>
          <w14:textFill>
            <w14:solidFill>
              <w14:schemeClr w14:val="tx1"/>
            </w14:solidFill>
          </w14:textFill>
        </w:rPr>
      </w:pPr>
      <w:bookmarkStart w:id="5" w:name="_Toc5790"/>
      <w:r>
        <w:rPr>
          <w:rFonts w:hint="eastAsia" w:ascii="Times New Roman" w:hAnsi="Times New Roman" w:eastAsia="宋体" w:cs="Times New Roman"/>
          <w:b/>
          <w:color w:val="000000" w:themeColor="text1"/>
          <w:highlight w:val="none"/>
          <w14:textFill>
            <w14:solidFill>
              <w14:schemeClr w14:val="tx1"/>
            </w14:solidFill>
          </w14:textFill>
        </w:rPr>
        <w:t>建设项目基本情况</w:t>
      </w:r>
      <w:bookmarkEnd w:id="1"/>
      <w:bookmarkEnd w:id="2"/>
      <w:bookmarkEnd w:id="3"/>
      <w:bookmarkEnd w:id="4"/>
      <w:bookmarkEnd w:id="5"/>
    </w:p>
    <w:tbl>
      <w:tblPr>
        <w:tblStyle w:val="3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1"/>
        <w:gridCol w:w="2808"/>
        <w:gridCol w:w="1711"/>
        <w:gridCol w:w="2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7239" w:type="dxa"/>
            <w:gridSpan w:val="3"/>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bookmarkStart w:id="86" w:name="_GoBack"/>
            <w:r>
              <w:rPr>
                <w:rFonts w:hint="eastAsia"/>
                <w:color w:val="000000" w:themeColor="text1"/>
                <w:szCs w:val="21"/>
                <w:highlight w:val="none"/>
                <w:lang w:eastAsia="zh-CN"/>
                <w14:textFill>
                  <w14:solidFill>
                    <w14:schemeClr w14:val="tx1"/>
                  </w14:solidFill>
                </w14:textFill>
              </w:rPr>
              <w:t>福州奇联汽车零部件有限公司年加工汽车座椅骨架10万套项目</w:t>
            </w:r>
            <w:bookmarkEnd w:id="8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项目代码</w:t>
            </w:r>
          </w:p>
        </w:tc>
        <w:tc>
          <w:tcPr>
            <w:tcW w:w="7239" w:type="dxa"/>
            <w:gridSpan w:val="3"/>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shd w:val="clear"/>
                <w:lang w:val="en-US" w:eastAsia="zh-CN"/>
                <w14:textFill>
                  <w14:solidFill>
                    <w14:schemeClr w14:val="tx1"/>
                  </w14:solidFill>
                </w14:textFill>
              </w:rPr>
              <w:t>2507-350181-04-01-203769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建设单位联系人</w:t>
            </w:r>
          </w:p>
        </w:tc>
        <w:tc>
          <w:tcPr>
            <w:tcW w:w="2808"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陈</w:t>
            </w:r>
            <w:r>
              <w:rPr>
                <w:rFonts w:hint="eastAsia"/>
                <w:color w:val="000000" w:themeColor="text1"/>
                <w:szCs w:val="21"/>
                <w:highlight w:val="none"/>
                <w:lang w:val="en-US" w:eastAsia="zh-CN"/>
                <w14:textFill>
                  <w14:solidFill>
                    <w14:schemeClr w14:val="tx1"/>
                  </w14:solidFill>
                </w14:textFill>
              </w:rPr>
              <w:t>**</w:t>
            </w:r>
          </w:p>
        </w:tc>
        <w:tc>
          <w:tcPr>
            <w:tcW w:w="1711"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联系方式</w:t>
            </w:r>
          </w:p>
        </w:tc>
        <w:tc>
          <w:tcPr>
            <w:tcW w:w="272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shd w:val="clear"/>
                <w14:textFill>
                  <w14:solidFill>
                    <w14:schemeClr w14:val="tx1"/>
                  </w14:solidFill>
                </w14:textFill>
              </w:rPr>
              <w:t>137</w:t>
            </w:r>
            <w:r>
              <w:rPr>
                <w:rFonts w:hint="eastAsia"/>
                <w:color w:val="000000" w:themeColor="text1"/>
                <w:szCs w:val="21"/>
                <w:highlight w:val="none"/>
                <w:shd w:val="clear"/>
                <w:lang w:val="en-US" w:eastAsia="zh-CN"/>
                <w14:textFill>
                  <w14:solidFill>
                    <w14:schemeClr w14:val="tx1"/>
                  </w14:solidFill>
                </w14:textFill>
              </w:rPr>
              <w:t>*****</w:t>
            </w:r>
            <w:r>
              <w:rPr>
                <w:rFonts w:hint="eastAsia"/>
                <w:color w:val="000000" w:themeColor="text1"/>
                <w:szCs w:val="21"/>
                <w:highlight w:val="none"/>
                <w:shd w:val="clear"/>
                <w14:textFill>
                  <w14:solidFill>
                    <w14:schemeClr w14:val="tx1"/>
                  </w14:solidFill>
                </w14:textFill>
              </w:rPr>
              <w:t>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7239" w:type="dxa"/>
            <w:gridSpan w:val="3"/>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福建省</w:t>
            </w:r>
            <w:r>
              <w:rPr>
                <w:rFonts w:hint="eastAsia"/>
                <w:color w:val="000000" w:themeColor="text1"/>
                <w:szCs w:val="21"/>
                <w:highlight w:val="none"/>
                <w:lang w:val="en-US" w:eastAsia="zh-CN"/>
                <w14:textFill>
                  <w14:solidFill>
                    <w14:schemeClr w14:val="tx1"/>
                  </w14:solidFill>
                </w14:textFill>
              </w:rPr>
              <w:t>福州市</w:t>
            </w:r>
            <w:r>
              <w:rPr>
                <w:rFonts w:hint="eastAsia"/>
                <w:color w:val="000000" w:themeColor="text1"/>
                <w:szCs w:val="21"/>
                <w:highlight w:val="none"/>
                <w:lang w:eastAsia="zh-CN"/>
                <w14:textFill>
                  <w14:solidFill>
                    <w14:schemeClr w14:val="tx1"/>
                  </w14:solidFill>
                </w14:textFill>
              </w:rPr>
              <w:t>福清市镜洋镇过洋39号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7239" w:type="dxa"/>
            <w:gridSpan w:val="3"/>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u w:val="single"/>
                <w:lang w:val="en-US" w:eastAsia="zh-CN"/>
                <w14:textFill>
                  <w14:solidFill>
                    <w14:schemeClr w14:val="tx1"/>
                  </w14:solidFill>
                </w14:textFill>
              </w:rPr>
              <w:t>119</w:t>
            </w:r>
            <w:r>
              <w:rPr>
                <w:color w:val="000000" w:themeColor="text1"/>
                <w:szCs w:val="21"/>
                <w:highlight w:val="none"/>
                <w14:textFill>
                  <w14:solidFill>
                    <w14:schemeClr w14:val="tx1"/>
                  </w14:solidFill>
                </w14:textFill>
              </w:rPr>
              <w:t>度</w:t>
            </w:r>
            <w:r>
              <w:rPr>
                <w:rFonts w:hint="eastAsia"/>
                <w:color w:val="000000" w:themeColor="text1"/>
                <w:szCs w:val="21"/>
                <w:highlight w:val="none"/>
                <w:lang w:val="en-US" w:eastAsia="zh-CN"/>
                <w14:textFill>
                  <w14:solidFill>
                    <w14:schemeClr w14:val="tx1"/>
                  </w14:solidFill>
                </w14:textFill>
              </w:rPr>
              <w:t>1</w:t>
            </w:r>
            <w:r>
              <w:rPr>
                <w:rFonts w:hint="eastAsia"/>
                <w:color w:val="000000" w:themeColor="text1"/>
                <w:szCs w:val="21"/>
                <w:highlight w:val="none"/>
                <w:u w:val="single"/>
                <w:lang w:val="en-US" w:eastAsia="zh-CN"/>
                <w14:textFill>
                  <w14:solidFill>
                    <w14:schemeClr w14:val="tx1"/>
                  </w14:solidFill>
                </w14:textFill>
              </w:rPr>
              <w:t>7</w:t>
            </w:r>
            <w:r>
              <w:rPr>
                <w:color w:val="000000" w:themeColor="text1"/>
                <w:szCs w:val="21"/>
                <w:highlight w:val="none"/>
                <w14:textFill>
                  <w14:solidFill>
                    <w14:schemeClr w14:val="tx1"/>
                  </w14:solidFill>
                </w14:textFill>
              </w:rPr>
              <w:t>分</w:t>
            </w:r>
            <w:r>
              <w:rPr>
                <w:rFonts w:hint="eastAsia"/>
                <w:color w:val="000000" w:themeColor="text1"/>
                <w:szCs w:val="21"/>
                <w:highlight w:val="none"/>
                <w:u w:val="single"/>
                <w:lang w:val="en-US" w:eastAsia="zh-CN"/>
                <w14:textFill>
                  <w14:solidFill>
                    <w14:schemeClr w14:val="tx1"/>
                  </w14:solidFill>
                </w14:textFill>
              </w:rPr>
              <w:t>36.9942</w:t>
            </w:r>
            <w:r>
              <w:rPr>
                <w:color w:val="000000" w:themeColor="text1"/>
                <w:szCs w:val="21"/>
                <w:highlight w:val="none"/>
                <w14:textFill>
                  <w14:solidFill>
                    <w14:schemeClr w14:val="tx1"/>
                  </w14:solidFill>
                </w14:textFill>
              </w:rPr>
              <w:t>秒，</w:t>
            </w:r>
            <w:r>
              <w:rPr>
                <w:rFonts w:hint="eastAsia"/>
                <w:color w:val="000000" w:themeColor="text1"/>
                <w:szCs w:val="21"/>
                <w:highlight w:val="none"/>
                <w:u w:val="single"/>
                <w:lang w:val="en-US" w:eastAsia="zh-CN"/>
                <w14:textFill>
                  <w14:solidFill>
                    <w14:schemeClr w14:val="tx1"/>
                  </w14:solidFill>
                </w14:textFill>
              </w:rPr>
              <w:t>25</w:t>
            </w:r>
            <w:r>
              <w:rPr>
                <w:color w:val="000000" w:themeColor="text1"/>
                <w:szCs w:val="21"/>
                <w:highlight w:val="none"/>
                <w14:textFill>
                  <w14:solidFill>
                    <w14:schemeClr w14:val="tx1"/>
                  </w14:solidFill>
                </w14:textFill>
              </w:rPr>
              <w:t>度</w:t>
            </w:r>
            <w:r>
              <w:rPr>
                <w:rFonts w:hint="eastAsia"/>
                <w:color w:val="000000" w:themeColor="text1"/>
                <w:szCs w:val="21"/>
                <w:highlight w:val="none"/>
                <w:lang w:val="en-US" w:eastAsia="zh-CN"/>
                <w14:textFill>
                  <w14:solidFill>
                    <w14:schemeClr w14:val="tx1"/>
                  </w14:solidFill>
                </w14:textFill>
              </w:rPr>
              <w:t>4</w:t>
            </w:r>
            <w:r>
              <w:rPr>
                <w:rFonts w:hint="eastAsia"/>
                <w:color w:val="000000" w:themeColor="text1"/>
                <w:szCs w:val="21"/>
                <w:highlight w:val="none"/>
                <w:u w:val="single"/>
                <w:lang w:val="en-US" w:eastAsia="zh-CN"/>
                <w14:textFill>
                  <w14:solidFill>
                    <w14:schemeClr w14:val="tx1"/>
                  </w14:solidFill>
                </w14:textFill>
              </w:rPr>
              <w:t>8</w:t>
            </w:r>
            <w:r>
              <w:rPr>
                <w:color w:val="000000" w:themeColor="text1"/>
                <w:szCs w:val="21"/>
                <w:highlight w:val="none"/>
                <w14:textFill>
                  <w14:solidFill>
                    <w14:schemeClr w14:val="tx1"/>
                  </w14:solidFill>
                </w14:textFill>
              </w:rPr>
              <w:t>分</w:t>
            </w:r>
            <w:r>
              <w:rPr>
                <w:rFonts w:hint="eastAsia"/>
                <w:color w:val="000000" w:themeColor="text1"/>
                <w:szCs w:val="21"/>
                <w:highlight w:val="none"/>
                <w:u w:val="single"/>
                <w:lang w:val="en-US" w:eastAsia="zh-CN"/>
                <w14:textFill>
                  <w14:solidFill>
                    <w14:schemeClr w14:val="tx1"/>
                  </w14:solidFill>
                </w14:textFill>
              </w:rPr>
              <w:t>23.2897</w:t>
            </w:r>
            <w:r>
              <w:rPr>
                <w:color w:val="000000" w:themeColor="text1"/>
                <w:szCs w:val="21"/>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国民经济</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p>
        </w:tc>
        <w:tc>
          <w:tcPr>
            <w:tcW w:w="2808" w:type="dxa"/>
            <w:vAlign w:val="center"/>
          </w:tcPr>
          <w:p>
            <w:pPr>
              <w:pStyle w:val="44"/>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C3670汽车零部件及配件制造</w:t>
            </w:r>
          </w:p>
        </w:tc>
        <w:tc>
          <w:tcPr>
            <w:tcW w:w="1711" w:type="dxa"/>
            <w:vAlign w:val="center"/>
          </w:tcPr>
          <w:p>
            <w:pPr>
              <w:adjustRightInd w:val="0"/>
              <w:snapToGrid w:val="0"/>
              <w:jc w:val="center"/>
              <w:rPr>
                <w:color w:val="000000" w:themeColor="text1"/>
                <w:szCs w:val="21"/>
                <w:highlight w:val="none"/>
                <w14:textFill>
                  <w14:solidFill>
                    <w14:schemeClr w14:val="tx1"/>
                  </w14:solidFill>
                </w14:textFill>
              </w:rPr>
            </w:pPr>
            <w:bookmarkStart w:id="6" w:name="_Hlk49843745"/>
            <w:r>
              <w:rPr>
                <w:color w:val="000000" w:themeColor="text1"/>
                <w:szCs w:val="21"/>
                <w:highlight w:val="none"/>
                <w14:textFill>
                  <w14:solidFill>
                    <w14:schemeClr w14:val="tx1"/>
                  </w14:solidFill>
                </w14:textFill>
              </w:rPr>
              <w:t>建设项目</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行业类别</w:t>
            </w:r>
            <w:bookmarkEnd w:id="6"/>
          </w:p>
        </w:tc>
        <w:tc>
          <w:tcPr>
            <w:tcW w:w="2720" w:type="dxa"/>
            <w:vAlign w:val="center"/>
          </w:tcPr>
          <w:p>
            <w:pPr>
              <w:pStyle w:val="44"/>
              <w:spacing w:line="240" w:lineRule="auto"/>
              <w:ind w:firstLine="0" w:firstLineChars="0"/>
              <w:rPr>
                <w:rFonts w:hint="default"/>
                <w:color w:val="000000" w:themeColor="text1"/>
                <w:sz w:val="21"/>
                <w:szCs w:val="21"/>
                <w:highlight w:val="none"/>
                <w:lang w:val="en-US"/>
                <w14:textFill>
                  <w14:solidFill>
                    <w14:schemeClr w14:val="tx1"/>
                  </w14:solidFill>
                </w14:textFill>
              </w:rPr>
            </w:pPr>
            <w:r>
              <w:rPr>
                <w:rFonts w:hint="default"/>
                <w:color w:val="000000" w:themeColor="text1"/>
                <w:sz w:val="21"/>
                <w:szCs w:val="21"/>
                <w:highlight w:val="none"/>
                <w:lang w:val="en-US"/>
                <w14:textFill>
                  <w14:solidFill>
                    <w14:schemeClr w14:val="tx1"/>
                  </w14:solidFill>
                </w14:textFill>
              </w:rPr>
              <w:t>三十三、汽车制造业36——71、汽车零部件及配件制造367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建设性质</w:t>
            </w:r>
          </w:p>
        </w:tc>
        <w:tc>
          <w:tcPr>
            <w:tcW w:w="2808" w:type="dxa"/>
            <w:vAlign w:val="center"/>
          </w:tcPr>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新建（迁建）</w:t>
            </w:r>
          </w:p>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改建</w:t>
            </w:r>
          </w:p>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扩建</w:t>
            </w:r>
          </w:p>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技术改造</w:t>
            </w:r>
          </w:p>
        </w:tc>
        <w:tc>
          <w:tcPr>
            <w:tcW w:w="1711"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建设项目</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申报情形</w:t>
            </w:r>
          </w:p>
        </w:tc>
        <w:tc>
          <w:tcPr>
            <w:tcW w:w="2720" w:type="dxa"/>
            <w:vAlign w:val="center"/>
          </w:tcPr>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 xml:space="preserve">首次申报项目             </w:t>
            </w:r>
          </w:p>
          <w:p>
            <w:pPr>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不予批准后再次申报项目</w:t>
            </w:r>
          </w:p>
          <w:p>
            <w:pPr>
              <w:jc w:val="left"/>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 xml:space="preserve">超五年重新审核项目     </w:t>
            </w:r>
          </w:p>
          <w:p>
            <w:pPr>
              <w:jc w:val="left"/>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备案）部门（选填）</w:t>
            </w:r>
          </w:p>
        </w:tc>
        <w:tc>
          <w:tcPr>
            <w:tcW w:w="2808" w:type="dxa"/>
            <w:vAlign w:val="center"/>
          </w:tcPr>
          <w:p>
            <w:pPr>
              <w:pStyle w:val="44"/>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 w:val="21"/>
                <w:szCs w:val="21"/>
                <w:highlight w:val="none"/>
                <w:shd w:val="clear"/>
                <w:lang w:val="en-US" w:eastAsia="zh-CN"/>
                <w14:textFill>
                  <w14:solidFill>
                    <w14:schemeClr w14:val="tx1"/>
                  </w14:solidFill>
                </w14:textFill>
              </w:rPr>
              <w:t>福清市发展和改革局</w:t>
            </w:r>
          </w:p>
        </w:tc>
        <w:tc>
          <w:tcPr>
            <w:tcW w:w="1711"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项目审批（核准/</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备案）文号（选填）</w:t>
            </w:r>
          </w:p>
        </w:tc>
        <w:tc>
          <w:tcPr>
            <w:tcW w:w="2720" w:type="dxa"/>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shd w:val="clear"/>
                <w:lang w:eastAsia="zh-CN"/>
                <w14:textFill>
                  <w14:solidFill>
                    <w14:schemeClr w14:val="tx1"/>
                  </w14:solidFill>
                </w14:textFill>
              </w:rPr>
              <w:t>闽发改备[2025]A060240号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总投资（万元）</w:t>
            </w:r>
          </w:p>
        </w:tc>
        <w:tc>
          <w:tcPr>
            <w:tcW w:w="2808"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shd w:val="clear"/>
                <w:lang w:val="en-US" w:eastAsia="zh-CN"/>
                <w14:textFill>
                  <w14:solidFill>
                    <w14:schemeClr w14:val="tx1"/>
                  </w14:solidFill>
                </w14:textFill>
              </w:rPr>
              <w:t>900</w:t>
            </w:r>
          </w:p>
        </w:tc>
        <w:tc>
          <w:tcPr>
            <w:tcW w:w="171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环保投资（万元）</w:t>
            </w:r>
          </w:p>
        </w:tc>
        <w:tc>
          <w:tcPr>
            <w:tcW w:w="2720" w:type="dxa"/>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shd w:val="clear"/>
                <w:lang w:val="en-US" w:eastAsia="zh-CN"/>
                <w14:textFill>
                  <w14:solidFill>
                    <w14:schemeClr w14:val="tx1"/>
                  </w14:solidFill>
                </w14:textFill>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环保投资占比（%）</w:t>
            </w:r>
          </w:p>
        </w:tc>
        <w:tc>
          <w:tcPr>
            <w:tcW w:w="2808" w:type="dxa"/>
            <w:vAlign w:val="center"/>
          </w:tcPr>
          <w:p>
            <w:pPr>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shd w:val="clear"/>
                <w:lang w:val="en-US" w:eastAsia="zh-CN"/>
                <w14:textFill>
                  <w14:solidFill>
                    <w14:schemeClr w14:val="tx1"/>
                  </w14:solidFill>
                </w14:textFill>
              </w:rPr>
              <w:t>10.55%</w:t>
            </w:r>
          </w:p>
        </w:tc>
        <w:tc>
          <w:tcPr>
            <w:tcW w:w="171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施工工期</w:t>
            </w:r>
          </w:p>
        </w:tc>
        <w:tc>
          <w:tcPr>
            <w:tcW w:w="272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r>
              <w:rPr>
                <w:color w:val="000000" w:themeColor="text1"/>
                <w:szCs w:val="21"/>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1" w:type="dxa"/>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是否开工建设</w:t>
            </w:r>
          </w:p>
        </w:tc>
        <w:tc>
          <w:tcPr>
            <w:tcW w:w="2808" w:type="dxa"/>
            <w:vAlign w:val="center"/>
          </w:tcPr>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52"/>
            </w:r>
            <w:r>
              <w:rPr>
                <w:color w:val="000000" w:themeColor="text1"/>
                <w:szCs w:val="21"/>
                <w:highlight w:val="none"/>
                <w14:textFill>
                  <w14:solidFill>
                    <w14:schemeClr w14:val="tx1"/>
                  </w14:solidFill>
                </w14:textFill>
              </w:rPr>
              <w:t>否</w:t>
            </w:r>
          </w:p>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sym w:font="Wingdings 2" w:char="00A3"/>
            </w:r>
            <w:r>
              <w:rPr>
                <w:color w:val="000000" w:themeColor="text1"/>
                <w:szCs w:val="21"/>
                <w:highlight w:val="none"/>
                <w14:textFill>
                  <w14:solidFill>
                    <w14:schemeClr w14:val="tx1"/>
                  </w14:solidFill>
                </w14:textFill>
              </w:rPr>
              <w:t>是：</w:t>
            </w:r>
            <w:r>
              <w:rPr>
                <w:rFonts w:hint="eastAsia"/>
                <w:color w:val="000000" w:themeColor="text1"/>
                <w:szCs w:val="21"/>
                <w:highlight w:val="none"/>
                <w:u w:val="single"/>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   </w:t>
            </w:r>
          </w:p>
        </w:tc>
        <w:tc>
          <w:tcPr>
            <w:tcW w:w="1711" w:type="dxa"/>
            <w:tcMar>
              <w:top w:w="16" w:type="dxa"/>
              <w:left w:w="16" w:type="dxa"/>
              <w:right w:w="16" w:type="dxa"/>
            </w:tcMar>
            <w:vAlign w:val="center"/>
          </w:tcPr>
          <w:p>
            <w:pPr>
              <w:adjustRightInd w:val="0"/>
              <w:snapToGrid w:val="0"/>
              <w:jc w:val="center"/>
              <w:rPr>
                <w:color w:val="000000" w:themeColor="text1"/>
                <w:spacing w:val="-6"/>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用地（用海）</w:t>
            </w:r>
          </w:p>
          <w:p>
            <w:pPr>
              <w:adjustRightInd w:val="0"/>
              <w:snapToGrid w:val="0"/>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面积（m</w:t>
            </w:r>
            <w:r>
              <w:rPr>
                <w:color w:val="000000" w:themeColor="text1"/>
                <w:spacing w:val="-6"/>
                <w:szCs w:val="21"/>
                <w:highlight w:val="none"/>
                <w:vertAlign w:val="superscript"/>
                <w14:textFill>
                  <w14:solidFill>
                    <w14:schemeClr w14:val="tx1"/>
                  </w14:solidFill>
                </w14:textFill>
              </w:rPr>
              <w:t>2</w:t>
            </w:r>
            <w:r>
              <w:rPr>
                <w:color w:val="000000" w:themeColor="text1"/>
                <w:spacing w:val="-6"/>
                <w:szCs w:val="21"/>
                <w:highlight w:val="none"/>
                <w14:textFill>
                  <w14:solidFill>
                    <w14:schemeClr w14:val="tx1"/>
                  </w14:solidFill>
                </w14:textFill>
              </w:rPr>
              <w:t>）</w:t>
            </w:r>
          </w:p>
        </w:tc>
        <w:tc>
          <w:tcPr>
            <w:tcW w:w="2720" w:type="dxa"/>
            <w:vAlign w:val="center"/>
          </w:tcPr>
          <w:p>
            <w:pPr>
              <w:adjustRightInd w:val="0"/>
              <w:snapToGrid w:val="0"/>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shd w:val="clear"/>
                <w:lang w:val="en-US" w:eastAsia="zh-CN"/>
                <w14:textFill>
                  <w14:solidFill>
                    <w14:schemeClr w14:val="tx1"/>
                  </w14:solidFill>
                </w14:textFill>
              </w:rPr>
              <w:t>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631" w:type="dxa"/>
            <w:vAlign w:val="center"/>
          </w:tcPr>
          <w:p>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专项评价设置情况</w:t>
            </w:r>
          </w:p>
        </w:tc>
        <w:tc>
          <w:tcPr>
            <w:tcW w:w="7239"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对照《建设项目环境影响报告表编制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技术</w:t>
            </w:r>
            <w:r>
              <w:rPr>
                <w:rFonts w:hint="default" w:ascii="Times New Roman" w:hAnsi="Times New Roman" w:eastAsia="宋体" w:cs="Times New Roman"/>
                <w:color w:val="000000" w:themeColor="text1"/>
                <w:sz w:val="24"/>
                <w:szCs w:val="24"/>
                <w:highlight w:val="none"/>
                <w14:textFill>
                  <w14:solidFill>
                    <w14:schemeClr w14:val="tx1"/>
                  </w14:solidFill>
                </w14:textFill>
              </w:rPr>
              <w:t>指南——污染影响类》专题评价设置原则表，本项目专题评价设置情况判定如下：</w:t>
            </w:r>
          </w:p>
          <w:p>
            <w:pPr>
              <w:pStyle w:val="42"/>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专项评价设置原则表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63"/>
              <w:gridCol w:w="3235"/>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0" w:hRule="atLeas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专项评价类别</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设置原则</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项目情况</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9" w:hRule="atLeas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排放废气含有毒有害污染物、二噁英、苯并芘、氰化物、氯气，且厂界外500米范围内有环境空气保护目标的项目</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本项目排放废气</w:t>
                  </w:r>
                  <w:r>
                    <w:rPr>
                      <w:rFonts w:hint="eastAsia"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含有毒有害污染物</w:t>
                  </w:r>
                  <w:r>
                    <w:rPr>
                      <w:rFonts w:hint="eastAsia" w:cs="Times New Roman"/>
                      <w:color w:val="000000" w:themeColor="text1"/>
                      <w:sz w:val="21"/>
                      <w:szCs w:val="21"/>
                      <w:highlight w:val="none"/>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厂界外500米范围内</w:t>
                  </w:r>
                  <w:r>
                    <w:rPr>
                      <w:rFonts w:hint="eastAsia" w:cs="Times New Roman"/>
                      <w:color w:val="000000" w:themeColor="text1"/>
                      <w:sz w:val="21"/>
                      <w:szCs w:val="21"/>
                      <w:highlight w:val="none"/>
                      <w:lang w:val="en-US" w:eastAsia="zh-CN"/>
                      <w14:textFill>
                        <w14:solidFill>
                          <w14:schemeClr w14:val="tx1"/>
                        </w14:solidFill>
                      </w14:textFill>
                    </w:rPr>
                    <w:t>没有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环境空气保护目标。根据建设单位提供的涂料、胶粘剂MSDS可知，项目使用的涂料、胶粘剂均不含甲醛成分，根据项目</w:t>
                  </w:r>
                  <w:r>
                    <w:rPr>
                      <w:rFonts w:hint="eastAsia" w:cs="Times New Roman"/>
                      <w:color w:val="000000" w:themeColor="text1"/>
                      <w:sz w:val="21"/>
                      <w:szCs w:val="21"/>
                      <w:highlight w:val="none"/>
                      <w:lang w:val="en-US" w:eastAsia="zh-CN"/>
                      <w14:textFill>
                        <w14:solidFill>
                          <w14:schemeClr w14:val="tx1"/>
                        </w14:solidFill>
                      </w14:textFill>
                    </w:rPr>
                    <w:t>电泳涂料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VOCs含量检测报告可知，甲醛含量为未检出，因此，本评价不考虑涂料、胶粘剂的甲醛成分；另外项目外购</w:t>
                  </w:r>
                  <w:r>
                    <w:rPr>
                      <w:rFonts w:hint="eastAsia" w:cs="Times New Roman"/>
                      <w:color w:val="000000" w:themeColor="text1"/>
                      <w:sz w:val="21"/>
                      <w:szCs w:val="21"/>
                      <w:highlight w:val="none"/>
                      <w:lang w:val="en-US" w:eastAsia="zh-CN"/>
                      <w14:textFill>
                        <w14:solidFill>
                          <w14:schemeClr w14:val="tx1"/>
                        </w14:solidFill>
                      </w14:textFill>
                    </w:rPr>
                    <w:t>原木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为原料，</w:t>
                  </w:r>
                  <w:r>
                    <w:rPr>
                      <w:rFonts w:hint="eastAsia" w:cs="Times New Roman"/>
                      <w:color w:val="000000" w:themeColor="text1"/>
                      <w:sz w:val="21"/>
                      <w:szCs w:val="21"/>
                      <w:highlight w:val="none"/>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甲醛成分，本项排放的废气主要为颗粒物、非甲烷总烃等，不涉及左列</w:t>
                  </w:r>
                  <w:r>
                    <w:rPr>
                      <w:rFonts w:hint="eastAsia" w:cs="Times New Roman"/>
                      <w:color w:val="000000" w:themeColor="text1"/>
                      <w:sz w:val="21"/>
                      <w:szCs w:val="21"/>
                      <w:highlight w:val="none"/>
                      <w:lang w:val="en-US" w:eastAsia="zh-CN"/>
                      <w14:textFill>
                        <w14:solidFill>
                          <w14:schemeClr w14:val="tx1"/>
                        </w14:solidFill>
                      </w14:textFill>
                    </w:rPr>
                    <w:t>所述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废气污染物。</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新增工业废水直排建设项目（槽罐车外送污水处理厂的除外），新增废水直排的污水集中处理厂</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本项目不涉及新增工业废水直排</w:t>
                  </w:r>
                  <w:r>
                    <w:rPr>
                      <w:rFonts w:hint="eastAsia" w:ascii="Times New Roman" w:hAnsi="Times New Roman" w:eastAsia="宋体"/>
                      <w:bCs/>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w:t>
                  </w:r>
                </w:p>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有毒有害和易燃易爆危险物质存储量超过临界量的建设项目</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本项目有毒有害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和易燃易爆危险物质</w:t>
                  </w:r>
                  <w:r>
                    <w:rPr>
                      <w:rFonts w:hint="eastAsia" w:cs="Times New Roman"/>
                      <w:color w:val="000000" w:themeColor="text1"/>
                      <w:sz w:val="21"/>
                      <w:szCs w:val="21"/>
                      <w:highlight w:val="none"/>
                      <w:lang w:val="en-US" w:eastAsia="zh-CN"/>
                      <w14:textFill>
                        <w14:solidFill>
                          <w14:schemeClr w14:val="tx1"/>
                        </w14:solidFill>
                      </w14:textFill>
                    </w:rPr>
                    <w:t>存储量不超过该临界值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用水</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由市政给水管</w:t>
                  </w:r>
                  <w:r>
                    <w:rPr>
                      <w:rFonts w:hint="eastAsia" w:cs="Times New Roman"/>
                      <w:b w:val="0"/>
                      <w:bCs w:val="0"/>
                      <w:iCs/>
                      <w:color w:val="000000" w:themeColor="text1"/>
                      <w:kern w:val="2"/>
                      <w:sz w:val="21"/>
                      <w:szCs w:val="21"/>
                      <w:highlight w:val="none"/>
                      <w:lang w:val="en-US" w:eastAsia="zh-CN" w:bidi="ar-SA"/>
                      <w14:textFill>
                        <w14:solidFill>
                          <w14:schemeClr w14:val="tx1"/>
                        </w14:solidFill>
                      </w14:textFill>
                    </w:rPr>
                    <w:t>网</w:t>
                  </w: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供给</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14:textFill>
                        <w14:solidFill>
                          <w14:schemeClr w14:val="tx1"/>
                        </w14:solidFill>
                      </w14:textFill>
                    </w:rPr>
                    <w:t>设置取水口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tblHeader/>
                <w:jc w:val="center"/>
              </w:trPr>
              <w:tc>
                <w:tcPr>
                  <w:tcW w:w="587"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海洋</w:t>
                  </w:r>
                </w:p>
              </w:tc>
              <w:tc>
                <w:tcPr>
                  <w:tcW w:w="1469"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直接向海排放污染物的海洋工程建设项目</w:t>
                  </w:r>
                </w:p>
              </w:tc>
              <w:tc>
                <w:tcPr>
                  <w:tcW w:w="2303"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本项目不属于海洋工程建设项目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tcBorders>
                    <w:tl2br w:val="nil"/>
                    <w:tr2bl w:val="nil"/>
                  </w:tcBorders>
                  <w:noWrap w:val="0"/>
                  <w:vAlign w:val="center"/>
                </w:tcPr>
                <w:p>
                  <w:pPr>
                    <w:pStyle w:val="134"/>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bl>
          <w:p>
            <w:pPr>
              <w:autoSpaceDE w:val="0"/>
              <w:autoSpaceDN w:val="0"/>
              <w:adjustRightInd w:val="0"/>
              <w:snapToGrid w:val="0"/>
              <w:jc w:val="center"/>
              <w:rPr>
                <w:color w:val="000000" w:themeColor="text1"/>
                <w:kern w:val="0"/>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631" w:type="dxa"/>
            <w:vAlign w:val="center"/>
          </w:tcPr>
          <w:p>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规划情况</w:t>
            </w:r>
          </w:p>
        </w:tc>
        <w:tc>
          <w:tcPr>
            <w:tcW w:w="7239" w:type="dxa"/>
            <w:gridSpan w:val="3"/>
            <w:vAlign w:val="center"/>
          </w:tcPr>
          <w:p>
            <w:pPr>
              <w:pStyle w:val="44"/>
              <w:spacing w:line="360" w:lineRule="auto"/>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规划名称：《福清融侨经济技术开发区总体规划(2018</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2035年)》</w:t>
            </w:r>
          </w:p>
          <w:p>
            <w:pPr>
              <w:pStyle w:val="44"/>
              <w:spacing w:line="360" w:lineRule="auto"/>
              <w:ind w:firstLine="0" w:firstLineChars="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审批机关：</w:t>
            </w:r>
            <w:r>
              <w:rPr>
                <w:rFonts w:hint="eastAsia"/>
                <w:color w:val="000000" w:themeColor="text1"/>
                <w:sz w:val="24"/>
                <w:szCs w:val="24"/>
                <w:highlight w:val="none"/>
                <w:lang w:val="en-US" w:eastAsia="zh-CN"/>
                <w14:textFill>
                  <w14:solidFill>
                    <w14:schemeClr w14:val="tx1"/>
                  </w14:solidFill>
                </w14:textFill>
              </w:rPr>
              <w:t>福清市人民政府</w:t>
            </w:r>
          </w:p>
          <w:p>
            <w:pPr>
              <w:pStyle w:val="44"/>
              <w:spacing w:line="360" w:lineRule="auto"/>
              <w:ind w:firstLine="0" w:firstLineChars="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审批文件名称及文号：《福清市人民政府关于同意融侨经济技术开发区总体规划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2018</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2035年</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编制范围的批复》</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融政综〔2019〕189号</w:t>
            </w:r>
            <w:r>
              <w:rPr>
                <w:rFonts w:hint="eastAsia"/>
                <w:color w:val="000000" w:themeColor="text1"/>
                <w:sz w:val="24"/>
                <w:szCs w:val="24"/>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1631"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规划环境影响</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评价情况</w:t>
            </w:r>
          </w:p>
        </w:tc>
        <w:tc>
          <w:tcPr>
            <w:tcW w:w="7239" w:type="dxa"/>
            <w:gridSpan w:val="3"/>
            <w:vAlign w:val="center"/>
          </w:tcPr>
          <w:p>
            <w:pPr>
              <w:pStyle w:val="44"/>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规划环境影响评价文件名称：《福清融侨经济技术开发区总体规划</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2018-2035</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环境影响报告书》</w:t>
            </w:r>
          </w:p>
          <w:p>
            <w:pPr>
              <w:pStyle w:val="44"/>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审查机关：</w:t>
            </w:r>
            <w:r>
              <w:rPr>
                <w:rFonts w:hint="default"/>
                <w:color w:val="000000" w:themeColor="text1"/>
                <w:sz w:val="24"/>
                <w:szCs w:val="24"/>
                <w:highlight w:val="none"/>
                <w:lang w:val="en-US" w:eastAsia="zh-CN"/>
                <w14:textFill>
                  <w14:solidFill>
                    <w14:schemeClr w14:val="tx1"/>
                  </w14:solidFill>
                </w14:textFill>
              </w:rPr>
              <w:t>中华人民共和国</w:t>
            </w:r>
            <w:r>
              <w:rPr>
                <w:rFonts w:hint="default"/>
                <w:color w:val="000000" w:themeColor="text1"/>
                <w:sz w:val="24"/>
                <w:szCs w:val="24"/>
                <w:highlight w:val="none"/>
                <w14:textFill>
                  <w14:solidFill>
                    <w14:schemeClr w14:val="tx1"/>
                  </w14:solidFill>
                </w14:textFill>
              </w:rPr>
              <w:t>生态环境部</w:t>
            </w:r>
          </w:p>
          <w:p>
            <w:pPr>
              <w:pStyle w:val="44"/>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审查文件名称及文号：《福清融侨经济技术开发区总体规划</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2018-2035</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环境影响报告书》</w:t>
            </w:r>
            <w:r>
              <w:rPr>
                <w:rFonts w:hint="eastAsia"/>
                <w:color w:val="000000" w:themeColor="text1"/>
                <w:sz w:val="24"/>
                <w:szCs w:val="24"/>
                <w:highlight w:val="none"/>
                <w:lang w:eastAsia="zh-CN"/>
                <w14:textFill>
                  <w14:solidFill>
                    <w14:schemeClr w14:val="tx1"/>
                  </w14:solidFill>
                </w14:textFill>
              </w:rPr>
              <w:t>(</w:t>
            </w:r>
            <w:r>
              <w:rPr>
                <w:rFonts w:hint="default"/>
                <w:color w:val="000000" w:themeColor="text1"/>
                <w:sz w:val="24"/>
                <w:szCs w:val="24"/>
                <w:highlight w:val="none"/>
                <w14:textFill>
                  <w14:solidFill>
                    <w14:schemeClr w14:val="tx1"/>
                  </w14:solidFill>
                </w14:textFill>
              </w:rPr>
              <w:t>环审</w:t>
            </w:r>
            <w:r>
              <w:rPr>
                <w:rFonts w:hint="eastAsia"/>
                <w:color w:val="000000" w:themeColor="text1"/>
                <w:sz w:val="24"/>
                <w:szCs w:val="24"/>
                <w:highlight w:val="none"/>
                <w:lang w:eastAsia="zh-CN"/>
                <w14:textFill>
                  <w14:solidFill>
                    <w14:schemeClr w14:val="tx1"/>
                  </w14:solidFill>
                </w14:textFill>
              </w:rPr>
              <w:t>〔2020〕80号)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1" w:type="dxa"/>
            <w:vAlign w:val="center"/>
          </w:tcPr>
          <w:p>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规划及规划环境影响评价符合性分析</w:t>
            </w:r>
          </w:p>
        </w:tc>
        <w:tc>
          <w:tcPr>
            <w:tcW w:w="7239" w:type="dxa"/>
            <w:gridSpan w:val="3"/>
            <w:vAlign w:val="center"/>
          </w:tcPr>
          <w:p>
            <w:pPr>
              <w:pStyle w:val="3"/>
              <w:numPr>
                <w:ilvl w:val="1"/>
                <w:numId w:val="0"/>
              </w:numPr>
              <w:bidi w:val="0"/>
              <w:ind w:leftChars="0"/>
            </w:pPr>
            <w:r>
              <w:rPr>
                <w:rFonts w:hint="eastAsia"/>
                <w:lang w:val="en-US" w:eastAsia="zh-CN"/>
              </w:rPr>
              <w:t>1.1</w:t>
            </w:r>
            <w:r>
              <w:rPr>
                <w:rFonts w:hint="eastAsia"/>
              </w:rPr>
              <w:t>与《福清融侨经济技术开发区总体规划(2018</w:t>
            </w:r>
            <w:r>
              <w:rPr>
                <w:rFonts w:hint="eastAsia"/>
                <w:lang w:eastAsia="zh-CN"/>
              </w:rPr>
              <w:t>—</w:t>
            </w:r>
            <w:r>
              <w:rPr>
                <w:rFonts w:hint="eastAsia"/>
              </w:rPr>
              <w:t>2035年)》符合性分析</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bookmarkStart w:id="7" w:name="_Ref28380"/>
            <w:r>
              <w:rPr>
                <w:rFonts w:hint="eastAsia" w:ascii="Times New Roman" w:hAnsi="Times New Roman" w:eastAsia="宋体"/>
                <w:color w:val="000000" w:themeColor="text1"/>
                <w:sz w:val="24"/>
                <w:highlight w:val="none"/>
                <w:lang w:val="en-US" w:eastAsia="zh-CN"/>
                <w14:textFill>
                  <w14:solidFill>
                    <w14:schemeClr w14:val="tx1"/>
                  </w14:solidFill>
                </w14:textFill>
              </w:rPr>
              <w:t>总体规划有关内容：“</w:t>
            </w:r>
            <w:r>
              <w:rPr>
                <w:rFonts w:hint="eastAsia" w:ascii="Times New Roman" w:hAnsi="Times New Roman" w:eastAsia="宋体" w:cs="微软雅黑"/>
                <w:color w:val="000000" w:themeColor="text1"/>
                <w:sz w:val="24"/>
                <w:highlight w:val="none"/>
                <w:lang w:val="en-US" w:eastAsia="zh-CN"/>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着力营造融侨经济技术开发区“现代生态开发区”的空间特色，规划整体形成“一区三园多组团”的空间结构。“一区”：即融侨经济技术开发区。利用国家级开发区品牌，充分释放“五区叠加、一区毗邻”政策优势，以空间转型引领开发区的新一轮跨越发展。“三园”：即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双创“平台、现代服务业建设核心区，形成福清市极具影响力、辐射力和竞争力的大福清“副中心”。城北产业园：依托京东方等电子信息龙头企业优势，以电子信息、光学、机械电气为主导，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本规划分为核心区和协调区2个层次。其中：</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(1)核心区：即国家批复的融侨经济技术开发区范围。土地面积9.19平方公里，其中宏路中心区6.4平方公里，洪宽工业村2.79平方公里。</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(2)协调区：考虑到开发区与福清城区一体化发展，结合开发区委托代管范围，以规划《福清市城市总体规划(2017-2035)》为依据，进一步将规划范围向外围扩展。协调区西至福厦高速，东依福长高速，北邻作坊村，南靠纵一路环线，土地面积53.2平方公里。本规划深度按协调区进行控制。</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根据《福清融侨经济技术开发区总体规划(2018—2035年)》的“产业发展-第二十二条构建“3+1”的产业体系：</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1、三大支柱产业</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电子信息产业：显示科技、云计算、电子元器件、光电科技、计算机与智能终端设备等。</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精密汽车部件产业：汽车电气电子装置、动力传动装置、汽车轴承、新能源动力电池等。</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光学产业：光学部件、光通讯技术、电子光学、虚拟现实 装置等。</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在三大支柱产业基础之上，完善与其相关的配套产业。</w:t>
            </w:r>
          </w:p>
          <w:p>
            <w:pPr>
              <w:pStyle w:val="44"/>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2、一项新兴产业</w:t>
            </w:r>
          </w:p>
          <w:p>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现代服务业：金融商务、总部经济、科技研发、文化创意、物流展销都市型产业与服务型制造业。”</w:t>
            </w:r>
          </w:p>
          <w:p>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符合性分析：本项目位于福清市镜洋镇，《关于规范融侨开发区工业企业准入产业的函》：“融侨开发区含音西 街道、宏路街道、石竹街道、阳下街道、镜洋镇......”，因此，镜洋镇已纳入福清融侨经济开发区管理(托管),应遵循福清融侨经济开发区的产业准入要求，即“工业企业准入产业为电子信息、精密汽车部件、光学三大产业”。</w:t>
            </w:r>
          </w:p>
          <w:p>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本项目产品为汽车座椅骨架，经查询《2017年国民经济行业分类注释》,本项目产品属于C3670汽车零部件及配件制造，符合《福清融侨经济技术开发区总体规划(2018—2035年)》产业准入要求。</w:t>
            </w:r>
          </w:p>
          <w:bookmarkEnd w:id="7"/>
          <w:p>
            <w:pPr>
              <w:pStyle w:val="3"/>
              <w:bidi w:val="0"/>
              <w:rPr>
                <w:rFonts w:hint="eastAsia"/>
                <w:lang w:val="en-US" w:eastAsia="zh-CN"/>
              </w:rPr>
            </w:pPr>
            <w:r>
              <w:rPr>
                <w:rFonts w:hint="eastAsia"/>
                <w:lang w:val="en-US" w:eastAsia="zh-CN"/>
              </w:rPr>
              <w:t>与《福清融侨经济技术开发区总体规划(2018—2035年)环 境影响报告书》及审查意见的符合性分析</w:t>
            </w:r>
          </w:p>
          <w:p>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sz w:val="24"/>
              </w:rPr>
            </w:pPr>
            <w:r>
              <w:rPr>
                <w:rFonts w:hint="eastAsia" w:ascii="Times New Roman" w:hAnsi="Times New Roman"/>
                <w:color w:val="000000" w:themeColor="text1"/>
                <w:sz w:val="24"/>
                <w:highlight w:val="none"/>
                <w:lang w:val="en-US" w:eastAsia="zh-CN"/>
                <w14:textFill>
                  <w14:solidFill>
                    <w14:schemeClr w14:val="tx1"/>
                  </w14:solidFill>
                </w14:textFill>
              </w:rPr>
              <w:t>与《福清融侨经济技术开发区总体规划(2018—2035年)环境影响报告书》及审查意见的符合性分析</w:t>
            </w:r>
            <w:r>
              <w:rPr>
                <w:rFonts w:ascii="Times New Roman" w:hAnsi="Times New Roman"/>
                <w:sz w:val="24"/>
              </w:rPr>
              <w:t>目准入符合性分析后汇总如下，详见表1.2</w:t>
            </w:r>
            <w:r>
              <w:rPr>
                <w:rFonts w:hint="eastAsia" w:ascii="Times New Roman" w:hAnsi="Times New Roman"/>
                <w:sz w:val="24"/>
                <w:lang w:val="en-US" w:eastAsia="zh-CN"/>
              </w:rPr>
              <w:t>-1</w:t>
            </w:r>
            <w:r>
              <w:rPr>
                <w:rFonts w:ascii="Times New Roman" w:hAnsi="Times New Roman"/>
                <w:sz w:val="24"/>
              </w:rPr>
              <w:t>。本项目与规划环评</w:t>
            </w:r>
            <w:r>
              <w:rPr>
                <w:rFonts w:ascii="Times New Roman" w:hAnsi="Times New Roman"/>
                <w:spacing w:val="1"/>
                <w:sz w:val="24"/>
              </w:rPr>
              <w:t>审查意见的相符性分析详见表1.</w:t>
            </w:r>
            <w:r>
              <w:rPr>
                <w:rFonts w:hint="eastAsia" w:ascii="Times New Roman" w:hAnsi="Times New Roman"/>
                <w:spacing w:val="1"/>
                <w:sz w:val="24"/>
                <w:lang w:val="en-US" w:eastAsia="zh-CN"/>
              </w:rPr>
              <w:t>2-2</w:t>
            </w:r>
            <w:r>
              <w:rPr>
                <w:rFonts w:ascii="Times New Roman" w:hAnsi="Times New Roman"/>
                <w:spacing w:val="1"/>
                <w:sz w:val="24"/>
              </w:rPr>
              <w:t>。</w:t>
            </w:r>
          </w:p>
          <w:p>
            <w:pPr>
              <w:pStyle w:val="42"/>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规划区主导产业环境准入符合性分析对照表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820"/>
              <w:gridCol w:w="2520"/>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9"/>
                      <w:sz w:val="21"/>
                    </w:rPr>
                    <w:t>类别</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5"/>
                      <w:sz w:val="21"/>
                    </w:rPr>
                    <w:t>名称</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1"/>
                      <w:sz w:val="21"/>
                    </w:rPr>
                    <w:t>规划环评的约束要求</w:t>
                  </w:r>
                </w:p>
              </w:tc>
              <w:tc>
                <w:tcPr>
                  <w:tcW w:w="25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2"/>
                      <w:sz w:val="21"/>
                    </w:rPr>
                    <w:t>本项目情况</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4"/>
                      <w:sz w:val="21"/>
                    </w:rPr>
                    <w:t>符合</w:t>
                  </w:r>
                  <w:r>
                    <w:rPr>
                      <w:rFonts w:ascii="Times New Roman" w:hAnsi="Times New Roman" w:eastAsia="宋体"/>
                      <w:sz w:val="21"/>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规划</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6"/>
                      <w:sz w:val="21"/>
                    </w:rPr>
                    <w:t>区主</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导产</w:t>
                  </w:r>
                  <w:r>
                    <w:rPr>
                      <w:rFonts w:ascii="Times New Roman" w:hAnsi="Times New Roman" w:eastAsia="宋体"/>
                      <w:spacing w:val="-5"/>
                      <w:sz w:val="21"/>
                    </w:rPr>
                    <w:t>业环</w:t>
                  </w:r>
                  <w:r>
                    <w:rPr>
                      <w:rFonts w:ascii="Times New Roman" w:hAnsi="Times New Roman" w:eastAsia="宋体"/>
                      <w:spacing w:val="5"/>
                      <w:sz w:val="21"/>
                    </w:rPr>
                    <w:t>境准</w:t>
                  </w:r>
                  <w:r>
                    <w:rPr>
                      <w:rFonts w:ascii="Times New Roman" w:hAnsi="Times New Roman" w:eastAsia="宋体"/>
                      <w:spacing w:val="-5"/>
                      <w:sz w:val="21"/>
                    </w:rPr>
                    <w:t>入行</w:t>
                  </w:r>
                  <w:r>
                    <w:rPr>
                      <w:rFonts w:hint="eastAsia" w:ascii="Times New Roman" w:hAnsi="Times New Roman" w:eastAsia="宋体"/>
                      <w:spacing w:val="-5"/>
                      <w:sz w:val="21"/>
                      <w:lang w:val="en-US" w:eastAsia="zh-CN"/>
                    </w:rPr>
                    <w:t>业</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3"/>
                      <w:sz w:val="21"/>
                    </w:rPr>
                    <w:t>准入C29、C304、C33、</w:t>
                  </w:r>
                  <w:r>
                    <w:rPr>
                      <w:rFonts w:ascii="Times New Roman" w:hAnsi="Times New Roman" w:eastAsia="宋体"/>
                      <w:spacing w:val="-3"/>
                      <w:sz w:val="21"/>
                    </w:rPr>
                    <w:t>C34、C35、C36、C38、</w:t>
                  </w:r>
                  <w:r>
                    <w:rPr>
                      <w:rFonts w:ascii="Times New Roman" w:hAnsi="Times New Roman" w:eastAsia="宋体"/>
                      <w:sz w:val="21"/>
                    </w:rPr>
                    <w:t>C39、C40;严禁引入C22</w:t>
                  </w:r>
                  <w:r>
                    <w:rPr>
                      <w:rFonts w:ascii="Times New Roman" w:hAnsi="Times New Roman" w:eastAsia="宋体"/>
                      <w:spacing w:val="2"/>
                      <w:sz w:val="21"/>
                    </w:rPr>
                    <w:t>造纸和纸制品业(纸制</w:t>
                  </w:r>
                  <w:r>
                    <w:rPr>
                      <w:rFonts w:ascii="Times New Roman" w:hAnsi="Times New Roman" w:eastAsia="宋体"/>
                      <w:spacing w:val="9"/>
                      <w:sz w:val="21"/>
                    </w:rPr>
                    <w:t>品制造除外)</w:t>
                  </w:r>
                </w:p>
              </w:tc>
              <w:tc>
                <w:tcPr>
                  <w:tcW w:w="25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2"/>
                      <w:sz w:val="21"/>
                    </w:rPr>
                    <w:t>本项目产品为</w:t>
                  </w:r>
                  <w:r>
                    <w:rPr>
                      <w:rFonts w:hint="eastAsia" w:ascii="Times New Roman" w:hAnsi="Times New Roman" w:eastAsia="宋体"/>
                      <w:spacing w:val="2"/>
                      <w:sz w:val="21"/>
                      <w:lang w:eastAsia="zh-CN"/>
                    </w:rPr>
                    <w:t>汽车座椅骨架</w:t>
                  </w:r>
                  <w:r>
                    <w:rPr>
                      <w:rFonts w:ascii="Times New Roman" w:hAnsi="Times New Roman" w:eastAsia="宋体"/>
                      <w:spacing w:val="2"/>
                      <w:sz w:val="21"/>
                    </w:rPr>
                    <w:t>，经查询《2017年国民经济行业分类注释》,本项目产品属于C3670汽车零部件及配件制造，因此本项目属于主要产业中的C36</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4"/>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3"/>
                      <w:sz w:val="21"/>
                    </w:rPr>
                    <w:t>C36的</w:t>
                  </w:r>
                  <w:r>
                    <w:rPr>
                      <w:rFonts w:ascii="Times New Roman" w:hAnsi="Times New Roman" w:eastAsia="宋体"/>
                      <w:spacing w:val="11"/>
                      <w:sz w:val="21"/>
                    </w:rPr>
                    <w:t>空间</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0"/>
                      <w:sz w:val="21"/>
                    </w:rPr>
                    <w:t>布局</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5"/>
                      <w:sz w:val="21"/>
                    </w:rPr>
                    <w:t>约束</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禁止新建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z w:val="21"/>
                    </w:rPr>
                    <w:t>1、使用有机涂层的(喷塑、电泳及高端项目配</w:t>
                  </w:r>
                  <w:r>
                    <w:rPr>
                      <w:rFonts w:ascii="Times New Roman" w:hAnsi="Times New Roman" w:eastAsia="宋体"/>
                      <w:spacing w:val="16"/>
                      <w:sz w:val="21"/>
                    </w:rPr>
                    <w:t>套除外)</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2、涉及熔炼、电镀工艺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3、涉及钝化工艺的热镀</w:t>
                  </w:r>
                  <w:r>
                    <w:rPr>
                      <w:rFonts w:ascii="Times New Roman" w:hAnsi="Times New Roman" w:eastAsia="宋体"/>
                      <w:sz w:val="21"/>
                    </w:rPr>
                    <w:t>锌</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4、油性漆使用量超过10t/a喷漆工艺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6"/>
                      <w:sz w:val="21"/>
                    </w:rPr>
                    <w:t>5、使用火焰法除旧漆，</w:t>
                  </w:r>
                  <w:r>
                    <w:rPr>
                      <w:rFonts w:ascii="Times New Roman" w:hAnsi="Times New Roman" w:eastAsia="宋体"/>
                      <w:spacing w:val="-4"/>
                      <w:sz w:val="21"/>
                    </w:rPr>
                    <w:t>使用干喷砂除锈</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6、采用煤、油、生物质</w:t>
                  </w:r>
                  <w:r>
                    <w:rPr>
                      <w:rFonts w:ascii="Times New Roman" w:hAnsi="Times New Roman" w:eastAsia="宋体"/>
                      <w:sz w:val="21"/>
                    </w:rPr>
                    <w:t>等非清洁能源</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7、铅酸蓄电池制造</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1"/>
                      <w:sz w:val="21"/>
                    </w:rPr>
                    <w:t>8、印刷电路板(高密度印刷电路板和柔性</w:t>
                  </w:r>
                  <w:r>
                    <w:rPr>
                      <w:rFonts w:hint="eastAsia" w:ascii="Times New Roman" w:hAnsi="Times New Roman"/>
                      <w:spacing w:val="1"/>
                      <w:sz w:val="21"/>
                      <w:lang w:eastAsia="zh-CN"/>
                    </w:rPr>
                    <w:t>电子</w:t>
                  </w:r>
                </w:p>
              </w:tc>
              <w:tc>
                <w:tcPr>
                  <w:tcW w:w="25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1、本项目不涉及有机涂</w:t>
                  </w:r>
                  <w:r>
                    <w:rPr>
                      <w:rFonts w:ascii="Times New Roman" w:hAnsi="Times New Roman" w:eastAsia="宋体"/>
                      <w:spacing w:val="21"/>
                      <w:sz w:val="21"/>
                    </w:rPr>
                    <w:t>层的使用；</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2、本项目不涉及熔炼、</w:t>
                  </w:r>
                  <w:r>
                    <w:rPr>
                      <w:rFonts w:ascii="Times New Roman" w:hAnsi="Times New Roman" w:eastAsia="宋体"/>
                      <w:spacing w:val="15"/>
                      <w:sz w:val="21"/>
                    </w:rPr>
                    <w:t>电镀工艺；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z w:val="21"/>
                    </w:rPr>
                    <w:t>3、本项目不涉及钝化工</w:t>
                  </w:r>
                  <w:r>
                    <w:rPr>
                      <w:rFonts w:ascii="Times New Roman" w:hAnsi="Times New Roman" w:eastAsia="宋体"/>
                      <w:spacing w:val="-8"/>
                      <w:sz w:val="21"/>
                    </w:rPr>
                    <w:t>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4、本项目不涉及油性漆</w:t>
                  </w:r>
                  <w:r>
                    <w:rPr>
                      <w:rFonts w:ascii="Times New Roman" w:hAnsi="Times New Roman" w:eastAsia="宋体"/>
                      <w:spacing w:val="16"/>
                      <w:sz w:val="21"/>
                    </w:rPr>
                    <w:t>等涂料的使用；</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2"/>
                      <w:sz w:val="21"/>
                    </w:rPr>
                    <w:t>5、本项目不涉及除漆、</w:t>
                  </w:r>
                  <w:r>
                    <w:rPr>
                      <w:rFonts w:ascii="Times New Roman" w:hAnsi="Times New Roman" w:eastAsia="宋体"/>
                      <w:spacing w:val="6"/>
                      <w:sz w:val="21"/>
                    </w:rPr>
                    <w:t>干喷除锈等工序；</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hd w:val="clear" w:fill="FFFF00"/>
                    </w:rPr>
                  </w:pPr>
                  <w:r>
                    <w:rPr>
                      <w:rFonts w:ascii="Times New Roman" w:hAnsi="Times New Roman" w:eastAsia="宋体"/>
                      <w:sz w:val="21"/>
                    </w:rPr>
                    <w:t>6、</w:t>
                  </w:r>
                  <w:r>
                    <w:rPr>
                      <w:rFonts w:ascii="Times New Roman" w:hAnsi="Times New Roman" w:eastAsia="宋体"/>
                      <w:sz w:val="21"/>
                      <w:shd w:val="clear"/>
                    </w:rPr>
                    <w:t>本项目使用电能、</w:t>
                  </w:r>
                  <w:r>
                    <w:rPr>
                      <w:rFonts w:hint="eastAsia" w:ascii="Times New Roman" w:hAnsi="Times New Roman"/>
                      <w:sz w:val="21"/>
                      <w:shd w:val="clear"/>
                      <w:lang w:val="en-US" w:eastAsia="zh-CN"/>
                    </w:rPr>
                    <w:t>天然气</w:t>
                  </w:r>
                  <w:r>
                    <w:rPr>
                      <w:rFonts w:ascii="Times New Roman" w:hAnsi="Times New Roman" w:eastAsia="宋体"/>
                      <w:spacing w:val="-1"/>
                      <w:sz w:val="21"/>
                      <w:shd w:val="clear"/>
                    </w:rPr>
                    <w:t>作为燃</w:t>
                  </w:r>
                  <w:r>
                    <w:rPr>
                      <w:rFonts w:ascii="Times New Roman" w:hAnsi="Times New Roman" w:eastAsia="宋体"/>
                      <w:spacing w:val="-5"/>
                      <w:sz w:val="21"/>
                      <w:shd w:val="clear"/>
                    </w:rPr>
                    <w:t>料；</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1"/>
                      <w:sz w:val="21"/>
                    </w:rPr>
                    <w:t>7、本项目不涉及铅酸蓄</w:t>
                  </w:r>
                  <w:r>
                    <w:rPr>
                      <w:rFonts w:ascii="Times New Roman" w:hAnsi="Times New Roman" w:eastAsia="宋体"/>
                      <w:spacing w:val="23"/>
                      <w:sz w:val="21"/>
                    </w:rPr>
                    <w:t>电池制造；</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1"/>
                      <w:sz w:val="21"/>
                    </w:rPr>
                    <w:t>8、本项目不涉及印刷电路板制造。</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4"/>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4"/>
                      <w:sz w:val="21"/>
                      <w:szCs w:val="22"/>
                    </w:rPr>
                    <w:t>C36的</w:t>
                  </w:r>
                  <w:r>
                    <w:rPr>
                      <w:rFonts w:ascii="Times New Roman" w:hAnsi="Times New Roman" w:eastAsia="宋体"/>
                      <w:spacing w:val="-5"/>
                      <w:sz w:val="21"/>
                      <w:szCs w:val="22"/>
                    </w:rPr>
                    <w:t>环境风险</w:t>
                  </w:r>
                  <w:r>
                    <w:rPr>
                      <w:rFonts w:ascii="Times New Roman" w:hAnsi="Times New Roman" w:eastAsia="宋体"/>
                      <w:spacing w:val="4"/>
                      <w:sz w:val="21"/>
                      <w:szCs w:val="22"/>
                    </w:rPr>
                    <w:t>防控</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1、必须规范配套应急池，建设企业、园区和</w:t>
                  </w:r>
                  <w:r>
                    <w:rPr>
                      <w:rFonts w:ascii="Times New Roman" w:hAnsi="Times New Roman" w:eastAsia="宋体"/>
                      <w:spacing w:val="-1"/>
                      <w:sz w:val="21"/>
                      <w:szCs w:val="22"/>
                    </w:rPr>
                    <w:t>周边水系三级环境风险</w:t>
                  </w:r>
                  <w:r>
                    <w:rPr>
                      <w:rFonts w:ascii="Times New Roman" w:hAnsi="Times New Roman" w:eastAsia="宋体"/>
                      <w:sz w:val="21"/>
                      <w:szCs w:val="22"/>
                    </w:rPr>
                    <w:t>防控工程，确保有效拦</w:t>
                  </w:r>
                  <w:r>
                    <w:rPr>
                      <w:rFonts w:ascii="Times New Roman" w:hAnsi="Times New Roman" w:eastAsia="宋体"/>
                      <w:spacing w:val="1"/>
                      <w:sz w:val="21"/>
                      <w:szCs w:val="22"/>
                    </w:rPr>
                    <w:t>截、降污和倒流；受园</w:t>
                  </w:r>
                  <w:r>
                    <w:rPr>
                      <w:rFonts w:ascii="Times New Roman" w:hAnsi="Times New Roman" w:eastAsia="宋体"/>
                      <w:spacing w:val="2"/>
                      <w:sz w:val="21"/>
                      <w:szCs w:val="22"/>
                    </w:rPr>
                    <w:t>区排污影响的周边水系</w:t>
                  </w:r>
                  <w:r>
                    <w:rPr>
                      <w:rFonts w:ascii="Times New Roman" w:hAnsi="Times New Roman" w:eastAsia="宋体"/>
                      <w:spacing w:val="-1"/>
                      <w:sz w:val="21"/>
                      <w:szCs w:val="22"/>
                    </w:rPr>
                    <w:t>应建设应急闸门，防止</w:t>
                  </w:r>
                  <w:r>
                    <w:rPr>
                      <w:rFonts w:ascii="Times New Roman" w:hAnsi="Times New Roman" w:eastAsia="宋体"/>
                      <w:sz w:val="21"/>
                      <w:szCs w:val="22"/>
                    </w:rPr>
                    <w:t>泄漏物和消防水等排入</w:t>
                  </w:r>
                  <w:r>
                    <w:rPr>
                      <w:rFonts w:ascii="Times New Roman" w:hAnsi="Times New Roman" w:eastAsia="宋体"/>
                      <w:spacing w:val="-1"/>
                      <w:sz w:val="21"/>
                      <w:szCs w:val="22"/>
                    </w:rPr>
                    <w:t>外环境。</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2、开发区内污水处理设</w:t>
                  </w:r>
                  <w:r>
                    <w:rPr>
                      <w:rFonts w:ascii="Times New Roman" w:hAnsi="Times New Roman" w:eastAsia="宋体"/>
                      <w:spacing w:val="-1"/>
                      <w:sz w:val="21"/>
                      <w:szCs w:val="22"/>
                    </w:rPr>
                    <w:t>施应采取必要的防渗处</w:t>
                  </w:r>
                  <w:r>
                    <w:rPr>
                      <w:rFonts w:ascii="Times New Roman" w:hAnsi="Times New Roman" w:eastAsia="宋体"/>
                      <w:spacing w:val="1"/>
                      <w:sz w:val="21"/>
                      <w:szCs w:val="22"/>
                    </w:rPr>
                    <w:t>理，不得污染地下水环</w:t>
                  </w:r>
                  <w:r>
                    <w:rPr>
                      <w:rFonts w:ascii="Times New Roman" w:hAnsi="Times New Roman" w:eastAsia="宋体"/>
                      <w:spacing w:val="-1"/>
                      <w:sz w:val="21"/>
                      <w:szCs w:val="22"/>
                    </w:rPr>
                    <w:t>境。</w:t>
                  </w:r>
                </w:p>
              </w:tc>
              <w:tc>
                <w:tcPr>
                  <w:tcW w:w="25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9"/>
                      <w:sz w:val="21"/>
                      <w:szCs w:val="22"/>
                    </w:rPr>
                    <w:t>1、</w:t>
                  </w:r>
                  <w:r>
                    <w:rPr>
                      <w:rFonts w:hint="eastAsia" w:ascii="Times New Roman" w:hAnsi="Times New Roman"/>
                      <w:spacing w:val="-9"/>
                      <w:sz w:val="21"/>
                      <w:szCs w:val="22"/>
                      <w:lang w:val="en-US" w:eastAsia="zh-CN"/>
                    </w:rPr>
                    <w:t>厂</w:t>
                  </w:r>
                  <w:r>
                    <w:rPr>
                      <w:rFonts w:ascii="Times New Roman" w:hAnsi="Times New Roman" w:eastAsia="宋体"/>
                      <w:spacing w:val="-9"/>
                      <w:sz w:val="21"/>
                      <w:szCs w:val="22"/>
                    </w:rPr>
                    <w:t>区将严格按照要求，</w:t>
                  </w:r>
                  <w:r>
                    <w:rPr>
                      <w:rFonts w:ascii="Times New Roman" w:hAnsi="Times New Roman" w:eastAsia="宋体"/>
                      <w:spacing w:val="-8"/>
                      <w:sz w:val="21"/>
                      <w:szCs w:val="22"/>
                    </w:rPr>
                    <w:t>统一建设事故应急池，建</w:t>
                  </w:r>
                  <w:r>
                    <w:rPr>
                      <w:rFonts w:ascii="Times New Roman" w:hAnsi="Times New Roman" w:eastAsia="宋体"/>
                      <w:spacing w:val="-7"/>
                      <w:sz w:val="21"/>
                      <w:szCs w:val="22"/>
                    </w:rPr>
                    <w:t>设企业、</w:t>
                  </w:r>
                  <w:r>
                    <w:rPr>
                      <w:rFonts w:hint="eastAsia" w:ascii="Times New Roman" w:hAnsi="Times New Roman"/>
                      <w:spacing w:val="-7"/>
                      <w:sz w:val="21"/>
                      <w:szCs w:val="22"/>
                      <w:lang w:val="en-US" w:eastAsia="zh-CN"/>
                    </w:rPr>
                    <w:t>厂</w:t>
                  </w:r>
                  <w:r>
                    <w:rPr>
                      <w:rFonts w:ascii="Times New Roman" w:hAnsi="Times New Roman" w:eastAsia="宋体"/>
                      <w:spacing w:val="-7"/>
                      <w:sz w:val="21"/>
                      <w:szCs w:val="22"/>
                    </w:rPr>
                    <w:t>区和周边水系</w:t>
                  </w:r>
                  <w:r>
                    <w:rPr>
                      <w:rFonts w:ascii="Times New Roman" w:hAnsi="Times New Roman" w:eastAsia="宋体"/>
                      <w:spacing w:val="-1"/>
                      <w:sz w:val="21"/>
                      <w:szCs w:val="22"/>
                    </w:rPr>
                    <w:t>三级环境风险防控工程，</w:t>
                  </w:r>
                  <w:r>
                    <w:rPr>
                      <w:rFonts w:ascii="Times New Roman" w:hAnsi="Times New Roman" w:eastAsia="宋体"/>
                      <w:spacing w:val="-8"/>
                      <w:sz w:val="21"/>
                      <w:szCs w:val="22"/>
                    </w:rPr>
                    <w:t>确保有效拦截、降污和</w:t>
                  </w:r>
                  <w:r>
                    <w:rPr>
                      <w:rFonts w:hint="eastAsia" w:ascii="Times New Roman" w:hAnsi="Times New Roman"/>
                      <w:spacing w:val="-8"/>
                      <w:sz w:val="21"/>
                      <w:szCs w:val="22"/>
                      <w:lang w:eastAsia="zh-CN"/>
                    </w:rPr>
                    <w:t>导流</w:t>
                  </w:r>
                  <w:r>
                    <w:rPr>
                      <w:rFonts w:ascii="Times New Roman" w:hAnsi="Times New Roman" w:eastAsia="宋体"/>
                      <w:spacing w:val="-9"/>
                      <w:sz w:val="21"/>
                      <w:szCs w:val="22"/>
                    </w:rPr>
                    <w:t>；</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2、本项目生产废水</w:t>
                  </w:r>
                  <w:r>
                    <w:rPr>
                      <w:rFonts w:hint="eastAsia" w:ascii="Times New Roman" w:hAnsi="Times New Roman"/>
                      <w:sz w:val="21"/>
                      <w:szCs w:val="22"/>
                      <w:lang w:val="en-US" w:eastAsia="zh-CN"/>
                    </w:rPr>
                    <w:t>经污水处理设施处理达标后经过污水管网送往福清市第二污水处理厂；</w:t>
                  </w:r>
                  <w:r>
                    <w:rPr>
                      <w:rFonts w:ascii="Times New Roman" w:hAnsi="Times New Roman" w:eastAsia="宋体"/>
                      <w:spacing w:val="1"/>
                      <w:sz w:val="21"/>
                      <w:szCs w:val="22"/>
                    </w:rPr>
                    <w:t>生活污水依托现有已建的化粪池处理后经污</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水管网送往福清市第二</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污水处理厂集中处理，污</w:t>
                  </w:r>
                  <w:r>
                    <w:rPr>
                      <w:rFonts w:ascii="Times New Roman" w:hAnsi="Times New Roman" w:eastAsia="宋体"/>
                      <w:sz w:val="21"/>
                      <w:szCs w:val="22"/>
                    </w:rPr>
                    <w:t>水不外排入附近水体，且</w:t>
                  </w:r>
                  <w:r>
                    <w:rPr>
                      <w:rFonts w:ascii="Times New Roman" w:hAnsi="Times New Roman" w:eastAsia="宋体"/>
                      <w:spacing w:val="2"/>
                      <w:sz w:val="21"/>
                      <w:szCs w:val="22"/>
                    </w:rPr>
                    <w:t>污水处理设施采取了一</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定的防渗措施，可以防止</w:t>
                  </w:r>
                  <w:r>
                    <w:rPr>
                      <w:rFonts w:ascii="Times New Roman" w:hAnsi="Times New Roman" w:eastAsia="宋体"/>
                      <w:spacing w:val="-1"/>
                      <w:sz w:val="21"/>
                      <w:szCs w:val="22"/>
                    </w:rPr>
                    <w:t>污染地下水环境。</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4"/>
                      <w:sz w:val="21"/>
                      <w:szCs w:val="22"/>
                    </w:rPr>
                    <w:t>C36的</w:t>
                  </w:r>
                  <w:r>
                    <w:rPr>
                      <w:rFonts w:ascii="Times New Roman" w:hAnsi="Times New Roman" w:eastAsia="宋体"/>
                      <w:spacing w:val="-6"/>
                      <w:sz w:val="21"/>
                      <w:szCs w:val="22"/>
                    </w:rPr>
                    <w:t>污染</w:t>
                  </w:r>
                  <w:r>
                    <w:rPr>
                      <w:rFonts w:ascii="Times New Roman" w:hAnsi="Times New Roman" w:eastAsia="宋体"/>
                      <w:sz w:val="21"/>
                      <w:szCs w:val="22"/>
                    </w:rPr>
                    <w:t>物排</w:t>
                  </w:r>
                  <w:r>
                    <w:rPr>
                      <w:rFonts w:ascii="Times New Roman" w:hAnsi="Times New Roman" w:eastAsia="宋体"/>
                      <w:spacing w:val="11"/>
                      <w:sz w:val="21"/>
                      <w:szCs w:val="22"/>
                    </w:rPr>
                    <w:t>放管</w:t>
                  </w:r>
                  <w:r>
                    <w:rPr>
                      <w:rFonts w:ascii="Times New Roman" w:hAnsi="Times New Roman" w:eastAsia="宋体"/>
                      <w:sz w:val="21"/>
                      <w:szCs w:val="22"/>
                    </w:rPr>
                    <w:t>控</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1、新、改、扩建项目新增大气污染物</w:t>
                  </w:r>
                  <w:r>
                    <w:rPr>
                      <w:rFonts w:ascii="Times New Roman" w:hAnsi="Times New Roman" w:eastAsia="宋体"/>
                      <w:spacing w:val="6"/>
                      <w:sz w:val="21"/>
                      <w:szCs w:val="22"/>
                    </w:rPr>
                    <w:t>(现阶段指</w:t>
                  </w:r>
                  <w:r>
                    <w:rPr>
                      <w:rFonts w:ascii="Times New Roman" w:hAnsi="Times New Roman" w:eastAsia="宋体"/>
                      <w:sz w:val="21"/>
                      <w:szCs w:val="22"/>
                    </w:rPr>
                    <w:t>SO</w:t>
                  </w:r>
                  <w:r>
                    <w:rPr>
                      <w:rFonts w:ascii="Times New Roman" w:hAnsi="Times New Roman" w:eastAsia="宋体"/>
                      <w:spacing w:val="6"/>
                      <w:sz w:val="21"/>
                      <w:szCs w:val="22"/>
                      <w:vertAlign w:val="subscript"/>
                    </w:rPr>
                    <w:t>2</w:t>
                  </w:r>
                  <w:r>
                    <w:rPr>
                      <w:rFonts w:ascii="Times New Roman" w:hAnsi="Times New Roman" w:eastAsia="宋体"/>
                      <w:spacing w:val="6"/>
                      <w:sz w:val="21"/>
                      <w:szCs w:val="22"/>
                    </w:rPr>
                    <w:t>、</w:t>
                  </w:r>
                  <w:r>
                    <w:rPr>
                      <w:rFonts w:ascii="Times New Roman" w:hAnsi="Times New Roman" w:eastAsia="宋体"/>
                      <w:sz w:val="21"/>
                      <w:szCs w:val="22"/>
                    </w:rPr>
                    <w:t>NO</w:t>
                  </w:r>
                  <w:r>
                    <w:rPr>
                      <w:rFonts w:ascii="Times New Roman" w:hAnsi="Times New Roman" w:eastAsia="宋体"/>
                      <w:sz w:val="21"/>
                      <w:szCs w:val="22"/>
                      <w:vertAlign w:val="subscript"/>
                    </w:rPr>
                    <w:t>x</w:t>
                  </w:r>
                  <w:r>
                    <w:rPr>
                      <w:rFonts w:ascii="Times New Roman" w:hAnsi="Times New Roman" w:eastAsia="宋体"/>
                      <w:spacing w:val="6"/>
                      <w:sz w:val="21"/>
                      <w:szCs w:val="22"/>
                    </w:rPr>
                    <w:t>)</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排放量实行1.5倍削减</w:t>
                  </w:r>
                  <w:r>
                    <w:rPr>
                      <w:rFonts w:ascii="Times New Roman" w:hAnsi="Times New Roman" w:eastAsia="宋体"/>
                      <w:spacing w:val="3"/>
                      <w:sz w:val="21"/>
                      <w:szCs w:val="22"/>
                    </w:rPr>
                    <w:t>替代(不含使用天然气、</w:t>
                  </w:r>
                  <w:r>
                    <w:rPr>
                      <w:rFonts w:ascii="Times New Roman" w:hAnsi="Times New Roman" w:eastAsia="宋体"/>
                      <w:spacing w:val="-8"/>
                      <w:sz w:val="21"/>
                      <w:szCs w:val="22"/>
                    </w:rPr>
                    <w:t>液化石油气等作为燃料</w:t>
                  </w:r>
                  <w:r>
                    <w:rPr>
                      <w:rFonts w:ascii="Times New Roman" w:hAnsi="Times New Roman" w:eastAsia="宋体"/>
                      <w:spacing w:val="-6"/>
                      <w:sz w:val="21"/>
                      <w:szCs w:val="22"/>
                    </w:rPr>
                    <w:t>的非火电锅炉和工业炉</w:t>
                  </w:r>
                  <w:r>
                    <w:rPr>
                      <w:rFonts w:ascii="Times New Roman" w:hAnsi="Times New Roman" w:eastAsia="宋体"/>
                      <w:spacing w:val="-3"/>
                      <w:sz w:val="21"/>
                      <w:szCs w:val="22"/>
                    </w:rPr>
                    <w:t>窑)。</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2、新、改、扩建项目新</w:t>
                  </w:r>
                  <w:r>
                    <w:rPr>
                      <w:rFonts w:ascii="Times New Roman" w:hAnsi="Times New Roman" w:eastAsia="宋体"/>
                      <w:spacing w:val="-1"/>
                      <w:sz w:val="21"/>
                      <w:szCs w:val="22"/>
                    </w:rPr>
                    <w:t>增VOCs排放量实行倍</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量削减替代。</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1"/>
                      <w:sz w:val="21"/>
                      <w:szCs w:val="22"/>
                    </w:rPr>
                    <w:t>3、工业企业废水全部纳</w:t>
                  </w:r>
                  <w:r>
                    <w:rPr>
                      <w:rFonts w:ascii="Times New Roman" w:hAnsi="Times New Roman" w:eastAsia="宋体"/>
                      <w:sz w:val="21"/>
                      <w:szCs w:val="22"/>
                    </w:rPr>
                    <w:t>管进入</w:t>
                  </w:r>
                  <w:r>
                    <w:rPr>
                      <w:rFonts w:hint="eastAsia" w:ascii="Times New Roman" w:hAnsi="Times New Roman"/>
                      <w:sz w:val="21"/>
                      <w:szCs w:val="22"/>
                      <w:lang w:eastAsia="zh-CN"/>
                    </w:rPr>
                    <w:t>污水处理厂</w:t>
                  </w:r>
                  <w:r>
                    <w:rPr>
                      <w:rFonts w:ascii="Times New Roman" w:hAnsi="Times New Roman" w:eastAsia="宋体"/>
                      <w:sz w:val="21"/>
                      <w:szCs w:val="22"/>
                    </w:rPr>
                    <w:t>集中处理</w:t>
                  </w:r>
                  <w:r>
                    <w:rPr>
                      <w:rFonts w:ascii="Times New Roman" w:hAnsi="Times New Roman" w:eastAsia="宋体"/>
                      <w:spacing w:val="-1"/>
                      <w:sz w:val="21"/>
                      <w:szCs w:val="22"/>
                    </w:rPr>
                    <w:t>后达标排放。</w:t>
                  </w:r>
                </w:p>
              </w:tc>
              <w:tc>
                <w:tcPr>
                  <w:tcW w:w="2520" w:type="dxa"/>
                  <w:shd w:val="clear" w:color="auto" w:fill="auto"/>
                  <w:vAlign w:val="center"/>
                </w:tcPr>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1"/>
                      <w:sz w:val="21"/>
                      <w:szCs w:val="22"/>
                    </w:rPr>
                  </w:pPr>
                  <w:r>
                    <w:rPr>
                      <w:rFonts w:ascii="Times New Roman" w:hAnsi="Times New Roman" w:eastAsia="宋体"/>
                      <w:spacing w:val="1"/>
                      <w:sz w:val="21"/>
                      <w:szCs w:val="22"/>
                    </w:rPr>
                    <w:t>1、本项目新增大气污染物SO₂、NOx,排放量实行1.5倍削减替代；</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spacing w:val="1"/>
                      <w:sz w:val="21"/>
                      <w:szCs w:val="22"/>
                      <w:lang w:eastAsia="zh-CN"/>
                    </w:rPr>
                  </w:pPr>
                  <w:r>
                    <w:rPr>
                      <w:rFonts w:ascii="Times New Roman" w:hAnsi="Times New Roman" w:eastAsia="宋体"/>
                      <w:spacing w:val="1"/>
                      <w:sz w:val="21"/>
                      <w:szCs w:val="22"/>
                    </w:rPr>
                    <w:t>2、本项目新增VOCs排放量</w:t>
                  </w:r>
                  <w:r>
                    <w:rPr>
                      <w:rFonts w:ascii="Times New Roman" w:hAnsi="Times New Roman" w:eastAsia="宋体"/>
                      <w:spacing w:val="-1"/>
                      <w:sz w:val="21"/>
                      <w:szCs w:val="22"/>
                    </w:rPr>
                    <w:t>实行倍</w:t>
                  </w:r>
                  <w:r>
                    <w:rPr>
                      <w:rFonts w:ascii="Times New Roman" w:hAnsi="Times New Roman" w:eastAsia="宋体"/>
                      <w:sz w:val="21"/>
                      <w:szCs w:val="22"/>
                    </w:rPr>
                    <w:t>量削减替代</w:t>
                  </w:r>
                  <w:r>
                    <w:rPr>
                      <w:rFonts w:hint="eastAsia" w:ascii="Times New Roman" w:hAnsi="Times New Roman"/>
                      <w:sz w:val="21"/>
                      <w:szCs w:val="22"/>
                      <w:lang w:eastAsia="zh-CN"/>
                    </w:rPr>
                    <w:t>。</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1"/>
                      <w:sz w:val="21"/>
                      <w:szCs w:val="22"/>
                    </w:rPr>
                  </w:pPr>
                  <w:r>
                    <w:rPr>
                      <w:rFonts w:ascii="Times New Roman" w:hAnsi="Times New Roman" w:eastAsia="宋体"/>
                      <w:spacing w:val="1"/>
                      <w:sz w:val="21"/>
                      <w:szCs w:val="22"/>
                    </w:rPr>
                    <w:t>3、本项目生产废水</w:t>
                  </w:r>
                  <w:r>
                    <w:rPr>
                      <w:rFonts w:hint="eastAsia" w:ascii="Times New Roman" w:hAnsi="Times New Roman" w:eastAsia="宋体"/>
                      <w:spacing w:val="1"/>
                      <w:sz w:val="21"/>
                      <w:szCs w:val="22"/>
                      <w:lang w:val="en-US" w:eastAsia="zh-CN"/>
                    </w:rPr>
                    <w:t>经污水处理设施处理达标后经过污水管网送往福清市第二污水处理厂；</w:t>
                  </w:r>
                  <w:r>
                    <w:rPr>
                      <w:rFonts w:ascii="Times New Roman" w:hAnsi="Times New Roman" w:eastAsia="宋体"/>
                      <w:spacing w:val="1"/>
                      <w:sz w:val="21"/>
                      <w:szCs w:val="22"/>
                    </w:rPr>
                    <w:t>生活污水依托现有已建的化粪池处理后经污</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1"/>
                      <w:sz w:val="21"/>
                      <w:szCs w:val="22"/>
                    </w:rPr>
                  </w:pPr>
                  <w:r>
                    <w:rPr>
                      <w:rFonts w:ascii="Times New Roman" w:hAnsi="Times New Roman" w:eastAsia="宋体"/>
                      <w:spacing w:val="1"/>
                      <w:sz w:val="21"/>
                      <w:szCs w:val="22"/>
                    </w:rPr>
                    <w:t>水管网送往福清市第二</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spacing w:val="1"/>
                      <w:sz w:val="21"/>
                      <w:szCs w:val="22"/>
                      <w:lang w:val="en-US" w:eastAsia="zh-CN"/>
                    </w:rPr>
                  </w:pPr>
                  <w:r>
                    <w:rPr>
                      <w:rFonts w:hint="eastAsia" w:ascii="Times New Roman" w:hAnsi="Times New Roman" w:eastAsia="宋体"/>
                      <w:spacing w:val="1"/>
                      <w:sz w:val="21"/>
                      <w:szCs w:val="22"/>
                      <w:lang w:val="en-US" w:eastAsia="zh-CN"/>
                    </w:rPr>
                    <w:t>污水处理厂集中处理。</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4"/>
                      <w:sz w:val="21"/>
                      <w:szCs w:val="22"/>
                    </w:rPr>
                    <w:t>C36的资源</w:t>
                  </w:r>
                  <w:r>
                    <w:rPr>
                      <w:rFonts w:ascii="Times New Roman" w:hAnsi="Times New Roman" w:eastAsia="宋体"/>
                      <w:spacing w:val="-5"/>
                      <w:sz w:val="21"/>
                      <w:szCs w:val="22"/>
                    </w:rPr>
                    <w:t>环境</w:t>
                  </w:r>
                  <w:r>
                    <w:rPr>
                      <w:rFonts w:ascii="Times New Roman" w:hAnsi="Times New Roman" w:eastAsia="宋体"/>
                      <w:spacing w:val="5"/>
                      <w:sz w:val="21"/>
                      <w:szCs w:val="22"/>
                    </w:rPr>
                    <w:t>效率</w:t>
                  </w:r>
                  <w:r>
                    <w:rPr>
                      <w:rFonts w:ascii="Times New Roman" w:hAnsi="Times New Roman" w:eastAsia="宋体"/>
                      <w:spacing w:val="14"/>
                      <w:sz w:val="21"/>
                      <w:szCs w:val="22"/>
                    </w:rPr>
                    <w:t>管控</w:t>
                  </w:r>
                </w:p>
              </w:tc>
              <w:tc>
                <w:tcPr>
                  <w:tcW w:w="18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1、能耗不超过0.23吨</w:t>
                  </w:r>
                  <w:r>
                    <w:rPr>
                      <w:rFonts w:ascii="Times New Roman" w:hAnsi="Times New Roman" w:eastAsia="宋体"/>
                      <w:spacing w:val="-1"/>
                      <w:sz w:val="21"/>
                      <w:szCs w:val="22"/>
                    </w:rPr>
                    <w:t>标煤/万元工业增加值</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2、水耗不超过6.90t万</w:t>
                  </w:r>
                  <w:r>
                    <w:rPr>
                      <w:rFonts w:ascii="Times New Roman" w:hAnsi="Times New Roman" w:eastAsia="宋体"/>
                      <w:spacing w:val="-2"/>
                      <w:sz w:val="21"/>
                      <w:szCs w:val="22"/>
                    </w:rPr>
                    <w:t>元工业增加值</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3、污水排放量不超过</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5.43t万元工业增加值</w:t>
                  </w:r>
                  <w:r>
                    <w:rPr>
                      <w:rFonts w:ascii="Times New Roman" w:hAnsi="Times New Roman" w:eastAsia="宋体"/>
                      <w:spacing w:val="1"/>
                      <w:sz w:val="21"/>
                      <w:szCs w:val="22"/>
                    </w:rPr>
                    <w:t>4、</w:t>
                  </w:r>
                  <w:r>
                    <w:rPr>
                      <w:rFonts w:ascii="Times New Roman" w:hAnsi="Times New Roman" w:eastAsia="宋体"/>
                      <w:sz w:val="21"/>
                      <w:szCs w:val="22"/>
                    </w:rPr>
                    <w:t>VOCs</w:t>
                  </w:r>
                  <w:r>
                    <w:rPr>
                      <w:rFonts w:ascii="Times New Roman" w:hAnsi="Times New Roman" w:eastAsia="宋体"/>
                      <w:spacing w:val="1"/>
                      <w:sz w:val="21"/>
                      <w:szCs w:val="22"/>
                    </w:rPr>
                    <w:t>排放量不超过</w:t>
                  </w:r>
                  <w:r>
                    <w:rPr>
                      <w:rFonts w:ascii="Times New Roman" w:hAnsi="Times New Roman" w:eastAsia="宋体"/>
                      <w:spacing w:val="-1"/>
                      <w:sz w:val="21"/>
                      <w:szCs w:val="22"/>
                    </w:rPr>
                    <w:t>0.26kg万元工业增加值</w:t>
                  </w:r>
                </w:p>
              </w:tc>
              <w:tc>
                <w:tcPr>
                  <w:tcW w:w="252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1、</w:t>
                  </w:r>
                  <w:r>
                    <w:rPr>
                      <w:rFonts w:hint="eastAsia" w:ascii="Times New Roman" w:hAnsi="Times New Roman"/>
                      <w:sz w:val="21"/>
                      <w:szCs w:val="22"/>
                      <w:lang w:val="en-US" w:eastAsia="zh-CN"/>
                    </w:rPr>
                    <w:t>本项目</w:t>
                  </w:r>
                  <w:r>
                    <w:rPr>
                      <w:rFonts w:ascii="Times New Roman" w:hAnsi="Times New Roman" w:eastAsia="宋体"/>
                      <w:sz w:val="21"/>
                      <w:szCs w:val="22"/>
                    </w:rPr>
                    <w:t>能耗不超过0.23吨</w:t>
                  </w:r>
                  <w:r>
                    <w:rPr>
                      <w:rFonts w:ascii="Times New Roman" w:hAnsi="Times New Roman" w:eastAsia="宋体"/>
                      <w:spacing w:val="-1"/>
                      <w:sz w:val="21"/>
                      <w:szCs w:val="22"/>
                    </w:rPr>
                    <w:t>标煤/万元工业增加值</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2、水耗不超过6.90t万</w:t>
                  </w:r>
                  <w:r>
                    <w:rPr>
                      <w:rFonts w:ascii="Times New Roman" w:hAnsi="Times New Roman" w:eastAsia="宋体"/>
                      <w:spacing w:val="-2"/>
                      <w:sz w:val="21"/>
                      <w:szCs w:val="22"/>
                    </w:rPr>
                    <w:t>元工业增加值</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z w:val="21"/>
                      <w:szCs w:val="22"/>
                    </w:rPr>
                    <w:t>3、污水排放量不超过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5.43t万元工业增加值4、VOCs排放量不超过0.26kg万元工业增加值</w:t>
                  </w:r>
                </w:p>
              </w:tc>
              <w:tc>
                <w:tcPr>
                  <w:tcW w:w="111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bl>
          <w:p>
            <w:pPr>
              <w:pStyle w:val="42"/>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审查意见符合性分析对照表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95"/>
              <w:gridCol w:w="2189"/>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75" w:type="dxa"/>
                  <w:gridSpan w:val="2"/>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b/>
                      <w:bCs/>
                      <w:spacing w:val="-4"/>
                      <w:sz w:val="21"/>
                      <w:szCs w:val="22"/>
                    </w:rPr>
                    <w:t>关于《福清融侨经济技术开发区总体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b/>
                      <w:bCs/>
                      <w:spacing w:val="-3"/>
                      <w:sz w:val="21"/>
                      <w:szCs w:val="22"/>
                    </w:rPr>
                    <w:t>规划(2018</w:t>
                  </w:r>
                  <w:r>
                    <w:rPr>
                      <w:rFonts w:hint="eastAsia" w:ascii="Times New Roman" w:hAnsi="Times New Roman"/>
                      <w:b/>
                      <w:bCs/>
                      <w:spacing w:val="-3"/>
                      <w:sz w:val="21"/>
                      <w:szCs w:val="22"/>
                      <w:lang w:eastAsia="zh-CN"/>
                    </w:rPr>
                    <w:t>—</w:t>
                  </w:r>
                  <w:r>
                    <w:rPr>
                      <w:rFonts w:ascii="Times New Roman" w:hAnsi="Times New Roman" w:eastAsia="宋体"/>
                      <w:b/>
                      <w:bCs/>
                      <w:spacing w:val="-3"/>
                      <w:sz w:val="21"/>
                      <w:szCs w:val="22"/>
                    </w:rPr>
                    <w:t>2035年)环境影响报告</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b/>
                      <w:bCs/>
                      <w:spacing w:val="-1"/>
                      <w:sz w:val="21"/>
                      <w:szCs w:val="22"/>
                    </w:rPr>
                    <w:t>书》的审查意见(环审</w:t>
                  </w:r>
                  <w:r>
                    <w:rPr>
                      <w:rFonts w:hint="eastAsia" w:ascii="Times New Roman" w:hAnsi="Times New Roman"/>
                      <w:b/>
                      <w:bCs/>
                      <w:spacing w:val="-1"/>
                      <w:sz w:val="21"/>
                      <w:szCs w:val="22"/>
                      <w:lang w:eastAsia="zh-CN"/>
                    </w:rPr>
                    <w:t>〔2020〕80号</w:t>
                  </w:r>
                  <w:r>
                    <w:rPr>
                      <w:rFonts w:ascii="Times New Roman" w:hAnsi="Times New Roman" w:eastAsia="宋体"/>
                      <w:b/>
                      <w:bCs/>
                      <w:spacing w:val="-1"/>
                      <w:sz w:val="21"/>
                      <w:szCs w:val="22"/>
                    </w:rPr>
                    <w:t>)</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spacing w:val="-1"/>
                      <w:sz w:val="21"/>
                      <w:szCs w:val="22"/>
                    </w:rPr>
                  </w:pPr>
                  <w:r>
                    <w:rPr>
                      <w:rFonts w:ascii="Times New Roman" w:hAnsi="Times New Roman" w:eastAsia="宋体"/>
                      <w:b/>
                      <w:bCs/>
                      <w:spacing w:val="-5"/>
                      <w:sz w:val="21"/>
                      <w:szCs w:val="22"/>
                    </w:rPr>
                    <w:t>摘录</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spacing w:val="-7"/>
                      <w:sz w:val="21"/>
                      <w:szCs w:val="22"/>
                    </w:rPr>
                  </w:pPr>
                  <w:r>
                    <w:rPr>
                      <w:rFonts w:ascii="Times New Roman" w:hAnsi="Times New Roman" w:eastAsia="宋体"/>
                      <w:b/>
                      <w:bCs/>
                      <w:spacing w:val="-5"/>
                      <w:sz w:val="21"/>
                      <w:szCs w:val="28"/>
                    </w:rPr>
                    <w:t>本项目情况</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spacing w:val="-3"/>
                      <w:sz w:val="21"/>
                      <w:szCs w:val="22"/>
                    </w:rPr>
                  </w:pPr>
                  <w:r>
                    <w:rPr>
                      <w:rFonts w:ascii="Times New Roman" w:hAnsi="Times New Roman" w:eastAsia="宋体"/>
                      <w:b/>
                      <w:bCs/>
                      <w:spacing w:val="-8"/>
                      <w:sz w:val="21"/>
                      <w:szCs w:val="22"/>
                    </w:rPr>
                    <w:t>符合</w:t>
                  </w:r>
                  <w:r>
                    <w:rPr>
                      <w:rFonts w:ascii="Times New Roman" w:hAnsi="Times New Roman" w:eastAsia="宋体"/>
                      <w:b/>
                      <w:bCs/>
                      <w:spacing w:val="-3"/>
                      <w:sz w:val="21"/>
                      <w:szCs w:val="22"/>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2"/>
                      <w:sz w:val="21"/>
                      <w:szCs w:val="22"/>
                    </w:rPr>
                    <w:t>坚持绿色</w:t>
                  </w:r>
                  <w:r>
                    <w:rPr>
                      <w:rFonts w:ascii="Times New Roman" w:hAnsi="Times New Roman" w:eastAsia="宋体"/>
                      <w:spacing w:val="18"/>
                      <w:sz w:val="21"/>
                      <w:szCs w:val="22"/>
                    </w:rPr>
                    <w:t>发展和协</w:t>
                  </w:r>
                  <w:r>
                    <w:rPr>
                      <w:rFonts w:ascii="Times New Roman" w:hAnsi="Times New Roman" w:eastAsia="宋体"/>
                      <w:spacing w:val="12"/>
                      <w:sz w:val="21"/>
                      <w:szCs w:val="22"/>
                    </w:rPr>
                    <w:t>调发展理</w:t>
                  </w:r>
                  <w:r>
                    <w:rPr>
                      <w:rFonts w:ascii="Times New Roman" w:hAnsi="Times New Roman" w:eastAsia="宋体"/>
                      <w:spacing w:val="-2"/>
                      <w:sz w:val="21"/>
                      <w:szCs w:val="22"/>
                    </w:rPr>
                    <w:t>念，加强规</w:t>
                  </w:r>
                  <w:r>
                    <w:rPr>
                      <w:rFonts w:ascii="Times New Roman" w:hAnsi="Times New Roman" w:eastAsia="宋体"/>
                      <w:spacing w:val="28"/>
                      <w:sz w:val="21"/>
                      <w:szCs w:val="22"/>
                    </w:rPr>
                    <w:t>划引导</w:t>
                  </w:r>
                </w:p>
              </w:tc>
              <w:tc>
                <w:tcPr>
                  <w:tcW w:w="2195"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1"/>
                      <w:sz w:val="21"/>
                      <w:szCs w:val="22"/>
                    </w:rPr>
                    <w:t>进一步优化《规划》范</w:t>
                  </w:r>
                  <w:r>
                    <w:rPr>
                      <w:rFonts w:ascii="Times New Roman" w:hAnsi="Times New Roman" w:eastAsia="宋体"/>
                      <w:spacing w:val="3"/>
                      <w:sz w:val="21"/>
                      <w:szCs w:val="22"/>
                    </w:rPr>
                    <w:t>围、布局、发展规模和</w:t>
                  </w:r>
                  <w:r>
                    <w:rPr>
                      <w:rFonts w:ascii="Times New Roman" w:hAnsi="Times New Roman" w:eastAsia="宋体"/>
                      <w:spacing w:val="2"/>
                      <w:sz w:val="21"/>
                      <w:szCs w:val="22"/>
                    </w:rPr>
                    <w:t>产业结构等，做好与省</w:t>
                  </w:r>
                  <w:r>
                    <w:rPr>
                      <w:rFonts w:ascii="Times New Roman" w:hAnsi="Times New Roman" w:eastAsia="宋体"/>
                      <w:spacing w:val="1"/>
                      <w:sz w:val="21"/>
                      <w:szCs w:val="22"/>
                    </w:rPr>
                    <w:t>市国土空间规划和“三</w:t>
                  </w:r>
                  <w:r>
                    <w:rPr>
                      <w:rFonts w:ascii="Times New Roman" w:hAnsi="Times New Roman" w:eastAsia="宋体"/>
                      <w:spacing w:val="-2"/>
                      <w:sz w:val="21"/>
                      <w:szCs w:val="22"/>
                    </w:rPr>
                    <w:t>线一单”的协调衔接</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项目位于福清融侨经</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0"/>
                      <w:sz w:val="21"/>
                      <w:szCs w:val="22"/>
                    </w:rPr>
                    <w:t>济开发区范围内，项目</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7"/>
                      <w:sz w:val="21"/>
                      <w:szCs w:val="22"/>
                    </w:rPr>
                    <w:t>符合园区产业发展定位，符合国土空间规划</w:t>
                  </w:r>
                  <w:r>
                    <w:rPr>
                      <w:rFonts w:ascii="Times New Roman" w:hAnsi="Times New Roman" w:eastAsia="宋体"/>
                      <w:spacing w:val="1"/>
                      <w:sz w:val="21"/>
                      <w:szCs w:val="22"/>
                    </w:rPr>
                    <w:t>和“三线一单”要求。</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着力推动开发区结</w:t>
                  </w:r>
                  <w:r>
                    <w:rPr>
                      <w:rFonts w:ascii="Times New Roman" w:hAnsi="Times New Roman" w:eastAsia="宋体"/>
                      <w:spacing w:val="4"/>
                      <w:sz w:val="21"/>
                      <w:szCs w:val="22"/>
                    </w:rPr>
                    <w:t>构调整和</w:t>
                  </w:r>
                  <w:r>
                    <w:rPr>
                      <w:rFonts w:ascii="Times New Roman" w:hAnsi="Times New Roman" w:eastAsia="宋体"/>
                      <w:spacing w:val="3"/>
                      <w:sz w:val="21"/>
                      <w:szCs w:val="22"/>
                    </w:rPr>
                    <w:t>转型升级</w:t>
                  </w:r>
                </w:p>
              </w:tc>
              <w:tc>
                <w:tcPr>
                  <w:tcW w:w="2195"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落实《报告书》提出的</w:t>
                  </w:r>
                  <w:r>
                    <w:rPr>
                      <w:rFonts w:ascii="Times New Roman" w:hAnsi="Times New Roman" w:eastAsia="宋体"/>
                      <w:spacing w:val="-2"/>
                      <w:sz w:val="21"/>
                      <w:szCs w:val="22"/>
                    </w:rPr>
                    <w:t>现有重污染企业和用地</w:t>
                  </w:r>
                  <w:r>
                    <w:rPr>
                      <w:rFonts w:ascii="Times New Roman" w:hAnsi="Times New Roman" w:eastAsia="宋体"/>
                      <w:sz w:val="21"/>
                      <w:szCs w:val="22"/>
                    </w:rPr>
                    <w:t>布局不合理企业的搬</w:t>
                  </w:r>
                  <w:r>
                    <w:rPr>
                      <w:rFonts w:ascii="Times New Roman" w:hAnsi="Times New Roman" w:eastAsia="宋体"/>
                      <w:spacing w:val="-1"/>
                      <w:sz w:val="21"/>
                      <w:szCs w:val="22"/>
                    </w:rPr>
                    <w:t>迁、淘汰进度，强化拟</w:t>
                  </w:r>
                  <w:r>
                    <w:rPr>
                      <w:rFonts w:ascii="Times New Roman" w:hAnsi="Times New Roman" w:eastAsia="宋体"/>
                      <w:spacing w:val="2"/>
                      <w:sz w:val="21"/>
                      <w:szCs w:val="22"/>
                    </w:rPr>
                    <w:t>退出污染企业存续期间</w:t>
                  </w:r>
                  <w:r>
                    <w:rPr>
                      <w:rFonts w:ascii="Times New Roman" w:hAnsi="Times New Roman" w:eastAsia="宋体"/>
                      <w:spacing w:val="5"/>
                      <w:sz w:val="21"/>
                      <w:szCs w:val="22"/>
                    </w:rPr>
                    <w:t>环境管控和风险防控，</w:t>
                  </w:r>
                  <w:r>
                    <w:rPr>
                      <w:rFonts w:ascii="Times New Roman" w:hAnsi="Times New Roman" w:eastAsia="宋体"/>
                      <w:spacing w:val="-1"/>
                      <w:sz w:val="21"/>
                      <w:szCs w:val="22"/>
                    </w:rPr>
                    <w:t>合理安排重污染企业腾</w:t>
                  </w:r>
                  <w:r>
                    <w:rPr>
                      <w:rFonts w:ascii="Times New Roman" w:hAnsi="Times New Roman" w:eastAsia="宋体"/>
                      <w:spacing w:val="1"/>
                      <w:sz w:val="21"/>
                      <w:szCs w:val="22"/>
                    </w:rPr>
                    <w:t>退及周边土地开发时</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序，……。促进开发区</w:t>
                  </w:r>
                  <w:r>
                    <w:rPr>
                      <w:rFonts w:ascii="Times New Roman" w:hAnsi="Times New Roman" w:eastAsia="宋体"/>
                      <w:spacing w:val="-1"/>
                      <w:sz w:val="21"/>
                      <w:szCs w:val="22"/>
                    </w:rPr>
                    <w:t>产业转型升级与生态环境保护、人居环境安全</w:t>
                  </w:r>
                  <w:r>
                    <w:rPr>
                      <w:rFonts w:ascii="Times New Roman" w:hAnsi="Times New Roman" w:eastAsia="宋体"/>
                      <w:sz w:val="21"/>
                      <w:szCs w:val="22"/>
                    </w:rPr>
                    <w:t>相协调。</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本项目不属于规划环</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评报告书提出的“搬</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1"/>
                      <w:sz w:val="21"/>
                      <w:szCs w:val="22"/>
                    </w:rPr>
                    <w:t>迁、淘汰”项目。</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5"/>
                      <w:sz w:val="21"/>
                      <w:szCs w:val="22"/>
                    </w:rPr>
                    <w:t>严格空间</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管控，优化</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5"/>
                      <w:sz w:val="21"/>
                      <w:szCs w:val="22"/>
                    </w:rPr>
                    <w:t>区内空间</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9"/>
                      <w:sz w:val="21"/>
                      <w:szCs w:val="22"/>
                    </w:rPr>
                    <w:t>布局</w:t>
                  </w:r>
                </w:p>
              </w:tc>
              <w:tc>
                <w:tcPr>
                  <w:tcW w:w="2195"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……,进一步优化园区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范围和空间布局，避让</w:t>
                  </w:r>
                  <w:r>
                    <w:rPr>
                      <w:rFonts w:ascii="Times New Roman" w:hAnsi="Times New Roman" w:eastAsia="宋体"/>
                      <w:spacing w:val="4"/>
                      <w:sz w:val="21"/>
                      <w:szCs w:val="22"/>
                    </w:rPr>
                    <w:t>永久基本农田</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1"/>
                      <w:sz w:val="21"/>
                      <w:szCs w:val="22"/>
                    </w:rPr>
                    <w:t>项目位于</w:t>
                  </w:r>
                  <w:r>
                    <w:rPr>
                      <w:rFonts w:hint="eastAsia" w:ascii="Times New Roman" w:hAnsi="Times New Roman" w:eastAsia="宋体"/>
                      <w:spacing w:val="1"/>
                      <w:sz w:val="21"/>
                      <w:szCs w:val="22"/>
                    </w:rPr>
                    <w:t>福州清山压铸有限公司</w:t>
                  </w:r>
                  <w:r>
                    <w:rPr>
                      <w:rFonts w:ascii="Times New Roman" w:hAnsi="Times New Roman" w:eastAsia="宋体"/>
                      <w:spacing w:val="1"/>
                      <w:sz w:val="21"/>
                      <w:szCs w:val="22"/>
                    </w:rPr>
                    <w:t>现有厂房，不涉及永久基本农田</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3"/>
                      <w:sz w:val="21"/>
                      <w:szCs w:val="22"/>
                    </w:rPr>
                    <w:t>严守环境</w:t>
                  </w:r>
                  <w:r>
                    <w:rPr>
                      <w:rFonts w:ascii="Times New Roman" w:hAnsi="Times New Roman" w:eastAsia="宋体"/>
                      <w:spacing w:val="-1"/>
                      <w:sz w:val="21"/>
                      <w:szCs w:val="22"/>
                    </w:rPr>
                    <w:t>质量底线，</w:t>
                  </w:r>
                  <w:r>
                    <w:rPr>
                      <w:rFonts w:ascii="Times New Roman" w:hAnsi="Times New Roman" w:eastAsia="宋体"/>
                      <w:spacing w:val="14"/>
                      <w:sz w:val="21"/>
                      <w:szCs w:val="22"/>
                    </w:rPr>
                    <w:t>强化污染</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4"/>
                      <w:sz w:val="21"/>
                      <w:szCs w:val="22"/>
                    </w:rPr>
                    <w:t>物排放总</w:t>
                  </w:r>
                  <w:r>
                    <w:rPr>
                      <w:rFonts w:ascii="Times New Roman" w:hAnsi="Times New Roman" w:eastAsia="宋体"/>
                      <w:spacing w:val="-2"/>
                      <w:sz w:val="21"/>
                      <w:szCs w:val="22"/>
                    </w:rPr>
                    <w:t>量管控</w:t>
                  </w:r>
                </w:p>
              </w:tc>
              <w:tc>
                <w:tcPr>
                  <w:tcW w:w="2195"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1"/>
                      <w:sz w:val="21"/>
                      <w:szCs w:val="22"/>
                    </w:rPr>
                    <w:t>……严格重金属总量管控。采取有效措施减少</w:t>
                  </w:r>
                  <w:r>
                    <w:rPr>
                      <w:rFonts w:ascii="Times New Roman" w:hAnsi="Times New Roman" w:eastAsia="宋体"/>
                      <w:spacing w:val="-1"/>
                      <w:sz w:val="21"/>
                      <w:szCs w:val="22"/>
                    </w:rPr>
                    <w:t>主要污染物和特征污染物的排放量，确保区域环境质量持续改善、促进产业发展与城市发</w:t>
                  </w:r>
                  <w:r>
                    <w:rPr>
                      <w:rFonts w:ascii="Times New Roman" w:hAnsi="Times New Roman" w:eastAsia="宋体"/>
                      <w:spacing w:val="1"/>
                      <w:sz w:val="21"/>
                      <w:szCs w:val="22"/>
                    </w:rPr>
                    <w:t>展、生态环境保护相协</w:t>
                  </w:r>
                  <w:r>
                    <w:rPr>
                      <w:rFonts w:ascii="Times New Roman" w:hAnsi="Times New Roman" w:eastAsia="宋体"/>
                      <w:sz w:val="21"/>
                      <w:szCs w:val="22"/>
                    </w:rPr>
                    <w:t>调</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1"/>
                      <w:sz w:val="21"/>
                      <w:szCs w:val="22"/>
                    </w:rPr>
                    <w:t>项目工艺简单，不涉及</w:t>
                  </w:r>
                  <w:r>
                    <w:rPr>
                      <w:rFonts w:ascii="Times New Roman" w:hAnsi="Times New Roman" w:eastAsia="宋体"/>
                      <w:spacing w:val="-3"/>
                      <w:sz w:val="21"/>
                      <w:szCs w:val="22"/>
                    </w:rPr>
                    <w:t>重金属排放，项目为轻污染类项目。废气排放</w:t>
                  </w:r>
                  <w:r>
                    <w:rPr>
                      <w:rFonts w:ascii="Times New Roman" w:hAnsi="Times New Roman" w:eastAsia="宋体"/>
                      <w:sz w:val="21"/>
                      <w:szCs w:val="22"/>
                    </w:rPr>
                    <w:t>源强较低，对周边环境</w:t>
                  </w:r>
                  <w:r>
                    <w:rPr>
                      <w:rFonts w:ascii="Times New Roman" w:hAnsi="Times New Roman" w:eastAsia="宋体"/>
                      <w:spacing w:val="-2"/>
                      <w:sz w:val="21"/>
                      <w:szCs w:val="22"/>
                    </w:rPr>
                    <w:t>影响小；项目厂区已实</w:t>
                  </w:r>
                  <w:r>
                    <w:rPr>
                      <w:rFonts w:ascii="Times New Roman" w:hAnsi="Times New Roman" w:eastAsia="宋体"/>
                      <w:spacing w:val="3"/>
                      <w:sz w:val="21"/>
                      <w:szCs w:val="22"/>
                    </w:rPr>
                    <w:t>现“雨污分流”,项目</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0"/>
                      <w:sz w:val="21"/>
                      <w:szCs w:val="22"/>
                    </w:rPr>
                    <w:t>生产废水</w:t>
                  </w:r>
                  <w:r>
                    <w:rPr>
                      <w:rFonts w:hint="eastAsia" w:ascii="Times New Roman" w:hAnsi="Times New Roman"/>
                      <w:spacing w:val="-10"/>
                      <w:sz w:val="21"/>
                      <w:szCs w:val="22"/>
                      <w:lang w:val="en-US" w:eastAsia="zh-CN"/>
                    </w:rPr>
                    <w:t>经污水处理设施处理达标后接入污水管网送往福清市第二污水处理厂；</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生活污水依托现有已</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建的化粪池处理后经</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1"/>
                      <w:sz w:val="21"/>
                      <w:szCs w:val="22"/>
                    </w:rPr>
                    <w:t>污水管网送往福清市</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szCs w:val="22"/>
                    </w:rPr>
                  </w:pPr>
                  <w:r>
                    <w:rPr>
                      <w:rFonts w:ascii="Times New Roman" w:hAnsi="Times New Roman" w:eastAsia="宋体"/>
                      <w:spacing w:val="2"/>
                      <w:sz w:val="21"/>
                      <w:szCs w:val="22"/>
                    </w:rPr>
                    <w:t>第二污水处理厂集中</w:t>
                  </w:r>
                </w:p>
                <w:p>
                  <w:pPr>
                    <w:pStyle w:val="113"/>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z w:val="21"/>
                      <w:szCs w:val="22"/>
                    </w:rPr>
                    <w:t>处理；项目不涉及重金</w:t>
                  </w:r>
                  <w:r>
                    <w:rPr>
                      <w:rFonts w:ascii="Times New Roman" w:hAnsi="Times New Roman" w:eastAsia="宋体"/>
                      <w:spacing w:val="1"/>
                      <w:sz w:val="21"/>
                      <w:szCs w:val="22"/>
                    </w:rPr>
                    <w:t>属等污染物，项目将依</w:t>
                  </w:r>
                  <w:r>
                    <w:rPr>
                      <w:rFonts w:ascii="Times New Roman" w:hAnsi="Times New Roman" w:eastAsia="宋体"/>
                      <w:spacing w:val="-2"/>
                      <w:sz w:val="21"/>
                      <w:szCs w:val="22"/>
                    </w:rPr>
                    <w:t>法依规做好一般工业</w:t>
                  </w:r>
                  <w:r>
                    <w:rPr>
                      <w:rFonts w:ascii="Times New Roman" w:hAnsi="Times New Roman" w:eastAsia="宋体"/>
                      <w:spacing w:val="1"/>
                      <w:sz w:val="21"/>
                      <w:szCs w:val="22"/>
                    </w:rPr>
                    <w:t>固体废物和危险废物</w:t>
                  </w:r>
                  <w:r>
                    <w:rPr>
                      <w:rFonts w:ascii="Times New Roman" w:hAnsi="Times New Roman" w:eastAsia="宋体"/>
                      <w:spacing w:val="-12"/>
                      <w:sz w:val="21"/>
                      <w:szCs w:val="22"/>
                    </w:rPr>
                    <w:t>的</w:t>
                  </w:r>
                  <w:r>
                    <w:rPr>
                      <w:rFonts w:ascii="Times New Roman" w:hAnsi="Times New Roman" w:eastAsia="宋体"/>
                      <w:spacing w:val="-11"/>
                      <w:sz w:val="21"/>
                      <w:szCs w:val="22"/>
                    </w:rPr>
                    <w:t>分类收集、利用、</w:t>
                  </w:r>
                  <w:r>
                    <w:rPr>
                      <w:rFonts w:ascii="Times New Roman" w:hAnsi="Times New Roman" w:eastAsia="宋体"/>
                      <w:spacing w:val="-10"/>
                      <w:sz w:val="21"/>
                      <w:szCs w:val="22"/>
                    </w:rPr>
                    <w:t>处</w:t>
                  </w:r>
                  <w:r>
                    <w:rPr>
                      <w:rFonts w:ascii="Times New Roman" w:hAnsi="Times New Roman" w:eastAsia="宋体"/>
                      <w:sz w:val="21"/>
                      <w:szCs w:val="22"/>
                    </w:rPr>
                    <w:t>理处置工作。</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4"/>
                      <w:sz w:val="21"/>
                      <w:szCs w:val="22"/>
                    </w:rPr>
                    <w:t>严格入区</w:t>
                  </w:r>
                  <w:r>
                    <w:rPr>
                      <w:rFonts w:ascii="Times New Roman" w:hAnsi="Times New Roman" w:eastAsia="宋体"/>
                      <w:spacing w:val="40"/>
                      <w:sz w:val="21"/>
                      <w:szCs w:val="22"/>
                    </w:rPr>
                    <w:t>项目生态</w:t>
                  </w:r>
                  <w:r>
                    <w:rPr>
                      <w:rFonts w:ascii="Times New Roman" w:hAnsi="Times New Roman" w:eastAsia="宋体"/>
                      <w:spacing w:val="-1"/>
                      <w:sz w:val="21"/>
                      <w:szCs w:val="22"/>
                    </w:rPr>
                    <w:t>环境准入，</w:t>
                  </w:r>
                  <w:r>
                    <w:rPr>
                      <w:rFonts w:ascii="Times New Roman" w:hAnsi="Times New Roman" w:eastAsia="宋体"/>
                      <w:spacing w:val="21"/>
                      <w:sz w:val="21"/>
                      <w:szCs w:val="22"/>
                    </w:rPr>
                    <w:t>推动高质</w:t>
                  </w:r>
                  <w:r>
                    <w:rPr>
                      <w:rFonts w:ascii="Times New Roman" w:hAnsi="Times New Roman" w:eastAsia="宋体"/>
                      <w:spacing w:val="4"/>
                      <w:sz w:val="21"/>
                      <w:szCs w:val="22"/>
                    </w:rPr>
                    <w:t>量发展</w:t>
                  </w:r>
                </w:p>
              </w:tc>
              <w:tc>
                <w:tcPr>
                  <w:tcW w:w="2195"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spacing w:val="1"/>
                      <w:sz w:val="21"/>
                      <w:szCs w:val="22"/>
                    </w:rPr>
                  </w:pPr>
                  <w:r>
                    <w:rPr>
                      <w:rFonts w:ascii="Times New Roman" w:hAnsi="Times New Roman" w:eastAsia="宋体" w:cs="宋体"/>
                      <w:spacing w:val="1"/>
                      <w:sz w:val="21"/>
                      <w:szCs w:val="22"/>
                    </w:rPr>
                    <w:t>落实《报告书》生态环境准入要求，强化现有及入区企业挥发性有机物排放控制，禁止新增排放涉重金属污染物</w:t>
                  </w:r>
                  <w:r>
                    <w:rPr>
                      <w:rFonts w:hint="eastAsia" w:ascii="Times New Roman" w:hAnsi="Times New Roman" w:cs="宋体"/>
                      <w:spacing w:val="1"/>
                      <w:sz w:val="21"/>
                      <w:szCs w:val="22"/>
                      <w:lang w:eastAsia="zh-CN"/>
                    </w:rPr>
                    <w:t>项目</w:t>
                  </w:r>
                  <w:r>
                    <w:rPr>
                      <w:rFonts w:ascii="Times New Roman" w:hAnsi="Times New Roman" w:eastAsia="宋体" w:cs="宋体"/>
                      <w:spacing w:val="1"/>
                      <w:sz w:val="21"/>
                      <w:szCs w:val="22"/>
                    </w:rPr>
                    <w:t>入区，禁止与主导产业不相关且污染物排放量大的项目入区。..执行最严格的行业废水、废气排放控制指标，引进项目的生产工艺、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cs="宋体"/>
                      <w:spacing w:val="1"/>
                      <w:sz w:val="21"/>
                      <w:szCs w:val="22"/>
                    </w:rPr>
                    <w:t>设备，以及单位产品能耗、污染物排放和资源利用效率等均需达到同行业国际先进水平</w:t>
                  </w:r>
                </w:p>
              </w:tc>
              <w:tc>
                <w:tcPr>
                  <w:tcW w:w="2189"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spacing w:val="1"/>
                      <w:sz w:val="21"/>
                      <w:szCs w:val="22"/>
                    </w:rPr>
                  </w:pPr>
                  <w:r>
                    <w:rPr>
                      <w:rFonts w:ascii="Times New Roman" w:hAnsi="Times New Roman" w:eastAsia="宋体" w:cs="宋体"/>
                      <w:spacing w:val="1"/>
                      <w:sz w:val="21"/>
                      <w:szCs w:val="22"/>
                    </w:rPr>
                    <w:t>项目符合园区产业规划，不属</w:t>
                  </w:r>
                  <w:r>
                    <w:rPr>
                      <w:rFonts w:hint="eastAsia" w:ascii="Times New Roman" w:hAnsi="Times New Roman" w:cs="宋体"/>
                      <w:spacing w:val="1"/>
                      <w:sz w:val="21"/>
                      <w:szCs w:val="22"/>
                      <w:lang w:val="en-US" w:eastAsia="zh-CN"/>
                    </w:rPr>
                    <w:t>于</w:t>
                  </w:r>
                  <w:r>
                    <w:rPr>
                      <w:rFonts w:ascii="Times New Roman" w:hAnsi="Times New Roman" w:eastAsia="宋体" w:cs="宋体"/>
                      <w:spacing w:val="1"/>
                      <w:sz w:val="21"/>
                      <w:szCs w:val="22"/>
                    </w:rPr>
                    <w:t>福州市环境总体规划(2013-2030)关于禁止大气污染型项目；项目严格执行行业</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cs="宋体"/>
                      <w:spacing w:val="1"/>
                      <w:sz w:val="21"/>
                      <w:szCs w:val="22"/>
                    </w:rPr>
                    <w:t>废水、废气排放控制指标，项目生产工艺、技术装备、污染治理水平以及单位产品能耗、物耗等可以</w:t>
                  </w:r>
                  <w:r>
                    <w:rPr>
                      <w:rFonts w:hint="eastAsia" w:ascii="Times New Roman" w:hAnsi="Times New Roman" w:cs="宋体"/>
                      <w:spacing w:val="1"/>
                      <w:sz w:val="21"/>
                      <w:szCs w:val="22"/>
                      <w:lang w:eastAsia="zh-CN"/>
                    </w:rPr>
                    <w:t>达到</w:t>
                  </w:r>
                  <w:r>
                    <w:rPr>
                      <w:rFonts w:ascii="Times New Roman" w:hAnsi="Times New Roman" w:eastAsia="宋体" w:cs="宋体"/>
                      <w:spacing w:val="1"/>
                      <w:sz w:val="21"/>
                      <w:szCs w:val="22"/>
                    </w:rPr>
                    <w:t>同行业国际先进水平。</w:t>
                  </w:r>
                </w:p>
              </w:tc>
              <w:tc>
                <w:tcPr>
                  <w:tcW w:w="713" w:type="dxa"/>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2"/>
                      <w:lang w:val="en-US" w:eastAsia="zh-CN" w:bidi="ar-SA"/>
                    </w:rPr>
                  </w:pPr>
                  <w:r>
                    <w:rPr>
                      <w:rFonts w:ascii="Times New Roman" w:hAnsi="Times New Roman" w:eastAsia="宋体"/>
                      <w:spacing w:val="-3"/>
                      <w:sz w:val="21"/>
                      <w:szCs w:val="22"/>
                    </w:rPr>
                    <w:t>符合</w:t>
                  </w:r>
                </w:p>
              </w:tc>
            </w:tr>
          </w:tbl>
          <w:p>
            <w:pPr>
              <w:pStyle w:val="44"/>
              <w:ind w:firstLine="480"/>
              <w:rPr>
                <w:rFonts w:hint="eastAsia"/>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2" w:hRule="atLeast"/>
          <w:jc w:val="center"/>
        </w:trPr>
        <w:tc>
          <w:tcPr>
            <w:tcW w:w="1631" w:type="dxa"/>
            <w:vAlign w:val="center"/>
          </w:tcPr>
          <w:p>
            <w:pPr>
              <w:autoSpaceDE w:val="0"/>
              <w:autoSpaceDN w:val="0"/>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其他符合性分析</w:t>
            </w:r>
          </w:p>
        </w:tc>
        <w:tc>
          <w:tcPr>
            <w:tcW w:w="7239" w:type="dxa"/>
            <w:gridSpan w:val="3"/>
            <w:vAlign w:val="center"/>
          </w:tcPr>
          <w:p>
            <w:pPr>
              <w:pStyle w:val="3"/>
              <w:bidi w:val="0"/>
            </w:pPr>
            <w:r>
              <w:rPr>
                <w:rFonts w:hint="eastAsia"/>
              </w:rPr>
              <w:t>产业政策</w:t>
            </w:r>
            <w:r>
              <w:t>项目符合性分析</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项目主要</w:t>
            </w:r>
            <w:r>
              <w:rPr>
                <w:color w:val="000000" w:themeColor="text1"/>
                <w:sz w:val="24"/>
                <w:highlight w:val="none"/>
                <w:shd w:val="clear"/>
                <w14:textFill>
                  <w14:solidFill>
                    <w14:schemeClr w14:val="tx1"/>
                  </w14:solidFill>
                </w14:textFill>
              </w:rPr>
              <w:t>从事</w:t>
            </w:r>
            <w:r>
              <w:rPr>
                <w:rFonts w:hint="eastAsia"/>
                <w:color w:val="000000" w:themeColor="text1"/>
                <w:sz w:val="24"/>
                <w:highlight w:val="none"/>
                <w:shd w:val="clear"/>
                <w:lang w:eastAsia="zh-CN"/>
                <w14:textFill>
                  <w14:solidFill>
                    <w14:schemeClr w14:val="tx1"/>
                  </w14:solidFill>
                </w14:textFill>
              </w:rPr>
              <w:t>汽车座椅骨架</w:t>
            </w:r>
            <w:r>
              <w:rPr>
                <w:color w:val="000000" w:themeColor="text1"/>
                <w:sz w:val="24"/>
                <w:highlight w:val="none"/>
                <w14:textFill>
                  <w14:solidFill>
                    <w14:schemeClr w14:val="tx1"/>
                  </w14:solidFill>
                </w14:textFill>
              </w:rPr>
              <w:t>的加工生产，项目不属于《产业结构调整指导目录(2024年本)》中限制和淘汰类的项目，属于允许类，且该项目</w:t>
            </w:r>
            <w:r>
              <w:rPr>
                <w:color w:val="000000" w:themeColor="text1"/>
                <w:sz w:val="24"/>
                <w:highlight w:val="none"/>
                <w:shd w:val="clear"/>
                <w14:textFill>
                  <w14:solidFill>
                    <w14:schemeClr w14:val="tx1"/>
                  </w14:solidFill>
                </w14:textFill>
              </w:rPr>
              <w:t>于202</w:t>
            </w:r>
            <w:r>
              <w:rPr>
                <w:rFonts w:hint="eastAsia"/>
                <w:color w:val="000000" w:themeColor="text1"/>
                <w:sz w:val="24"/>
                <w:highlight w:val="none"/>
                <w:shd w:val="clear"/>
                <w:lang w:val="en-US" w:eastAsia="zh-CN"/>
                <w14:textFill>
                  <w14:solidFill>
                    <w14:schemeClr w14:val="tx1"/>
                  </w14:solidFill>
                </w14:textFill>
              </w:rPr>
              <w:t>5</w:t>
            </w:r>
            <w:r>
              <w:rPr>
                <w:color w:val="000000" w:themeColor="text1"/>
                <w:sz w:val="24"/>
                <w:highlight w:val="none"/>
                <w:shd w:val="clear"/>
                <w14:textFill>
                  <w14:solidFill>
                    <w14:schemeClr w14:val="tx1"/>
                  </w14:solidFill>
                </w14:textFill>
              </w:rPr>
              <w:t>年</w:t>
            </w:r>
            <w:r>
              <w:rPr>
                <w:rFonts w:hint="eastAsia"/>
                <w:color w:val="000000" w:themeColor="text1"/>
                <w:sz w:val="24"/>
                <w:highlight w:val="none"/>
                <w:shd w:val="clear"/>
                <w:lang w:val="en-US" w:eastAsia="zh-CN"/>
                <w14:textFill>
                  <w14:solidFill>
                    <w14:schemeClr w14:val="tx1"/>
                  </w14:solidFill>
                </w14:textFill>
              </w:rPr>
              <w:t>7</w:t>
            </w:r>
            <w:r>
              <w:rPr>
                <w:color w:val="000000" w:themeColor="text1"/>
                <w:sz w:val="24"/>
                <w:highlight w:val="none"/>
                <w:shd w:val="clear"/>
                <w14:textFill>
                  <w14:solidFill>
                    <w14:schemeClr w14:val="tx1"/>
                  </w14:solidFill>
                </w14:textFill>
              </w:rPr>
              <w:t>月</w:t>
            </w:r>
            <w:r>
              <w:rPr>
                <w:rFonts w:hint="eastAsia"/>
                <w:color w:val="000000" w:themeColor="text1"/>
                <w:sz w:val="24"/>
                <w:highlight w:val="none"/>
                <w:shd w:val="clear"/>
                <w:lang w:val="en-US" w:eastAsia="zh-CN"/>
                <w14:textFill>
                  <w14:solidFill>
                    <w14:schemeClr w14:val="tx1"/>
                  </w14:solidFill>
                </w14:textFill>
              </w:rPr>
              <w:t>1</w:t>
            </w:r>
            <w:r>
              <w:rPr>
                <w:color w:val="000000" w:themeColor="text1"/>
                <w:sz w:val="24"/>
                <w:highlight w:val="none"/>
                <w:shd w:val="clear"/>
                <w14:textFill>
                  <w14:solidFill>
                    <w14:schemeClr w14:val="tx1"/>
                  </w14:solidFill>
                </w14:textFill>
              </w:rPr>
              <w:t>日通过了福清市发展和改革局的备案(</w:t>
            </w:r>
            <w:r>
              <w:rPr>
                <w:rFonts w:hint="eastAsia"/>
                <w:color w:val="000000" w:themeColor="text1"/>
                <w:sz w:val="24"/>
                <w:highlight w:val="none"/>
                <w:shd w:val="clear"/>
                <w14:textFill>
                  <w14:solidFill>
                    <w14:schemeClr w14:val="tx1"/>
                  </w14:solidFill>
                </w14:textFill>
              </w:rPr>
              <w:t>闽发改备[2025]A060240号</w:t>
            </w:r>
            <w:r>
              <w:rPr>
                <w:color w:val="000000" w:themeColor="text1"/>
                <w:sz w:val="24"/>
                <w:highlight w:val="none"/>
                <w:shd w:val="clear"/>
                <w14:textFill>
                  <w14:solidFill>
                    <w14:schemeClr w14:val="tx1"/>
                  </w14:solidFill>
                </w14:textFill>
              </w:rPr>
              <w:t>，详见附件</w:t>
            </w:r>
            <w:r>
              <w:rPr>
                <w:rFonts w:hint="eastAsia"/>
                <w:color w:val="000000" w:themeColor="text1"/>
                <w:sz w:val="24"/>
                <w:highlight w:val="none"/>
                <w:shd w:val="clear"/>
                <w:lang w:val="en-US" w:eastAsia="zh-CN"/>
                <w14:textFill>
                  <w14:solidFill>
                    <w14:schemeClr w14:val="tx1"/>
                  </w14:solidFill>
                </w14:textFill>
              </w:rPr>
              <w:t>2</w:t>
            </w:r>
            <w:r>
              <w:rPr>
                <w:color w:val="000000" w:themeColor="text1"/>
                <w:sz w:val="24"/>
                <w:highlight w:val="none"/>
                <w:shd w:val="clear"/>
                <w14:textFill>
                  <w14:solidFill>
                    <w14:schemeClr w14:val="tx1"/>
                  </w14:solidFill>
                </w14:textFill>
              </w:rPr>
              <w:t>),</w:t>
            </w:r>
            <w:r>
              <w:rPr>
                <w:color w:val="000000" w:themeColor="text1"/>
                <w:sz w:val="24"/>
                <w:highlight w:val="none"/>
                <w14:textFill>
                  <w14:solidFill>
                    <w14:schemeClr w14:val="tx1"/>
                  </w14:solidFill>
                </w14:textFill>
              </w:rPr>
              <w:t>因此项目的建设内容符合当前国家和地方的产业政策。</w:t>
            </w:r>
          </w:p>
          <w:p>
            <w:pPr>
              <w:pStyle w:val="3"/>
              <w:bidi w:val="0"/>
            </w:pPr>
            <w:r>
              <w:t>与城市土地利用规划符合性分析</w:t>
            </w:r>
          </w:p>
          <w:p>
            <w:pPr>
              <w:pStyle w:val="11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Times New Roman" w:hAnsi="Times New Roman"/>
                <w:sz w:val="24"/>
                <w:szCs w:val="24"/>
              </w:rPr>
              <w:t>本项目位于福清市镜洋镇</w:t>
            </w:r>
            <w:r>
              <w:rPr>
                <w:rFonts w:hint="eastAsia" w:ascii="Times New Roman" w:hAnsi="Times New Roman"/>
                <w:sz w:val="24"/>
                <w:szCs w:val="24"/>
                <w:lang w:val="en-US" w:eastAsia="zh-CN"/>
              </w:rPr>
              <w:t>过</w:t>
            </w:r>
            <w:r>
              <w:rPr>
                <w:rFonts w:hint="eastAsia" w:ascii="Times New Roman" w:hAnsi="Times New Roman"/>
                <w:sz w:val="24"/>
                <w:szCs w:val="24"/>
              </w:rPr>
              <w:t>洋39号</w:t>
            </w:r>
            <w:r>
              <w:rPr>
                <w:rFonts w:ascii="Times New Roman" w:hAnsi="Times New Roman"/>
                <w:sz w:val="24"/>
                <w:szCs w:val="24"/>
              </w:rPr>
              <w:t>，根据《关于规范融侨开</w:t>
            </w:r>
            <w:r>
              <w:rPr>
                <w:rFonts w:ascii="Times New Roman" w:hAnsi="Times New Roman"/>
                <w:spacing w:val="5"/>
                <w:sz w:val="24"/>
                <w:szCs w:val="24"/>
              </w:rPr>
              <w:t>发区工业企业准入产业的函》:“融侨开发区含音西街道、宏</w:t>
            </w:r>
            <w:r>
              <w:rPr>
                <w:rFonts w:ascii="Times New Roman" w:hAnsi="Times New Roman"/>
                <w:spacing w:val="-11"/>
                <w:sz w:val="24"/>
                <w:szCs w:val="24"/>
              </w:rPr>
              <w:t>路街道、石竹街道、阳下街道、镜洋镇</w:t>
            </w:r>
            <w:r>
              <w:rPr>
                <w:rFonts w:hint="eastAsia" w:ascii="微软雅黑" w:hAnsi="微软雅黑" w:eastAsia="微软雅黑" w:cs="微软雅黑"/>
                <w:spacing w:val="-11"/>
                <w:sz w:val="24"/>
                <w:szCs w:val="24"/>
              </w:rPr>
              <w:t>…</w:t>
            </w:r>
            <w:r>
              <w:rPr>
                <w:rFonts w:ascii="Times New Roman" w:hAnsi="Times New Roman"/>
                <w:spacing w:val="-11"/>
                <w:sz w:val="24"/>
                <w:szCs w:val="24"/>
              </w:rPr>
              <w:t>”,因此镜洋镇已</w:t>
            </w:r>
            <w:r>
              <w:rPr>
                <w:rFonts w:ascii="Times New Roman" w:hAnsi="Times New Roman"/>
                <w:spacing w:val="5"/>
                <w:sz w:val="24"/>
                <w:szCs w:val="24"/>
              </w:rPr>
              <w:t>纳入福清融侨经济开发区管理(托管),因</w:t>
            </w:r>
            <w:r>
              <w:rPr>
                <w:rFonts w:ascii="Times New Roman" w:hAnsi="Times New Roman"/>
                <w:spacing w:val="4"/>
                <w:sz w:val="24"/>
                <w:szCs w:val="24"/>
              </w:rPr>
              <w:t>此本项目位于福清融</w:t>
            </w:r>
            <w:r>
              <w:rPr>
                <w:rFonts w:ascii="Times New Roman" w:hAnsi="Times New Roman"/>
                <w:spacing w:val="3"/>
                <w:sz w:val="24"/>
                <w:szCs w:val="24"/>
              </w:rPr>
              <w:t>侨经济技术开发区内，且租赁</w:t>
            </w:r>
            <w:r>
              <w:rPr>
                <w:rFonts w:hint="eastAsia" w:ascii="Times New Roman" w:hAnsi="Times New Roman"/>
                <w:spacing w:val="3"/>
                <w:sz w:val="24"/>
                <w:szCs w:val="24"/>
              </w:rPr>
              <w:t>福州清山压铸有限公</w:t>
            </w:r>
            <w:r>
              <w:rPr>
                <w:rFonts w:hint="eastAsia" w:ascii="Times New Roman" w:hAnsi="Times New Roman"/>
                <w:spacing w:val="3"/>
                <w:sz w:val="24"/>
                <w:szCs w:val="24"/>
                <w:shd w:val="clear"/>
              </w:rPr>
              <w:t>司</w:t>
            </w:r>
            <w:r>
              <w:rPr>
                <w:rFonts w:ascii="Times New Roman" w:hAnsi="Times New Roman"/>
                <w:spacing w:val="8"/>
                <w:sz w:val="24"/>
                <w:szCs w:val="24"/>
                <w:shd w:val="clear"/>
              </w:rPr>
              <w:t>的</w:t>
            </w:r>
            <w:r>
              <w:rPr>
                <w:rFonts w:hint="eastAsia" w:ascii="Times New Roman" w:hAnsi="Times New Roman"/>
                <w:spacing w:val="8"/>
                <w:sz w:val="24"/>
                <w:szCs w:val="24"/>
                <w:shd w:val="clear"/>
                <w:lang w:val="en-US" w:eastAsia="zh-CN"/>
              </w:rPr>
              <w:t>现有</w:t>
            </w:r>
            <w:r>
              <w:rPr>
                <w:rFonts w:ascii="Times New Roman" w:hAnsi="Times New Roman"/>
                <w:spacing w:val="8"/>
                <w:sz w:val="24"/>
                <w:szCs w:val="24"/>
                <w:shd w:val="clear"/>
              </w:rPr>
              <w:t>厂房，</w:t>
            </w:r>
            <w:r>
              <w:rPr>
                <w:rFonts w:ascii="Times New Roman" w:hAnsi="Times New Roman"/>
                <w:spacing w:val="8"/>
                <w:sz w:val="24"/>
                <w:szCs w:val="24"/>
              </w:rPr>
              <w:t>未新增用地，根据出租方提供的</w:t>
            </w:r>
            <w:r>
              <w:rPr>
                <w:rFonts w:ascii="Times New Roman" w:hAnsi="Times New Roman"/>
                <w:spacing w:val="7"/>
                <w:sz w:val="24"/>
                <w:szCs w:val="24"/>
              </w:rPr>
              <w:t>不动产权证</w:t>
            </w:r>
            <w:r>
              <w:rPr>
                <w:rFonts w:hint="eastAsia" w:ascii="Times New Roman" w:hAnsi="Times New Roman"/>
                <w:spacing w:val="7"/>
                <w:sz w:val="24"/>
                <w:szCs w:val="24"/>
                <w:lang w:val="en-US" w:eastAsia="zh-CN"/>
              </w:rPr>
              <w:t>和施工许可证</w:t>
            </w:r>
            <w:r>
              <w:rPr>
                <w:rFonts w:ascii="Times New Roman" w:hAnsi="Times New Roman"/>
                <w:sz w:val="24"/>
                <w:szCs w:val="24"/>
              </w:rPr>
              <w:t>(详见</w:t>
            </w:r>
            <w:r>
              <w:rPr>
                <w:rFonts w:ascii="Times New Roman" w:hAnsi="Times New Roman"/>
                <w:b w:val="0"/>
                <w:bCs w:val="0"/>
                <w:sz w:val="24"/>
                <w:szCs w:val="24"/>
              </w:rPr>
              <w:t>附件</w:t>
            </w:r>
            <w:r>
              <w:rPr>
                <w:rFonts w:hint="eastAsia" w:ascii="Times New Roman" w:hAnsi="Times New Roman"/>
                <w:b w:val="0"/>
                <w:bCs w:val="0"/>
                <w:sz w:val="24"/>
                <w:szCs w:val="24"/>
                <w:lang w:val="en-US" w:eastAsia="zh-CN"/>
              </w:rPr>
              <w:t>4</w:t>
            </w:r>
            <w:r>
              <w:rPr>
                <w:rFonts w:ascii="Times New Roman" w:hAnsi="Times New Roman"/>
                <w:b w:val="0"/>
                <w:bCs w:val="0"/>
                <w:sz w:val="24"/>
                <w:szCs w:val="24"/>
              </w:rPr>
              <w:t>)</w:t>
            </w:r>
            <w:r>
              <w:rPr>
                <w:rFonts w:ascii="Times New Roman" w:hAnsi="Times New Roman"/>
                <w:sz w:val="24"/>
                <w:szCs w:val="24"/>
              </w:rPr>
              <w:t>可知，该厂</w:t>
            </w:r>
            <w:r>
              <w:rPr>
                <w:rFonts w:ascii="Times New Roman" w:hAnsi="Times New Roman"/>
                <w:spacing w:val="3"/>
                <w:sz w:val="24"/>
                <w:szCs w:val="24"/>
              </w:rPr>
              <w:t>区用地为工业用地，厂房为工业厂房，本项</w:t>
            </w:r>
            <w:r>
              <w:rPr>
                <w:rFonts w:ascii="Times New Roman" w:hAnsi="Times New Roman"/>
                <w:spacing w:val="2"/>
                <w:sz w:val="24"/>
                <w:szCs w:val="24"/>
              </w:rPr>
              <w:t>目从事</w:t>
            </w:r>
            <w:r>
              <w:rPr>
                <w:rFonts w:hint="eastAsia" w:ascii="Times New Roman" w:hAnsi="Times New Roman"/>
                <w:color w:val="000000" w:themeColor="text1"/>
                <w:sz w:val="24"/>
                <w:highlight w:val="none"/>
                <w:shd w:val="clear"/>
                <w:lang w:eastAsia="zh-CN"/>
                <w14:textFill>
                  <w14:solidFill>
                    <w14:schemeClr w14:val="tx1"/>
                  </w14:solidFill>
                </w14:textFill>
              </w:rPr>
              <w:t>汽车座椅骨架</w:t>
            </w:r>
            <w:r>
              <w:rPr>
                <w:rFonts w:ascii="Times New Roman" w:hAnsi="Times New Roman"/>
                <w:color w:val="000000" w:themeColor="text1"/>
                <w:sz w:val="24"/>
                <w:highlight w:val="none"/>
                <w14:textFill>
                  <w14:solidFill>
                    <w14:schemeClr w14:val="tx1"/>
                  </w14:solidFill>
                </w14:textFill>
              </w:rPr>
              <w:t>的加工生产</w:t>
            </w:r>
            <w:r>
              <w:rPr>
                <w:rFonts w:ascii="Times New Roman" w:hAnsi="Times New Roman"/>
                <w:sz w:val="24"/>
                <w:szCs w:val="24"/>
              </w:rPr>
              <w:t>，属于工业企</w:t>
            </w:r>
            <w:r>
              <w:rPr>
                <w:rFonts w:ascii="Times New Roman" w:hAnsi="Times New Roman"/>
                <w:spacing w:val="-1"/>
                <w:sz w:val="24"/>
                <w:szCs w:val="24"/>
              </w:rPr>
              <w:t>业，</w:t>
            </w:r>
            <w:r>
              <w:rPr>
                <w:rFonts w:ascii="Times New Roman" w:hAnsi="Times New Roman"/>
                <w:sz w:val="24"/>
                <w:szCs w:val="24"/>
              </w:rPr>
              <w:t>因此，项目选址符合当地土地利用规划</w:t>
            </w:r>
            <w:r>
              <w:rPr>
                <w:sz w:val="24"/>
                <w:szCs w:val="24"/>
              </w:rPr>
              <w:t>。</w:t>
            </w:r>
          </w:p>
          <w:p>
            <w:pPr>
              <w:pStyle w:val="3"/>
              <w:bidi w:val="0"/>
              <w:rPr>
                <w:rFonts w:hint="eastAsia"/>
              </w:rPr>
            </w:pPr>
            <w:r>
              <w:rPr>
                <w:rFonts w:hint="eastAsia"/>
                <w:lang w:val="en-US" w:eastAsia="zh-CN"/>
              </w:rPr>
              <w:t>环境功能区划符合性分析</w:t>
            </w:r>
          </w:p>
          <w:p>
            <w:pPr>
              <w:pStyle w:val="11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宋体"/>
                <w:snapToGrid w:val="0"/>
                <w:color w:val="000000" w:themeColor="text1"/>
                <w:kern w:val="18"/>
                <w:sz w:val="24"/>
                <w:szCs w:val="20"/>
                <w:u w:val="none"/>
                <w:shd w:val="clear"/>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18"/>
                <w:sz w:val="24"/>
                <w:szCs w:val="20"/>
                <w:u w:val="none"/>
                <w:lang w:val="en-US" w:eastAsia="zh-CN" w:bidi="ar-SA"/>
                <w14:textFill>
                  <w14:solidFill>
                    <w14:schemeClr w14:val="tx1"/>
                  </w14:solidFill>
                </w14:textFill>
              </w:rPr>
              <w:t>项目运营期环境空气污染排放源强很低，对周围环境空气不会产生显著影响，符合《环境空气质量标准》(GB3095-2012)及其修改单中二级标准；</w:t>
            </w:r>
            <w:r>
              <w:rPr>
                <w:rFonts w:hint="eastAsia" w:ascii="Times New Roman" w:hAnsi="Times New Roman" w:eastAsia="宋体" w:cs="宋体"/>
                <w:snapToGrid w:val="0"/>
                <w:color w:val="000000" w:themeColor="text1"/>
                <w:kern w:val="18"/>
                <w:sz w:val="24"/>
                <w:szCs w:val="20"/>
                <w:u w:val="none"/>
                <w:shd w:val="clear"/>
                <w:lang w:val="en-US" w:eastAsia="zh-CN" w:bidi="ar-SA"/>
                <w14:textFill>
                  <w14:solidFill>
                    <w14:schemeClr w14:val="tx1"/>
                  </w14:solidFill>
                </w14:textFill>
              </w:rPr>
              <w:t>本项目运营期产生生活污水，且生活污水依托出租方的化粪池处理后进入市政污水管网</w:t>
            </w:r>
            <w:r>
              <w:rPr>
                <w:rFonts w:hint="eastAsia" w:ascii="Times New Roman" w:hAnsi="Times New Roman" w:cs="宋体"/>
                <w:snapToGrid w:val="0"/>
                <w:color w:val="000000" w:themeColor="text1"/>
                <w:kern w:val="18"/>
                <w:sz w:val="24"/>
                <w:szCs w:val="20"/>
                <w:u w:val="none"/>
                <w:shd w:val="clear"/>
                <w:lang w:val="en-US" w:eastAsia="zh-CN" w:bidi="ar-SA"/>
                <w14:textFill>
                  <w14:solidFill>
                    <w14:schemeClr w14:val="tx1"/>
                  </w14:solidFill>
                </w14:textFill>
              </w:rPr>
              <w:t>（排水证明见附件10）</w:t>
            </w:r>
            <w:r>
              <w:rPr>
                <w:rFonts w:hint="eastAsia" w:ascii="Times New Roman" w:hAnsi="Times New Roman" w:eastAsia="宋体" w:cs="宋体"/>
                <w:snapToGrid w:val="0"/>
                <w:color w:val="000000" w:themeColor="text1"/>
                <w:kern w:val="18"/>
                <w:sz w:val="24"/>
                <w:szCs w:val="20"/>
                <w:u w:val="none"/>
                <w:shd w:val="clear"/>
                <w:lang w:val="en-US" w:eastAsia="zh-CN" w:bidi="ar-SA"/>
                <w14:textFill>
                  <w14:solidFill>
                    <w14:schemeClr w14:val="tx1"/>
                  </w14:solidFill>
                </w14:textFill>
              </w:rPr>
              <w:t>，最终排入福清市第二污水处理厂统一处理后达标排放，不直接排入周边地表水体，纳污水域龙江符合《地表水环境质量标准》(GB3838-2002)V类标准；项目在采取一定的噪声污染防治措施后，项目产生的噪声不会对周围环境产生显著影响，项目所在区域的环境噪声符合《声环境质量标准》(GB3096-2008)的</w:t>
            </w:r>
            <w:r>
              <w:rPr>
                <w:rFonts w:hint="eastAsia" w:ascii="Times New Roman" w:hAnsi="Times New Roman" w:cs="宋体"/>
                <w:snapToGrid w:val="0"/>
                <w:color w:val="000000" w:themeColor="text1"/>
                <w:kern w:val="18"/>
                <w:sz w:val="24"/>
                <w:szCs w:val="20"/>
                <w:u w:val="none"/>
                <w:shd w:val="clear"/>
                <w:lang w:val="en-US" w:eastAsia="zh-CN" w:bidi="ar-SA"/>
                <w14:textFill>
                  <w14:solidFill>
                    <w14:schemeClr w14:val="tx1"/>
                  </w14:solidFill>
                </w14:textFill>
              </w:rPr>
              <w:t>3</w:t>
            </w:r>
            <w:r>
              <w:rPr>
                <w:rFonts w:hint="eastAsia" w:ascii="Times New Roman" w:hAnsi="Times New Roman" w:eastAsia="宋体" w:cs="宋体"/>
                <w:snapToGrid w:val="0"/>
                <w:color w:val="000000" w:themeColor="text1"/>
                <w:kern w:val="18"/>
                <w:sz w:val="24"/>
                <w:szCs w:val="20"/>
                <w:u w:val="none"/>
                <w:shd w:val="clear"/>
                <w:lang w:val="en-US" w:eastAsia="zh-CN" w:bidi="ar-SA"/>
                <w14:textFill>
                  <w14:solidFill>
                    <w14:schemeClr w14:val="tx1"/>
                  </w14:solidFill>
                </w14:textFill>
              </w:rPr>
              <w:t>类区标准，因此，项目建设符合环境功能规划。</w:t>
            </w:r>
          </w:p>
          <w:p>
            <w:pPr>
              <w:pStyle w:val="3"/>
              <w:bidi w:val="0"/>
              <w:rPr>
                <w:rFonts w:hint="eastAsia"/>
                <w:lang w:val="en-US" w:eastAsia="zh-CN"/>
              </w:rPr>
            </w:pPr>
            <w:r>
              <w:rPr>
                <w:rFonts w:hint="eastAsia"/>
                <w:lang w:val="en-US" w:eastAsia="zh-CN"/>
              </w:rPr>
              <w:t>与周边相容性分析</w:t>
            </w:r>
          </w:p>
          <w:p>
            <w:pPr>
              <w:pStyle w:val="11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sz w:val="25"/>
                <w:szCs w:val="25"/>
              </w:rPr>
            </w:pP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本项目位</w:t>
            </w:r>
            <w:r>
              <w:rPr>
                <w:rFonts w:hint="eastAsia"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于福清融侨经济技术开发区</w:t>
            </w:r>
            <w:r>
              <w:rPr>
                <w:rFonts w:hint="eastAsia" w:ascii="Times New Roman" w:hAnsi="Times New Roman" w:cs="宋体"/>
                <w:color w:val="000000" w:themeColor="text1"/>
                <w:kern w:val="0"/>
                <w:sz w:val="24"/>
                <w:szCs w:val="20"/>
                <w:highlight w:val="none"/>
                <w:shd w:val="clear"/>
                <w:lang w:val="zh-CN" w:eastAsia="zh-CN" w:bidi="ar-SA"/>
                <w14:textFill>
                  <w14:solidFill>
                    <w14:schemeClr w14:val="tx1"/>
                  </w14:solidFill>
                </w14:textFill>
              </w:rPr>
              <w:t>福州清山压铸有限公司2#厂房、3#新厂房</w:t>
            </w: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，根据现场勘查，周边以工业企业为主，项目周边</w:t>
            </w:r>
            <w:r>
              <w:rPr>
                <w:rFonts w:hint="eastAsia"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环境现</w:t>
            </w:r>
            <w:r>
              <w:rPr>
                <w:rFonts w:hint="eastAsia" w:ascii="Times New Roman" w:hAnsi="Times New Roman" w:cs="宋体"/>
                <w:color w:val="000000" w:themeColor="text1"/>
                <w:kern w:val="0"/>
                <w:sz w:val="24"/>
                <w:szCs w:val="20"/>
                <w:highlight w:val="none"/>
                <w:shd w:val="clear"/>
                <w:lang w:val="en-US" w:eastAsia="zh-CN" w:bidi="ar-SA"/>
                <w14:textFill>
                  <w14:solidFill>
                    <w14:schemeClr w14:val="tx1"/>
                  </w14:solidFill>
                </w14:textFill>
              </w:rPr>
              <w:t>状</w:t>
            </w:r>
            <w:r>
              <w:rPr>
                <w:rFonts w:hint="eastAsia"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示意图详见附图2,项目周边环境现状拍摄图详见附图3;</w:t>
            </w: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建设单位在确实落实本评价提出的各项污染治理措施的前提下，可实现污染物达标排放，且各污染物排放源强较低，运营期产生的“三废”及噪声对周边环境影响不明显，因此，项目建设与周边环境基本相容。</w:t>
            </w:r>
          </w:p>
          <w:p>
            <w:pPr>
              <w:pStyle w:val="3"/>
              <w:bidi w:val="0"/>
              <w:rPr>
                <w:rFonts w:hint="eastAsia"/>
              </w:rPr>
            </w:pPr>
            <w:r>
              <w:rPr>
                <w:rFonts w:hint="eastAsia"/>
              </w:rPr>
              <w:t>“三线一单”控制要求符合性分析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根据《关于以改善环境质量为核心加强环境影响评价管理的通知》(环评〔2016〕150号),“三线一单”即：“生态保护红线、环境质量底线、资源利用上线和生态环境准入清单”,项目建设应强化“三线一单”约束作用。</w:t>
            </w:r>
          </w:p>
          <w:p>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生态保护红线</w:t>
            </w:r>
          </w:p>
          <w:p>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000000" w:themeColor="text1"/>
                <w14:textFill>
                  <w14:solidFill>
                    <w14:schemeClr w14:val="tx1"/>
                  </w14:solidFill>
                </w14:textFill>
              </w:rPr>
            </w:pPr>
            <w:r>
              <w:rPr>
                <w:rFonts w:hint="eastAsia" w:eastAsia="宋体" w:cs="宋体"/>
                <w:color w:val="000000" w:themeColor="text1"/>
                <w14:textFill>
                  <w14:solidFill>
                    <w14:schemeClr w14:val="tx1"/>
                  </w14:solidFill>
                </w14:textFill>
              </w:rPr>
              <w:t>对照《福建省生态保护红线划定方案》及其调整方案、《福清市生态功能区划》(2003年),本项目位于福清市镜洋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w:t>
            </w:r>
          </w:p>
          <w:p>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000000" w:themeColor="text1"/>
                <w14:textFill>
                  <w14:solidFill>
                    <w14:schemeClr w14:val="tx1"/>
                  </w14:solidFill>
                </w14:textFill>
              </w:rPr>
            </w:pPr>
            <w:r>
              <w:rPr>
                <w:rFonts w:hint="eastAsia" w:eastAsia="宋体" w:cs="宋体"/>
                <w:color w:val="000000" w:themeColor="text1"/>
                <w14:textFill>
                  <w14:solidFill>
                    <w14:schemeClr w14:val="tx1"/>
                  </w14:solidFill>
                </w14:textFill>
              </w:rPr>
              <w:t>因此，项目建设符合生态红线控制的要求。</w:t>
            </w:r>
          </w:p>
          <w:p>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环境质量底线</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000000" w:themeColor="text1"/>
                <w:highlight w:val="none"/>
                <w:lang w:val="en-US" w:eastAsia="zh-CN"/>
                <w14:textFill>
                  <w14:solidFill>
                    <w14:schemeClr w14:val="tx1"/>
                  </w14:solidFill>
                </w14:textFill>
              </w:rPr>
            </w:pPr>
            <w:r>
              <w:rPr>
                <w:rFonts w:hint="eastAsia" w:eastAsia="宋体" w:cs="宋体"/>
                <w:color w:val="000000" w:themeColor="text1"/>
                <w:highlight w:val="none"/>
                <w:lang w:val="en-US" w:eastAsia="zh-CN"/>
                <w14:textFill>
                  <w14:solidFill>
                    <w14:schemeClr w14:val="tx1"/>
                  </w14:solidFill>
                </w14:textFill>
              </w:rPr>
              <w:t>目前，</w:t>
            </w:r>
            <w:r>
              <w:rPr>
                <w:rFonts w:hint="eastAsia" w:eastAsia="宋体" w:cs="宋体"/>
                <w:color w:val="000000" w:themeColor="text1"/>
                <w:highlight w:val="none"/>
                <w:shd w:val="clear"/>
                <w:lang w:val="en-US" w:eastAsia="zh-CN"/>
                <w14:textFill>
                  <w14:solidFill>
                    <w14:schemeClr w14:val="tx1"/>
                  </w14:solidFill>
                </w14:textFill>
              </w:rPr>
              <w:t>龙江水质符合GB3838-2002《地表水环境质量标准》中V类标准；项目所在区域的环境空气质量现状符合《环境空气质量标准》(GB3095-2012)及2018年修改单中二级标准，</w:t>
            </w:r>
            <w:r>
              <w:rPr>
                <w:rFonts w:hint="eastAsia" w:eastAsia="宋体" w:cs="宋体"/>
                <w:color w:val="000000" w:themeColor="text1"/>
                <w:highlight w:val="none"/>
                <w:lang w:val="en-US" w:eastAsia="zh-CN"/>
                <w14:textFill>
                  <w14:solidFill>
                    <w14:schemeClr w14:val="tx1"/>
                  </w14:solidFill>
                </w14:textFill>
              </w:rPr>
              <w:t>属于达标区；项目所在区域声环境质量现状</w:t>
            </w:r>
            <w:r>
              <w:rPr>
                <w:rFonts w:hint="eastAsia" w:eastAsia="宋体" w:cs="宋体"/>
                <w:color w:val="000000" w:themeColor="text1"/>
                <w:highlight w:val="none"/>
                <w:shd w:val="clear"/>
                <w:lang w:val="en-US" w:eastAsia="zh-CN"/>
                <w14:textFill>
                  <w14:solidFill>
                    <w14:schemeClr w14:val="tx1"/>
                  </w14:solidFill>
                </w14:textFill>
              </w:rPr>
              <w:t>符合《声环境质量标准》(GB3096-2008)中</w:t>
            </w:r>
            <w:r>
              <w:rPr>
                <w:rFonts w:hint="eastAsia" w:cs="宋体"/>
                <w:color w:val="000000" w:themeColor="text1"/>
                <w:highlight w:val="none"/>
                <w:shd w:val="clear"/>
                <w:lang w:val="en-US" w:eastAsia="zh-CN"/>
                <w14:textFill>
                  <w14:solidFill>
                    <w14:schemeClr w14:val="tx1"/>
                  </w14:solidFill>
                </w14:textFill>
              </w:rPr>
              <w:t>3</w:t>
            </w:r>
            <w:r>
              <w:rPr>
                <w:rFonts w:hint="eastAsia" w:eastAsia="宋体" w:cs="宋体"/>
                <w:color w:val="000000" w:themeColor="text1"/>
                <w:highlight w:val="none"/>
                <w:shd w:val="clear"/>
                <w:lang w:val="en-US" w:eastAsia="zh-CN"/>
                <w14:textFill>
                  <w14:solidFill>
                    <w14:schemeClr w14:val="tx1"/>
                  </w14:solidFill>
                </w14:textFill>
              </w:rPr>
              <w:t>类标准。</w:t>
            </w:r>
            <w:r>
              <w:rPr>
                <w:rFonts w:hint="eastAsia" w:eastAsia="宋体" w:cs="宋体"/>
                <w:color w:val="000000" w:themeColor="text1"/>
                <w:highlight w:val="none"/>
                <w:lang w:val="en-US" w:eastAsia="zh-CN"/>
                <w14:textFill>
                  <w14:solidFill>
                    <w14:schemeClr w14:val="tx1"/>
                  </w14:solidFill>
                </w14:textFill>
              </w:rPr>
              <w:t>因此，项目所在区域环境现状质量良好。</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000000" w:themeColor="text1"/>
                <w:highlight w:val="none"/>
                <w:lang w:val="en-US" w:eastAsia="zh-CN"/>
                <w14:textFill>
                  <w14:solidFill>
                    <w14:schemeClr w14:val="tx1"/>
                  </w14:solidFill>
                </w14:textFill>
              </w:rPr>
            </w:pPr>
            <w:r>
              <w:rPr>
                <w:rFonts w:hint="eastAsia" w:eastAsia="宋体" w:cs="宋体"/>
                <w:color w:val="000000" w:themeColor="text1"/>
                <w:highlight w:val="none"/>
                <w:lang w:val="en-US" w:eastAsia="zh-CN"/>
                <w14:textFill>
                  <w14:solidFill>
                    <w14:schemeClr w14:val="tx1"/>
                  </w14:solidFill>
                </w14:textFill>
              </w:rPr>
              <w:t>本项目运营</w:t>
            </w:r>
            <w:r>
              <w:rPr>
                <w:rFonts w:hint="eastAsia" w:eastAsia="宋体" w:cs="宋体"/>
                <w:color w:val="000000" w:themeColor="text1"/>
                <w:highlight w:val="none"/>
                <w:shd w:val="clear"/>
                <w:lang w:val="en-US" w:eastAsia="zh-CN"/>
                <w14:textFill>
                  <w14:solidFill>
                    <w14:schemeClr w14:val="tx1"/>
                  </w14:solidFill>
                </w14:textFill>
              </w:rPr>
              <w:t>期</w:t>
            </w:r>
            <w:r>
              <w:rPr>
                <w:rFonts w:hint="eastAsia" w:cs="宋体"/>
                <w:color w:val="000000" w:themeColor="text1"/>
                <w:highlight w:val="none"/>
                <w:shd w:val="clear"/>
                <w:lang w:val="en-US" w:eastAsia="zh-CN"/>
                <w14:textFill>
                  <w14:solidFill>
                    <w14:schemeClr w14:val="tx1"/>
                  </w14:solidFill>
                </w14:textFill>
              </w:rPr>
              <w:t>生产废水经过污水处理设施处理达标后排入市政污水管网进入福清市第二污水处理厂；</w:t>
            </w:r>
            <w:r>
              <w:rPr>
                <w:rFonts w:hint="eastAsia" w:eastAsia="宋体" w:cs="宋体"/>
                <w:color w:val="000000" w:themeColor="text1"/>
                <w:highlight w:val="none"/>
                <w:shd w:val="clear"/>
                <w:lang w:val="en-US" w:eastAsia="zh-CN"/>
                <w14:textFill>
                  <w14:solidFill>
                    <w14:schemeClr w14:val="tx1"/>
                  </w14:solidFill>
                </w14:textFill>
              </w:rPr>
              <w:t>生活污水经化粪池处理后排入市政污水管网进入福清市第二污水处理厂；</w:t>
            </w:r>
            <w:r>
              <w:rPr>
                <w:rFonts w:hint="eastAsia" w:eastAsia="宋体" w:cs="宋体"/>
                <w:color w:val="000000" w:themeColor="text1"/>
                <w:highlight w:val="none"/>
                <w:lang w:val="en-US" w:eastAsia="zh-CN"/>
                <w14:textFill>
                  <w14:solidFill>
                    <w14:schemeClr w14:val="tx1"/>
                  </w14:solidFill>
                </w14:textFill>
              </w:rPr>
              <w:t>项目废气经处理达标后对周围大气环境影响较小；各生产设备产生的噪声经隔声、减振等降噪措施处理后也不会对周边声环境造成重大影响。综上分析，项目在采取本环评提出的防治措施后，运营期排放的污染物不会对区域环境质量底线造成冲击。</w:t>
            </w:r>
          </w:p>
          <w:p>
            <w:pPr>
              <w:pStyle w:val="4"/>
              <w:bidi w:val="0"/>
              <w:ind w:left="720" w:leftChars="0" w:hanging="72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资源利用上线</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项目用水、用电为区域集中供应，项目运行过程通过内部管理、设备选择、原辅材料的选用和管理、废物回收利用、污染治理等多方面采取合理可行的防治措施，以“节能、降耗、减污”为目标，有效</w:t>
            </w:r>
            <w:r>
              <w:rPr>
                <w:rFonts w:hint="eastAsia"/>
                <w:color w:val="000000" w:themeColor="text1"/>
                <w:highlight w:val="none"/>
                <w:lang w:eastAsia="zh-CN"/>
                <w14:textFill>
                  <w14:solidFill>
                    <w14:schemeClr w14:val="tx1"/>
                  </w14:solidFill>
                </w14:textFill>
              </w:rPr>
              <w:t>地</w:t>
            </w:r>
            <w:r>
              <w:rPr>
                <w:rFonts w:hint="eastAsia"/>
                <w:color w:val="000000" w:themeColor="text1"/>
                <w:highlight w:val="none"/>
                <w14:textFill>
                  <w14:solidFill>
                    <w14:schemeClr w14:val="tx1"/>
                  </w14:solidFill>
                </w14:textFill>
              </w:rPr>
              <w:t>控制污染。项目运营期水、原料等资源利用不会突破区域的资源利用上线。</w:t>
            </w:r>
          </w:p>
          <w:p>
            <w:pPr>
              <w:pStyle w:val="4"/>
              <w:bidi w:val="0"/>
              <w:ind w:left="720" w:leftChars="0" w:hanging="72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与生态环境准入清单要求符合性分析</w:t>
            </w:r>
          </w:p>
          <w:p>
            <w:pPr>
              <w:pStyle w:val="44"/>
              <w:ind w:firstLine="480"/>
              <w:rPr>
                <w:rFonts w:hint="default"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14:textFill>
                  <w14:solidFill>
                    <w14:schemeClr w14:val="tx1"/>
                  </w14:solidFill>
                </w14:textFill>
              </w:rPr>
              <w:t>本项目不属于《产业结构调整指导目录(2024)》中限制或淘汰类；满足《市场准入负面清单草案(试点版)》(发改经体〔2016〕442号);项目无行业准入条件；不属于福建省人民政府关于加强重点流域水环境</w:t>
            </w:r>
            <w:r>
              <w:rPr>
                <w:rFonts w:hint="eastAsia" w:cs="宋体"/>
                <w:color w:val="000000" w:themeColor="text1"/>
                <w:kern w:val="0"/>
                <w:szCs w:val="21"/>
                <w:highlight w:val="none"/>
                <w:lang w:eastAsia="zh-CN"/>
                <w14:textFill>
                  <w14:solidFill>
                    <w14:schemeClr w14:val="tx1"/>
                  </w14:solidFill>
                </w14:textFill>
              </w:rPr>
              <w:t>综合</w:t>
            </w:r>
            <w:r>
              <w:rPr>
                <w:rFonts w:hint="eastAsia" w:ascii="Times New Roman" w:hAnsi="Times New Roman" w:eastAsia="宋体" w:cs="宋体"/>
                <w:color w:val="000000" w:themeColor="text1"/>
                <w:kern w:val="0"/>
                <w:szCs w:val="21"/>
                <w:highlight w:val="none"/>
                <w14:textFill>
                  <w14:solidFill>
                    <w14:schemeClr w14:val="tx1"/>
                  </w14:solidFill>
                </w14:textFill>
              </w:rPr>
              <w:t>整治的意见</w:t>
            </w:r>
            <w:r>
              <w:rPr>
                <w:rFonts w:hint="eastAsia" w:cs="宋体"/>
                <w:color w:val="000000" w:themeColor="text1"/>
                <w:kern w:val="0"/>
                <w:szCs w:val="21"/>
                <w:highlight w:val="none"/>
                <w:lang w:eastAsia="zh-CN"/>
                <w14:textFill>
                  <w14:solidFill>
                    <w14:schemeClr w14:val="tx1"/>
                  </w14:solidFill>
                </w14:textFill>
              </w:rPr>
              <w:t>中</w:t>
            </w:r>
            <w:r>
              <w:rPr>
                <w:rFonts w:hint="eastAsia" w:ascii="Times New Roman" w:hAnsi="Times New Roman" w:eastAsia="宋体" w:cs="宋体"/>
                <w:color w:val="000000" w:themeColor="text1"/>
                <w:kern w:val="0"/>
                <w:szCs w:val="21"/>
                <w:highlight w:val="none"/>
                <w14:textFill>
                  <w14:solidFill>
                    <w14:schemeClr w14:val="tx1"/>
                  </w14:solidFill>
                </w14:textFill>
              </w:rPr>
              <w:t>禁止的产业；满足《福建省工业建设项目投资强度控制指标》相关要求；</w:t>
            </w:r>
            <w:r>
              <w:rPr>
                <w:rFonts w:hint="default" w:ascii="Times New Roman" w:hAnsi="Times New Roman" w:eastAsia="宋体" w:cs="宋体"/>
                <w:color w:val="000000" w:themeColor="text1"/>
                <w:kern w:val="0"/>
                <w:szCs w:val="21"/>
                <w:highlight w:val="none"/>
                <w14:textFill>
                  <w14:solidFill>
                    <w14:schemeClr w14:val="tx1"/>
                  </w14:solidFill>
                </w14:textFill>
              </w:rPr>
              <w:t>项目符合国家产业政策，符合《福建省人民政府关于实施“三线一单”生态环境分区管控的通知(闽政〔2020〕12号》全省生态环境总体准入要求及《福州市人民政府关于实施“三线一单”生态分区管控的通知》(榕政综〔2021〕178号)、《福州市生态环境准入清单(2024版)》的要求；不属于《市场准入负面清单》(2025年版)中禁止准入类的项目。</w:t>
            </w:r>
          </w:p>
          <w:p>
            <w:pPr>
              <w:pStyle w:val="4"/>
              <w:bidi w:val="0"/>
              <w:ind w:left="720" w:leftChars="0" w:hanging="720" w:firstLineChars="0"/>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与</w:t>
            </w:r>
            <w:r>
              <w:rPr>
                <w:rFonts w:hint="eastAsia"/>
                <w:color w:val="000000" w:themeColor="text1"/>
                <w:highlight w:val="none"/>
                <w:lang w:val="en-US" w:eastAsia="zh-CN"/>
                <w14:textFill>
                  <w14:solidFill>
                    <w14:schemeClr w14:val="tx1"/>
                  </w14:solidFill>
                </w14:textFill>
              </w:rPr>
              <w:t>福建省</w:t>
            </w:r>
            <w:r>
              <w:rPr>
                <w:rFonts w:hint="default" w:eastAsia="宋体"/>
                <w:color w:val="000000" w:themeColor="text1"/>
                <w:highlight w:val="none"/>
                <w14:textFill>
                  <w14:solidFill>
                    <w14:schemeClr w14:val="tx1"/>
                  </w14:solidFill>
                </w14:textFill>
              </w:rPr>
              <w:t>生态环境分区管控的要求符合性分析</w:t>
            </w:r>
          </w:p>
          <w:p>
            <w:pPr>
              <w:pStyle w:val="44"/>
              <w:ind w:firstLine="480"/>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根据《福州市人民政府办公厅关于印发福州市生态环境分区管控方案(2023年更新)</w:t>
            </w:r>
            <w:r>
              <w:rPr>
                <w:rFonts w:hint="eastAsia"/>
                <w:color w:val="000000" w:themeColor="text1"/>
                <w:kern w:val="0"/>
                <w:szCs w:val="21"/>
                <w:highlight w:val="none"/>
                <w:lang w:eastAsia="zh-CN"/>
                <w14:textFill>
                  <w14:solidFill>
                    <w14:schemeClr w14:val="tx1"/>
                  </w14:solidFill>
                </w14:textFill>
              </w:rPr>
              <w:t>的通知》</w:t>
            </w:r>
            <w:r>
              <w:rPr>
                <w:rFonts w:hint="eastAsia"/>
                <w:color w:val="000000" w:themeColor="text1"/>
                <w:kern w:val="0"/>
                <w:szCs w:val="21"/>
                <w:highlight w:val="none"/>
                <w14:textFill>
                  <w14:solidFill>
                    <w14:schemeClr w14:val="tx1"/>
                  </w14:solidFill>
                </w14:textFill>
              </w:rPr>
              <w:t>(榕政办规</w:t>
            </w:r>
            <w:r>
              <w:rPr>
                <w:rFonts w:hint="eastAsia"/>
                <w:color w:val="000000" w:themeColor="text1"/>
                <w:kern w:val="0"/>
                <w:szCs w:val="21"/>
                <w:highlight w:val="none"/>
                <w:lang w:eastAsia="zh-CN"/>
                <w14:textFill>
                  <w14:solidFill>
                    <w14:schemeClr w14:val="tx1"/>
                  </w14:solidFill>
                </w14:textFill>
              </w:rPr>
              <w:t>〔2024〕20号</w:t>
            </w:r>
            <w:r>
              <w:rPr>
                <w:rFonts w:hint="eastAsia"/>
                <w:color w:val="000000" w:themeColor="text1"/>
                <w:kern w:val="0"/>
                <w:szCs w:val="21"/>
                <w:highlight w:val="none"/>
                <w14:textFill>
                  <w14:solidFill>
                    <w14:schemeClr w14:val="tx1"/>
                  </w14:solidFill>
                </w14:textFill>
              </w:rPr>
              <w:t>)及</w:t>
            </w:r>
            <w:r>
              <w:rPr>
                <w:rFonts w:hint="eastAsia"/>
                <w:color w:val="000000" w:themeColor="text1"/>
                <w:sz w:val="24"/>
                <w:szCs w:val="24"/>
                <w:lang w:val="en-US" w:eastAsia="zh-CN"/>
                <w14:textFill>
                  <w14:solidFill>
                    <w14:schemeClr w14:val="tx1"/>
                  </w14:solidFill>
                </w14:textFill>
              </w:rPr>
              <w:t>福建省生态环境分区管控综合查询报告</w:t>
            </w:r>
            <w:r>
              <w:rPr>
                <w:rFonts w:hint="eastAsia"/>
                <w:color w:val="000000" w:themeColor="text1"/>
                <w:kern w:val="0"/>
                <w:szCs w:val="21"/>
                <w:highlight w:val="none"/>
                <w:shd w:val="clear"/>
                <w14:textFill>
                  <w14:solidFill>
                    <w14:schemeClr w14:val="tx1"/>
                  </w14:solidFill>
                </w14:textFill>
              </w:rPr>
              <w:t>（附件</w:t>
            </w:r>
            <w:r>
              <w:rPr>
                <w:rFonts w:hint="eastAsia"/>
                <w:color w:val="000000" w:themeColor="text1"/>
                <w:kern w:val="0"/>
                <w:szCs w:val="21"/>
                <w:highlight w:val="none"/>
                <w:shd w:val="clear"/>
                <w:lang w:val="en-US" w:eastAsia="zh-CN"/>
                <w14:textFill>
                  <w14:solidFill>
                    <w14:schemeClr w14:val="tx1"/>
                  </w14:solidFill>
                </w14:textFill>
              </w:rPr>
              <w:t>5</w:t>
            </w:r>
            <w:r>
              <w:rPr>
                <w:rFonts w:hint="eastAsia"/>
                <w:color w:val="000000" w:themeColor="text1"/>
                <w:kern w:val="0"/>
                <w:szCs w:val="21"/>
                <w:highlight w:val="none"/>
                <w:shd w:val="clear"/>
                <w14:textFill>
                  <w14:solidFill>
                    <w14:schemeClr w14:val="tx1"/>
                  </w14:solidFill>
                </w14:textFill>
              </w:rPr>
              <w:t>）</w:t>
            </w:r>
            <w:r>
              <w:rPr>
                <w:rFonts w:hint="eastAsia"/>
                <w:color w:val="000000" w:themeColor="text1"/>
                <w:kern w:val="0"/>
                <w:szCs w:val="21"/>
                <w:highlight w:val="none"/>
                <w14:textFill>
                  <w14:solidFill>
                    <w14:schemeClr w14:val="tx1"/>
                  </w14:solidFill>
                </w14:textFill>
              </w:rPr>
              <w:t>，本项目所在地管控单位类别为重点管控单元（环境管控单元编码：</w:t>
            </w:r>
            <w:r>
              <w:rPr>
                <w:rFonts w:hint="eastAsia"/>
                <w:color w:val="000000" w:themeColor="text1"/>
                <w:kern w:val="0"/>
                <w:szCs w:val="21"/>
                <w:highlight w:val="none"/>
                <w:lang w:val="en-US" w:eastAsia="zh-CN"/>
                <w14:textFill>
                  <w14:solidFill>
                    <w14:schemeClr w14:val="tx1"/>
                  </w14:solidFill>
                </w14:textFill>
              </w:rPr>
              <w:t>ZH35018120008</w:t>
            </w:r>
            <w:r>
              <w:rPr>
                <w:rFonts w:hint="eastAsia"/>
                <w:color w:val="000000" w:themeColor="text1"/>
                <w:kern w:val="0"/>
                <w:szCs w:val="21"/>
                <w:highlight w:val="none"/>
                <w14:textFill>
                  <w14:solidFill>
                    <w14:schemeClr w14:val="tx1"/>
                  </w14:solidFill>
                </w14:textFill>
              </w:rPr>
              <w:t>），空间布局约束管控要求。</w:t>
            </w:r>
            <w:r>
              <w:rPr>
                <w:rFonts w:hint="default" w:ascii="Times New Roman" w:hAnsi="Times New Roman" w:eastAsia="宋体" w:cs="宋体"/>
                <w:color w:val="000000" w:themeColor="text1"/>
                <w:kern w:val="0"/>
                <w:szCs w:val="21"/>
                <w:highlight w:val="none"/>
                <w14:textFill>
                  <w14:solidFill>
                    <w14:schemeClr w14:val="tx1"/>
                  </w14:solidFill>
                </w14:textFill>
              </w:rPr>
              <w:t>项目位于镜洋镇</w:t>
            </w:r>
            <w:r>
              <w:rPr>
                <w:rFonts w:hint="default" w:ascii="Times New Roman" w:hAnsi="Times New Roman" w:eastAsia="宋体" w:cs="宋体"/>
                <w:color w:val="000000" w:themeColor="text1"/>
                <w:kern w:val="0"/>
                <w:szCs w:val="21"/>
                <w:highlight w:val="none"/>
                <w:lang w:val="en-US" w:eastAsia="zh-CN"/>
                <w14:textFill>
                  <w14:solidFill>
                    <w14:schemeClr w14:val="tx1"/>
                  </w14:solidFill>
                </w14:textFill>
              </w:rPr>
              <w:t>过</w:t>
            </w:r>
            <w:r>
              <w:rPr>
                <w:rFonts w:hint="default" w:ascii="Times New Roman" w:hAnsi="Times New Roman" w:eastAsia="宋体" w:cs="宋体"/>
                <w:color w:val="000000" w:themeColor="text1"/>
                <w:kern w:val="0"/>
                <w:szCs w:val="21"/>
                <w:highlight w:val="none"/>
                <w14:textFill>
                  <w14:solidFill>
                    <w14:schemeClr w14:val="tx1"/>
                  </w14:solidFill>
                </w14:textFill>
              </w:rPr>
              <w:t>洋39号，属于</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工业用地，</w:t>
            </w:r>
            <w:r>
              <w:rPr>
                <w:rFonts w:hint="eastAsia"/>
                <w:color w:val="000000" w:themeColor="text1"/>
                <w:kern w:val="0"/>
                <w:szCs w:val="21"/>
                <w:highlight w:val="none"/>
                <w:lang w:val="en-US" w:eastAsia="zh-CN"/>
                <w14:textFill>
                  <w14:solidFill>
                    <w14:schemeClr w14:val="tx1"/>
                  </w14:solidFill>
                </w14:textFill>
              </w:rPr>
              <w:t>属三十三、汽车制造业36——71、汽车零部件及配件制造367，</w:t>
            </w:r>
            <w:r>
              <w:rPr>
                <w:rFonts w:hint="default" w:ascii="Times New Roman" w:hAnsi="Times New Roman" w:eastAsia="宋体" w:cs="宋体"/>
                <w:color w:val="000000" w:themeColor="text1"/>
                <w:kern w:val="0"/>
                <w:szCs w:val="21"/>
                <w:highlight w:val="none"/>
                <w:lang w:val="en-US" w:eastAsia="zh-CN"/>
                <w14:textFill>
                  <w14:solidFill>
                    <w14:schemeClr w14:val="tx1"/>
                  </w14:solidFill>
                </w14:textFill>
              </w:rPr>
              <w:t>为</w:t>
            </w:r>
            <w:r>
              <w:rPr>
                <w:rFonts w:hint="eastAsia" w:cs="宋体"/>
                <w:color w:val="000000" w:themeColor="text1"/>
                <w:kern w:val="0"/>
                <w:szCs w:val="21"/>
                <w:highlight w:val="none"/>
                <w:lang w:val="en-US" w:eastAsia="zh-CN"/>
                <w14:textFill>
                  <w14:solidFill>
                    <w14:schemeClr w14:val="tx1"/>
                  </w14:solidFill>
                </w14:textFill>
              </w:rPr>
              <w:t>规划推荐行业</w:t>
            </w:r>
            <w:r>
              <w:rPr>
                <w:rFonts w:hint="default" w:ascii="Times New Roman" w:hAnsi="Times New Roman" w:eastAsia="宋体" w:cs="宋体"/>
                <w:color w:val="000000" w:themeColor="text1"/>
                <w:kern w:val="0"/>
                <w:szCs w:val="21"/>
                <w:highlight w:val="none"/>
                <w14:textFill>
                  <w14:solidFill>
                    <w14:schemeClr w14:val="tx1"/>
                  </w14:solidFill>
                </w14:textFill>
              </w:rPr>
              <w:t>。项目</w:t>
            </w:r>
            <w:r>
              <w:rPr>
                <w:rFonts w:hint="eastAsia" w:cs="宋体"/>
                <w:color w:val="000000" w:themeColor="text1"/>
                <w:highlight w:val="none"/>
                <w:shd w:val="clear"/>
                <w:lang w:val="en-US" w:eastAsia="zh-CN"/>
                <w14:textFill>
                  <w14:solidFill>
                    <w14:schemeClr w14:val="tx1"/>
                  </w14:solidFill>
                </w14:textFill>
              </w:rPr>
              <w:t>生产废水经过污水处理设施处理达标后排入市政污水管网进入福清市第二污水处理厂；</w:t>
            </w:r>
            <w:r>
              <w:rPr>
                <w:rFonts w:hint="default" w:ascii="Times New Roman" w:hAnsi="Times New Roman" w:eastAsia="宋体" w:cs="宋体"/>
                <w:color w:val="000000" w:themeColor="text1"/>
                <w:kern w:val="0"/>
                <w:szCs w:val="21"/>
                <w:highlight w:val="none"/>
                <w:shd w:val="clear"/>
                <w14:textFill>
                  <w14:solidFill>
                    <w14:schemeClr w14:val="tx1"/>
                  </w14:solidFill>
                </w14:textFill>
              </w:rPr>
              <w:t>生活污水</w:t>
            </w:r>
            <w:r>
              <w:rPr>
                <w:rFonts w:hint="eastAsia" w:ascii="Times New Roman" w:hAnsi="Times New Roman" w:eastAsia="宋体" w:cs="宋体"/>
                <w:color w:val="000000" w:themeColor="text1"/>
                <w:kern w:val="0"/>
                <w:szCs w:val="21"/>
                <w:highlight w:val="none"/>
                <w:shd w:val="clear"/>
                <w:lang w:val="en-US" w:eastAsia="zh-CN"/>
                <w14:textFill>
                  <w14:solidFill>
                    <w14:schemeClr w14:val="tx1"/>
                  </w14:solidFill>
                </w14:textFill>
              </w:rPr>
              <w:t>经</w:t>
            </w:r>
            <w:r>
              <w:rPr>
                <w:rFonts w:hint="default" w:ascii="Times New Roman" w:hAnsi="Times New Roman" w:eastAsia="宋体" w:cs="宋体"/>
                <w:color w:val="000000" w:themeColor="text1"/>
                <w:kern w:val="0"/>
                <w:szCs w:val="21"/>
                <w:highlight w:val="none"/>
                <w:shd w:val="clear"/>
                <w14:textFill>
                  <w14:solidFill>
                    <w14:schemeClr w14:val="tx1"/>
                  </w14:solidFill>
                </w14:textFill>
              </w:rPr>
              <w:t>化粪池处理后排入市政污水管网</w:t>
            </w:r>
            <w:r>
              <w:rPr>
                <w:rFonts w:hint="eastAsia" w:cs="宋体"/>
                <w:color w:val="000000" w:themeColor="text1"/>
                <w:highlight w:val="none"/>
                <w:shd w:val="clear"/>
                <w:lang w:val="en-US" w:eastAsia="zh-CN"/>
                <w14:textFill>
                  <w14:solidFill>
                    <w14:schemeClr w14:val="tx1"/>
                  </w14:solidFill>
                </w14:textFill>
              </w:rPr>
              <w:t>进入福清市第二污水处理厂</w:t>
            </w:r>
            <w:r>
              <w:rPr>
                <w:rFonts w:hint="eastAsia" w:ascii="Times New Roman" w:hAnsi="Times New Roman" w:eastAsia="宋体" w:cs="宋体"/>
                <w:color w:val="000000" w:themeColor="text1"/>
                <w:kern w:val="0"/>
                <w:szCs w:val="21"/>
                <w:highlight w:val="none"/>
                <w:shd w:val="clear"/>
                <w:lang w:eastAsia="zh-CN"/>
                <w14:textFill>
                  <w14:solidFill>
                    <w14:schemeClr w14:val="tx1"/>
                  </w14:solidFill>
                </w14:textFill>
              </w:rPr>
              <w:t>，</w:t>
            </w:r>
            <w:r>
              <w:rPr>
                <w:rFonts w:hint="default" w:ascii="Times New Roman" w:hAnsi="Times New Roman" w:eastAsia="宋体" w:cs="宋体"/>
                <w:color w:val="000000" w:themeColor="text1"/>
                <w:kern w:val="0"/>
                <w:szCs w:val="21"/>
                <w:highlight w:val="none"/>
                <w14:textFill>
                  <w14:solidFill>
                    <w14:schemeClr w14:val="tx1"/>
                  </w14:solidFill>
                </w14:textFill>
              </w:rPr>
              <w:t>不属于以上约束管控的禁止项目，与生态环境准入条件不冲突。</w:t>
            </w:r>
          </w:p>
          <w:p>
            <w:pPr>
              <w:pStyle w:val="44"/>
              <w:ind w:firstLine="480"/>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(1)与</w:t>
            </w:r>
            <w:r>
              <w:rPr>
                <w:rFonts w:hint="eastAsia"/>
                <w:color w:val="000000" w:themeColor="text1"/>
                <w:kern w:val="0"/>
                <w:szCs w:val="21"/>
                <w:highlight w:val="none"/>
                <w:lang w:val="en-GB"/>
                <w14:textFill>
                  <w14:solidFill>
                    <w14:schemeClr w14:val="tx1"/>
                  </w14:solidFill>
                </w14:textFill>
              </w:rPr>
              <w:t>《福建省人民政府关于实施“三线一单”生态环境分区管控的通知》</w:t>
            </w:r>
            <w:r>
              <w:rPr>
                <w:rFonts w:hint="eastAsia"/>
                <w:color w:val="000000" w:themeColor="text1"/>
                <w:kern w:val="0"/>
                <w:szCs w:val="21"/>
                <w:highlight w:val="none"/>
                <w14:textFill>
                  <w14:solidFill>
                    <w14:schemeClr w14:val="tx1"/>
                  </w14:solidFill>
                </w14:textFill>
              </w:rPr>
              <w:t>符合性分析</w:t>
            </w:r>
          </w:p>
          <w:p>
            <w:pPr>
              <w:pStyle w:val="44"/>
              <w:ind w:firstLine="480"/>
              <w:rPr>
                <w:rFonts w:hint="default"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项目与</w:t>
            </w:r>
            <w:r>
              <w:rPr>
                <w:rFonts w:hint="eastAsia"/>
                <w:color w:val="000000" w:themeColor="text1"/>
                <w:kern w:val="0"/>
                <w:szCs w:val="21"/>
                <w:highlight w:val="none"/>
                <w14:textFill>
                  <w14:solidFill>
                    <w14:schemeClr w14:val="tx1"/>
                  </w14:solidFill>
                </w14:textFill>
              </w:rPr>
              <w:t>《福建省人民政府关于实施“三线一单”生态环境分区管控的通知》(闽政</w:t>
            </w:r>
            <w:r>
              <w:rPr>
                <w:rFonts w:hint="eastAsia"/>
                <w:color w:val="000000" w:themeColor="text1"/>
                <w:kern w:val="0"/>
                <w:szCs w:val="21"/>
                <w:highlight w:val="none"/>
                <w:lang w:eastAsia="zh-CN"/>
                <w14:textFill>
                  <w14:solidFill>
                    <w14:schemeClr w14:val="tx1"/>
                  </w14:solidFill>
                </w14:textFill>
              </w:rPr>
              <w:t>〔2020〕12号</w:t>
            </w:r>
            <w:r>
              <w:rPr>
                <w:rFonts w:hint="eastAsia"/>
                <w:color w:val="000000" w:themeColor="text1"/>
                <w:kern w:val="0"/>
                <w:szCs w:val="21"/>
                <w:highlight w:val="none"/>
                <w14:textFill>
                  <w14:solidFill>
                    <w14:schemeClr w14:val="tx1"/>
                  </w14:solidFill>
                </w14:textFill>
              </w:rPr>
              <w:t>)相关要求</w:t>
            </w:r>
            <w:r>
              <w:rPr>
                <w:rFonts w:hint="eastAsia"/>
                <w:color w:val="000000" w:themeColor="text1"/>
                <w:kern w:val="0"/>
                <w:szCs w:val="21"/>
                <w:highlight w:val="none"/>
                <w:lang w:val="en-US" w:eastAsia="zh-CN"/>
                <w14:textFill>
                  <w14:solidFill>
                    <w14:schemeClr w14:val="tx1"/>
                  </w14:solidFill>
                </w14:textFill>
              </w:rPr>
              <w:t>符合性分析</w:t>
            </w:r>
            <w:r>
              <w:rPr>
                <w:rFonts w:hint="eastAsia"/>
                <w:color w:val="000000" w:themeColor="text1"/>
                <w:kern w:val="0"/>
                <w:szCs w:val="21"/>
                <w:highlight w:val="none"/>
                <w14:textFill>
                  <w14:solidFill>
                    <w14:schemeClr w14:val="tx1"/>
                  </w14:solidFill>
                </w14:textFill>
              </w:rPr>
              <w:t>见</w:t>
            </w:r>
            <w:r>
              <w:rPr>
                <w:rFonts w:hint="eastAsia"/>
                <w:color w:val="000000" w:themeColor="text1"/>
                <w:kern w:val="0"/>
                <w:szCs w:val="21"/>
                <w:highlight w:val="none"/>
                <w:lang w:val="en-US" w:eastAsia="zh-CN"/>
                <w14:textFill>
                  <w14:solidFill>
                    <w14:schemeClr w14:val="tx1"/>
                  </w14:solidFill>
                </w14:textFill>
              </w:rPr>
              <w:t>表1.7-1。</w:t>
            </w:r>
          </w:p>
          <w:p>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与全省生态环境总体准入要求的符合性分析</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91"/>
              <w:gridCol w:w="324"/>
              <w:gridCol w:w="3636"/>
              <w:gridCol w:w="1727"/>
              <w:gridCol w:w="6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9" w:hRule="atLeast"/>
                <w:jc w:val="center"/>
              </w:trPr>
              <w:tc>
                <w:tcPr>
                  <w:tcW w:w="691" w:type="dxa"/>
                  <w:tcBorders>
                    <w:bottom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3960" w:type="dxa"/>
                  <w:gridSpan w:val="2"/>
                  <w:tcBorders>
                    <w:bottom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727" w:type="dxa"/>
                  <w:tcBorders>
                    <w:bottom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62" w:type="dxa"/>
                  <w:tcBorders>
                    <w:bottom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restart"/>
                  <w:tcBorders>
                    <w:top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全省陆域</w:t>
                  </w:r>
                </w:p>
              </w:tc>
              <w:tc>
                <w:tcPr>
                  <w:tcW w:w="324" w:type="dxa"/>
                  <w:tcBorders>
                    <w:top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636" w:type="dxa"/>
                  <w:tcBorders>
                    <w:top w:val="single" w:color="000000" w:sz="12" w:space="0"/>
                  </w:tcBorders>
                  <w:noWrap w:val="0"/>
                  <w:vAlign w:val="center"/>
                </w:tcPr>
                <w:p>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1、石化、汽车、船舶、冶金、水泥、制浆造纸、印染等重点产业，要符合全省规划布局要求。</w:t>
                  </w:r>
                </w:p>
                <w:p>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2、严控钢铁、水泥、平板玻璃等产能过剩行业新增产能，新增产能应实施产能等量或减量置换。</w:t>
                  </w:r>
                </w:p>
                <w:p>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3、除列入国家规划的大型煤电和符合相关要求的等容量替代项目，以及以供热为主的热电联产项目外，原则上不再建设新的煤电项目。</w:t>
                  </w:r>
                </w:p>
                <w:p>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4、氟化工产业应集中布局在《关于促进我省氟化工产业绿色高效发展的若干意见》中确定的园区，在上述园区之外不再新建氟化工项目，园区之外现有氟化工项目不再扩大规模。</w:t>
                  </w:r>
                </w:p>
                <w:p>
                  <w:pPr>
                    <w:pStyle w:val="93"/>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5、禁止在水环境质量不能稳定达标的区域内，建设新增相应不达标污染物指标排放量的工业项目。</w:t>
                  </w:r>
                </w:p>
              </w:tc>
              <w:tc>
                <w:tcPr>
                  <w:tcW w:w="1727" w:type="dxa"/>
                  <w:tcBorders>
                    <w:top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1、项目不属于</w:t>
                  </w:r>
                  <w:r>
                    <w:rPr>
                      <w:rFonts w:hint="default" w:ascii="Times New Roman" w:hAnsi="Times New Roman" w:eastAsia="宋体" w:cs="Times New Roman"/>
                      <w:color w:val="auto"/>
                      <w:sz w:val="21"/>
                      <w:szCs w:val="21"/>
                    </w:rPr>
                    <w:t>石化、汽车、船舶、冶金、水泥、制浆造纸、印染</w:t>
                  </w:r>
                  <w:r>
                    <w:rPr>
                      <w:rFonts w:hint="eastAsia" w:ascii="Times New Roman" w:hAnsi="Times New Roman" w:eastAsia="宋体" w:cs="Times New Roman"/>
                      <w:color w:val="auto"/>
                      <w:sz w:val="21"/>
                      <w:szCs w:val="21"/>
                      <w:lang w:val="en-US" w:eastAsia="zh-CN"/>
                    </w:rPr>
                    <w:t>等产业。</w:t>
                  </w:r>
                </w:p>
                <w:p>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钢铁、水泥、平板玻璃</w:t>
                  </w:r>
                  <w:r>
                    <w:rPr>
                      <w:rFonts w:hint="eastAsia" w:ascii="Times New Roman" w:hAnsi="Times New Roman" w:eastAsia="宋体" w:cs="Times New Roman"/>
                      <w:color w:val="auto"/>
                      <w:sz w:val="21"/>
                      <w:szCs w:val="21"/>
                      <w:lang w:val="en-US" w:eastAsia="zh-CN"/>
                    </w:rPr>
                    <w:t>等行业</w:t>
                  </w:r>
                  <w:r>
                    <w:rPr>
                      <w:rFonts w:hint="eastAsia" w:ascii="Times New Roman" w:hAnsi="Times New Roman"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3、项目不属于</w:t>
                  </w:r>
                  <w:r>
                    <w:rPr>
                      <w:rFonts w:hint="default" w:ascii="Times New Roman" w:hAnsi="Times New Roman" w:eastAsia="宋体" w:cs="Times New Roman"/>
                      <w:color w:val="auto"/>
                      <w:sz w:val="21"/>
                      <w:szCs w:val="21"/>
                    </w:rPr>
                    <w:t>热电联产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煤电项目</w:t>
                  </w:r>
                  <w:r>
                    <w:rPr>
                      <w:rFonts w:hint="eastAsia" w:ascii="Times New Roman" w:hAnsi="Times New Roman"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4、项目不属于</w:t>
                  </w:r>
                  <w:r>
                    <w:rPr>
                      <w:rFonts w:hint="default" w:ascii="Times New Roman" w:hAnsi="Times New Roman" w:eastAsia="宋体" w:cs="Times New Roman"/>
                      <w:color w:val="auto"/>
                      <w:sz w:val="21"/>
                      <w:szCs w:val="21"/>
                    </w:rPr>
                    <w:t>氟化工产业</w:t>
                  </w:r>
                  <w:r>
                    <w:rPr>
                      <w:rFonts w:hint="eastAsia" w:ascii="Times New Roman" w:hAnsi="Times New Roman"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项目所在区域水环境质量能稳定达标排放，</w:t>
                  </w:r>
                  <w:r>
                    <w:rPr>
                      <w:rFonts w:hint="eastAsia" w:ascii="Times New Roman" w:hAnsi="Times New Roman" w:eastAsia="宋体" w:cs="Times New Roman"/>
                      <w:color w:val="auto"/>
                      <w:sz w:val="21"/>
                      <w:szCs w:val="21"/>
                      <w:lang w:val="en-US" w:eastAsia="zh-CN"/>
                    </w:rPr>
                    <w:t>项目生产废水</w:t>
                  </w:r>
                  <w:r>
                    <w:rPr>
                      <w:rFonts w:hint="eastAsia" w:cs="Times New Roman"/>
                      <w:color w:val="auto"/>
                      <w:sz w:val="21"/>
                      <w:szCs w:val="21"/>
                      <w:lang w:val="en-US" w:eastAsia="zh-CN"/>
                    </w:rPr>
                    <w:t>经过污水处理设施处理达标排放至市政污水管网送往福清市第二污水处理厂处理；</w:t>
                  </w:r>
                  <w:r>
                    <w:rPr>
                      <w:rFonts w:hint="eastAsia" w:ascii="Times New Roman" w:hAnsi="Times New Roman" w:eastAsia="宋体" w:cs="Times New Roman"/>
                      <w:color w:val="auto"/>
                      <w:sz w:val="21"/>
                      <w:szCs w:val="21"/>
                      <w:lang w:val="en-US" w:eastAsia="zh-CN"/>
                    </w:rPr>
                    <w:t>生活污水经化粪池处理达标后排入市政污水管网</w:t>
                  </w:r>
                  <w:r>
                    <w:rPr>
                      <w:rFonts w:hint="eastAsia" w:cs="Times New Roman"/>
                      <w:color w:val="auto"/>
                      <w:sz w:val="21"/>
                      <w:szCs w:val="21"/>
                      <w:lang w:val="en-US" w:eastAsia="zh-CN"/>
                    </w:rPr>
                    <w:t>送往福清市第二污水处理厂处理</w:t>
                  </w:r>
                </w:p>
              </w:tc>
              <w:tc>
                <w:tcPr>
                  <w:tcW w:w="662" w:type="dxa"/>
                  <w:tcBorders>
                    <w:top w:val="single" w:color="000000" w:sz="12" w:space="0"/>
                  </w:tcBorders>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636" w:type="dxa"/>
                  <w:noWrap w:val="0"/>
                  <w:vAlign w:val="center"/>
                </w:tcPr>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排放项目，VOC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排放实行区域内等量替代。福州、厦门、漳州、泉州、莆田、宁德等6个重点控制区可实施倍量替代。</w:t>
                  </w:r>
                </w:p>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2、新建水泥、有色金属项目应执行大气污染物特别排放限值，钢铁项目应执行超低排放指标要求，火电项目应达到超低排放限值。</w:t>
                  </w:r>
                </w:p>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3、尾水排入近岸海域汇水区域、“六江两溪”流域以及湖泊、水库等封闭、半封闭水域的城镇污水处理设施执行不低于一级 A 排放标准。</w:t>
                  </w:r>
                </w:p>
              </w:tc>
              <w:tc>
                <w:tcPr>
                  <w:tcW w:w="1727" w:type="dxa"/>
                  <w:noWrap w:val="0"/>
                  <w:vAlign w:val="center"/>
                </w:tcPr>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shd w:val="clear" w:fill="FFFF00"/>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项目位于</w:t>
                  </w:r>
                  <w:r>
                    <w:rPr>
                      <w:rFonts w:hint="eastAsia" w:cs="Times New Roman"/>
                      <w:color w:val="auto"/>
                      <w:sz w:val="21"/>
                      <w:szCs w:val="21"/>
                      <w:shd w:val="clear"/>
                      <w:lang w:val="en-US" w:eastAsia="zh-CN"/>
                    </w:rPr>
                    <w:t>福清市镜洋镇</w:t>
                  </w:r>
                  <w:r>
                    <w:rPr>
                      <w:rFonts w:hint="default" w:ascii="Times New Roman" w:hAnsi="Times New Roman" w:eastAsia="宋体" w:cs="Times New Roman"/>
                      <w:color w:val="auto"/>
                      <w:sz w:val="21"/>
                      <w:szCs w:val="21"/>
                      <w:shd w:val="clear"/>
                      <w:lang w:val="en-US" w:eastAsia="zh-CN"/>
                    </w:rPr>
                    <w:t>，属于其规定的污染物管控区域。项目涉VOCs排放，建设单位将严格按照文件规定要求对VOCs总量进行调剂。</w:t>
                  </w:r>
                </w:p>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2、项目不属于水泥、有色金属、钢铁、火电项目。</w:t>
                  </w:r>
                </w:p>
                <w:p>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val="en-US" w:eastAsia="zh-CN"/>
                    </w:rPr>
                    <w:t>项目无生产废水排放，生活污水经化粪池处理达标后排入市政污水管网</w:t>
                  </w:r>
                </w:p>
              </w:tc>
              <w:tc>
                <w:tcPr>
                  <w:tcW w:w="662" w:type="dxa"/>
                  <w:noWrap w:val="0"/>
                  <w:vAlign w:val="center"/>
                </w:tcPr>
                <w:p>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pStyle w:val="44"/>
              <w:ind w:firstLine="480"/>
              <w:rPr>
                <w:rFonts w:hint="eastAsia" w:ascii="Times New Roman" w:hAnsi="Times New Roman" w:eastAsia="宋体" w:cs="宋体"/>
                <w:color w:val="000000" w:themeColor="text1"/>
                <w:kern w:val="0"/>
                <w:szCs w:val="21"/>
                <w:highlight w:val="none"/>
                <w:lang w:val="en-GB"/>
                <w14:textFill>
                  <w14:solidFill>
                    <w14:schemeClr w14:val="tx1"/>
                  </w14:solidFill>
                </w14:textFill>
              </w:rPr>
            </w:pPr>
            <w:r>
              <w:rPr>
                <w:rFonts w:hint="eastAsia" w:ascii="Times New Roman" w:hAnsi="Times New Roman" w:eastAsia="宋体" w:cs="宋体"/>
                <w:color w:val="000000" w:themeColor="text1"/>
                <w:kern w:val="0"/>
                <w:szCs w:val="21"/>
                <w:highlight w:val="none"/>
                <w:lang w:val="en-GB"/>
                <w14:textFill>
                  <w14:solidFill>
                    <w14:schemeClr w14:val="tx1"/>
                  </w14:solidFill>
                </w14:textFill>
              </w:rPr>
              <w:t>(2)</w:t>
            </w: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与“《福州市生态环境分区管控方案（2023年更新）》”符合性分析</w:t>
            </w:r>
          </w:p>
          <w:p>
            <w:pPr>
              <w:pStyle w:val="44"/>
              <w:ind w:firstLine="480"/>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14:textFill>
                  <w14:solidFill>
                    <w14:schemeClr w14:val="tx1"/>
                  </w14:solidFill>
                </w14:textFill>
              </w:rPr>
              <w:t>根据《福州市人民政府办公厅关于印发《福州市生态环境分区管控方案（2023年更新）》的通知》(榕政办规〔2024〕20号)相关要求，本项目与通知中“福州市生态环境分区管控方案（2023年更新）”管控要求的符合性分析详如下：</w:t>
            </w:r>
          </w:p>
          <w:p>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①与福州市全市总体准入要求的符合性分析</w:t>
            </w:r>
          </w:p>
          <w:p>
            <w:pPr>
              <w:pStyle w:val="42"/>
              <w:keepNext w:val="0"/>
              <w:keepLines w:val="0"/>
              <w:pageBreakBefore w:val="0"/>
              <w:widowControl w:val="0"/>
              <w:numPr>
                <w:ilvl w:val="7"/>
                <w:numId w:val="0"/>
              </w:numPr>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rightChars="0"/>
              <w:jc w:val="both"/>
              <w:textAlignment w:val="auto"/>
              <w:rPr>
                <w:rFonts w:hint="eastAsia" w:ascii="Times New Roman" w:hAnsi="Times New Roman" w:eastAsia="宋体" w:cs="宋体"/>
                <w:color w:val="000000" w:themeColor="text1"/>
                <w:lang w:val="en-US" w:eastAsia="zh-CN"/>
                <w14:textFill>
                  <w14:solidFill>
                    <w14:schemeClr w14:val="tx1"/>
                  </w14:solidFill>
                </w14:textFill>
              </w:rPr>
            </w:pPr>
          </w:p>
          <w:p>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项目与《</w:t>
            </w:r>
            <w:r>
              <w:rPr>
                <w:rFonts w:hint="eastAsia"/>
                <w:color w:val="000000" w:themeColor="text1"/>
                <w:lang w:val="en-US" w:eastAsia="zh-CN"/>
                <w14:textFill>
                  <w14:solidFill>
                    <w14:schemeClr w14:val="tx1"/>
                  </w14:solidFill>
                </w14:textFill>
              </w:rPr>
              <w:t>福州市</w:t>
            </w:r>
            <w:r>
              <w:rPr>
                <w:rFonts w:hint="eastAsia"/>
                <w:color w:val="000000" w:themeColor="text1"/>
                <w:lang w:eastAsia="zh-CN"/>
                <w14:textFill>
                  <w14:solidFill>
                    <w14:schemeClr w14:val="tx1"/>
                  </w14:solidFill>
                </w14:textFill>
              </w:rPr>
              <w:t>生态环境总体准入要求》符合性分析</w:t>
            </w:r>
          </w:p>
          <w:tbl>
            <w:tblPr>
              <w:tblStyle w:val="33"/>
              <w:tblW w:w="7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9"/>
              <w:gridCol w:w="3887"/>
              <w:gridCol w:w="1736"/>
              <w:gridCol w:w="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696" w:type="dxa"/>
                  <w:gridSpan w:val="2"/>
                  <w:tcBorders>
                    <w:bottom w:val="single" w:color="000000" w:sz="12" w:space="0"/>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准入要求</w:t>
                  </w:r>
                </w:p>
              </w:tc>
              <w:tc>
                <w:tcPr>
                  <w:tcW w:w="1736" w:type="dxa"/>
                  <w:tcBorders>
                    <w:bottom w:val="single" w:color="000000" w:sz="12" w:space="0"/>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本项目</w:t>
                  </w:r>
                </w:p>
              </w:tc>
              <w:tc>
                <w:tcPr>
                  <w:tcW w:w="666" w:type="dxa"/>
                  <w:tcBorders>
                    <w:bottom w:val="single" w:color="000000" w:sz="12" w:space="0"/>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s="Times New Roman"/>
                      <w:color w:val="000000" w:themeColor="text1"/>
                      <w:spacing w:val="7"/>
                      <w:sz w:val="21"/>
                      <w:szCs w:val="21"/>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op w:val="single" w:color="000000" w:sz="12" w:space="0"/>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空间布局</w:t>
                  </w:r>
                </w:p>
              </w:tc>
              <w:tc>
                <w:tcPr>
                  <w:tcW w:w="3887" w:type="dxa"/>
                  <w:tcBorders>
                    <w:top w:val="single" w:color="000000" w:sz="12" w:space="0"/>
                    <w:tl2br w:val="nil"/>
                    <w:tr2bl w:val="nil"/>
                  </w:tcBorders>
                  <w:shd w:val="clear" w:color="auto" w:fill="auto"/>
                  <w:vAlign w:val="center"/>
                </w:tcPr>
                <w:p>
                  <w:pPr>
                    <w:pStyle w:val="90"/>
                    <w:keepNext w:val="0"/>
                    <w:keepLines w:val="0"/>
                    <w:widowControl/>
                    <w:numPr>
                      <w:ilvl w:val="0"/>
                      <w:numId w:val="0"/>
                    </w:numPr>
                    <w:suppressLineNumbers w:val="0"/>
                    <w:spacing w:before="0" w:beforeAutospacing="0" w:after="0" w:afterAutospacing="0"/>
                    <w:ind w:right="0" w:rightChars="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color w:val="000000" w:themeColor="text1"/>
                      <w:kern w:val="2"/>
                      <w:sz w:val="21"/>
                      <w:szCs w:val="21"/>
                      <w:lang w:val="en-US" w:eastAsia="zh-CN" w:bidi="ar-SA"/>
                      <w14:textFill>
                        <w14:solidFill>
                          <w14:schemeClr w14:val="tx1"/>
                        </w14:solidFill>
                      </w14:textFill>
                    </w:rPr>
                    <w:t>行严</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36" w:type="dxa"/>
                  <w:tcBorders>
                    <w:top w:val="single" w:color="000000" w:sz="12" w:space="0"/>
                    <w:tl2br w:val="nil"/>
                    <w:tr2bl w:val="nil"/>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lang w:val="en-US" w:eastAsia="zh-CN" w:bidi="ar-SA"/>
                      <w14:textFill>
                        <w14:solidFill>
                          <w14:schemeClr w14:val="tx1"/>
                        </w14:solidFill>
                      </w14:textFill>
                    </w:rPr>
                    <w:t>本项目主要从事</w:t>
                  </w:r>
                  <w:r>
                    <w:rPr>
                      <w:rFonts w:hint="eastAsia" w:cs="Times New Roman"/>
                      <w:color w:val="000000" w:themeColor="text1"/>
                      <w:kern w:val="2"/>
                      <w:sz w:val="21"/>
                      <w:szCs w:val="21"/>
                      <w:shd w:val="clear"/>
                      <w:lang w:val="en-US" w:eastAsia="zh-CN" w:bidi="ar-SA"/>
                      <w14:textFill>
                        <w14:solidFill>
                          <w14:schemeClr w14:val="tx1"/>
                        </w14:solidFill>
                      </w14:textFill>
                    </w:rPr>
                    <w:t>汽车桌椅骨架</w:t>
                  </w:r>
                  <w:r>
                    <w:rPr>
                      <w:rFonts w:hint="eastAsia" w:ascii="Times New Roman" w:hAnsi="Times New Roman" w:eastAsia="宋体" w:cs="Times New Roman"/>
                      <w:color w:val="000000" w:themeColor="text1"/>
                      <w:kern w:val="2"/>
                      <w:sz w:val="21"/>
                      <w:szCs w:val="21"/>
                      <w:shd w:val="clear"/>
                      <w:lang w:val="en-US" w:eastAsia="zh-CN" w:bidi="ar-SA"/>
                      <w14:textFill>
                        <w14:solidFill>
                          <w14:schemeClr w14:val="tx1"/>
                        </w14:solidFill>
                      </w14:textFill>
                    </w:rPr>
                    <w:t>的生产加工，位于</w:t>
                  </w:r>
                  <w:r>
                    <w:rPr>
                      <w:rFonts w:hint="eastAsia" w:cs="Times New Roman"/>
                      <w:color w:val="000000" w:themeColor="text1"/>
                      <w:kern w:val="2"/>
                      <w:sz w:val="21"/>
                      <w:szCs w:val="21"/>
                      <w:shd w:val="clear"/>
                      <w:lang w:val="en-US" w:eastAsia="zh-CN" w:bidi="ar-SA"/>
                      <w14:textFill>
                        <w14:solidFill>
                          <w14:schemeClr w14:val="tx1"/>
                        </w14:solidFill>
                      </w14:textFill>
                    </w:rPr>
                    <w:t>福清市镜洋镇</w:t>
                  </w:r>
                  <w:r>
                    <w:rPr>
                      <w:rFonts w:hint="eastAsia" w:ascii="Times New Roman" w:hAnsi="Times New Roman" w:eastAsia="宋体" w:cs="Times New Roman"/>
                      <w:color w:val="000000" w:themeColor="text1"/>
                      <w:kern w:val="2"/>
                      <w:sz w:val="21"/>
                      <w:szCs w:val="21"/>
                      <w:shd w:val="clear"/>
                      <w:lang w:val="en-US" w:eastAsia="zh-CN" w:bidi="ar-SA"/>
                      <w14:textFill>
                        <w14:solidFill>
                          <w14:schemeClr w14:val="tx1"/>
                        </w14:solidFill>
                      </w14:textFill>
                    </w:rPr>
                    <w:t>，项目建设与空间布局约束要求不冲突</w:t>
                  </w:r>
                  <w:r>
                    <w:rPr>
                      <w:rFonts w:hint="eastAsia" w:cs="Times New Roman"/>
                      <w:color w:val="000000" w:themeColor="text1"/>
                      <w:kern w:val="2"/>
                      <w:sz w:val="21"/>
                      <w:szCs w:val="21"/>
                      <w:shd w:val="clear"/>
                      <w:lang w:val="en-US" w:eastAsia="zh-CN" w:bidi="ar-SA"/>
                      <w14:textFill>
                        <w14:solidFill>
                          <w14:schemeClr w14:val="tx1"/>
                        </w14:solidFill>
                      </w14:textFill>
                    </w:rPr>
                    <w:t>。</w:t>
                  </w:r>
                </w:p>
              </w:tc>
              <w:tc>
                <w:tcPr>
                  <w:tcW w:w="666" w:type="dxa"/>
                  <w:tcBorders>
                    <w:top w:val="single" w:color="000000" w:sz="12" w:space="0"/>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09"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污染物排放管控</w:t>
                  </w:r>
                </w:p>
              </w:tc>
              <w:tc>
                <w:tcPr>
                  <w:tcW w:w="3887" w:type="dxa"/>
                  <w:tcBorders>
                    <w:tl2br w:val="nil"/>
                    <w:tr2bl w:val="nil"/>
                  </w:tcBorders>
                  <w:shd w:val="clear" w:color="auto" w:fill="auto"/>
                  <w:vAlign w:val="center"/>
                </w:tcPr>
                <w:p>
                  <w:pPr>
                    <w:pStyle w:val="30"/>
                    <w:keepNext w:val="0"/>
                    <w:keepLines w:val="0"/>
                    <w:widowControl/>
                    <w:numPr>
                      <w:ilvl w:val="0"/>
                      <w:numId w:val="0"/>
                    </w:numPr>
                    <w:suppressLineNumbers w:val="0"/>
                    <w:spacing w:before="0" w:beforeAutospacing="0" w:after="0" w:afterAutospacing="0" w:line="264" w:lineRule="auto"/>
                    <w:ind w:leftChars="0" w:right="0" w:rightChars="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无）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3］［4］。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3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shd w:val="clear"/>
                      <w:lang w:val="en-US" w:eastAsia="zh-CN"/>
                      <w14:textFill>
                        <w14:solidFill>
                          <w14:schemeClr w14:val="tx1"/>
                        </w14:solidFill>
                      </w14:textFill>
                    </w:rPr>
                    <w:t>项目位于福州市镜洋镇过洋39号，属于其规定的污染物管控区域。项目涉VOCs排放，建设单位将严格按照文件规定要求对VOCs总量进行调剂。2、项目主要从事汽车座椅骨架的生产加工，不属于</w:t>
                  </w:r>
                  <w:r>
                    <w:rPr>
                      <w:rFonts w:hint="default" w:ascii="Times New Roman" w:hAnsi="Times New Roman" w:eastAsia="宋体" w:cs="Times New Roman"/>
                      <w:color w:val="000000" w:themeColor="text1"/>
                      <w:kern w:val="0"/>
                      <w:sz w:val="21"/>
                      <w:szCs w:val="21"/>
                      <w:shd w:val="clear"/>
                      <w:lang w:val="en-US" w:eastAsia="zh-CN" w:bidi="ar"/>
                      <w14:textFill>
                        <w14:solidFill>
                          <w14:schemeClr w14:val="tx1"/>
                        </w14:solidFill>
                      </w14:textFill>
                    </w:rPr>
                    <w:t>钢铁、水泥、平板玻璃、有色金属冶炼、化工</w:t>
                  </w:r>
                  <w:r>
                    <w:rPr>
                      <w:rFonts w:hint="eastAsia"/>
                      <w:color w:val="000000" w:themeColor="text1"/>
                      <w:shd w:val="clear"/>
                      <w:lang w:val="en-US" w:eastAsia="zh-CN"/>
                      <w14:textFill>
                        <w14:solidFill>
                          <w14:schemeClr w14:val="tx1"/>
                        </w14:solidFill>
                      </w14:textFill>
                    </w:rPr>
                    <w:t>项目。</w:t>
                  </w:r>
                </w:p>
              </w:tc>
              <w:tc>
                <w:tcPr>
                  <w:tcW w:w="66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环境风险防控</w:t>
                  </w:r>
                </w:p>
              </w:tc>
              <w:tc>
                <w:tcPr>
                  <w:tcW w:w="3887" w:type="dxa"/>
                  <w:tcBorders>
                    <w:tl2br w:val="nil"/>
                    <w:tr2bl w:val="nil"/>
                  </w:tcBorders>
                  <w:shd w:val="clear" w:color="auto" w:fill="auto"/>
                  <w:vAlign w:val="top"/>
                </w:tcPr>
                <w:p>
                  <w:pPr>
                    <w:pStyle w:val="90"/>
                    <w:keepNext w:val="0"/>
                    <w:keepLines w:val="0"/>
                    <w:widowControl/>
                    <w:suppressLineNumbers w:val="0"/>
                    <w:spacing w:before="0" w:beforeAutospacing="0" w:after="0" w:afterAutospacing="0"/>
                    <w:ind w:left="0" w:right="0"/>
                    <w:jc w:val="both"/>
                    <w:rPr>
                      <w:rFonts w:hint="eastAsia" w:cs="宋体"/>
                      <w:color w:val="000000" w:themeColor="text1"/>
                      <w:lang w:val="en-US" w:eastAsia="zh-CN"/>
                      <w14:textFill>
                        <w14:solidFill>
                          <w14:schemeClr w14:val="tx1"/>
                        </w14:solidFill>
                      </w14:textFill>
                    </w:rPr>
                  </w:pPr>
                </w:p>
                <w:p>
                  <w:pPr>
                    <w:pStyle w:val="90"/>
                    <w:keepNext w:val="0"/>
                    <w:keepLines w:val="0"/>
                    <w:widowControl/>
                    <w:suppressLineNumbers w:val="0"/>
                    <w:spacing w:before="0" w:beforeAutospacing="0" w:after="0" w:afterAutospacing="0"/>
                    <w:ind w:right="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无</w:t>
                  </w:r>
                </w:p>
              </w:tc>
              <w:tc>
                <w:tcPr>
                  <w:tcW w:w="173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6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资源开发效率要求</w:t>
                  </w:r>
                </w:p>
              </w:tc>
              <w:tc>
                <w:tcPr>
                  <w:tcW w:w="3887" w:type="dxa"/>
                  <w:tcBorders>
                    <w:tl2br w:val="nil"/>
                    <w:tr2bl w:val="nil"/>
                  </w:tcBorders>
                  <w:shd w:val="clear" w:color="auto" w:fill="auto"/>
                  <w:vAlign w:val="top"/>
                </w:tcPr>
                <w:p>
                  <w:pPr>
                    <w:pStyle w:val="90"/>
                    <w:keepNext w:val="0"/>
                    <w:keepLines w:val="0"/>
                    <w:widowControl/>
                    <w:suppressLineNumbers w:val="0"/>
                    <w:spacing w:before="0" w:beforeAutospacing="0" w:after="0" w:afterAutospacing="0"/>
                    <w:ind w:left="0" w:right="0"/>
                    <w:rPr>
                      <w:rFonts w:hint="default" w:ascii="Times New Roman" w:hAnsi="Times New Roman" w:eastAsia="宋体" w:cs="宋体"/>
                      <w:color w:val="000000" w:themeColor="text1"/>
                      <w:lang w:val="en-US" w:eastAsia="en-US"/>
                      <w14:textFill>
                        <w14:solidFill>
                          <w14:schemeClr w14:val="tx1"/>
                        </w14:solidFill>
                      </w14:textFill>
                    </w:rPr>
                  </w:pPr>
                  <w:r>
                    <w:rPr>
                      <w:rFonts w:hint="default" w:ascii="Times New Roman" w:hAnsi="Times New Roman" w:eastAsia="宋体" w:cs="宋体"/>
                      <w:color w:val="000000" w:themeColor="text1"/>
                      <w:lang w:val="en-US" w:eastAsia="en-US"/>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173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right="0"/>
                    <w:jc w:val="both"/>
                    <w:rPr>
                      <w:rFonts w:hint="default"/>
                      <w:color w:val="000000" w:themeColor="text1"/>
                      <w:lang w:val="en-US" w:eastAsia="zh-CN"/>
                      <w14:textFill>
                        <w14:solidFill>
                          <w14:schemeClr w14:val="tx1"/>
                        </w14:solidFill>
                      </w14:textFill>
                    </w:rPr>
                  </w:pPr>
                  <w:r>
                    <w:rPr>
                      <w:rFonts w:hint="eastAsia"/>
                      <w:color w:val="000000" w:themeColor="text1"/>
                      <w:shd w:val="clear"/>
                      <w:lang w:val="en-US" w:eastAsia="zh-CN"/>
                      <w14:textFill>
                        <w14:solidFill>
                          <w14:schemeClr w14:val="tx1"/>
                        </w14:solidFill>
                      </w14:textFill>
                    </w:rPr>
                    <w:t>本项目采用电能、天然气作为燃料，属于清洁能源。</w:t>
                  </w:r>
                </w:p>
              </w:tc>
              <w:tc>
                <w:tcPr>
                  <w:tcW w:w="666" w:type="dxa"/>
                  <w:tcBorders>
                    <w:tl2br w:val="nil"/>
                    <w:tr2bl w:val="nil"/>
                  </w:tcBorders>
                  <w:shd w:val="clear" w:color="auto" w:fill="auto"/>
                  <w:vAlign w:val="center"/>
                </w:tcPr>
                <w:p>
                  <w:pPr>
                    <w:pStyle w:val="9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符合</w:t>
                  </w:r>
                </w:p>
              </w:tc>
            </w:tr>
          </w:tbl>
          <w:p>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Calibri"/>
                <w:color w:val="auto"/>
                <w:kern w:val="2"/>
                <w:sz w:val="24"/>
                <w:szCs w:val="24"/>
                <w:lang w:val="en-US" w:eastAsia="zh-CN" w:bidi="ar-SA"/>
              </w:rPr>
              <w:t>②</w:t>
            </w:r>
            <w:r>
              <w:rPr>
                <w:rFonts w:hint="eastAsia" w:ascii="Times New Roman" w:hAnsi="Times New Roman" w:eastAsia="宋体" w:cs="Times New Roman"/>
                <w:color w:val="auto"/>
                <w:kern w:val="2"/>
                <w:sz w:val="24"/>
                <w:szCs w:val="24"/>
                <w:lang w:val="en-US" w:eastAsia="zh-CN" w:bidi="ar-SA"/>
              </w:rPr>
              <w:t>与福清市生态环境准入清单符合性分析</w:t>
            </w:r>
          </w:p>
          <w:p>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本项目与福清市生态环境准入清单符合性分析</w:t>
            </w:r>
          </w:p>
          <w:tbl>
            <w:tblPr>
              <w:tblStyle w:val="3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5"/>
              <w:gridCol w:w="1075"/>
              <w:gridCol w:w="702"/>
              <w:gridCol w:w="462"/>
              <w:gridCol w:w="1972"/>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694"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环境管控单元编码</w:t>
                  </w:r>
                </w:p>
              </w:tc>
              <w:tc>
                <w:tcPr>
                  <w:tcW w:w="76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环境管控单元名称</w:t>
                  </w:r>
                </w:p>
              </w:tc>
              <w:tc>
                <w:tcPr>
                  <w:tcW w:w="500"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管控单元类别</w:t>
                  </w:r>
                </w:p>
              </w:tc>
              <w:tc>
                <w:tcPr>
                  <w:tcW w:w="1733" w:type="pct"/>
                  <w:gridSpan w:val="2"/>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管控要求</w:t>
                  </w:r>
                </w:p>
              </w:tc>
              <w:tc>
                <w:tcPr>
                  <w:tcW w:w="130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694" w:type="pct"/>
                  <w:vMerge w:val="restar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ZH35018120008</w:t>
                  </w:r>
                </w:p>
              </w:tc>
              <w:tc>
                <w:tcPr>
                  <w:tcW w:w="765" w:type="pct"/>
                  <w:vMerge w:val="restar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福清市重点管控单元1</w:t>
                  </w:r>
                </w:p>
              </w:tc>
              <w:tc>
                <w:tcPr>
                  <w:tcW w:w="500" w:type="pct"/>
                  <w:vMerge w:val="restar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重点管控单元</w:t>
                  </w:r>
                </w:p>
              </w:tc>
              <w:tc>
                <w:tcPr>
                  <w:tcW w:w="329"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空间布局约束</w:t>
                  </w:r>
                </w:p>
              </w:tc>
              <w:tc>
                <w:tcPr>
                  <w:tcW w:w="1404"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30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1.本项目主要从事加工汽车座椅骨架，不属于有色金属、印染</w:t>
                  </w:r>
                  <w:r>
                    <w:rPr>
                      <w:rFonts w:hint="default" w:ascii="Times New Roman" w:hAnsi="Times New Roman" w:eastAsia="宋体" w:cs="Times New Roman"/>
                      <w:color w:val="000000"/>
                      <w:sz w:val="21"/>
                      <w:szCs w:val="21"/>
                      <w:highlight w:val="none"/>
                      <w:lang w:val="en-US" w:eastAsia="zh-CN"/>
                    </w:rPr>
                    <w:t>原料药制造、化工等企业</w:t>
                  </w:r>
                  <w:r>
                    <w:rPr>
                      <w:rFonts w:hint="eastAsia" w:ascii="Times New Roman" w:hAnsi="Times New Roman" w:eastAsia="宋体" w:cs="Times New Roman"/>
                      <w:color w:val="000000"/>
                      <w:sz w:val="21"/>
                      <w:szCs w:val="21"/>
                      <w:highlight w:val="none"/>
                      <w:lang w:val="en-US" w:eastAsia="zh-CN"/>
                    </w:rPr>
                    <w:t>；</w:t>
                  </w:r>
                </w:p>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2.本项目使用低VOCs含量的原料，不属于</w:t>
                  </w:r>
                  <w:r>
                    <w:rPr>
                      <w:rFonts w:hint="default" w:ascii="Times New Roman" w:hAnsi="Times New Roman" w:eastAsia="宋体" w:cs="Times New Roman"/>
                      <w:color w:val="000000"/>
                      <w:sz w:val="21"/>
                      <w:szCs w:val="21"/>
                      <w:highlight w:val="none"/>
                      <w:lang w:val="en-US" w:eastAsia="zh-CN"/>
                    </w:rPr>
                    <w:t>高VOCs排放的项目</w:t>
                  </w:r>
                  <w:r>
                    <w:rPr>
                      <w:rFonts w:hint="eastAsia" w:ascii="Times New Roman" w:hAnsi="Times New Roman" w:eastAsia="宋体" w:cs="Times New Roman"/>
                      <w:color w:val="000000"/>
                      <w:sz w:val="21"/>
                      <w:szCs w:val="21"/>
                      <w:highlight w:val="none"/>
                      <w:lang w:val="en-US" w:eastAsia="zh-CN"/>
                    </w:rPr>
                    <w:t>；</w:t>
                  </w:r>
                </w:p>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3.项目租赁福州清山压铸有限公司现有厂房，不属于</w:t>
                  </w:r>
                  <w:r>
                    <w:rPr>
                      <w:rFonts w:hint="default" w:ascii="Times New Roman" w:hAnsi="Times New Roman" w:eastAsia="宋体" w:cs="Times New Roman"/>
                      <w:color w:val="000000"/>
                      <w:sz w:val="21"/>
                      <w:szCs w:val="21"/>
                      <w:highlight w:val="none"/>
                      <w:lang w:val="en-US" w:eastAsia="zh-CN"/>
                    </w:rPr>
                    <w:t>建设用地污染地块名录及开发利用负面清单的土地</w:t>
                  </w:r>
                  <w:r>
                    <w:rPr>
                      <w:rFonts w:hint="eastAsia" w:ascii="Times New Roman" w:hAnsi="Times New Roman" w:eastAsia="宋体" w:cs="Times New Roman"/>
                      <w:color w:val="00000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694"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765"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500"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329"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污染物排放管控</w:t>
                  </w:r>
                </w:p>
              </w:tc>
              <w:tc>
                <w:tcPr>
                  <w:tcW w:w="1404"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落实新增二氧化硫、氮氧化物和VOCs排放总量控制要求。</w:t>
                  </w:r>
                </w:p>
              </w:tc>
              <w:tc>
                <w:tcPr>
                  <w:tcW w:w="130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本项目新增大气污染物SO₂、NOx,排放量实行1.5倍削减替代；</w:t>
                  </w:r>
                </w:p>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本项目新增VOCs排放量实行倍量削减替代。符合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694"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765"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500"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329"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环境风险防控</w:t>
                  </w:r>
                </w:p>
              </w:tc>
              <w:tc>
                <w:tcPr>
                  <w:tcW w:w="1404"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30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项目建立环境风险防控体系等。厂区地面均已完成硬化处理，生产过程基本不造成地下水、土壤污染。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694"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765"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500" w:type="pct"/>
                  <w:vMerge w:val="continue"/>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p>
              </w:tc>
              <w:tc>
                <w:tcPr>
                  <w:tcW w:w="329"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资源开发效率要求</w:t>
                  </w:r>
                </w:p>
              </w:tc>
              <w:tc>
                <w:tcPr>
                  <w:tcW w:w="1404"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default" w:ascii="Times New Roman" w:hAnsi="Times New Roman" w:eastAsia="宋体"/>
                      <w:color w:val="000000"/>
                      <w:sz w:val="21"/>
                      <w:szCs w:val="21"/>
                      <w:highlight w:val="none"/>
                      <w:lang w:val="en-US" w:eastAsia="zh-CN"/>
                    </w:rPr>
                    <w:t>高污染燃料禁燃区内禁止燃用高污染燃料，禁止新建、扩建燃用高污染燃料的设施。已建的燃用高污染燃料设施，限期改用电、天然气、液化石油气等清洁能源。</w:t>
                  </w:r>
                </w:p>
              </w:tc>
              <w:tc>
                <w:tcPr>
                  <w:tcW w:w="1305" w:type="pct"/>
                  <w:tcBorders>
                    <w:tl2br w:val="nil"/>
                    <w:tr2bl w:val="nil"/>
                  </w:tcBorders>
                  <w:noWrap w:val="0"/>
                  <w:vAlign w:val="center"/>
                </w:tcPr>
                <w:p>
                  <w:pPr>
                    <w:pStyle w:val="151"/>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000000"/>
                      <w:sz w:val="21"/>
                      <w:szCs w:val="21"/>
                      <w:highlight w:val="none"/>
                      <w:lang w:val="en-US" w:eastAsia="zh-CN"/>
                    </w:rPr>
                  </w:pPr>
                  <w:r>
                    <w:rPr>
                      <w:rFonts w:hint="eastAsia"/>
                      <w:color w:val="000000" w:themeColor="text1"/>
                      <w:shd w:val="clear"/>
                      <w:lang w:val="en-US" w:eastAsia="zh-CN"/>
                      <w14:textFill>
                        <w14:solidFill>
                          <w14:schemeClr w14:val="tx1"/>
                        </w14:solidFill>
                      </w14:textFill>
                    </w:rPr>
                    <w:t>本项目采用电能、天然气作为燃料，属于清洁能源。</w:t>
                  </w:r>
                </w:p>
              </w:tc>
            </w:tr>
          </w:tbl>
          <w:p>
            <w:pPr>
              <w:spacing w:line="360" w:lineRule="auto"/>
              <w:ind w:firstLine="480" w:firstLineChars="200"/>
              <w:rPr>
                <w:rFonts w:hint="eastAsia" w:ascii="Times New Roman" w:hAnsi="Times New Roman" w:eastAsia="宋体" w:cs="宋体"/>
                <w:color w:val="000000" w:themeColor="text1"/>
                <w:sz w:val="24"/>
                <w:highlight w:val="none"/>
                <w:shd w:val="clear"/>
                <w:lang w:val="en-US" w:eastAsia="zh-CN" w:bidi="ar"/>
                <w14:textFill>
                  <w14:solidFill>
                    <w14:schemeClr w14:val="tx1"/>
                  </w14:solidFill>
                </w14:textFill>
              </w:rPr>
            </w:pPr>
          </w:p>
          <w:p>
            <w:pPr>
              <w:pStyle w:val="44"/>
              <w:bidi w:val="0"/>
              <w:rPr>
                <w:color w:val="000000" w:themeColor="text1"/>
                <w14:textFill>
                  <w14:solidFill>
                    <w14:schemeClr w14:val="tx1"/>
                  </w14:solidFill>
                </w14:textFill>
              </w:rPr>
            </w:pPr>
            <w:r>
              <w:rPr>
                <w:rFonts w:hint="eastAsia"/>
                <w:lang w:val="en-US" w:eastAsia="zh-CN"/>
              </w:rPr>
              <w:t>综上所述，</w:t>
            </w:r>
            <w:r>
              <w:rPr>
                <w:rFonts w:hint="eastAsia"/>
                <w:lang w:eastAsia="zh-CN"/>
              </w:rPr>
              <w:t>本项目位于镜洋镇</w:t>
            </w:r>
            <w:r>
              <w:rPr>
                <w:rFonts w:hint="eastAsia"/>
                <w:lang w:val="en-US" w:eastAsia="zh-CN"/>
              </w:rPr>
              <w:t>过洋39号</w:t>
            </w:r>
            <w:r>
              <w:rPr>
                <w:rFonts w:hint="eastAsia"/>
                <w:lang w:eastAsia="zh-CN"/>
              </w:rPr>
              <w:t>，</w:t>
            </w:r>
            <w:r>
              <w:rPr>
                <w:rFonts w:hint="eastAsia"/>
                <w:lang w:val="en-US" w:eastAsia="zh-CN"/>
              </w:rPr>
              <w:t>项目的建设符合“福州</w:t>
            </w:r>
            <w:r>
              <w:rPr>
                <w:rFonts w:hint="eastAsia"/>
                <w:lang w:eastAsia="zh-CN"/>
              </w:rPr>
              <w:t>市生态环境总体准入要求”，用地性质为工业用地，符合</w:t>
            </w:r>
            <w:r>
              <w:rPr>
                <w:rFonts w:hint="eastAsia"/>
                <w:lang w:val="en-US" w:eastAsia="zh-CN"/>
              </w:rPr>
              <w:t>福建省生态环境分区管控</w:t>
            </w:r>
            <w:r>
              <w:rPr>
                <w:rFonts w:hint="eastAsia"/>
                <w:lang w:eastAsia="zh-CN"/>
              </w:rPr>
              <w:t>要求，项目选址合理。</w:t>
            </w:r>
          </w:p>
        </w:tc>
      </w:tr>
    </w:tbl>
    <w:p>
      <w:pPr>
        <w:spacing w:line="360" w:lineRule="auto"/>
        <w:rPr>
          <w:rFonts w:eastAsia="黑体"/>
          <w:color w:val="000000" w:themeColor="text1"/>
          <w:sz w:val="30"/>
          <w:highlight w:val="none"/>
          <w14:textFill>
            <w14:solidFill>
              <w14:schemeClr w14:val="tx1"/>
            </w14:solidFill>
          </w14:textFill>
        </w:rPr>
        <w:sectPr>
          <w:footerReference r:id="rId6"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pPr>
        <w:pStyle w:val="2"/>
        <w:bidi w:val="0"/>
        <w:ind w:left="432" w:leftChars="0" w:hanging="432" w:firstLineChars="0"/>
        <w:rPr>
          <w:color w:val="000000" w:themeColor="text1"/>
          <w:highlight w:val="none"/>
          <w14:textFill>
            <w14:solidFill>
              <w14:schemeClr w14:val="tx1"/>
            </w14:solidFill>
          </w14:textFill>
        </w:rPr>
      </w:pPr>
      <w:bookmarkStart w:id="8" w:name="_Toc24216"/>
      <w:bookmarkStart w:id="9" w:name="_Toc11244"/>
      <w:bookmarkStart w:id="10" w:name="_Toc2799"/>
      <w:bookmarkStart w:id="11" w:name="_Toc18851"/>
      <w:bookmarkStart w:id="12" w:name="_Toc21337"/>
      <w:r>
        <w:rPr>
          <w:rFonts w:hint="eastAsia"/>
          <w:color w:val="000000" w:themeColor="text1"/>
          <w:highlight w:val="none"/>
          <w14:textFill>
            <w14:solidFill>
              <w14:schemeClr w14:val="tx1"/>
            </w14:solidFill>
          </w14:textFill>
        </w:rPr>
        <w:t>建设项目工程分析</w:t>
      </w:r>
      <w:bookmarkEnd w:id="8"/>
      <w:bookmarkEnd w:id="9"/>
      <w:bookmarkEnd w:id="10"/>
      <w:bookmarkEnd w:id="11"/>
      <w:bookmarkEnd w:id="12"/>
    </w:p>
    <w:tbl>
      <w:tblPr>
        <w:tblStyle w:val="33"/>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88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bookmarkStart w:id="13" w:name="_Hlk86096164"/>
            <w:r>
              <w:rPr>
                <w:rFonts w:hint="eastAsia" w:cs="宋体"/>
                <w:color w:val="000000" w:themeColor="text1"/>
                <w:sz w:val="21"/>
                <w:szCs w:val="21"/>
                <w:highlight w:val="none"/>
                <w14:textFill>
                  <w14:solidFill>
                    <w14:schemeClr w14:val="tx1"/>
                  </w14:solidFill>
                </w14:textFill>
              </w:rPr>
              <w:t>建设内容</w:t>
            </w:r>
          </w:p>
        </w:tc>
        <w:tc>
          <w:tcPr>
            <w:tcW w:w="8861" w:type="dxa"/>
          </w:tcPr>
          <w:p>
            <w:pPr>
              <w:pStyle w:val="3"/>
              <w:bidi w:val="0"/>
            </w:pPr>
            <w:r>
              <w:rPr>
                <w:rFonts w:hint="eastAsia"/>
              </w:rPr>
              <w:t>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C00000"/>
                <w:kern w:val="0"/>
                <w:sz w:val="24"/>
                <w:szCs w:val="20"/>
                <w:highlight w:val="none"/>
                <w:shd w:val="clear" w:fill="FFFF00"/>
                <w:lang w:val="en-US" w:eastAsia="zh-CN" w:bidi="ar-SA"/>
              </w:rPr>
            </w:pP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福州奇</w:t>
            </w:r>
            <w:r>
              <w:rPr>
                <w:rFonts w:hint="eastAsia"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联汽车零部件有限公司</w:t>
            </w:r>
            <w:r>
              <w:rPr>
                <w:rFonts w:hint="default"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成立于20</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25</w:t>
            </w:r>
            <w:r>
              <w:rPr>
                <w:rFonts w:hint="default"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年</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5</w:t>
            </w:r>
            <w:r>
              <w:rPr>
                <w:rFonts w:hint="default"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月</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8</w:t>
            </w:r>
            <w:r>
              <w:rPr>
                <w:rFonts w:hint="default"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日</w:t>
            </w:r>
            <w:r>
              <w:rPr>
                <w:rFonts w:hint="default"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租用</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福州清山压铸有限公司2#厂房、3#厂房（2#厂房建筑面积</w:t>
            </w:r>
            <w:r>
              <w:rPr>
                <w:rFonts w:hint="eastAsia" w:ascii="Times New Roman" w:hAnsi="Times New Roman" w:eastAsia="宋体" w:cs="宋体"/>
                <w:b w:val="0"/>
                <w:bCs w:val="0"/>
                <w:i w:val="0"/>
                <w:iCs w:val="0"/>
                <w:color w:val="000000" w:themeColor="text1"/>
                <w:kern w:val="0"/>
                <w:sz w:val="24"/>
                <w:szCs w:val="20"/>
                <w:highlight w:val="none"/>
                <w:shd w:val="clear"/>
                <w:lang w:val="en-US" w:eastAsia="zh-CN" w:bidi="ar-SA"/>
                <w14:textFill>
                  <w14:solidFill>
                    <w14:schemeClr w14:val="tx1"/>
                  </w14:solidFill>
                </w14:textFill>
              </w:rPr>
              <w:t>101</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0m</w:t>
            </w:r>
            <w:r>
              <w:rPr>
                <w:rFonts w:hint="eastAsia" w:ascii="Times New Roman" w:hAnsi="Times New Roman" w:eastAsia="宋体" w:cs="宋体"/>
                <w:b w:val="0"/>
                <w:bCs w:val="0"/>
                <w:i w:val="0"/>
                <w:iCs w:val="0"/>
                <w:color w:val="000000" w:themeColor="text1"/>
                <w:kern w:val="0"/>
                <w:sz w:val="24"/>
                <w:szCs w:val="20"/>
                <w:highlight w:val="none"/>
                <w:shd w:val="clear"/>
                <w:vertAlign w:val="superscript"/>
                <w:lang w:val="en-US" w:eastAsia="zh-CN" w:bidi="ar-SA"/>
                <w14:textFill>
                  <w14:solidFill>
                    <w14:schemeClr w14:val="tx1"/>
                  </w14:solidFill>
                </w14:textFill>
              </w:rPr>
              <w:t>2</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w:t>
            </w:r>
            <w:r>
              <w:rPr>
                <w:rFonts w:hint="eastAsia" w:ascii="Times New Roman" w:hAnsi="Times New Roman" w:eastAsia="宋体" w:cs="宋体"/>
                <w:b w:val="0"/>
                <w:bCs w:val="0"/>
                <w:i w:val="0"/>
                <w:iCs w:val="0"/>
                <w:color w:val="000000" w:themeColor="text1"/>
                <w:kern w:val="0"/>
                <w:sz w:val="24"/>
                <w:szCs w:val="20"/>
                <w:highlight w:val="none"/>
                <w:shd w:val="clear"/>
                <w:lang w:val="en-US" w:eastAsia="zh-CN" w:bidi="ar-SA"/>
                <w14:textFill>
                  <w14:solidFill>
                    <w14:schemeClr w14:val="tx1"/>
                  </w14:solidFill>
                </w14:textFill>
              </w:rPr>
              <w:t>3</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#厂房建筑面积</w:t>
            </w:r>
            <w:r>
              <w:rPr>
                <w:rFonts w:hint="eastAsia" w:ascii="Times New Roman" w:hAnsi="Times New Roman" w:eastAsia="宋体" w:cs="宋体"/>
                <w:b w:val="0"/>
                <w:bCs w:val="0"/>
                <w:i w:val="0"/>
                <w:iCs w:val="0"/>
                <w:color w:val="000000" w:themeColor="text1"/>
                <w:kern w:val="0"/>
                <w:sz w:val="24"/>
                <w:szCs w:val="20"/>
                <w:highlight w:val="none"/>
                <w:shd w:val="clear"/>
                <w:lang w:val="en-US" w:eastAsia="zh-CN" w:bidi="ar-SA"/>
                <w14:textFill>
                  <w14:solidFill>
                    <w14:schemeClr w14:val="tx1"/>
                  </w14:solidFill>
                </w14:textFill>
              </w:rPr>
              <w:t>10</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20m</w:t>
            </w:r>
            <w:r>
              <w:rPr>
                <w:rFonts w:hint="eastAsia" w:ascii="Times New Roman" w:hAnsi="Times New Roman" w:eastAsia="宋体" w:cs="宋体"/>
                <w:b w:val="0"/>
                <w:bCs w:val="0"/>
                <w:i w:val="0"/>
                <w:iCs w:val="0"/>
                <w:color w:val="000000" w:themeColor="text1"/>
                <w:kern w:val="0"/>
                <w:sz w:val="24"/>
                <w:szCs w:val="20"/>
                <w:highlight w:val="none"/>
                <w:shd w:val="clear"/>
                <w:vertAlign w:val="superscript"/>
                <w:lang w:val="en-US" w:eastAsia="zh-CN" w:bidi="ar-SA"/>
                <w14:textFill>
                  <w14:solidFill>
                    <w14:schemeClr w14:val="tx1"/>
                  </w14:solidFill>
                </w14:textFill>
              </w:rPr>
              <w:t>2</w:t>
            </w:r>
            <w:r>
              <w:rPr>
                <w:rFonts w:hint="eastAsia" w:ascii="Times New Roman" w:hAnsi="Times New Roman" w:eastAsia="宋体" w:cs="宋体"/>
                <w:b w:val="0"/>
                <w:bCs w:val="0"/>
                <w:i w:val="0"/>
                <w:iCs w:val="0"/>
                <w:color w:val="000000" w:themeColor="text1"/>
                <w:kern w:val="0"/>
                <w:sz w:val="24"/>
                <w:szCs w:val="20"/>
                <w:highlight w:val="none"/>
                <w:shd w:val="clear"/>
                <w:vertAlign w:val="baseline"/>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0"/>
                <w:sz w:val="24"/>
                <w:szCs w:val="20"/>
                <w:highlight w:val="none"/>
                <w:shd w:val="clear"/>
                <w:lang w:val="en-US" w:eastAsia="zh-CN" w:bidi="ar-SA"/>
                <w14:textFill>
                  <w14:solidFill>
                    <w14:schemeClr w14:val="tx1"/>
                  </w14:solidFill>
                </w14:textFill>
              </w:rPr>
              <w:t>位于</w:t>
            </w:r>
            <w:r>
              <w:rPr>
                <w:rFonts w:hint="eastAsia" w:ascii="Times New Roman" w:hAnsi="Times New Roman" w:eastAsia="宋体" w:cs="宋体"/>
                <w:b w:val="0"/>
                <w:bCs w:val="0"/>
                <w:i w:val="0"/>
                <w:iCs w:val="0"/>
                <w:color w:val="000000" w:themeColor="text1"/>
                <w:kern w:val="0"/>
                <w:sz w:val="24"/>
                <w:szCs w:val="20"/>
                <w:highlight w:val="none"/>
                <w:shd w:val="clear"/>
                <w:lang w:val="zh-CN" w:eastAsia="zh-CN" w:bidi="ar-SA"/>
                <w14:textFill>
                  <w14:solidFill>
                    <w14:schemeClr w14:val="tx1"/>
                  </w14:solidFill>
                </w14:textFill>
              </w:rPr>
              <w:t>福建省福清市镜洋镇过洋39号</w:t>
            </w:r>
            <w:r>
              <w:rPr>
                <w:rFonts w:hint="eastAsia" w:ascii="Times New Roman" w:hAnsi="Times New Roman" w:eastAsia="宋体" w:cs="宋体"/>
                <w:b w:val="0"/>
                <w:bCs w:val="0"/>
                <w:color w:val="000000" w:themeColor="text1"/>
                <w:kern w:val="0"/>
                <w:sz w:val="24"/>
                <w:szCs w:val="20"/>
                <w:highlight w:val="none"/>
                <w:shd w:val="clear"/>
                <w:lang w:val="en-US" w:eastAsia="zh-CN" w:bidi="ar-SA"/>
                <w14:textFill>
                  <w14:solidFill>
                    <w14:schemeClr w14:val="tx1"/>
                  </w14:solidFill>
                </w14:textFill>
              </w:rPr>
              <w:t>，</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拟投资900万元，总建筑面积约2030</w:t>
            </w:r>
            <w:r>
              <w:rPr>
                <w:rFonts w:hint="default" w:ascii="Times New Roman" w:hAnsi="Times New Roman" w:eastAsia="宋体" w:cs="宋体"/>
                <w:color w:val="000000" w:themeColor="text1"/>
                <w:kern w:val="0"/>
                <w:sz w:val="24"/>
                <w:szCs w:val="20"/>
                <w:highlight w:val="none"/>
                <w:shd w:val="clear"/>
                <w:lang w:val="zh-CN" w:eastAsia="zh-CN" w:bidi="ar-SA"/>
                <w14:textFill>
                  <w14:solidFill>
                    <w14:schemeClr w14:val="tx1"/>
                  </w14:solidFill>
                </w14:textFill>
              </w:rPr>
              <w:t>m</w:t>
            </w:r>
            <w:r>
              <w:rPr>
                <w:rFonts w:hint="default" w:ascii="Times New Roman" w:hAnsi="Times New Roman" w:eastAsia="宋体" w:cs="宋体"/>
                <w:color w:val="000000" w:themeColor="text1"/>
                <w:kern w:val="0"/>
                <w:sz w:val="24"/>
                <w:szCs w:val="20"/>
                <w:highlight w:val="none"/>
                <w:shd w:val="clear"/>
                <w:vertAlign w:val="superscript"/>
                <w:lang w:val="zh-CN" w:eastAsia="zh-CN" w:bidi="ar-SA"/>
                <w14:textFill>
                  <w14:solidFill>
                    <w14:schemeClr w14:val="tx1"/>
                  </w14:solidFill>
                </w14:textFill>
              </w:rPr>
              <w:t>2</w:t>
            </w:r>
            <w:r>
              <w:rPr>
                <w:rFonts w:hint="eastAsia" w:ascii="Times New Roman" w:hAnsi="Times New Roman" w:eastAsia="宋体" w:cs="宋体"/>
                <w:color w:val="000000" w:themeColor="text1"/>
                <w:kern w:val="0"/>
                <w:sz w:val="24"/>
                <w:szCs w:val="20"/>
                <w:highlight w:val="none"/>
                <w:shd w:val="clear"/>
                <w:lang w:val="en-US" w:eastAsia="zh-CN" w:bidi="ar-SA"/>
                <w14:textFill>
                  <w14:solidFill>
                    <w14:schemeClr w14:val="tx1"/>
                  </w14:solidFill>
                </w14:textFill>
              </w:rPr>
              <w:t>，购置焊机、预脱脂UFO洗槽等相关附属设备，技术水平达国内先进。建设1条汽车座椅骨架加工生产线，设计年加工汽车座椅骨架10万套生产规模。</w:t>
            </w:r>
          </w:p>
          <w:p>
            <w:pPr>
              <w:pStyle w:val="44"/>
              <w:keepNext w:val="0"/>
              <w:keepLines w:val="0"/>
              <w:pageBreakBefore w:val="0"/>
              <w:widowControl w:val="0"/>
              <w:kinsoku/>
              <w:wordWrap/>
              <w:overflowPunct/>
              <w:topLinePunct w:val="0"/>
              <w:bidi w:val="0"/>
              <w:adjustRightInd/>
              <w:snapToGrid/>
              <w:ind w:firstLine="480"/>
              <w:textAlignment w:val="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根据《中华人民共和国环境影响评价法》和《建设项目环境保护管理条例》的有关规定，建设项目需履行环境影响评价手续。根据《国民经济行业分类》（GB/T 4754-2017），本项目行业类别为汽车零部件及配件制造C3670，依据《建设项目环境影响评价分类管理名录》（2021年版）的有关规定，本项目属于名录中：“三十三、汽车制造业36——71、汽车整车制造361；汽车用发动机制造362；改装汽车制造363；低速汽车制造364；电车制造365；汽车车身、挂车制造366；汽车零部件及配件制造367”中的“其他（年用非溶剂型低VOCs含量涂料10吨以下的除外）”,项目不涉及“汽车整车制造（仅组装的除外）；汽车用发动机制造（仅组装的除外）；有电镀工艺的；年用溶剂型涂料（含稀释剂）10吨及以上的”；综上所述，本项目应编制环境影响报告表。</w:t>
            </w:r>
            <w:r>
              <w:rPr>
                <w:rFonts w:hint="eastAsia" w:ascii="Times New Roman" w:hAnsi="Times New Roman" w:eastAsia="宋体"/>
                <w:color w:val="000000" w:themeColor="text1"/>
                <w:sz w:val="24"/>
                <w:highlight w:val="none"/>
                <w14:textFill>
                  <w14:solidFill>
                    <w14:schemeClr w14:val="tx1"/>
                  </w14:solidFill>
                </w14:textFill>
              </w:rPr>
              <w:t>建设单位委托我司编制该项目的环境影响报告表(委托书详见附件1)。本评价单位接受委托后，立即派技术人员踏勘现场和收集有关资料，依照《建设项目环境影响报告表编制技术指南(污染影响类)》(试行)及相关技术规范要求，编制了本环境影响报告表，供建设单位报生态环境主管部门审批和作为污染防治设施建设的依据。</w:t>
            </w:r>
          </w:p>
          <w:p>
            <w:pPr>
              <w:pStyle w:val="42"/>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textAlignment w:val="auto"/>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建设项目环境影响评价分类管理名录（摘录）</w:t>
            </w:r>
          </w:p>
          <w:tbl>
            <w:tblPr>
              <w:tblStyle w:val="33"/>
              <w:tblW w:w="86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2536"/>
              <w:gridCol w:w="2076"/>
              <w:gridCol w:w="2683"/>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02" w:type="dxa"/>
                  <w:gridSpan w:val="2"/>
                  <w:tcBorders>
                    <w:top w:val="single" w:color="000000" w:sz="8" w:space="0"/>
                    <w:bottom w:val="single" w:color="000000" w:sz="8" w:space="0"/>
                    <w:tl2br w:val="single" w:color="auto" w:sz="4" w:space="0"/>
                  </w:tcBorders>
                  <w:vAlign w:val="center"/>
                </w:tcPr>
                <w:p>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 xml:space="preserve">            环评类别</w:t>
                  </w:r>
                </w:p>
                <w:p>
                  <w:pPr>
                    <w:pStyle w:val="136"/>
                    <w:bidi w:val="0"/>
                    <w:jc w:val="both"/>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项目类别</w:t>
                  </w:r>
                </w:p>
              </w:tc>
              <w:tc>
                <w:tcPr>
                  <w:tcW w:w="2076" w:type="dxa"/>
                  <w:tcBorders>
                    <w:top w:val="single" w:color="000000" w:sz="8" w:space="0"/>
                    <w:bottom w:val="single" w:color="000000" w:sz="8" w:space="0"/>
                    <w:tl2br w:val="nil"/>
                    <w:tr2bl w:val="nil"/>
                  </w:tcBorders>
                  <w:vAlign w:val="center"/>
                </w:tcPr>
                <w:p>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报告书</w:t>
                  </w:r>
                </w:p>
              </w:tc>
              <w:tc>
                <w:tcPr>
                  <w:tcW w:w="2683" w:type="dxa"/>
                  <w:tcBorders>
                    <w:top w:val="single" w:color="000000" w:sz="8" w:space="0"/>
                    <w:bottom w:val="single" w:color="000000" w:sz="8" w:space="0"/>
                    <w:tl2br w:val="nil"/>
                    <w:tr2bl w:val="nil"/>
                  </w:tcBorders>
                  <w:shd w:val="clear" w:color="auto" w:fill="BEBEBE" w:themeFill="background1" w:themeFillShade="BF"/>
                  <w:vAlign w:val="center"/>
                </w:tcPr>
                <w:p>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报告表</w:t>
                  </w:r>
                </w:p>
              </w:tc>
              <w:tc>
                <w:tcPr>
                  <w:tcW w:w="881" w:type="dxa"/>
                  <w:tcBorders>
                    <w:top w:val="single" w:color="000000" w:sz="8" w:space="0"/>
                    <w:bottom w:val="single" w:color="000000" w:sz="8" w:space="0"/>
                    <w:tl2br w:val="nil"/>
                    <w:tr2bl w:val="nil"/>
                  </w:tcBorders>
                  <w:vAlign w:val="center"/>
                </w:tcPr>
                <w:p>
                  <w:pPr>
                    <w:pStyle w:val="136"/>
                    <w:bidi w:val="0"/>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val="0"/>
                      <w:bCs w:val="0"/>
                      <w:smallCaps w:val="0"/>
                      <w:color w:val="000000" w:themeColor="text1"/>
                      <w:highlight w:val="none"/>
                      <w:shd w:val="clear" w:color="auto" w:fill="auto"/>
                      <w14:textFill>
                        <w14:solidFill>
                          <w14:schemeClr w14:val="tx1"/>
                        </w14:solidFill>
                      </w14:textFill>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42" w:type="dxa"/>
                  <w:gridSpan w:val="5"/>
                  <w:tcBorders>
                    <w:top w:val="single" w:color="000000" w:sz="8" w:space="0"/>
                    <w:tl2br w:val="nil"/>
                    <w:tr2bl w:val="nil"/>
                  </w:tcBorders>
                  <w:shd w:val="clear" w:color="auto" w:fill="BEBEBE" w:themeFill="background1" w:themeFillShade="BF"/>
                  <w:vAlign w:val="center"/>
                </w:tcPr>
                <w:p>
                  <w:pPr>
                    <w:pStyle w:val="136"/>
                    <w:bidi w:val="0"/>
                    <w:jc w:val="left"/>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三十三、汽车制造业36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dxa"/>
                  <w:tcBorders>
                    <w:bottom w:val="single" w:color="000000" w:sz="8" w:space="0"/>
                    <w:tl2br w:val="nil"/>
                    <w:tr2bl w:val="nil"/>
                  </w:tcBorders>
                  <w:shd w:val="clear" w:color="auto" w:fill="auto"/>
                  <w:vAlign w:val="center"/>
                </w:tcPr>
                <w:p>
                  <w:pPr>
                    <w:pStyle w:val="136"/>
                    <w:shd w:val="clear" w:color="auto" w:fill="auto"/>
                    <w:bidi w:val="0"/>
                    <w:jc w:val="left"/>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71</w:t>
                  </w:r>
                </w:p>
              </w:tc>
              <w:tc>
                <w:tcPr>
                  <w:tcW w:w="2536" w:type="dxa"/>
                  <w:tcBorders>
                    <w:bottom w:val="single" w:color="000000" w:sz="8" w:space="0"/>
                    <w:tl2br w:val="nil"/>
                    <w:tr2bl w:val="nil"/>
                  </w:tcBorders>
                  <w:shd w:val="clear" w:color="auto" w:fill="auto"/>
                  <w:vAlign w:val="center"/>
                </w:tcPr>
                <w:p>
                  <w:pPr>
                    <w:pStyle w:val="136"/>
                    <w:shd w:val="clear" w:color="auto" w:fill="auto"/>
                    <w:bidi w:val="0"/>
                    <w:jc w:val="left"/>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汽车整车制造361；汽车用发动机制造362；改装汽车制造363；低速汽车制造364；电车制造365；</w:t>
                  </w:r>
                  <w:r>
                    <w:rPr>
                      <w:spacing w:val="3"/>
                    </w:rPr>
                    <w:t>汽车车身、挂车制造</w:t>
                  </w:r>
                  <w:r>
                    <w:rPr>
                      <w:rFonts w:ascii="Times New Roman" w:hAnsi="Times New Roman" w:eastAsia="Times New Roman" w:cs="Times New Roman"/>
                      <w:spacing w:val="3"/>
                    </w:rPr>
                    <w:t>366</w:t>
                  </w:r>
                  <w:r>
                    <w:rPr>
                      <w:spacing w:val="3"/>
                    </w:rPr>
                    <w:t>；汽车零</w:t>
                  </w:r>
                  <w:r>
                    <w:rPr>
                      <w:spacing w:val="12"/>
                    </w:rPr>
                    <w:t>部件及配件制造</w:t>
                  </w:r>
                  <w:r>
                    <w:rPr>
                      <w:rFonts w:ascii="Times New Roman" w:hAnsi="Times New Roman" w:eastAsia="Times New Roman" w:cs="Times New Roman"/>
                      <w:spacing w:val="12"/>
                    </w:rPr>
                    <w:t>367</w:t>
                  </w:r>
                </w:p>
              </w:tc>
              <w:tc>
                <w:tcPr>
                  <w:tcW w:w="2076" w:type="dxa"/>
                  <w:tcBorders>
                    <w:bottom w:val="single" w:color="000000" w:sz="8" w:space="0"/>
                    <w:tl2br w:val="nil"/>
                    <w:tr2bl w:val="nil"/>
                  </w:tcBorders>
                  <w:shd w:val="clear" w:color="auto" w:fill="auto"/>
                  <w:vAlign w:val="center"/>
                </w:tcPr>
                <w:p>
                  <w:pPr>
                    <w:pStyle w:val="136"/>
                    <w:shd w:val="clear" w:color="auto" w:fill="auto"/>
                    <w:bidi w:val="0"/>
                    <w:jc w:val="left"/>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highlight w:val="none"/>
                      <w:shd w:val="clear" w:color="auto" w:fill="auto"/>
                      <w:lang w:val="en-US" w:eastAsia="zh-CN"/>
                      <w14:textFill>
                        <w14:solidFill>
                          <w14:schemeClr w14:val="tx1"/>
                        </w14:solidFill>
                      </w14:textFill>
                    </w:rPr>
                    <w:t>汽车整车制造（仅组装的除外）；汽车用发</w:t>
                  </w:r>
                  <w:r>
                    <w:rPr>
                      <w:spacing w:val="2"/>
                    </w:rPr>
                    <w:t>动机制造（仅组</w:t>
                  </w:r>
                  <w:r>
                    <w:rPr>
                      <w:spacing w:val="5"/>
                    </w:rPr>
                    <w:t>装的除外</w:t>
                  </w:r>
                  <w:r>
                    <w:rPr>
                      <w:spacing w:val="-6"/>
                    </w:rPr>
                    <w:t>）；</w:t>
                  </w:r>
                  <w:r>
                    <w:rPr>
                      <w:spacing w:val="5"/>
                    </w:rPr>
                    <w:t>有</w:t>
                  </w:r>
                  <w:r>
                    <w:rPr>
                      <w:spacing w:val="2"/>
                    </w:rPr>
                    <w:t>电镀工艺的；年</w:t>
                  </w:r>
                  <w:r>
                    <w:rPr>
                      <w:spacing w:val="8"/>
                    </w:rPr>
                    <w:t>用溶剂型涂料</w:t>
                  </w:r>
                  <w:r>
                    <w:rPr>
                      <w:spacing w:val="2"/>
                    </w:rPr>
                    <w:t>（含稀释剂）</w:t>
                  </w:r>
                  <w:r>
                    <w:rPr>
                      <w:rFonts w:ascii="Times New Roman" w:hAnsi="Times New Roman" w:eastAsia="Times New Roman" w:cs="Times New Roman"/>
                      <w:spacing w:val="2"/>
                    </w:rPr>
                    <w:t>10</w:t>
                  </w:r>
                  <w:r>
                    <w:rPr>
                      <w:spacing w:val="8"/>
                    </w:rPr>
                    <w:t>吨及以上的</w:t>
                  </w:r>
                </w:p>
              </w:tc>
              <w:tc>
                <w:tcPr>
                  <w:tcW w:w="2683" w:type="dxa"/>
                  <w:tcBorders>
                    <w:bottom w:val="single" w:color="000000" w:sz="8" w:space="0"/>
                    <w:tl2br w:val="nil"/>
                    <w:tr2bl w:val="nil"/>
                  </w:tcBorders>
                  <w:shd w:val="clear" w:color="auto" w:fill="BEBEBE" w:themeFill="background1" w:themeFillShade="BF"/>
                  <w:vAlign w:val="center"/>
                </w:tcPr>
                <w:p>
                  <w:pPr>
                    <w:pStyle w:val="113"/>
                    <w:spacing w:before="44" w:line="228" w:lineRule="auto"/>
                    <w:ind w:left="117"/>
                    <w:jc w:val="left"/>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t>其他（年用非溶剂型低</w:t>
                  </w:r>
                </w:p>
                <w:p>
                  <w:pPr>
                    <w:pStyle w:val="136"/>
                    <w:shd w:val="clear" w:color="auto" w:fill="auto"/>
                    <w:bidi w:val="0"/>
                    <w:jc w:val="left"/>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t>VOCs含量涂</w:t>
                  </w:r>
                  <w:r>
                    <w:rPr>
                      <w:spacing w:val="-1"/>
                    </w:rPr>
                    <w:t>料</w:t>
                  </w:r>
                  <w:r>
                    <w:rPr>
                      <w:rFonts w:ascii="Times New Roman" w:hAnsi="Times New Roman" w:eastAsia="Times New Roman" w:cs="Times New Roman"/>
                      <w:spacing w:val="-1"/>
                    </w:rPr>
                    <w:t>10</w:t>
                  </w:r>
                  <w:r>
                    <w:rPr>
                      <w:spacing w:val="-1"/>
                    </w:rPr>
                    <w:t>吨以下</w:t>
                  </w:r>
                  <w:r>
                    <w:t>的除外）</w:t>
                  </w:r>
                </w:p>
              </w:tc>
              <w:tc>
                <w:tcPr>
                  <w:tcW w:w="881" w:type="dxa"/>
                  <w:tcBorders>
                    <w:bottom w:val="single" w:color="000000" w:sz="8" w:space="0"/>
                    <w:tl2br w:val="nil"/>
                    <w:tr2bl w:val="nil"/>
                  </w:tcBorders>
                  <w:vAlign w:val="center"/>
                </w:tcPr>
                <w:p>
                  <w:pPr>
                    <w:spacing w:before="284" w:line="274" w:lineRule="exact"/>
                    <w:ind w:left="466" w:leftChars="0"/>
                    <w:jc w:val="left"/>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mallCaps w:val="0"/>
                      <w:color w:val="000000" w:themeColor="text1"/>
                      <w:kern w:val="2"/>
                      <w:sz w:val="21"/>
                      <w:szCs w:val="22"/>
                      <w:highlight w:val="none"/>
                      <w:u w:val="none"/>
                      <w:shd w:val="clear" w:color="auto" w:fill="auto"/>
                      <w:lang w:val="en-US" w:eastAsia="zh-CN" w:bidi="zh-TW"/>
                      <w14:textFill>
                        <w14:solidFill>
                          <w14:schemeClr w14:val="tx1"/>
                        </w14:solidFill>
                      </w14:textFill>
                    </w:rPr>
                    <w:t>/</w:t>
                  </w:r>
                </w:p>
              </w:tc>
            </w:tr>
          </w:tbl>
          <w:p>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pPr>
              <w:pStyle w:val="44"/>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福州奇联汽车零部件有限公司年加工汽车座椅骨架10万套项目</w:t>
            </w:r>
          </w:p>
          <w:p>
            <w:pPr>
              <w:pStyle w:val="44"/>
              <w:ind w:firstLine="48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福州奇联汽车零部件有限公司</w:t>
            </w:r>
          </w:p>
          <w:p>
            <w:pPr>
              <w:pStyle w:val="44"/>
              <w:ind w:firstLine="48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建设地点：</w:t>
            </w:r>
            <w:r>
              <w:rPr>
                <w:rFonts w:hint="eastAsia"/>
                <w:color w:val="000000" w:themeColor="text1"/>
                <w:highlight w:val="none"/>
                <w14:textFill>
                  <w14:solidFill>
                    <w14:schemeClr w14:val="tx1"/>
                  </w14:solidFill>
                </w14:textFill>
              </w:rPr>
              <w:t>福建省福清市镜洋镇过洋39号</w:t>
            </w:r>
          </w:p>
          <w:p>
            <w:pPr>
              <w:pStyle w:val="44"/>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新建</w:t>
            </w:r>
          </w:p>
          <w:p>
            <w:pPr>
              <w:pStyle w:val="44"/>
              <w:shd w:val="clear"/>
              <w:ind w:firstLine="480"/>
              <w:rPr>
                <w:rFonts w:hint="eastAsia" w:ascii="Times New Roman" w:hAnsi="Times New Roman" w:eastAsia="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项目投资：</w:t>
            </w:r>
            <w:r>
              <w:rPr>
                <w:rFonts w:hint="eastAsia" w:ascii="Times New Roman" w:hAnsi="Times New Roman" w:eastAsia="宋体" w:cs="宋体"/>
                <w:color w:val="000000" w:themeColor="text1"/>
                <w:highlight w:val="none"/>
                <w:lang w:val="en-US" w:eastAsia="zh-CN"/>
                <w14:textFill>
                  <w14:solidFill>
                    <w14:schemeClr w14:val="tx1"/>
                  </w14:solidFill>
                </w14:textFill>
              </w:rPr>
              <w:t>900</w:t>
            </w:r>
            <w:r>
              <w:rPr>
                <w:rFonts w:hint="eastAsia" w:ascii="Times New Roman" w:hAnsi="Times New Roman" w:eastAsia="宋体" w:cs="宋体"/>
                <w:color w:val="000000" w:themeColor="text1"/>
                <w:highlight w:val="none"/>
                <w14:textFill>
                  <w14:solidFill>
                    <w14:schemeClr w14:val="tx1"/>
                  </w14:solidFill>
                </w14:textFill>
              </w:rPr>
              <w:t>万元；</w:t>
            </w:r>
          </w:p>
          <w:p>
            <w:pPr>
              <w:pStyle w:val="44"/>
              <w:shd w:val="clear"/>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职工人数：职工人数共</w:t>
            </w:r>
            <w:r>
              <w:rPr>
                <w:rFonts w:hint="eastAsia" w:ascii="Times New Roman" w:hAnsi="Times New Roman" w:eastAsia="宋体" w:cs="宋体"/>
                <w:color w:val="000000" w:themeColor="text1"/>
                <w:highlight w:val="none"/>
                <w:lang w:val="en-US" w:eastAsia="zh-CN"/>
                <w14:textFill>
                  <w14:solidFill>
                    <w14:schemeClr w14:val="tx1"/>
                  </w14:solidFill>
                </w14:textFill>
              </w:rPr>
              <w:t>30</w:t>
            </w:r>
            <w:r>
              <w:rPr>
                <w:rFonts w:hint="eastAsia" w:ascii="Times New Roman" w:hAnsi="Times New Roman" w:eastAsia="宋体" w:cs="宋体"/>
                <w:color w:val="000000" w:themeColor="text1"/>
                <w:highlight w:val="none"/>
                <w14:textFill>
                  <w14:solidFill>
                    <w14:schemeClr w14:val="tx1"/>
                  </w14:solidFill>
                </w14:textFill>
              </w:rPr>
              <w:t>人，均不</w:t>
            </w:r>
            <w:r>
              <w:rPr>
                <w:rFonts w:hint="eastAsia" w:ascii="Times New Roman" w:hAnsi="Times New Roman" w:eastAsia="宋体" w:cs="宋体"/>
                <w:color w:val="000000" w:themeColor="text1"/>
                <w:highlight w:val="none"/>
                <w:lang w:val="en-US" w:eastAsia="zh-CN"/>
                <w14:textFill>
                  <w14:solidFill>
                    <w14:schemeClr w14:val="tx1"/>
                  </w14:solidFill>
                </w14:textFill>
              </w:rPr>
              <w:t>住</w:t>
            </w:r>
            <w:r>
              <w:rPr>
                <w:rFonts w:hint="eastAsia" w:ascii="Times New Roman" w:hAnsi="Times New Roman" w:eastAsia="宋体" w:cs="宋体"/>
                <w:color w:val="000000" w:themeColor="text1"/>
                <w:highlight w:val="none"/>
                <w14:textFill>
                  <w14:solidFill>
                    <w14:schemeClr w14:val="tx1"/>
                  </w14:solidFill>
                </w14:textFill>
              </w:rPr>
              <w:t>厂；</w:t>
            </w:r>
          </w:p>
          <w:p>
            <w:pPr>
              <w:pStyle w:val="44"/>
              <w:shd w:val="clear"/>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工作制度：年生产3</w:t>
            </w:r>
            <w:r>
              <w:rPr>
                <w:rFonts w:hint="eastAsia" w:ascii="Times New Roman" w:hAnsi="Times New Roman" w:eastAsia="宋体" w:cs="宋体"/>
                <w:color w:val="000000" w:themeColor="text1"/>
                <w:highlight w:val="none"/>
                <w:lang w:val="en-US" w:eastAsia="zh-CN"/>
                <w14:textFill>
                  <w14:solidFill>
                    <w14:schemeClr w14:val="tx1"/>
                  </w14:solidFill>
                </w14:textFill>
              </w:rPr>
              <w:t>0</w:t>
            </w:r>
            <w:r>
              <w:rPr>
                <w:rFonts w:hint="eastAsia" w:ascii="Times New Roman" w:hAnsi="Times New Roman" w:eastAsia="宋体" w:cs="宋体"/>
                <w:color w:val="000000" w:themeColor="text1"/>
                <w:highlight w:val="none"/>
                <w14:textFill>
                  <w14:solidFill>
                    <w14:schemeClr w14:val="tx1"/>
                  </w14:solidFill>
                </w14:textFill>
              </w:rPr>
              <w:t>0天，</w:t>
            </w:r>
            <w:r>
              <w:rPr>
                <w:rFonts w:hint="eastAsia" w:ascii="Times New Roman" w:hAnsi="Times New Roman" w:eastAsia="宋体" w:cs="宋体"/>
                <w:color w:val="000000" w:themeColor="text1"/>
                <w:highlight w:val="none"/>
                <w:lang w:val="en-US" w:eastAsia="zh-CN"/>
                <w14:textFill>
                  <w14:solidFill>
                    <w14:schemeClr w14:val="tx1"/>
                  </w14:solidFill>
                </w14:textFill>
              </w:rPr>
              <w:t>单班制，每班8h</w:t>
            </w:r>
            <w:r>
              <w:rPr>
                <w:rFonts w:hint="eastAsia" w:ascii="Times New Roman" w:hAnsi="Times New Roman" w:eastAsia="宋体" w:cs="宋体"/>
                <w:color w:val="000000" w:themeColor="text1"/>
                <w:highlight w:val="none"/>
                <w14:textFill>
                  <w14:solidFill>
                    <w14:schemeClr w14:val="tx1"/>
                  </w14:solidFill>
                </w14:textFill>
              </w:rPr>
              <w:t>；</w:t>
            </w:r>
          </w:p>
          <w:p>
            <w:pPr>
              <w:pStyle w:val="44"/>
              <w:shd w:val="clear"/>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建设内容及规模：</w:t>
            </w:r>
            <w:r>
              <w:rPr>
                <w:rFonts w:hint="eastAsia" w:ascii="Times New Roman" w:hAnsi="Times New Roman" w:eastAsia="宋体" w:cs="宋体"/>
                <w:color w:val="000000" w:themeColor="text1"/>
                <w:highlight w:val="none"/>
                <w:lang w:val="en-US" w:eastAsia="zh-CN"/>
                <w14:textFill>
                  <w14:solidFill>
                    <w14:schemeClr w14:val="tx1"/>
                  </w14:solidFill>
                </w14:textFill>
              </w:rPr>
              <w:t>年加工汽车座椅骨架10万套</w:t>
            </w:r>
          </w:p>
          <w:p>
            <w:pPr>
              <w:pStyle w:val="4"/>
              <w:bidi w:val="0"/>
              <w:ind w:left="720" w:leftChars="0" w:hanging="72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产品方案</w:t>
            </w:r>
          </w:p>
          <w:p>
            <w:pPr>
              <w:spacing w:line="360" w:lineRule="auto"/>
              <w:ind w:left="480"/>
              <w:rPr>
                <w:rFonts w:ascii="宋体" w:cs="宋体"/>
                <w:color w:val="000000" w:themeColor="text1"/>
                <w:kern w:val="0"/>
                <w:highlight w:val="none"/>
                <w14:textFill>
                  <w14:solidFill>
                    <w14:schemeClr w14:val="tx1"/>
                  </w14:solidFill>
                </w14:textFill>
              </w:rPr>
            </w:pPr>
            <w:r>
              <w:rPr>
                <w:rFonts w:hint="eastAsia" w:ascii="宋体" w:cs="宋体"/>
                <w:color w:val="000000" w:themeColor="text1"/>
                <w:kern w:val="0"/>
                <w:sz w:val="24"/>
                <w:highlight w:val="none"/>
                <w:lang w:bidi="ar"/>
                <w14:textFill>
                  <w14:solidFill>
                    <w14:schemeClr w14:val="tx1"/>
                  </w14:solidFill>
                </w14:textFill>
              </w:rPr>
              <w:t>本项目产品方案见下表。</w:t>
            </w:r>
          </w:p>
          <w:p>
            <w:pPr>
              <w:pStyle w:val="42"/>
              <w:keepNext/>
              <w:keepLines/>
              <w:pageBreakBefore w:val="0"/>
              <w:widowControl w:val="0"/>
              <w:shd w:val="clear"/>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ascii="Times New Roman" w:hAnsi="Times New Roman" w:eastAsia="宋体"/>
                <w:color w:val="000000" w:themeColor="text1"/>
                <w:highlight w:val="none"/>
                <w14:textFill>
                  <w14:solidFill>
                    <w14:schemeClr w14:val="tx1"/>
                  </w14:solidFill>
                </w14:textFill>
              </w:rPr>
              <w:t>产品方案</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866"/>
              <w:gridCol w:w="2774"/>
              <w:gridCol w:w="303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52"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3"/>
                      <w:sz w:val="21"/>
                    </w:rPr>
                    <w:t>产品</w:t>
                  </w:r>
                </w:p>
              </w:tc>
              <w:tc>
                <w:tcPr>
                  <w:tcW w:w="159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6"/>
                      <w:sz w:val="21"/>
                    </w:rPr>
                    <w:t>年设计能力</w:t>
                  </w:r>
                </w:p>
              </w:tc>
              <w:tc>
                <w:tcPr>
                  <w:tcW w:w="1747"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b/>
                      <w:bCs/>
                      <w:spacing w:val="6"/>
                      <w:sz w:val="21"/>
                    </w:rPr>
                    <w:t>年运行时间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652"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汽车座椅骨架</w:t>
                  </w:r>
                </w:p>
              </w:tc>
              <w:tc>
                <w:tcPr>
                  <w:tcW w:w="1599" w:type="pct"/>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hint="eastAsia" w:ascii="Times New Roman" w:hAnsi="Times New Roman" w:eastAsia="宋体" w:cs="Times New Roman"/>
                      <w:spacing w:val="2"/>
                      <w:position w:val="1"/>
                      <w:sz w:val="21"/>
                      <w:highlight w:val="none"/>
                      <w:lang w:val="en-US" w:eastAsia="zh-CN"/>
                    </w:rPr>
                    <w:t>1</w:t>
                  </w:r>
                  <w:r>
                    <w:rPr>
                      <w:rFonts w:ascii="Times New Roman" w:hAnsi="Times New Roman" w:eastAsia="宋体" w:cs="Times New Roman"/>
                      <w:spacing w:val="2"/>
                      <w:position w:val="1"/>
                      <w:sz w:val="21"/>
                      <w:highlight w:val="none"/>
                    </w:rPr>
                    <w:t>0</w:t>
                  </w:r>
                  <w:r>
                    <w:rPr>
                      <w:rFonts w:ascii="Times New Roman" w:hAnsi="Times New Roman" w:eastAsia="宋体"/>
                      <w:spacing w:val="2"/>
                      <w:position w:val="1"/>
                      <w:sz w:val="21"/>
                      <w:highlight w:val="none"/>
                    </w:rPr>
                    <w:t>万套</w:t>
                  </w:r>
                </w:p>
              </w:tc>
              <w:tc>
                <w:tcPr>
                  <w:tcW w:w="1747" w:type="pct"/>
                  <w:tcBorders>
                    <w:top w:val="single" w:color="000000"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hint="eastAsia" w:ascii="Times New Roman" w:hAnsi="Times New Roman" w:eastAsia="宋体" w:cs="Times New Roman"/>
                      <w:spacing w:val="4"/>
                      <w:position w:val="1"/>
                      <w:sz w:val="21"/>
                      <w:szCs w:val="20"/>
                      <w:highlight w:val="none"/>
                      <w:shd w:val="clear"/>
                      <w:lang w:val="en-US" w:eastAsia="zh-CN"/>
                    </w:rPr>
                    <w:t>24</w:t>
                  </w:r>
                  <w:r>
                    <w:rPr>
                      <w:rFonts w:ascii="Times New Roman" w:hAnsi="Times New Roman" w:eastAsia="宋体" w:cs="Times New Roman"/>
                      <w:spacing w:val="4"/>
                      <w:position w:val="1"/>
                      <w:sz w:val="21"/>
                      <w:szCs w:val="20"/>
                      <w:highlight w:val="none"/>
                      <w:shd w:val="clear"/>
                    </w:rPr>
                    <w:t>00h</w:t>
                  </w:r>
                </w:p>
              </w:tc>
            </w:tr>
          </w:tbl>
          <w:p>
            <w:pPr>
              <w:rPr>
                <w:rFonts w:hint="eastAsia"/>
              </w:rPr>
            </w:pPr>
          </w:p>
          <w:p>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项目建设内容</w:t>
            </w:r>
            <w:r>
              <w:rPr>
                <w:rFonts w:hint="eastAsia"/>
                <w:color w:val="000000" w:themeColor="text1"/>
                <w:highlight w:val="none"/>
                <w14:textFill>
                  <w14:solidFill>
                    <w14:schemeClr w14:val="tx1"/>
                  </w14:solidFill>
                </w14:textFill>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p>
          <w:p>
            <w:pPr>
              <w:pStyle w:val="4"/>
              <w:bidi w:val="0"/>
              <w:ind w:left="720" w:leftChars="0" w:hanging="72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主要建设内容</w:t>
            </w:r>
          </w:p>
          <w:p>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组成见</w:t>
            </w:r>
            <w:r>
              <w:rPr>
                <w:rFonts w:hint="eastAsia"/>
                <w:color w:val="000000" w:themeColor="text1"/>
                <w:highlight w:val="none"/>
                <w14:textFill>
                  <w14:solidFill>
                    <w14:schemeClr w14:val="tx1"/>
                  </w14:solidFill>
                </w14:textFill>
              </w:rPr>
              <w:t>下表</w:t>
            </w:r>
            <w:r>
              <w:rPr>
                <w:rFonts w:hint="eastAsia"/>
                <w:color w:val="000000" w:themeColor="text1"/>
                <w:highlight w:val="none"/>
                <w:lang w:eastAsia="zh-CN"/>
                <w14:textFill>
                  <w14:solidFill>
                    <w14:schemeClr w14:val="tx1"/>
                  </w14:solidFill>
                </w14:textFill>
              </w:rPr>
              <w:t>。</w:t>
            </w:r>
          </w:p>
          <w:p>
            <w:pPr>
              <w:pStyle w:val="42"/>
              <w:keepNext/>
              <w:keepLines/>
              <w:pageBreakBefore w:val="0"/>
              <w:widowControl w:val="0"/>
              <w:shd w:val="clear"/>
              <w:kinsoku/>
              <w:wordWrap/>
              <w:overflowPunct/>
              <w:topLinePunct w:val="0"/>
              <w:autoSpaceDE/>
              <w:autoSpaceDN/>
              <w:bidi w:val="0"/>
              <w:adjustRightInd/>
              <w:snapToGrid/>
              <w:spacing w:before="0" w:after="0" w:line="240" w:lineRule="auto"/>
              <w:ind w:left="630" w:leftChars="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工</w:t>
            </w:r>
            <w:r>
              <w:rPr>
                <w:rFonts w:hint="eastAsia" w:ascii="Times New Roman" w:hAnsi="Times New Roman" w:eastAsia="宋体" w:cs="宋体"/>
                <w:b/>
                <w:bCs/>
                <w:color w:val="000000" w:themeColor="text1"/>
                <w:kern w:val="0"/>
                <w:sz w:val="24"/>
                <w:szCs w:val="21"/>
                <w:highlight w:val="none"/>
                <w:lang w:val="en-US" w:eastAsia="zh-CN" w:bidi="ar-SA"/>
                <w14:textFill>
                  <w14:solidFill>
                    <w14:schemeClr w14:val="tx1"/>
                  </w14:solidFill>
                </w14:textFill>
              </w:rPr>
              <w:t>程</w:t>
            </w:r>
            <w:r>
              <w:rPr>
                <w:rFonts w:hint="default" w:ascii="Times New Roman" w:hAnsi="Times New Roman" w:eastAsia="宋体" w:cs="宋体"/>
                <w:b/>
                <w:bCs/>
                <w:color w:val="000000" w:themeColor="text1"/>
                <w:kern w:val="0"/>
                <w:sz w:val="24"/>
                <w:szCs w:val="21"/>
                <w:highlight w:val="none"/>
                <w:lang w:val="en-US" w:eastAsia="zh-CN" w:bidi="ar-SA"/>
                <w14:textFill>
                  <w14:solidFill>
                    <w14:schemeClr w14:val="tx1"/>
                  </w14:solidFill>
                </w14:textFill>
              </w:rPr>
              <w:t>主要建设内容情况一览表</w:t>
            </w:r>
          </w:p>
          <w:tbl>
            <w:tblPr>
              <w:tblStyle w:val="34"/>
              <w:tblW w:w="9990"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36"/>
              <w:gridCol w:w="2054"/>
              <w:gridCol w:w="3072"/>
              <w:gridCol w:w="2110"/>
              <w:gridCol w:w="13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bottom w:val="single" w:color="000000" w:sz="12" w:space="0"/>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b/>
                      <w:bCs/>
                      <w:spacing w:val="2"/>
                      <w:sz w:val="21"/>
                      <w:szCs w:val="21"/>
                    </w:rPr>
                    <w:t>工程</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b/>
                      <w:bCs/>
                      <w:spacing w:val="3"/>
                      <w:sz w:val="21"/>
                      <w:szCs w:val="21"/>
                    </w:rPr>
                    <w:t>类别</w:t>
                  </w:r>
                </w:p>
              </w:tc>
              <w:tc>
                <w:tcPr>
                  <w:tcW w:w="2054" w:type="dxa"/>
                  <w:tcBorders>
                    <w:bottom w:val="single" w:color="000000" w:sz="12" w:space="0"/>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b/>
                      <w:bCs/>
                      <w:spacing w:val="5"/>
                      <w:sz w:val="21"/>
                      <w:szCs w:val="21"/>
                    </w:rPr>
                    <w:t>工程名称</w:t>
                  </w:r>
                </w:p>
              </w:tc>
              <w:tc>
                <w:tcPr>
                  <w:tcW w:w="3072" w:type="dxa"/>
                  <w:tcBorders>
                    <w:bottom w:val="single" w:color="000000" w:sz="12" w:space="0"/>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b/>
                      <w:bCs/>
                      <w:spacing w:val="6"/>
                      <w:sz w:val="21"/>
                      <w:szCs w:val="21"/>
                    </w:rPr>
                    <w:t>工程规模和内容</w:t>
                  </w:r>
                </w:p>
              </w:tc>
              <w:tc>
                <w:tcPr>
                  <w:tcW w:w="2110" w:type="dxa"/>
                  <w:tcBorders>
                    <w:bottom w:val="single" w:color="000000" w:sz="12" w:space="0"/>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b/>
                      <w:bCs/>
                      <w:spacing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pacing w:val="3"/>
                      <w:sz w:val="21"/>
                      <w:szCs w:val="21"/>
                    </w:rPr>
                    <w:t>主体</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工程</w:t>
                  </w:r>
                </w:p>
              </w:tc>
              <w:tc>
                <w:tcPr>
                  <w:tcW w:w="2054" w:type="dxa"/>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cs="宋体"/>
                      <w:kern w:val="2"/>
                      <w:sz w:val="21"/>
                      <w:szCs w:val="21"/>
                      <w:lang w:val="en-US" w:eastAsia="zh-CN" w:bidi="ar-SA"/>
                    </w:rPr>
                    <w:t>2#厂房</w:t>
                  </w:r>
                </w:p>
              </w:tc>
              <w:tc>
                <w:tcPr>
                  <w:tcW w:w="3072" w:type="dxa"/>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cs="宋体"/>
                      <w:kern w:val="2"/>
                      <w:sz w:val="21"/>
                      <w:szCs w:val="21"/>
                      <w:lang w:val="en-US" w:eastAsia="zh-CN" w:bidi="ar-SA"/>
                    </w:rPr>
                    <w:t>主要建设焊接工序，面积1010m</w:t>
                  </w:r>
                  <w:r>
                    <w:rPr>
                      <w:rFonts w:hint="eastAsia" w:ascii="Times New Roman" w:hAnsi="Times New Roman" w:cs="宋体"/>
                      <w:kern w:val="2"/>
                      <w:sz w:val="21"/>
                      <w:szCs w:val="21"/>
                      <w:vertAlign w:val="superscript"/>
                      <w:lang w:val="en-US" w:eastAsia="zh-CN" w:bidi="ar-SA"/>
                    </w:rPr>
                    <w:t>2</w:t>
                  </w:r>
                </w:p>
              </w:tc>
              <w:tc>
                <w:tcPr>
                  <w:tcW w:w="2110" w:type="dxa"/>
                  <w:vMerge w:val="restart"/>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场地租赁，</w:t>
                  </w:r>
                  <w:r>
                    <w:rPr>
                      <w:rFonts w:ascii="Times New Roman" w:hAnsi="Times New Roman" w:eastAsia="宋体"/>
                      <w:spacing w:val="3"/>
                      <w:sz w:val="21"/>
                      <w:szCs w:val="21"/>
                    </w:rPr>
                    <w:t>内部设施新</w:t>
                  </w:r>
                  <w:r>
                    <w:rPr>
                      <w:rFonts w:ascii="Times New Roman" w:hAnsi="Times New Roman" w:eastAsia="宋体"/>
                      <w:sz w:val="21"/>
                      <w:szCs w:val="21"/>
                    </w:rPr>
                    <w:t>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spacing w:val="3"/>
                      <w:sz w:val="21"/>
                      <w:szCs w:val="21"/>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spacing w:val="6"/>
                      <w:sz w:val="21"/>
                      <w:szCs w:val="21"/>
                    </w:rPr>
                  </w:pPr>
                  <w:r>
                    <w:rPr>
                      <w:rFonts w:hint="eastAsia" w:ascii="Times New Roman" w:hAnsi="Times New Roman" w:cs="宋体"/>
                      <w:kern w:val="2"/>
                      <w:sz w:val="21"/>
                      <w:szCs w:val="21"/>
                      <w:lang w:val="en-US" w:eastAsia="zh-CN" w:bidi="ar-SA"/>
                    </w:rPr>
                    <w:t>3#厂房</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spacing w:val="15"/>
                      <w:sz w:val="21"/>
                      <w:szCs w:val="21"/>
                      <w:highlight w:val="yellow"/>
                    </w:rPr>
                  </w:pPr>
                  <w:r>
                    <w:rPr>
                      <w:rFonts w:hint="eastAsia" w:ascii="Times New Roman" w:hAnsi="Times New Roman" w:cs="宋体"/>
                      <w:kern w:val="2"/>
                      <w:sz w:val="21"/>
                      <w:szCs w:val="21"/>
                      <w:lang w:val="en-US" w:eastAsia="zh-CN" w:bidi="ar-SA"/>
                    </w:rPr>
                    <w:t>主要建设电泳工序，面积1020m</w:t>
                  </w:r>
                  <w:r>
                    <w:rPr>
                      <w:rFonts w:hint="eastAsia" w:ascii="Times New Roman" w:hAnsi="Times New Roman" w:cs="宋体"/>
                      <w:kern w:val="2"/>
                      <w:sz w:val="21"/>
                      <w:szCs w:val="21"/>
                      <w:vertAlign w:val="superscript"/>
                      <w:lang w:val="en-US" w:eastAsia="zh-CN" w:bidi="ar-SA"/>
                    </w:rPr>
                    <w:t>2</w:t>
                  </w: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spacing w:val="4"/>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gridAfter w:val="1"/>
                <w:wAfter w:w="1318" w:type="dxa"/>
              </w:trPr>
              <w:tc>
                <w:tcPr>
                  <w:tcW w:w="1436"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pacing w:val="5"/>
                      <w:sz w:val="21"/>
                      <w:szCs w:val="21"/>
                    </w:rPr>
                    <w:t>储运</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工程</w:t>
                  </w: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8"/>
                      <w:sz w:val="21"/>
                      <w:szCs w:val="21"/>
                    </w:rPr>
                    <w:t>化学品仓库</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kern w:val="2"/>
                      <w:sz w:val="21"/>
                      <w:szCs w:val="21"/>
                      <w:highlight w:val="none"/>
                      <w:lang w:val="en-US" w:eastAsia="en-US" w:bidi="ar-SA"/>
                    </w:rPr>
                  </w:pPr>
                  <w:r>
                    <w:rPr>
                      <w:rFonts w:ascii="Times New Roman" w:hAnsi="Times New Roman" w:eastAsia="宋体"/>
                      <w:spacing w:val="9"/>
                      <w:sz w:val="21"/>
                      <w:szCs w:val="21"/>
                      <w:highlight w:val="none"/>
                    </w:rPr>
                    <w:t>主要承担</w:t>
                  </w:r>
                  <w:r>
                    <w:rPr>
                      <w:rFonts w:hint="eastAsia" w:ascii="Times New Roman" w:hAnsi="Times New Roman"/>
                      <w:spacing w:val="9"/>
                      <w:sz w:val="21"/>
                      <w:szCs w:val="21"/>
                      <w:highlight w:val="none"/>
                      <w:lang w:val="en-US" w:eastAsia="zh-CN"/>
                    </w:rPr>
                    <w:t>电泳</w:t>
                  </w:r>
                  <w:r>
                    <w:rPr>
                      <w:rFonts w:ascii="Times New Roman" w:hAnsi="Times New Roman" w:eastAsia="宋体"/>
                      <w:spacing w:val="9"/>
                      <w:sz w:val="21"/>
                      <w:szCs w:val="21"/>
                      <w:highlight w:val="none"/>
                    </w:rPr>
                    <w:t>涂料等存放任务，仓库面积</w:t>
                  </w:r>
                  <w:r>
                    <w:rPr>
                      <w:rFonts w:ascii="Times New Roman" w:hAnsi="Times New Roman" w:eastAsia="宋体" w:cs="Times New Roman"/>
                      <w:spacing w:val="3"/>
                      <w:position w:val="1"/>
                      <w:sz w:val="21"/>
                      <w:szCs w:val="21"/>
                      <w:highlight w:val="none"/>
                    </w:rPr>
                    <w:t>28m</w:t>
                  </w:r>
                  <w:r>
                    <w:rPr>
                      <w:rFonts w:hint="eastAsia" w:ascii="Times New Roman" w:hAnsi="Times New Roman" w:eastAsia="宋体" w:cs="Times New Roman"/>
                      <w:spacing w:val="10"/>
                      <w:sz w:val="21"/>
                      <w:szCs w:val="21"/>
                      <w:highlight w:val="none"/>
                      <w:vertAlign w:val="superscript"/>
                      <w:lang w:val="en-US" w:eastAsia="zh-CN"/>
                    </w:rPr>
                    <w:t>2</w:t>
                  </w:r>
                  <w:r>
                    <w:rPr>
                      <w:rFonts w:ascii="Times New Roman" w:hAnsi="Times New Roman" w:eastAsia="宋体"/>
                      <w:spacing w:val="3"/>
                      <w:position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场地租赁，</w:t>
                  </w:r>
                  <w:r>
                    <w:rPr>
                      <w:rFonts w:ascii="Times New Roman" w:hAnsi="Times New Roman" w:eastAsia="宋体"/>
                      <w:spacing w:val="3"/>
                      <w:sz w:val="21"/>
                      <w:szCs w:val="21"/>
                    </w:rPr>
                    <w:t>内部设施新</w:t>
                  </w:r>
                  <w:r>
                    <w:rPr>
                      <w:rFonts w:ascii="Times New Roman" w:hAnsi="Times New Roman" w:eastAsia="宋体"/>
                      <w:sz w:val="21"/>
                      <w:szCs w:val="21"/>
                    </w:rPr>
                    <w:t>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一般固废堆</w:t>
                  </w:r>
                  <w:r>
                    <w:rPr>
                      <w:rFonts w:ascii="Times New Roman" w:hAnsi="Times New Roman" w:eastAsia="宋体"/>
                      <w:spacing w:val="1"/>
                      <w:sz w:val="21"/>
                      <w:szCs w:val="21"/>
                    </w:rPr>
                    <w:t>场</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kern w:val="2"/>
                      <w:sz w:val="21"/>
                      <w:szCs w:val="21"/>
                      <w:highlight w:val="none"/>
                      <w:lang w:val="en-US" w:eastAsia="en-US" w:bidi="ar-SA"/>
                    </w:rPr>
                  </w:pPr>
                  <w:r>
                    <w:rPr>
                      <w:rFonts w:ascii="Times New Roman" w:hAnsi="Times New Roman" w:eastAsia="宋体"/>
                      <w:spacing w:val="10"/>
                      <w:position w:val="1"/>
                      <w:sz w:val="21"/>
                      <w:szCs w:val="21"/>
                      <w:highlight w:val="none"/>
                    </w:rPr>
                    <w:t>位于</w:t>
                  </w:r>
                  <w:r>
                    <w:rPr>
                      <w:rFonts w:hint="eastAsia" w:ascii="Times New Roman" w:hAnsi="Times New Roman"/>
                      <w:spacing w:val="10"/>
                      <w:position w:val="1"/>
                      <w:sz w:val="21"/>
                      <w:szCs w:val="21"/>
                      <w:highlight w:val="none"/>
                      <w:lang w:val="en-US" w:eastAsia="zh-CN"/>
                    </w:rPr>
                    <w:t>2#</w:t>
                  </w:r>
                  <w:r>
                    <w:rPr>
                      <w:rFonts w:ascii="Times New Roman" w:hAnsi="Times New Roman" w:eastAsia="宋体"/>
                      <w:spacing w:val="10"/>
                      <w:position w:val="1"/>
                      <w:sz w:val="21"/>
                      <w:szCs w:val="21"/>
                      <w:highlight w:val="none"/>
                    </w:rPr>
                    <w:t>厂房</w:t>
                  </w:r>
                  <w:r>
                    <w:rPr>
                      <w:rFonts w:hint="eastAsia" w:ascii="Times New Roman" w:hAnsi="Times New Roman"/>
                      <w:spacing w:val="10"/>
                      <w:position w:val="1"/>
                      <w:sz w:val="21"/>
                      <w:szCs w:val="21"/>
                      <w:highlight w:val="none"/>
                      <w:lang w:val="en-US" w:eastAsia="zh-CN"/>
                    </w:rPr>
                    <w:t>西</w:t>
                  </w:r>
                  <w:r>
                    <w:rPr>
                      <w:rFonts w:ascii="Times New Roman" w:hAnsi="Times New Roman" w:eastAsia="宋体"/>
                      <w:spacing w:val="10"/>
                      <w:position w:val="1"/>
                      <w:sz w:val="21"/>
                      <w:szCs w:val="21"/>
                      <w:highlight w:val="none"/>
                    </w:rPr>
                    <w:t>侧，建筑面积</w:t>
                  </w:r>
                  <w:r>
                    <w:rPr>
                      <w:rFonts w:ascii="Times New Roman" w:hAnsi="Times New Roman" w:eastAsia="宋体" w:cs="Times New Roman"/>
                      <w:spacing w:val="10"/>
                      <w:position w:val="1"/>
                      <w:sz w:val="21"/>
                      <w:szCs w:val="21"/>
                      <w:highlight w:val="none"/>
                    </w:rPr>
                    <w:t>20m</w:t>
                  </w:r>
                  <w:r>
                    <w:rPr>
                      <w:rFonts w:hint="eastAsia" w:ascii="Times New Roman" w:hAnsi="Times New Roman" w:eastAsia="宋体" w:cs="Times New Roman"/>
                      <w:spacing w:val="10"/>
                      <w:sz w:val="21"/>
                      <w:szCs w:val="21"/>
                      <w:highlight w:val="none"/>
                      <w:vertAlign w:val="superscript"/>
                      <w:lang w:val="en-US" w:eastAsia="zh-CN"/>
                    </w:rPr>
                    <w:t>2</w:t>
                  </w:r>
                  <w:r>
                    <w:rPr>
                      <w:rFonts w:ascii="Times New Roman" w:hAnsi="Times New Roman" w:eastAsia="宋体"/>
                      <w:spacing w:val="10"/>
                      <w:position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场地租赁，</w:t>
                  </w:r>
                  <w:r>
                    <w:rPr>
                      <w:rFonts w:ascii="Times New Roman" w:hAnsi="Times New Roman" w:eastAsia="宋体"/>
                      <w:spacing w:val="3"/>
                      <w:sz w:val="21"/>
                      <w:szCs w:val="21"/>
                    </w:rPr>
                    <w:t>内部设施新</w:t>
                  </w:r>
                  <w:r>
                    <w:rPr>
                      <w:rFonts w:ascii="Times New Roman" w:hAnsi="Times New Roman" w:eastAsia="宋体"/>
                      <w:sz w:val="21"/>
                      <w:szCs w:val="21"/>
                    </w:rPr>
                    <w:t>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1"/>
                      <w:lang w:val="en-US" w:eastAsia="zh-CN" w:bidi="ar-SA"/>
                    </w:rPr>
                  </w:pPr>
                  <w:r>
                    <w:rPr>
                      <w:rFonts w:ascii="Times New Roman" w:hAnsi="Times New Roman" w:eastAsia="宋体"/>
                      <w:spacing w:val="6"/>
                      <w:sz w:val="21"/>
                      <w:szCs w:val="21"/>
                    </w:rPr>
                    <w:t>危废</w:t>
                  </w:r>
                  <w:r>
                    <w:rPr>
                      <w:rFonts w:hint="eastAsia" w:ascii="Times New Roman" w:hAnsi="Times New Roman"/>
                      <w:spacing w:val="6"/>
                      <w:sz w:val="21"/>
                      <w:szCs w:val="21"/>
                      <w:lang w:val="en-US" w:eastAsia="zh-CN"/>
                    </w:rPr>
                    <w:t>间</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highlight w:val="none"/>
                      <w:lang w:val="en-US" w:eastAsia="en-US" w:bidi="ar-SA"/>
                    </w:rPr>
                  </w:pPr>
                  <w:r>
                    <w:rPr>
                      <w:rFonts w:ascii="Times New Roman" w:hAnsi="Times New Roman" w:eastAsia="宋体"/>
                      <w:spacing w:val="10"/>
                      <w:position w:val="1"/>
                      <w:sz w:val="21"/>
                      <w:szCs w:val="21"/>
                      <w:highlight w:val="none"/>
                    </w:rPr>
                    <w:t>位于</w:t>
                  </w:r>
                  <w:r>
                    <w:rPr>
                      <w:rFonts w:hint="eastAsia" w:ascii="Times New Roman" w:hAnsi="Times New Roman"/>
                      <w:spacing w:val="10"/>
                      <w:position w:val="1"/>
                      <w:sz w:val="21"/>
                      <w:szCs w:val="21"/>
                      <w:highlight w:val="none"/>
                      <w:lang w:val="en-US" w:eastAsia="zh-CN"/>
                    </w:rPr>
                    <w:t>3#</w:t>
                  </w:r>
                  <w:r>
                    <w:rPr>
                      <w:rFonts w:ascii="Times New Roman" w:hAnsi="Times New Roman" w:eastAsia="宋体"/>
                      <w:spacing w:val="10"/>
                      <w:position w:val="1"/>
                      <w:sz w:val="21"/>
                      <w:szCs w:val="21"/>
                      <w:highlight w:val="none"/>
                    </w:rPr>
                    <w:t>厂房</w:t>
                  </w:r>
                  <w:r>
                    <w:rPr>
                      <w:rFonts w:hint="eastAsia" w:ascii="Times New Roman" w:hAnsi="Times New Roman"/>
                      <w:spacing w:val="10"/>
                      <w:position w:val="1"/>
                      <w:sz w:val="21"/>
                      <w:szCs w:val="21"/>
                      <w:highlight w:val="none"/>
                      <w:lang w:val="en-US" w:eastAsia="zh-CN"/>
                    </w:rPr>
                    <w:t>西南</w:t>
                  </w:r>
                  <w:r>
                    <w:rPr>
                      <w:rFonts w:ascii="Times New Roman" w:hAnsi="Times New Roman" w:eastAsia="宋体"/>
                      <w:spacing w:val="10"/>
                      <w:position w:val="1"/>
                      <w:sz w:val="21"/>
                      <w:szCs w:val="21"/>
                      <w:highlight w:val="none"/>
                    </w:rPr>
                    <w:t>侧，建筑面积</w:t>
                  </w:r>
                  <w:r>
                    <w:rPr>
                      <w:rFonts w:hint="eastAsia" w:ascii="Times New Roman" w:hAnsi="Times New Roman" w:cs="Times New Roman"/>
                      <w:spacing w:val="10"/>
                      <w:position w:val="1"/>
                      <w:sz w:val="21"/>
                      <w:szCs w:val="21"/>
                      <w:highlight w:val="none"/>
                      <w:lang w:val="en-US" w:eastAsia="zh-CN"/>
                    </w:rPr>
                    <w:t>10</w:t>
                  </w:r>
                  <w:r>
                    <w:rPr>
                      <w:rFonts w:ascii="Times New Roman" w:hAnsi="Times New Roman" w:eastAsia="宋体" w:cs="Times New Roman"/>
                      <w:spacing w:val="10"/>
                      <w:position w:val="1"/>
                      <w:sz w:val="21"/>
                      <w:szCs w:val="21"/>
                      <w:highlight w:val="none"/>
                    </w:rPr>
                    <w:t>m</w:t>
                  </w:r>
                  <w:r>
                    <w:rPr>
                      <w:rFonts w:hint="eastAsia" w:ascii="Times New Roman" w:hAnsi="Times New Roman" w:eastAsia="宋体" w:cs="Times New Roman"/>
                      <w:spacing w:val="10"/>
                      <w:sz w:val="21"/>
                      <w:szCs w:val="21"/>
                      <w:highlight w:val="none"/>
                      <w:vertAlign w:val="superscript"/>
                      <w:lang w:val="en-US" w:eastAsia="zh-CN"/>
                    </w:rPr>
                    <w:t>2</w:t>
                  </w:r>
                  <w:r>
                    <w:rPr>
                      <w:rFonts w:ascii="Times New Roman" w:hAnsi="Times New Roman" w:eastAsia="宋体"/>
                      <w:spacing w:val="10"/>
                      <w:position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场地租赁，</w:t>
                  </w:r>
                  <w:r>
                    <w:rPr>
                      <w:rFonts w:ascii="Times New Roman" w:hAnsi="Times New Roman" w:eastAsia="宋体"/>
                      <w:spacing w:val="3"/>
                      <w:sz w:val="21"/>
                      <w:szCs w:val="21"/>
                    </w:rPr>
                    <w:t>内部设施新</w:t>
                  </w:r>
                  <w:r>
                    <w:rPr>
                      <w:rFonts w:ascii="Times New Roman" w:hAnsi="Times New Roman" w:eastAsia="宋体"/>
                      <w:sz w:val="21"/>
                      <w:szCs w:val="21"/>
                    </w:rPr>
                    <w:t>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5"/>
                      <w:sz w:val="21"/>
                      <w:szCs w:val="21"/>
                    </w:rPr>
                    <w:t>成品库</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highlight w:val="none"/>
                      <w:lang w:val="en-US" w:eastAsia="en-US" w:bidi="ar-SA"/>
                    </w:rPr>
                  </w:pPr>
                  <w:r>
                    <w:rPr>
                      <w:rFonts w:ascii="Times New Roman" w:hAnsi="Times New Roman" w:eastAsia="宋体"/>
                      <w:spacing w:val="10"/>
                      <w:position w:val="1"/>
                      <w:sz w:val="21"/>
                      <w:szCs w:val="21"/>
                      <w:highlight w:val="none"/>
                    </w:rPr>
                    <w:t>位于</w:t>
                  </w:r>
                  <w:r>
                    <w:rPr>
                      <w:rFonts w:hint="eastAsia" w:ascii="Times New Roman" w:hAnsi="Times New Roman"/>
                      <w:spacing w:val="10"/>
                      <w:position w:val="1"/>
                      <w:sz w:val="21"/>
                      <w:szCs w:val="21"/>
                      <w:highlight w:val="none"/>
                      <w:lang w:val="en-US" w:eastAsia="zh-CN"/>
                    </w:rPr>
                    <w:t>3#</w:t>
                  </w:r>
                  <w:r>
                    <w:rPr>
                      <w:rFonts w:ascii="Times New Roman" w:hAnsi="Times New Roman" w:eastAsia="宋体"/>
                      <w:spacing w:val="10"/>
                      <w:position w:val="1"/>
                      <w:sz w:val="21"/>
                      <w:szCs w:val="21"/>
                      <w:highlight w:val="none"/>
                    </w:rPr>
                    <w:t>厂房</w:t>
                  </w:r>
                  <w:r>
                    <w:rPr>
                      <w:rFonts w:hint="eastAsia" w:ascii="Times New Roman" w:hAnsi="Times New Roman"/>
                      <w:spacing w:val="10"/>
                      <w:position w:val="1"/>
                      <w:sz w:val="21"/>
                      <w:szCs w:val="21"/>
                      <w:highlight w:val="none"/>
                      <w:lang w:val="en-US" w:eastAsia="zh-CN"/>
                    </w:rPr>
                    <w:t>西</w:t>
                  </w:r>
                  <w:r>
                    <w:rPr>
                      <w:rFonts w:ascii="Times New Roman" w:hAnsi="Times New Roman" w:eastAsia="宋体"/>
                      <w:spacing w:val="10"/>
                      <w:position w:val="1"/>
                      <w:sz w:val="21"/>
                      <w:szCs w:val="21"/>
                      <w:highlight w:val="none"/>
                    </w:rPr>
                    <w:t>侧，建筑面积</w:t>
                  </w:r>
                  <w:r>
                    <w:rPr>
                      <w:rFonts w:hint="eastAsia" w:ascii="Times New Roman" w:hAnsi="Times New Roman"/>
                      <w:spacing w:val="10"/>
                      <w:position w:val="1"/>
                      <w:sz w:val="21"/>
                      <w:szCs w:val="21"/>
                      <w:highlight w:val="none"/>
                      <w:lang w:val="en-US" w:eastAsia="zh-CN"/>
                    </w:rPr>
                    <w:t>200</w:t>
                  </w:r>
                  <w:r>
                    <w:rPr>
                      <w:rFonts w:ascii="Times New Roman" w:hAnsi="Times New Roman" w:eastAsia="宋体" w:cs="Times New Roman"/>
                      <w:spacing w:val="10"/>
                      <w:position w:val="1"/>
                      <w:sz w:val="21"/>
                      <w:szCs w:val="21"/>
                      <w:highlight w:val="none"/>
                    </w:rPr>
                    <w:t>m</w:t>
                  </w:r>
                  <w:r>
                    <w:rPr>
                      <w:rFonts w:hint="eastAsia" w:ascii="Times New Roman" w:hAnsi="Times New Roman" w:eastAsia="宋体" w:cs="Times New Roman"/>
                      <w:spacing w:val="10"/>
                      <w:sz w:val="21"/>
                      <w:szCs w:val="21"/>
                      <w:highlight w:val="none"/>
                      <w:vertAlign w:val="superscript"/>
                      <w:lang w:val="en-US" w:eastAsia="zh-CN"/>
                    </w:rPr>
                    <w:t>2</w:t>
                  </w:r>
                  <w:r>
                    <w:rPr>
                      <w:rFonts w:ascii="Times New Roman" w:hAnsi="Times New Roman" w:eastAsia="宋体"/>
                      <w:spacing w:val="10"/>
                      <w:position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场地租赁，</w:t>
                  </w:r>
                  <w:r>
                    <w:rPr>
                      <w:rFonts w:ascii="Times New Roman" w:hAnsi="Times New Roman" w:eastAsia="宋体"/>
                      <w:spacing w:val="3"/>
                      <w:sz w:val="21"/>
                      <w:szCs w:val="21"/>
                    </w:rPr>
                    <w:t>内部设施新</w:t>
                  </w:r>
                  <w:r>
                    <w:rPr>
                      <w:rFonts w:ascii="Times New Roman" w:hAnsi="Times New Roman" w:eastAsia="宋体"/>
                      <w:sz w:val="21"/>
                      <w:szCs w:val="21"/>
                    </w:rPr>
                    <w:t>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3"/>
                      <w:sz w:val="21"/>
                      <w:szCs w:val="21"/>
                    </w:rPr>
                    <w:t>辅助</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工程</w:t>
                  </w: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5"/>
                      <w:sz w:val="21"/>
                      <w:szCs w:val="21"/>
                    </w:rPr>
                    <w:t>办公室</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highlight w:val="none"/>
                      <w:lang w:val="en-US" w:eastAsia="en-US" w:bidi="ar-SA"/>
                    </w:rPr>
                  </w:pPr>
                  <w:r>
                    <w:rPr>
                      <w:rFonts w:hint="eastAsia" w:ascii="Times New Roman" w:hAnsi="Times New Roman"/>
                      <w:spacing w:val="-1"/>
                      <w:sz w:val="21"/>
                      <w:szCs w:val="21"/>
                      <w:highlight w:val="none"/>
                      <w:lang w:eastAsia="zh-CN"/>
                    </w:rPr>
                    <w:t>位于</w:t>
                  </w:r>
                  <w:r>
                    <w:rPr>
                      <w:rFonts w:hint="eastAsia" w:ascii="Times New Roman" w:hAnsi="Times New Roman"/>
                      <w:spacing w:val="10"/>
                      <w:position w:val="1"/>
                      <w:sz w:val="21"/>
                      <w:szCs w:val="21"/>
                      <w:highlight w:val="none"/>
                      <w:lang w:val="en-US" w:eastAsia="zh-CN"/>
                    </w:rPr>
                    <w:t>2#</w:t>
                  </w:r>
                  <w:r>
                    <w:rPr>
                      <w:rFonts w:ascii="Times New Roman" w:hAnsi="Times New Roman" w:eastAsia="宋体"/>
                      <w:spacing w:val="10"/>
                      <w:position w:val="1"/>
                      <w:sz w:val="21"/>
                      <w:szCs w:val="21"/>
                      <w:highlight w:val="none"/>
                    </w:rPr>
                    <w:t>厂房</w:t>
                  </w:r>
                  <w:r>
                    <w:rPr>
                      <w:rFonts w:hint="eastAsia" w:ascii="Times New Roman" w:hAnsi="Times New Roman"/>
                      <w:spacing w:val="10"/>
                      <w:position w:val="1"/>
                      <w:sz w:val="21"/>
                      <w:szCs w:val="21"/>
                      <w:highlight w:val="none"/>
                      <w:lang w:val="en-US" w:eastAsia="zh-CN"/>
                    </w:rPr>
                    <w:t>东南侧</w:t>
                  </w:r>
                  <w:r>
                    <w:rPr>
                      <w:rFonts w:ascii="Times New Roman" w:hAnsi="Times New Roman" w:eastAsia="宋体"/>
                      <w:spacing w:val="-1"/>
                      <w:sz w:val="21"/>
                      <w:szCs w:val="21"/>
                      <w:highlight w:val="none"/>
                    </w:rPr>
                    <w:t>，主要用于人员办公，</w:t>
                  </w:r>
                  <w:r>
                    <w:rPr>
                      <w:rFonts w:ascii="Times New Roman" w:hAnsi="Times New Roman" w:eastAsia="宋体"/>
                      <w:spacing w:val="4"/>
                      <w:position w:val="1"/>
                      <w:sz w:val="21"/>
                      <w:szCs w:val="21"/>
                      <w:highlight w:val="none"/>
                    </w:rPr>
                    <w:t>面积约为</w:t>
                  </w:r>
                  <w:r>
                    <w:rPr>
                      <w:rFonts w:hint="eastAsia" w:ascii="Times New Roman" w:hAnsi="Times New Roman" w:cs="Times New Roman"/>
                      <w:spacing w:val="4"/>
                      <w:position w:val="1"/>
                      <w:sz w:val="21"/>
                      <w:szCs w:val="21"/>
                      <w:highlight w:val="none"/>
                      <w:lang w:val="en-US" w:eastAsia="zh-CN"/>
                    </w:rPr>
                    <w:t>15</w:t>
                  </w:r>
                  <w:r>
                    <w:rPr>
                      <w:rFonts w:ascii="Times New Roman" w:hAnsi="Times New Roman" w:eastAsia="宋体" w:cs="Times New Roman"/>
                      <w:spacing w:val="4"/>
                      <w:position w:val="1"/>
                      <w:sz w:val="21"/>
                      <w:szCs w:val="21"/>
                      <w:highlight w:val="none"/>
                    </w:rPr>
                    <w:t>0m</w:t>
                  </w:r>
                  <w:r>
                    <w:rPr>
                      <w:rFonts w:hint="eastAsia" w:ascii="Times New Roman" w:hAnsi="Times New Roman" w:eastAsia="宋体" w:cs="Times New Roman"/>
                      <w:spacing w:val="10"/>
                      <w:sz w:val="21"/>
                      <w:szCs w:val="21"/>
                      <w:highlight w:val="none"/>
                      <w:vertAlign w:val="superscript"/>
                      <w:lang w:val="en-US" w:eastAsia="zh-CN"/>
                    </w:rPr>
                    <w:t>2</w:t>
                  </w:r>
                  <w:r>
                    <w:rPr>
                      <w:rFonts w:ascii="Times New Roman" w:hAnsi="Times New Roman" w:eastAsia="宋体"/>
                      <w:spacing w:val="4"/>
                      <w:position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租赁已建成用房，新建</w:t>
                  </w:r>
                  <w:r>
                    <w:rPr>
                      <w:rFonts w:ascii="Times New Roman" w:hAnsi="Times New Roman" w:eastAsia="宋体"/>
                      <w:spacing w:val="3"/>
                      <w:sz w:val="21"/>
                      <w:szCs w:val="21"/>
                    </w:rPr>
                    <w:t>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1"/>
                      <w:sz w:val="21"/>
                      <w:szCs w:val="21"/>
                    </w:rPr>
                    <w:t>公用</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r>
                    <w:rPr>
                      <w:rFonts w:ascii="Times New Roman" w:hAnsi="Times New Roman" w:eastAsia="宋体"/>
                      <w:spacing w:val="3"/>
                      <w:sz w:val="21"/>
                      <w:szCs w:val="21"/>
                    </w:rPr>
                    <w:t>工程</w:t>
                  </w: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供水系统</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cs="宋体"/>
                      <w:kern w:val="2"/>
                      <w:sz w:val="21"/>
                      <w:szCs w:val="21"/>
                      <w:lang w:val="en-US" w:eastAsia="en-US" w:bidi="ar-SA"/>
                    </w:rPr>
                    <w:t>接市政供水管网</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排水系统</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pacing w:val="4"/>
                      <w:position w:val="1"/>
                      <w:sz w:val="21"/>
                      <w:szCs w:val="21"/>
                      <w:highlight w:val="none"/>
                    </w:rPr>
                  </w:pPr>
                  <w:r>
                    <w:rPr>
                      <w:rFonts w:ascii="Times New Roman" w:hAnsi="Times New Roman" w:eastAsia="宋体"/>
                      <w:spacing w:val="5"/>
                      <w:sz w:val="21"/>
                      <w:szCs w:val="21"/>
                    </w:rPr>
                    <w:t>采用雨污分流的排水体制，雨水经</w:t>
                  </w:r>
                  <w:r>
                    <w:rPr>
                      <w:rFonts w:ascii="Times New Roman" w:hAnsi="Times New Roman" w:eastAsia="宋体"/>
                      <w:spacing w:val="5"/>
                      <w:sz w:val="21"/>
                      <w:szCs w:val="21"/>
                      <w:highlight w:val="none"/>
                    </w:rPr>
                    <w:t>厂区雨水管道</w:t>
                  </w:r>
                  <w:r>
                    <w:rPr>
                      <w:rFonts w:ascii="Times New Roman" w:hAnsi="Times New Roman" w:eastAsia="宋体"/>
                      <w:spacing w:val="9"/>
                      <w:sz w:val="21"/>
                      <w:szCs w:val="21"/>
                      <w:highlight w:val="none"/>
                    </w:rPr>
                    <w:t>排入市政雨水管道。生产废水采用“物化反应</w:t>
                  </w:r>
                  <w:r>
                    <w:rPr>
                      <w:rFonts w:ascii="Times New Roman" w:hAnsi="Times New Roman" w:eastAsia="宋体" w:cs="Times New Roman"/>
                      <w:spacing w:val="9"/>
                      <w:sz w:val="21"/>
                      <w:szCs w:val="21"/>
                      <w:highlight w:val="none"/>
                    </w:rPr>
                    <w:t>+</w:t>
                  </w:r>
                  <w:r>
                    <w:rPr>
                      <w:rFonts w:ascii="Times New Roman" w:hAnsi="Times New Roman" w:eastAsia="宋体"/>
                      <w:spacing w:val="4"/>
                      <w:position w:val="1"/>
                      <w:sz w:val="21"/>
                      <w:szCs w:val="21"/>
                      <w:highlight w:val="none"/>
                    </w:rPr>
                    <w:t>气浮</w:t>
                  </w:r>
                  <w:r>
                    <w:rPr>
                      <w:rFonts w:ascii="Times New Roman" w:hAnsi="Times New Roman" w:eastAsia="宋体" w:cs="Times New Roman"/>
                      <w:spacing w:val="4"/>
                      <w:position w:val="1"/>
                      <w:sz w:val="21"/>
                      <w:szCs w:val="21"/>
                      <w:highlight w:val="none"/>
                    </w:rPr>
                    <w:t>+A/O+</w:t>
                  </w:r>
                  <w:r>
                    <w:rPr>
                      <w:rFonts w:ascii="Times New Roman" w:hAnsi="Times New Roman" w:eastAsia="宋体"/>
                      <w:spacing w:val="4"/>
                      <w:position w:val="1"/>
                      <w:sz w:val="21"/>
                      <w:szCs w:val="21"/>
                      <w:highlight w:val="none"/>
                    </w:rPr>
                    <w:t>沉淀”的水处理工艺，处理后达</w:t>
                  </w:r>
                </w:p>
                <w:p>
                  <w:pPr>
                    <w:pStyle w:val="113"/>
                    <w:keepNext w:val="0"/>
                    <w:keepLines w:val="0"/>
                    <w:pageBreakBefore w:val="0"/>
                    <w:widowControl w:val="0"/>
                    <w:kinsoku/>
                    <w:wordWrap/>
                    <w:overflowPunct/>
                    <w:topLinePunct w:val="0"/>
                    <w:bidi w:val="0"/>
                    <w:adjustRightInd/>
                    <w:snapToGrid/>
                    <w:spacing w:line="240" w:lineRule="auto"/>
                    <w:ind w:left="0" w:right="0" w:firstLine="0"/>
                    <w:jc w:val="both"/>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position w:val="1"/>
                      <w:sz w:val="21"/>
                      <w:szCs w:val="21"/>
                      <w:highlight w:val="none"/>
                    </w:rPr>
                    <w:t>标</w:t>
                  </w:r>
                  <w:r>
                    <w:rPr>
                      <w:rFonts w:hint="eastAsia" w:ascii="Times New Roman" w:hAnsi="Times New Roman"/>
                      <w:spacing w:val="6"/>
                      <w:position w:val="1"/>
                      <w:sz w:val="21"/>
                      <w:szCs w:val="21"/>
                      <w:highlight w:val="none"/>
                      <w:lang w:val="en-US" w:eastAsia="zh-CN"/>
                    </w:rPr>
                    <w:t>排放</w:t>
                  </w:r>
                  <w:r>
                    <w:rPr>
                      <w:rFonts w:ascii="Times New Roman" w:hAnsi="Times New Roman" w:eastAsia="宋体"/>
                      <w:spacing w:val="5"/>
                      <w:sz w:val="21"/>
                      <w:szCs w:val="21"/>
                      <w:highlight w:val="none"/>
                    </w:rPr>
                    <w:t>后接入市政污水管网</w:t>
                  </w:r>
                  <w:r>
                    <w:rPr>
                      <w:rFonts w:hint="eastAsia" w:ascii="Times New Roman" w:hAnsi="Times New Roman"/>
                      <w:spacing w:val="6"/>
                      <w:position w:val="1"/>
                      <w:sz w:val="21"/>
                      <w:szCs w:val="21"/>
                      <w:highlight w:val="none"/>
                      <w:lang w:val="en-US" w:eastAsia="zh-CN"/>
                    </w:rPr>
                    <w:t>由</w:t>
                  </w:r>
                  <w:r>
                    <w:rPr>
                      <w:rFonts w:hint="eastAsia" w:ascii="Times New Roman" w:hAnsi="Times New Roman" w:eastAsia="宋体"/>
                      <w:spacing w:val="5"/>
                      <w:sz w:val="21"/>
                      <w:szCs w:val="21"/>
                      <w:highlight w:val="none"/>
                      <w:lang w:eastAsia="zh-CN"/>
                    </w:rPr>
                    <w:t>福清市第二污水处理厂</w:t>
                  </w:r>
                  <w:r>
                    <w:rPr>
                      <w:rFonts w:ascii="Times New Roman" w:hAnsi="Times New Roman" w:eastAsia="宋体"/>
                      <w:spacing w:val="5"/>
                      <w:sz w:val="21"/>
                      <w:szCs w:val="21"/>
                      <w:highlight w:val="none"/>
                    </w:rPr>
                    <w:t>接管；</w:t>
                  </w:r>
                  <w:r>
                    <w:rPr>
                      <w:rFonts w:ascii="Times New Roman" w:hAnsi="Times New Roman" w:eastAsia="宋体"/>
                      <w:spacing w:val="5"/>
                      <w:sz w:val="21"/>
                      <w:szCs w:val="21"/>
                      <w:highlight w:val="none"/>
                      <w:shd w:val="clear"/>
                    </w:rPr>
                    <w:t>生活污水经化粪池处理后</w:t>
                  </w:r>
                  <w:r>
                    <w:rPr>
                      <w:rFonts w:hint="eastAsia" w:ascii="Times New Roman" w:hAnsi="Times New Roman"/>
                      <w:spacing w:val="5"/>
                      <w:sz w:val="21"/>
                      <w:szCs w:val="21"/>
                      <w:highlight w:val="none"/>
                      <w:shd w:val="clear"/>
                      <w:lang w:val="en-US" w:eastAsia="zh-CN"/>
                    </w:rPr>
                    <w:t>接入市政污水管网送往</w:t>
                  </w:r>
                  <w:r>
                    <w:rPr>
                      <w:rFonts w:hint="eastAsia" w:ascii="Times New Roman" w:hAnsi="Times New Roman" w:eastAsia="宋体"/>
                      <w:spacing w:val="8"/>
                      <w:sz w:val="21"/>
                      <w:szCs w:val="21"/>
                      <w:highlight w:val="none"/>
                      <w:shd w:val="clear"/>
                      <w:lang w:eastAsia="zh-CN"/>
                    </w:rPr>
                    <w:t>福清市第二污水处理厂</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eastAsia" w:ascii="Times New Roman" w:hAnsi="Times New Roman"/>
                      <w:spacing w:val="4"/>
                      <w:sz w:val="21"/>
                      <w:szCs w:val="21"/>
                      <w:lang w:eastAsia="zh-CN"/>
                    </w:rPr>
                  </w:pPr>
                  <w:r>
                    <w:rPr>
                      <w:rFonts w:hint="eastAsia" w:ascii="Times New Roman" w:hAnsi="Times New Roman"/>
                      <w:spacing w:val="7"/>
                      <w:sz w:val="21"/>
                      <w:szCs w:val="21"/>
                      <w:lang w:val="en-US" w:eastAsia="zh-CN"/>
                    </w:rPr>
                    <w:t>污水处理设施</w:t>
                  </w:r>
                  <w:r>
                    <w:rPr>
                      <w:rFonts w:ascii="Times New Roman" w:hAnsi="Times New Roman" w:eastAsia="宋体"/>
                      <w:spacing w:val="7"/>
                      <w:sz w:val="21"/>
                      <w:szCs w:val="21"/>
                    </w:rPr>
                    <w:t>厂区内设施</w:t>
                  </w:r>
                  <w:r>
                    <w:rPr>
                      <w:rFonts w:ascii="Times New Roman" w:hAnsi="Times New Roman" w:eastAsia="宋体"/>
                      <w:spacing w:val="4"/>
                      <w:sz w:val="21"/>
                      <w:szCs w:val="21"/>
                    </w:rPr>
                    <w:t>新建</w:t>
                  </w:r>
                  <w:r>
                    <w:rPr>
                      <w:rFonts w:hint="eastAsia" w:ascii="Times New Roman" w:hAnsi="Times New Roman"/>
                      <w:spacing w:val="4"/>
                      <w:sz w:val="21"/>
                      <w:szCs w:val="21"/>
                      <w:lang w:eastAsia="zh-CN"/>
                    </w:rPr>
                    <w:t>；</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spacing w:val="4"/>
                      <w:sz w:val="21"/>
                      <w:szCs w:val="21"/>
                      <w:lang w:val="en-US" w:eastAsia="zh-CN"/>
                    </w:rPr>
                    <w:t>化粪池依托原有厂区化粪池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供气系统</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9"/>
                      <w:sz w:val="21"/>
                      <w:szCs w:val="21"/>
                      <w:highlight w:val="none"/>
                    </w:rPr>
                    <w:t>项目固化炉所需天然气由科创园供气系统供应入厂，厂区内所需供气设施新建，年用气量</w:t>
                  </w:r>
                  <w:r>
                    <w:rPr>
                      <w:rFonts w:ascii="Times New Roman" w:hAnsi="Times New Roman" w:eastAsia="宋体" w:cs="Times New Roman"/>
                      <w:spacing w:val="1"/>
                      <w:sz w:val="21"/>
                      <w:szCs w:val="21"/>
                      <w:highlight w:val="none"/>
                    </w:rPr>
                    <w:t>10000m</w:t>
                  </w:r>
                  <w:r>
                    <w:rPr>
                      <w:rFonts w:hint="eastAsia" w:ascii="Times New Roman" w:hAnsi="Times New Roman" w:eastAsia="宋体" w:cs="Times New Roman"/>
                      <w:spacing w:val="1"/>
                      <w:sz w:val="21"/>
                      <w:szCs w:val="21"/>
                      <w:highlight w:val="none"/>
                      <w:vertAlign w:val="superscript"/>
                      <w:lang w:val="en-US" w:eastAsia="zh-CN"/>
                    </w:rPr>
                    <w:t>3</w:t>
                  </w:r>
                  <w:r>
                    <w:rPr>
                      <w:rFonts w:ascii="Times New Roman" w:hAnsi="Times New Roman" w:eastAsia="宋体"/>
                      <w:spacing w:val="1"/>
                      <w:sz w:val="21"/>
                      <w:szCs w:val="21"/>
                      <w:highlight w:val="none"/>
                    </w:rPr>
                    <w:t>。</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厂区内供气</w:t>
                  </w:r>
                  <w:r>
                    <w:rPr>
                      <w:rFonts w:ascii="Times New Roman" w:hAnsi="Times New Roman" w:eastAsia="宋体"/>
                      <w:spacing w:val="6"/>
                      <w:sz w:val="21"/>
                      <w:szCs w:val="21"/>
                    </w:rPr>
                    <w:t>设施新建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纯水</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position w:val="1"/>
                      <w:sz w:val="21"/>
                      <w:szCs w:val="21"/>
                    </w:rPr>
                    <w:t>本项目设有</w:t>
                  </w:r>
                  <w:r>
                    <w:rPr>
                      <w:rFonts w:ascii="Times New Roman" w:hAnsi="Times New Roman" w:eastAsia="宋体" w:cs="Times New Roman"/>
                      <w:spacing w:val="7"/>
                      <w:position w:val="1"/>
                      <w:sz w:val="21"/>
                      <w:szCs w:val="21"/>
                    </w:rPr>
                    <w:t>1</w:t>
                  </w:r>
                  <w:r>
                    <w:rPr>
                      <w:rFonts w:ascii="Times New Roman" w:hAnsi="Times New Roman" w:eastAsia="宋体"/>
                      <w:spacing w:val="7"/>
                      <w:position w:val="1"/>
                      <w:sz w:val="21"/>
                      <w:szCs w:val="21"/>
                    </w:rPr>
                    <w:t>套纯水制备系统，工艺为“过滤</w:t>
                  </w:r>
                  <w:r>
                    <w:rPr>
                      <w:rFonts w:ascii="Times New Roman" w:hAnsi="Times New Roman" w:eastAsia="宋体" w:cs="Times New Roman"/>
                      <w:spacing w:val="7"/>
                      <w:position w:val="1"/>
                      <w:sz w:val="21"/>
                      <w:szCs w:val="21"/>
                    </w:rPr>
                    <w:t>+</w:t>
                  </w:r>
                  <w:r>
                    <w:rPr>
                      <w:rFonts w:ascii="Times New Roman" w:hAnsi="Times New Roman" w:eastAsia="宋体"/>
                      <w:spacing w:val="3"/>
                      <w:sz w:val="21"/>
                      <w:szCs w:val="21"/>
                    </w:rPr>
                    <w:t>离子交换树脂</w:t>
                  </w:r>
                  <w:r>
                    <w:rPr>
                      <w:rFonts w:ascii="Times New Roman" w:hAnsi="Times New Roman" w:eastAsia="宋体" w:cs="Times New Roman"/>
                      <w:spacing w:val="3"/>
                      <w:sz w:val="21"/>
                      <w:szCs w:val="21"/>
                    </w:rPr>
                    <w:t>+</w:t>
                  </w:r>
                  <w:r>
                    <w:rPr>
                      <w:rFonts w:ascii="Times New Roman" w:hAnsi="Times New Roman" w:eastAsia="宋体" w:cs="Times New Roman"/>
                      <w:sz w:val="21"/>
                      <w:szCs w:val="21"/>
                    </w:rPr>
                    <w:t>RO</w:t>
                  </w:r>
                  <w:r>
                    <w:rPr>
                      <w:rFonts w:ascii="Times New Roman" w:hAnsi="Times New Roman" w:eastAsia="宋体"/>
                      <w:spacing w:val="3"/>
                      <w:sz w:val="21"/>
                      <w:szCs w:val="21"/>
                    </w:rPr>
                    <w:t>（反渗透）”,设计产水量为</w:t>
                  </w:r>
                  <w:r>
                    <w:rPr>
                      <w:rFonts w:ascii="Times New Roman" w:hAnsi="Times New Roman" w:eastAsia="宋体" w:cs="Times New Roman"/>
                      <w:spacing w:val="6"/>
                      <w:sz w:val="21"/>
                      <w:szCs w:val="21"/>
                    </w:rPr>
                    <w:t>2t/h</w:t>
                  </w:r>
                  <w:r>
                    <w:rPr>
                      <w:rFonts w:ascii="Times New Roman" w:hAnsi="Times New Roman" w:eastAsia="宋体"/>
                      <w:spacing w:val="6"/>
                      <w:sz w:val="21"/>
                      <w:szCs w:val="21"/>
                    </w:rPr>
                    <w:t>，用于提供电泳线使用的纯水</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厂区内设施</w:t>
                  </w:r>
                  <w:r>
                    <w:rPr>
                      <w:rFonts w:ascii="Times New Roman" w:hAnsi="Times New Roman" w:eastAsia="宋体"/>
                      <w:spacing w:val="4"/>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7"/>
                      <w:sz w:val="21"/>
                      <w:szCs w:val="21"/>
                    </w:rPr>
                    <w:t>供电系统</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Times New Roman"/>
                      <w:kern w:val="2"/>
                      <w:sz w:val="21"/>
                      <w:szCs w:val="21"/>
                      <w:lang w:val="en-US" w:eastAsia="en-US" w:bidi="ar-SA"/>
                    </w:rPr>
                  </w:pPr>
                  <w:r>
                    <w:rPr>
                      <w:rFonts w:ascii="Times New Roman" w:hAnsi="Times New Roman" w:eastAsia="宋体" w:cs="宋体"/>
                      <w:kern w:val="2"/>
                      <w:sz w:val="21"/>
                      <w:szCs w:val="21"/>
                      <w:lang w:val="en-US" w:eastAsia="en-US" w:bidi="ar-SA"/>
                    </w:rPr>
                    <w:t>接市政供</w:t>
                  </w:r>
                  <w:r>
                    <w:rPr>
                      <w:rFonts w:hint="eastAsia" w:ascii="Times New Roman" w:hAnsi="Times New Roman" w:cs="宋体"/>
                      <w:kern w:val="2"/>
                      <w:sz w:val="21"/>
                      <w:szCs w:val="21"/>
                      <w:lang w:val="en-US" w:eastAsia="zh-CN" w:bidi="ar-SA"/>
                    </w:rPr>
                    <w:t>电</w:t>
                  </w:r>
                  <w:r>
                    <w:rPr>
                      <w:rFonts w:ascii="Times New Roman" w:hAnsi="Times New Roman" w:eastAsia="宋体" w:cs="宋体"/>
                      <w:kern w:val="2"/>
                      <w:sz w:val="21"/>
                      <w:szCs w:val="21"/>
                      <w:lang w:val="en-US" w:eastAsia="en-US" w:bidi="ar-SA"/>
                    </w:rPr>
                    <w:t>管网</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4"/>
                      <w:sz w:val="21"/>
                      <w:szCs w:val="21"/>
                    </w:rPr>
                    <w:t>环保</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r>
                    <w:rPr>
                      <w:rFonts w:ascii="Times New Roman" w:hAnsi="Times New Roman" w:eastAsia="宋体"/>
                      <w:spacing w:val="3"/>
                      <w:sz w:val="21"/>
                      <w:szCs w:val="21"/>
                    </w:rPr>
                    <w:t>工程</w:t>
                  </w:r>
                </w:p>
              </w:tc>
              <w:tc>
                <w:tcPr>
                  <w:tcW w:w="2054"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pacing w:val="7"/>
                      <w:sz w:val="21"/>
                      <w:szCs w:val="21"/>
                    </w:rPr>
                  </w:pPr>
                  <w:r>
                    <w:rPr>
                      <w:rFonts w:ascii="Times New Roman" w:hAnsi="Times New Roman" w:eastAsia="宋体"/>
                      <w:spacing w:val="8"/>
                      <w:sz w:val="21"/>
                      <w:szCs w:val="21"/>
                    </w:rPr>
                    <w:t>废水处理措</w:t>
                  </w:r>
                  <w:r>
                    <w:rPr>
                      <w:rFonts w:ascii="Times New Roman" w:hAnsi="Times New Roman" w:eastAsia="宋体"/>
                      <w:spacing w:val="1"/>
                      <w:sz w:val="21"/>
                      <w:szCs w:val="21"/>
                    </w:rPr>
                    <w:t>施</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生产废水</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5"/>
                      <w:sz w:val="21"/>
                      <w:szCs w:val="21"/>
                    </w:rPr>
                    <w:t>本项目配套建设1座废水</w:t>
                  </w:r>
                  <w:r>
                    <w:rPr>
                      <w:rFonts w:ascii="Times New Roman" w:hAnsi="Times New Roman" w:eastAsia="宋体"/>
                      <w:spacing w:val="1"/>
                      <w:sz w:val="21"/>
                      <w:szCs w:val="21"/>
                    </w:rPr>
                    <w:t>处理设施，处理工艺为“混</w:t>
                  </w:r>
                  <w:r>
                    <w:rPr>
                      <w:rFonts w:ascii="Times New Roman" w:hAnsi="Times New Roman" w:eastAsia="宋体"/>
                      <w:spacing w:val="7"/>
                      <w:sz w:val="21"/>
                      <w:szCs w:val="21"/>
                    </w:rPr>
                    <w:t>凝沉淀工艺”。</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1"/>
                      <w:sz w:val="21"/>
                      <w:szCs w:val="21"/>
                    </w:rPr>
                    <w:t>本项目水洗废水、脱脂废水、</w:t>
                  </w:r>
                  <w:r>
                    <w:rPr>
                      <w:rFonts w:ascii="Times New Roman" w:hAnsi="Times New Roman" w:eastAsia="宋体"/>
                      <w:spacing w:val="-4"/>
                      <w:sz w:val="21"/>
                      <w:szCs w:val="21"/>
                    </w:rPr>
                    <w:t>脱脂后水洗废水、硅烷后水洗</w:t>
                  </w:r>
                  <w:r>
                    <w:rPr>
                      <w:rFonts w:ascii="Times New Roman" w:hAnsi="Times New Roman" w:eastAsia="宋体"/>
                      <w:spacing w:val="5"/>
                      <w:sz w:val="21"/>
                      <w:szCs w:val="21"/>
                    </w:rPr>
                    <w:t>废水、</w:t>
                  </w:r>
                  <w:r>
                    <w:rPr>
                      <w:rFonts w:ascii="Times New Roman" w:hAnsi="Times New Roman" w:eastAsia="宋体" w:cs="Times New Roman"/>
                      <w:sz w:val="21"/>
                      <w:szCs w:val="21"/>
                    </w:rPr>
                    <w:t>UF</w:t>
                  </w:r>
                  <w:r>
                    <w:rPr>
                      <w:rFonts w:ascii="Times New Roman" w:hAnsi="Times New Roman" w:eastAsia="宋体"/>
                      <w:spacing w:val="5"/>
                      <w:sz w:val="21"/>
                      <w:szCs w:val="21"/>
                    </w:rPr>
                    <w:t>清洗后水洗废水、</w:t>
                  </w:r>
                  <w:r>
                    <w:rPr>
                      <w:rFonts w:ascii="Times New Roman" w:hAnsi="Times New Roman" w:eastAsia="宋体"/>
                      <w:spacing w:val="-4"/>
                      <w:sz w:val="21"/>
                      <w:szCs w:val="21"/>
                    </w:rPr>
                    <w:t>纯水制备尾水、热水炉排水经</w:t>
                  </w:r>
                  <w:r>
                    <w:rPr>
                      <w:rFonts w:ascii="Times New Roman" w:hAnsi="Times New Roman" w:eastAsia="宋体"/>
                      <w:spacing w:val="8"/>
                      <w:sz w:val="21"/>
                      <w:szCs w:val="21"/>
                    </w:rPr>
                    <w:t>收集后进入废水处理设施处</w:t>
                  </w:r>
                  <w:r>
                    <w:rPr>
                      <w:rFonts w:ascii="Times New Roman" w:hAnsi="Times New Roman" w:eastAsia="宋体"/>
                      <w:sz w:val="21"/>
                      <w:szCs w:val="21"/>
                    </w:rPr>
                    <w:t>理，出水进入</w:t>
                  </w:r>
                  <w:r>
                    <w:rPr>
                      <w:rFonts w:hint="eastAsia" w:ascii="Times New Roman" w:hAnsi="Times New Roman"/>
                      <w:sz w:val="21"/>
                      <w:szCs w:val="21"/>
                      <w:lang w:val="en-US" w:eastAsia="zh-CN"/>
                    </w:rPr>
                    <w:t>市政</w:t>
                  </w:r>
                  <w:r>
                    <w:rPr>
                      <w:rFonts w:ascii="Times New Roman" w:hAnsi="Times New Roman" w:eastAsia="宋体"/>
                      <w:sz w:val="21"/>
                      <w:szCs w:val="21"/>
                    </w:rPr>
                    <w:t>污水管</w:t>
                  </w:r>
                  <w:r>
                    <w:rPr>
                      <w:rFonts w:hint="eastAsia" w:ascii="Times New Roman" w:hAnsi="Times New Roman"/>
                      <w:sz w:val="21"/>
                      <w:szCs w:val="21"/>
                      <w:lang w:val="en-US" w:eastAsia="zh-CN"/>
                    </w:rPr>
                    <w:t>网</w:t>
                  </w:r>
                  <w:r>
                    <w:rPr>
                      <w:rFonts w:ascii="Times New Roman" w:hAnsi="Times New Roman" w:eastAsia="宋体"/>
                      <w:sz w:val="21"/>
                      <w:szCs w:val="21"/>
                    </w:rPr>
                    <w:t>；</w:t>
                  </w:r>
                </w:p>
              </w:tc>
              <w:tc>
                <w:tcPr>
                  <w:tcW w:w="1318"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4"/>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7"/>
                      <w:sz w:val="21"/>
                      <w:szCs w:val="21"/>
                    </w:rPr>
                  </w:pP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6"/>
                      <w:sz w:val="21"/>
                      <w:szCs w:val="21"/>
                    </w:rPr>
                    <w:t>生活污水</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1"/>
                      <w:sz w:val="21"/>
                      <w:szCs w:val="21"/>
                    </w:rPr>
                    <w:t>经化粪池预处理后，通过</w:t>
                  </w:r>
                  <w:r>
                    <w:rPr>
                      <w:rFonts w:hint="eastAsia" w:ascii="Times New Roman" w:hAnsi="Times New Roman"/>
                      <w:spacing w:val="1"/>
                      <w:sz w:val="21"/>
                      <w:szCs w:val="21"/>
                      <w:lang w:val="en-US" w:eastAsia="zh-CN"/>
                    </w:rPr>
                    <w:t>市政污</w:t>
                  </w:r>
                  <w:r>
                    <w:rPr>
                      <w:rFonts w:hint="eastAsia" w:ascii="Times New Roman" w:hAnsi="Times New Roman"/>
                      <w:spacing w:val="1"/>
                      <w:sz w:val="21"/>
                      <w:szCs w:val="21"/>
                      <w:highlight w:val="none"/>
                      <w:lang w:val="en-US" w:eastAsia="zh-CN"/>
                    </w:rPr>
                    <w:t>水</w:t>
                  </w:r>
                  <w:r>
                    <w:rPr>
                      <w:rFonts w:ascii="Times New Roman" w:hAnsi="Times New Roman" w:eastAsia="宋体"/>
                      <w:spacing w:val="7"/>
                      <w:sz w:val="21"/>
                      <w:szCs w:val="21"/>
                      <w:highlight w:val="none"/>
                    </w:rPr>
                    <w:t>管网送至</w:t>
                  </w:r>
                  <w:r>
                    <w:rPr>
                      <w:rFonts w:hint="eastAsia" w:ascii="Times New Roman" w:hAnsi="Times New Roman"/>
                      <w:spacing w:val="7"/>
                      <w:sz w:val="21"/>
                      <w:szCs w:val="21"/>
                      <w:highlight w:val="none"/>
                      <w:lang w:eastAsia="zh-CN"/>
                    </w:rPr>
                    <w:t>福清市第二污水处理厂</w:t>
                  </w:r>
                  <w:r>
                    <w:rPr>
                      <w:rFonts w:ascii="Times New Roman" w:hAnsi="Times New Roman" w:eastAsia="宋体"/>
                      <w:spacing w:val="7"/>
                      <w:sz w:val="21"/>
                      <w:szCs w:val="21"/>
                      <w:highlight w:val="none"/>
                    </w:rPr>
                    <w:t>处</w:t>
                  </w:r>
                  <w:r>
                    <w:rPr>
                      <w:rFonts w:ascii="Times New Roman" w:hAnsi="Times New Roman" w:eastAsia="宋体"/>
                      <w:spacing w:val="7"/>
                      <w:sz w:val="21"/>
                      <w:szCs w:val="21"/>
                    </w:rPr>
                    <w:t>理。</w:t>
                  </w:r>
                </w:p>
              </w:tc>
              <w:tc>
                <w:tcPr>
                  <w:tcW w:w="1318"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textAlignment w:val="auto"/>
                    <w:rPr>
                      <w:rFonts w:ascii="Times New Roman" w:hAnsi="Times New Roman" w:eastAsia="宋体"/>
                      <w:sz w:val="21"/>
                      <w:szCs w:val="21"/>
                    </w:rPr>
                  </w:pPr>
                  <w:r>
                    <w:rPr>
                      <w:rFonts w:ascii="Times New Roman" w:hAnsi="Times New Roman" w:eastAsia="宋体"/>
                      <w:spacing w:val="8"/>
                      <w:sz w:val="21"/>
                      <w:szCs w:val="21"/>
                    </w:rPr>
                    <w:t>化粪池依托配</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kern w:val="2"/>
                      <w:sz w:val="21"/>
                      <w:szCs w:val="21"/>
                      <w:lang w:val="en-US" w:eastAsia="en-US" w:bidi="ar-SA"/>
                    </w:rPr>
                  </w:pPr>
                  <w:r>
                    <w:rPr>
                      <w:rFonts w:ascii="Times New Roman" w:hAnsi="Times New Roman" w:eastAsia="宋体"/>
                      <w:sz w:val="21"/>
                      <w:szCs w:val="21"/>
                    </w:rPr>
                    <w:t>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8"/>
                      <w:sz w:val="21"/>
                      <w:szCs w:val="21"/>
                    </w:rPr>
                    <w:t>废气处理措</w:t>
                  </w:r>
                  <w:r>
                    <w:rPr>
                      <w:rFonts w:ascii="Times New Roman" w:hAnsi="Times New Roman" w:eastAsia="宋体"/>
                      <w:spacing w:val="1"/>
                      <w:sz w:val="21"/>
                      <w:szCs w:val="21"/>
                    </w:rPr>
                    <w:t>施</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3"/>
                      <w:sz w:val="21"/>
                      <w:szCs w:val="21"/>
                    </w:rPr>
                    <w:t>焊接废气；电泳、烘干废气；天然气燃烧废气；废水处理废气</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2"/>
                      <w:sz w:val="21"/>
                      <w:szCs w:val="21"/>
                    </w:rPr>
                    <w:t>电泳、烘干废气经二级活性</w:t>
                  </w:r>
                  <w:r>
                    <w:rPr>
                      <w:rFonts w:ascii="Times New Roman" w:hAnsi="Times New Roman" w:eastAsia="宋体"/>
                      <w:spacing w:val="5"/>
                      <w:position w:val="1"/>
                      <w:sz w:val="21"/>
                      <w:szCs w:val="21"/>
                    </w:rPr>
                    <w:t>炭吸附处理后，通过</w:t>
                  </w:r>
                  <w:r>
                    <w:rPr>
                      <w:rFonts w:ascii="Times New Roman" w:hAnsi="Times New Roman" w:eastAsia="宋体" w:cs="Times New Roman"/>
                      <w:spacing w:val="5"/>
                      <w:position w:val="1"/>
                      <w:sz w:val="21"/>
                      <w:szCs w:val="21"/>
                    </w:rPr>
                    <w:t>1</w:t>
                  </w:r>
                  <w:r>
                    <w:rPr>
                      <w:rFonts w:ascii="Times New Roman" w:hAnsi="Times New Roman" w:eastAsia="宋体"/>
                      <w:spacing w:val="5"/>
                      <w:position w:val="1"/>
                      <w:sz w:val="21"/>
                      <w:szCs w:val="21"/>
                    </w:rPr>
                    <w:t>根</w:t>
                  </w:r>
                  <w:r>
                    <w:rPr>
                      <w:rFonts w:ascii="Times New Roman" w:hAnsi="Times New Roman" w:eastAsia="宋体" w:cs="Times New Roman"/>
                      <w:spacing w:val="6"/>
                      <w:position w:val="1"/>
                      <w:sz w:val="21"/>
                      <w:szCs w:val="21"/>
                    </w:rPr>
                    <w:t>23m</w:t>
                  </w:r>
                  <w:r>
                    <w:rPr>
                      <w:rFonts w:ascii="Times New Roman" w:hAnsi="Times New Roman" w:eastAsia="宋体"/>
                      <w:spacing w:val="6"/>
                      <w:position w:val="1"/>
                      <w:sz w:val="21"/>
                      <w:szCs w:val="21"/>
                    </w:rPr>
                    <w:t>高排气筒达标排放</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pacing w:val="6"/>
                      <w:position w:val="1"/>
                      <w:sz w:val="21"/>
                      <w:szCs w:val="21"/>
                    </w:rPr>
                    <w:t>（</w:t>
                  </w:r>
                  <w:r>
                    <w:rPr>
                      <w:rFonts w:ascii="Times New Roman" w:hAnsi="Times New Roman" w:eastAsia="宋体" w:cs="Times New Roman"/>
                      <w:position w:val="1"/>
                      <w:sz w:val="21"/>
                      <w:szCs w:val="21"/>
                    </w:rPr>
                    <w:t>DA</w:t>
                  </w:r>
                  <w:r>
                    <w:rPr>
                      <w:rFonts w:ascii="Times New Roman" w:hAnsi="Times New Roman" w:eastAsia="宋体" w:cs="Times New Roman"/>
                      <w:spacing w:val="6"/>
                      <w:position w:val="1"/>
                      <w:sz w:val="21"/>
                      <w:szCs w:val="21"/>
                    </w:rPr>
                    <w:t>001</w:t>
                  </w:r>
                  <w:r>
                    <w:rPr>
                      <w:rFonts w:ascii="Times New Roman" w:hAnsi="Times New Roman" w:eastAsia="宋体"/>
                      <w:spacing w:val="-26"/>
                      <w:position w:val="1"/>
                      <w:sz w:val="21"/>
                      <w:szCs w:val="21"/>
                    </w:rPr>
                    <w:t>）；</w:t>
                  </w:r>
                  <w:r>
                    <w:rPr>
                      <w:rFonts w:ascii="Times New Roman" w:hAnsi="Times New Roman" w:eastAsia="宋体"/>
                      <w:spacing w:val="6"/>
                      <w:position w:val="1"/>
                      <w:sz w:val="21"/>
                      <w:szCs w:val="21"/>
                    </w:rPr>
                    <w:t>天然气燃烧废</w:t>
                  </w:r>
                  <w:r>
                    <w:rPr>
                      <w:rFonts w:ascii="Times New Roman" w:hAnsi="Times New Roman" w:eastAsia="宋体"/>
                      <w:spacing w:val="13"/>
                      <w:position w:val="1"/>
                      <w:sz w:val="21"/>
                      <w:szCs w:val="21"/>
                    </w:rPr>
                    <w:t>气通过</w:t>
                  </w:r>
                  <w:r>
                    <w:rPr>
                      <w:rFonts w:ascii="Times New Roman" w:hAnsi="Times New Roman" w:eastAsia="宋体" w:cs="Times New Roman"/>
                      <w:position w:val="1"/>
                      <w:sz w:val="21"/>
                      <w:szCs w:val="21"/>
                    </w:rPr>
                    <w:t>DA</w:t>
                  </w:r>
                  <w:r>
                    <w:rPr>
                      <w:rFonts w:ascii="Times New Roman" w:hAnsi="Times New Roman" w:eastAsia="宋体" w:cs="Times New Roman"/>
                      <w:spacing w:val="13"/>
                      <w:position w:val="1"/>
                      <w:sz w:val="21"/>
                      <w:szCs w:val="21"/>
                    </w:rPr>
                    <w:t>001</w:t>
                  </w:r>
                  <w:r>
                    <w:rPr>
                      <w:rFonts w:ascii="Times New Roman" w:hAnsi="Times New Roman" w:eastAsia="宋体"/>
                      <w:spacing w:val="13"/>
                      <w:position w:val="1"/>
                      <w:sz w:val="21"/>
                      <w:szCs w:val="21"/>
                    </w:rPr>
                    <w:t>排气筒达标</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szCs w:val="21"/>
                    </w:rPr>
                  </w:pPr>
                  <w:r>
                    <w:rPr>
                      <w:rFonts w:ascii="Times New Roman" w:hAnsi="Times New Roman" w:eastAsia="宋体"/>
                      <w:sz w:val="21"/>
                      <w:szCs w:val="21"/>
                    </w:rPr>
                    <w:t>排放；焊接废气经脉冲滤筒</w:t>
                  </w:r>
                  <w:r>
                    <w:rPr>
                      <w:rFonts w:ascii="Times New Roman" w:hAnsi="Times New Roman" w:eastAsia="宋体"/>
                      <w:spacing w:val="5"/>
                      <w:position w:val="1"/>
                      <w:sz w:val="21"/>
                      <w:szCs w:val="21"/>
                    </w:rPr>
                    <w:t>除尘器处理后，通过</w:t>
                  </w:r>
                  <w:r>
                    <w:rPr>
                      <w:rFonts w:ascii="Times New Roman" w:hAnsi="Times New Roman" w:eastAsia="宋体" w:cs="Times New Roman"/>
                      <w:spacing w:val="5"/>
                      <w:position w:val="1"/>
                      <w:sz w:val="21"/>
                      <w:szCs w:val="21"/>
                    </w:rPr>
                    <w:t>1</w:t>
                  </w:r>
                  <w:r>
                    <w:rPr>
                      <w:rFonts w:ascii="Times New Roman" w:hAnsi="Times New Roman" w:eastAsia="宋体"/>
                      <w:spacing w:val="5"/>
                      <w:position w:val="1"/>
                      <w:sz w:val="21"/>
                      <w:szCs w:val="21"/>
                    </w:rPr>
                    <w:t>根</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kern w:val="2"/>
                      <w:sz w:val="21"/>
                      <w:szCs w:val="21"/>
                      <w:lang w:val="en-US" w:eastAsia="en-US" w:bidi="ar-SA"/>
                    </w:rPr>
                  </w:pPr>
                  <w:r>
                    <w:rPr>
                      <w:rFonts w:ascii="Times New Roman" w:hAnsi="Times New Roman" w:eastAsia="宋体" w:cs="Times New Roman"/>
                      <w:spacing w:val="6"/>
                      <w:position w:val="1"/>
                      <w:sz w:val="21"/>
                      <w:szCs w:val="21"/>
                    </w:rPr>
                    <w:t>20m</w:t>
                  </w:r>
                  <w:r>
                    <w:rPr>
                      <w:rFonts w:ascii="Times New Roman" w:hAnsi="Times New Roman" w:eastAsia="宋体"/>
                      <w:spacing w:val="6"/>
                      <w:position w:val="1"/>
                      <w:sz w:val="21"/>
                      <w:szCs w:val="21"/>
                    </w:rPr>
                    <w:t>高排气筒达标排放</w:t>
                  </w:r>
                  <w:r>
                    <w:rPr>
                      <w:rFonts w:ascii="Times New Roman" w:hAnsi="Times New Roman" w:eastAsia="宋体"/>
                      <w:spacing w:val="7"/>
                      <w:position w:val="1"/>
                      <w:sz w:val="21"/>
                      <w:szCs w:val="21"/>
                    </w:rPr>
                    <w:t>（</w:t>
                  </w:r>
                  <w:r>
                    <w:rPr>
                      <w:rFonts w:ascii="Times New Roman" w:hAnsi="Times New Roman" w:eastAsia="宋体" w:cs="Times New Roman"/>
                      <w:position w:val="1"/>
                      <w:sz w:val="21"/>
                      <w:szCs w:val="21"/>
                    </w:rPr>
                    <w:t>DA</w:t>
                  </w:r>
                  <w:r>
                    <w:rPr>
                      <w:rFonts w:ascii="Times New Roman" w:hAnsi="Times New Roman" w:eastAsia="宋体" w:cs="Times New Roman"/>
                      <w:spacing w:val="7"/>
                      <w:position w:val="1"/>
                      <w:sz w:val="21"/>
                      <w:szCs w:val="21"/>
                    </w:rPr>
                    <w:t>002</w:t>
                  </w:r>
                  <w:r>
                    <w:rPr>
                      <w:rFonts w:ascii="Times New Roman" w:hAnsi="Times New Roman" w:eastAsia="宋体"/>
                      <w:spacing w:val="-31"/>
                      <w:position w:val="1"/>
                      <w:sz w:val="21"/>
                      <w:szCs w:val="21"/>
                    </w:rPr>
                    <w:t>）；</w:t>
                  </w:r>
                  <w:r>
                    <w:rPr>
                      <w:rFonts w:ascii="Times New Roman" w:hAnsi="Times New Roman" w:eastAsia="宋体"/>
                      <w:spacing w:val="7"/>
                      <w:position w:val="1"/>
                      <w:sz w:val="21"/>
                      <w:szCs w:val="21"/>
                    </w:rPr>
                    <w:t>废水处理废气</w:t>
                  </w:r>
                  <w:r>
                    <w:rPr>
                      <w:rFonts w:ascii="Times New Roman" w:hAnsi="Times New Roman" w:eastAsia="宋体"/>
                      <w:spacing w:val="6"/>
                      <w:sz w:val="21"/>
                      <w:szCs w:val="21"/>
                    </w:rPr>
                    <w:t>无组织排放。</w:t>
                  </w:r>
                </w:p>
              </w:tc>
              <w:tc>
                <w:tcPr>
                  <w:tcW w:w="1318"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kern w:val="2"/>
                      <w:sz w:val="21"/>
                      <w:szCs w:val="21"/>
                      <w:lang w:val="en-US" w:eastAsia="en-US" w:bidi="ar-SA"/>
                    </w:rPr>
                  </w:pPr>
                  <w:r>
                    <w:rPr>
                      <w:rFonts w:ascii="Times New Roman" w:hAnsi="Times New Roman" w:eastAsia="宋体"/>
                      <w:spacing w:val="4"/>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6"/>
                      <w:sz w:val="21"/>
                    </w:rPr>
                    <w:t>噪声治理措</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1"/>
                      <w:sz w:val="21"/>
                    </w:rPr>
                    <w:t>施</w:t>
                  </w:r>
                </w:p>
              </w:tc>
              <w:tc>
                <w:tcPr>
                  <w:tcW w:w="5126" w:type="dxa"/>
                  <w:gridSpan w:val="2"/>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厂房隔声，基础减振</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4"/>
                      <w:sz w:val="21"/>
                    </w:rPr>
                    <w:t>固废治理措</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r>
                    <w:rPr>
                      <w:rFonts w:ascii="Times New Roman" w:hAnsi="Times New Roman" w:eastAsia="宋体"/>
                      <w:spacing w:val="1"/>
                      <w:sz w:val="21"/>
                    </w:rPr>
                    <w:t>施</w:t>
                  </w: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废一般包装材料</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z w:val="21"/>
                    </w:rPr>
                    <w:t>暂存一般固废堆场，外售综</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6"/>
                      <w:sz w:val="21"/>
                    </w:rPr>
                    <w:t>合利用</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废金属料</w:t>
                  </w:r>
                </w:p>
              </w:tc>
              <w:tc>
                <w:tcPr>
                  <w:tcW w:w="3072"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9"/>
                      <w:sz w:val="21"/>
                    </w:rPr>
                    <w:t>委托合法合规单位回收利</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r>
                    <w:rPr>
                      <w:rFonts w:ascii="Times New Roman" w:hAnsi="Times New Roman" w:eastAsia="宋体"/>
                      <w:spacing w:val="6"/>
                      <w:sz w:val="21"/>
                    </w:rPr>
                    <w:t>用或处置</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焊渣</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废金属灰</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废涂料桶</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5"/>
                      <w:sz w:val="21"/>
                    </w:rPr>
                    <w:t>由供应商回收利用</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废油桶</w:t>
                  </w:r>
                </w:p>
              </w:tc>
              <w:tc>
                <w:tcPr>
                  <w:tcW w:w="3072"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z w:val="21"/>
                    </w:rPr>
                    <w:t>暂存危废库，委托有资质单</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r>
                    <w:rPr>
                      <w:rFonts w:ascii="Times New Roman" w:hAnsi="Times New Roman" w:eastAsia="宋体"/>
                      <w:spacing w:val="6"/>
                      <w:sz w:val="21"/>
                    </w:rPr>
                    <w:t>位处置</w:t>
                  </w:r>
                </w:p>
              </w:tc>
              <w:tc>
                <w:tcPr>
                  <w:tcW w:w="2110"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废活性炭</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废化学品包装</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废过滤物</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废机油</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废弃纯水制备耗材</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废滤膜</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废水处理污泥</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废含油抹布手套</w:t>
                  </w:r>
                </w:p>
              </w:tc>
              <w:tc>
                <w:tcPr>
                  <w:tcW w:w="3072"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6"/>
                      <w:sz w:val="21"/>
                      <w:szCs w:val="21"/>
                    </w:rPr>
                  </w:pPr>
                </w:p>
              </w:tc>
              <w:tc>
                <w:tcPr>
                  <w:tcW w:w="2110" w:type="dxa"/>
                  <w:vMerge w:val="continue"/>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spacing w:val="3"/>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000000" w:themeColor="text1"/>
                      <w:sz w:val="21"/>
                      <w:szCs w:val="21"/>
                      <w:highlight w:val="none"/>
                      <w:vertAlign w:val="baseline"/>
                      <w14:textFill>
                        <w14:solidFill>
                          <w14:schemeClr w14:val="tx1"/>
                        </w14:solidFill>
                      </w14:textFill>
                    </w:rPr>
                  </w:pPr>
                </w:p>
              </w:tc>
              <w:tc>
                <w:tcPr>
                  <w:tcW w:w="2054"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6"/>
                      <w:sz w:val="21"/>
                    </w:rPr>
                    <w:t>生活垃圾</w:t>
                  </w:r>
                </w:p>
              </w:tc>
              <w:tc>
                <w:tcPr>
                  <w:tcW w:w="3072"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z w:val="21"/>
                    </w:rPr>
                    <w:t>定期清运，交于环卫部门处</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2"/>
                      <w:sz w:val="21"/>
                    </w:rPr>
                    <w:t>置</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地下水、土</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壤治理措施</w:t>
                  </w:r>
                </w:p>
              </w:tc>
              <w:tc>
                <w:tcPr>
                  <w:tcW w:w="5126" w:type="dxa"/>
                  <w:gridSpan w:val="2"/>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①源头上控制对地下水的污染。</w:t>
                  </w:r>
                </w:p>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②厂内不同区域实施分区防治。</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5"/>
                      <w:sz w:val="21"/>
                    </w:rPr>
                    <w:t>③运行期严格管理，加强巡检，及时发现污染物</w:t>
                  </w:r>
                  <w:r>
                    <w:rPr>
                      <w:rFonts w:ascii="Times New Roman" w:hAnsi="Times New Roman" w:eastAsia="宋体"/>
                      <w:spacing w:val="7"/>
                      <w:sz w:val="21"/>
                    </w:rPr>
                    <w:t>泄漏；一旦出现泄漏及时处理，检查检修设备，</w:t>
                  </w:r>
                  <w:r>
                    <w:rPr>
                      <w:rFonts w:ascii="Times New Roman" w:hAnsi="Times New Roman" w:eastAsia="宋体"/>
                      <w:spacing w:val="5"/>
                      <w:sz w:val="21"/>
                    </w:rPr>
                    <w:t>将污染物泄漏的环境风险事故降到最低；制定并</w:t>
                  </w:r>
                  <w:r>
                    <w:rPr>
                      <w:rFonts w:ascii="Times New Roman" w:hAnsi="Times New Roman" w:eastAsia="宋体"/>
                      <w:spacing w:val="8"/>
                      <w:sz w:val="21"/>
                    </w:rPr>
                    <w:t>落实相应环境风险事故应急预案。</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8"/>
                      <w:sz w:val="21"/>
                    </w:rPr>
                    <w:t>环境风险应</w:t>
                  </w:r>
                </w:p>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急措施</w:t>
                  </w:r>
                </w:p>
              </w:tc>
              <w:tc>
                <w:tcPr>
                  <w:tcW w:w="5126" w:type="dxa"/>
                  <w:gridSpan w:val="2"/>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9"/>
                      <w:sz w:val="21"/>
                    </w:rPr>
                    <w:t>具体见建设项目环境风险简单分析内容表</w:t>
                  </w:r>
                </w:p>
              </w:tc>
              <w:tc>
                <w:tcPr>
                  <w:tcW w:w="211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新建</w:t>
                  </w:r>
                </w:p>
              </w:tc>
            </w:tr>
          </w:tbl>
          <w:p>
            <w:pPr>
              <w:pStyle w:val="44"/>
              <w:ind w:left="0" w:leftChars="0" w:firstLine="0" w:firstLineChars="0"/>
              <w:rPr>
                <w:color w:val="000000" w:themeColor="text1"/>
                <w:highlight w:val="none"/>
                <w14:textFill>
                  <w14:solidFill>
                    <w14:schemeClr w14:val="tx1"/>
                  </w14:solidFill>
                </w14:textFill>
              </w:rPr>
            </w:pPr>
          </w:p>
        </w:tc>
      </w:tr>
      <w:bookmarkEnd w:id="13"/>
    </w:tbl>
    <w:p>
      <w:pPr>
        <w:rPr>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3"/>
        <w:tblW w:w="95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375" w:type="dxa"/>
            <w:vAlign w:val="center"/>
          </w:tcPr>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建设内容</w:t>
            </w:r>
          </w:p>
        </w:tc>
        <w:tc>
          <w:tcPr>
            <w:tcW w:w="9133" w:type="dxa"/>
          </w:tcPr>
          <w:p>
            <w:pPr>
              <w:pStyle w:val="4"/>
              <w:bidi w:val="0"/>
              <w:ind w:left="720" w:leftChars="0" w:hanging="72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平面布局</w:t>
            </w:r>
          </w:p>
          <w:p>
            <w:pPr>
              <w:pStyle w:val="137"/>
              <w:keepNext w:val="0"/>
              <w:keepLines w:val="0"/>
              <w:pageBreakBefore w:val="0"/>
              <w:widowControl w:val="0"/>
              <w:shd w:val="clear"/>
              <w:kinsoku/>
              <w:wordWrap/>
              <w:overflowPunct/>
              <w:topLinePunct w:val="0"/>
              <w:autoSpaceDE/>
              <w:autoSpaceDN/>
              <w:bidi w:val="0"/>
              <w:adjustRightInd/>
              <w:snapToGrid/>
              <w:ind w:firstLine="31680"/>
              <w:textAlignment w:val="auto"/>
              <w:rPr>
                <w:color w:val="000000" w:themeColor="text1"/>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本项目位于福建省福清市镜洋镇过洋39号</w:t>
            </w:r>
            <w:r>
              <w:rPr>
                <w:rFonts w:hint="eastAsia" w:ascii="Times New Roman" w:hAnsi="Times New Roman" w:eastAsia="宋体"/>
                <w:color w:val="000000" w:themeColor="text1"/>
                <w:szCs w:val="24"/>
                <w:highlight w:val="none"/>
                <w:lang w:val="en-US" w:eastAsia="zh-CN"/>
                <w14:textFill>
                  <w14:solidFill>
                    <w14:schemeClr w14:val="tx1"/>
                  </w14:solidFill>
                </w14:textFill>
              </w:rPr>
              <w:t>2#厂房、3#厂房</w:t>
            </w:r>
            <w:r>
              <w:rPr>
                <w:rFonts w:hint="eastAsia" w:ascii="Times New Roman" w:hAnsi="Times New Roman" w:eastAsia="宋体"/>
                <w:color w:val="000000" w:themeColor="text1"/>
                <w:szCs w:val="24"/>
                <w:highlight w:val="none"/>
                <w14:textFill>
                  <w14:solidFill>
                    <w14:schemeClr w14:val="tx1"/>
                  </w14:solidFill>
                </w14:textFill>
              </w:rPr>
              <w:t>，总</w:t>
            </w:r>
            <w:r>
              <w:rPr>
                <w:rFonts w:hint="eastAsia"/>
                <w:color w:val="000000" w:themeColor="text1"/>
                <w:szCs w:val="24"/>
                <w:highlight w:val="none"/>
                <w:lang w:val="en-US" w:eastAsia="zh-CN"/>
                <w14:textFill>
                  <w14:solidFill>
                    <w14:schemeClr w14:val="tx1"/>
                  </w14:solidFill>
                </w14:textFill>
              </w:rPr>
              <w:t>建筑面积2030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olor w:val="000000" w:themeColor="text1"/>
                <w:szCs w:val="24"/>
                <w:highlight w:val="none"/>
                <w14:textFill>
                  <w14:solidFill>
                    <w14:schemeClr w14:val="tx1"/>
                  </w14:solidFill>
                </w14:textFill>
              </w:rPr>
              <w:t>。项目厂区</w:t>
            </w:r>
            <w:r>
              <w:rPr>
                <w:rFonts w:hint="eastAsia"/>
                <w:color w:val="000000" w:themeColor="text1"/>
                <w:szCs w:val="24"/>
                <w:highlight w:val="none"/>
                <w:lang w:val="en-US" w:eastAsia="zh-CN"/>
                <w14:textFill>
                  <w14:solidFill>
                    <w14:schemeClr w14:val="tx1"/>
                  </w14:solidFill>
                </w14:textFill>
              </w:rPr>
              <w:t>周围均为工业厂房</w:t>
            </w:r>
            <w:r>
              <w:rPr>
                <w:rFonts w:hint="eastAsia" w:ascii="Times New Roman" w:hAnsi="Times New Roman" w:eastAsia="宋体"/>
                <w:color w:val="000000" w:themeColor="text1"/>
                <w:szCs w:val="24"/>
                <w:highlight w:val="none"/>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东</w:t>
            </w:r>
            <w:r>
              <w:rPr>
                <w:rFonts w:hint="eastAsia" w:ascii="Times New Roman" w:hAnsi="Times New Roman" w:eastAsia="宋体"/>
                <w:color w:val="000000" w:themeColor="text1"/>
                <w:szCs w:val="24"/>
                <w:highlight w:val="none"/>
                <w14:textFill>
                  <w14:solidFill>
                    <w14:schemeClr w14:val="tx1"/>
                  </w14:solidFill>
                </w14:textFill>
              </w:rPr>
              <w:t>侧为</w:t>
            </w:r>
            <w:r>
              <w:rPr>
                <w:rFonts w:hint="eastAsia"/>
                <w:color w:val="000000" w:themeColor="text1"/>
                <w:szCs w:val="24"/>
                <w:highlight w:val="none"/>
                <w:lang w:val="en-US" w:eastAsia="zh-CN"/>
                <w14:textFill>
                  <w14:solidFill>
                    <w14:schemeClr w14:val="tx1"/>
                  </w14:solidFill>
                </w14:textFill>
              </w:rPr>
              <w:t>国道G104</w:t>
            </w:r>
            <w:r>
              <w:rPr>
                <w:rFonts w:hint="eastAsia" w:ascii="Times New Roman" w:hAnsi="Times New Roman" w:eastAsia="宋体"/>
                <w:color w:val="000000" w:themeColor="text1"/>
                <w:szCs w:val="24"/>
                <w:highlight w:val="none"/>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厂区北侧为福建省玉上丰科技发展有限公司，南侧为福州鼎力机械有限公司，厂区东侧为福建丰沃生物科技有限公司，厂区西侧为福建本缘苍山电动工具配件有限公司。</w:t>
            </w:r>
            <w:r>
              <w:rPr>
                <w:rFonts w:hint="eastAsia" w:ascii="Times New Roman" w:hAnsi="Times New Roman" w:eastAsia="宋体"/>
                <w:color w:val="000000" w:themeColor="text1"/>
                <w:szCs w:val="24"/>
                <w:highlight w:val="none"/>
                <w14:textFill>
                  <w14:solidFill>
                    <w14:schemeClr w14:val="tx1"/>
                  </w14:solidFill>
                </w14:textFill>
              </w:rPr>
              <w:t>厂区出入口设置在</w:t>
            </w:r>
            <w:r>
              <w:rPr>
                <w:rFonts w:hint="eastAsia"/>
                <w:color w:val="000000" w:themeColor="text1"/>
                <w:szCs w:val="24"/>
                <w:highlight w:val="none"/>
                <w:lang w:val="en-US" w:eastAsia="zh-CN"/>
                <w14:textFill>
                  <w14:solidFill>
                    <w14:schemeClr w14:val="tx1"/>
                  </w14:solidFill>
                </w14:textFill>
              </w:rPr>
              <w:t>厂区</w:t>
            </w:r>
            <w:r>
              <w:rPr>
                <w:rFonts w:hint="eastAsia" w:ascii="Times New Roman" w:hAnsi="Times New Roman" w:eastAsia="宋体"/>
                <w:color w:val="000000" w:themeColor="text1"/>
                <w:szCs w:val="24"/>
                <w:highlight w:val="none"/>
                <w:lang w:val="en-US" w:eastAsia="zh-CN"/>
                <w14:textFill>
                  <w14:solidFill>
                    <w14:schemeClr w14:val="tx1"/>
                  </w14:solidFill>
                </w14:textFill>
              </w:rPr>
              <w:t>东侧</w:t>
            </w:r>
            <w:r>
              <w:rPr>
                <w:rFonts w:hint="eastAsia"/>
                <w:color w:val="000000" w:themeColor="text1"/>
                <w:szCs w:val="24"/>
                <w:highlight w:val="none"/>
                <w:lang w:val="en-US" w:eastAsia="zh-CN"/>
                <w14:textFill>
                  <w14:solidFill>
                    <w14:schemeClr w14:val="tx1"/>
                  </w14:solidFill>
                </w14:textFill>
              </w:rPr>
              <w:t>，周边环境详见附图3</w:t>
            </w:r>
            <w:r>
              <w:rPr>
                <w:rFonts w:hint="eastAsia" w:ascii="Times New Roman" w:hAnsi="Times New Roman" w:eastAsia="宋体"/>
                <w:color w:val="000000" w:themeColor="text1"/>
                <w:szCs w:val="24"/>
                <w:highlight w:val="none"/>
                <w14:textFill>
                  <w14:solidFill>
                    <w14:schemeClr w14:val="tx1"/>
                  </w14:solidFill>
                </w14:textFill>
              </w:rPr>
              <w:t>。本项目生产</w:t>
            </w:r>
            <w:r>
              <w:rPr>
                <w:rFonts w:hint="eastAsia" w:ascii="Times New Roman" w:hAnsi="Times New Roman" w:eastAsia="宋体"/>
                <w:color w:val="000000" w:themeColor="text1"/>
                <w:szCs w:val="24"/>
                <w:highlight w:val="none"/>
                <w:lang w:eastAsia="zh-CN"/>
                <w14:textFill>
                  <w14:solidFill>
                    <w14:schemeClr w14:val="tx1"/>
                  </w14:solidFill>
                </w14:textFill>
              </w:rPr>
              <w:t>厂房</w:t>
            </w:r>
            <w:r>
              <w:rPr>
                <w:rFonts w:hint="eastAsia" w:ascii="Times New Roman" w:hAnsi="Times New Roman" w:eastAsia="宋体"/>
                <w:color w:val="000000" w:themeColor="text1"/>
                <w:szCs w:val="24"/>
                <w:highlight w:val="none"/>
                <w14:textFill>
                  <w14:solidFill>
                    <w14:schemeClr w14:val="tx1"/>
                  </w14:solidFill>
                </w14:textFill>
              </w:rPr>
              <w:t>平面布局根据生产工艺需求和周边环境等特点进行布置，生产过程中产生的各类污染物经治理后对周边环境影响较小。生产</w:t>
            </w:r>
            <w:r>
              <w:rPr>
                <w:rFonts w:hint="eastAsia" w:ascii="Times New Roman" w:hAnsi="Times New Roman" w:eastAsia="宋体"/>
                <w:color w:val="000000" w:themeColor="text1"/>
                <w:szCs w:val="24"/>
                <w:highlight w:val="none"/>
                <w:lang w:eastAsia="zh-CN"/>
                <w14:textFill>
                  <w14:solidFill>
                    <w14:schemeClr w14:val="tx1"/>
                  </w14:solidFill>
                </w14:textFill>
              </w:rPr>
              <w:t>厂房</w:t>
            </w:r>
            <w:r>
              <w:rPr>
                <w:rFonts w:hint="eastAsia" w:ascii="Times New Roman" w:hAnsi="Times New Roman" w:eastAsia="宋体"/>
                <w:color w:val="000000" w:themeColor="text1"/>
                <w:szCs w:val="24"/>
                <w:highlight w:val="none"/>
                <w14:textFill>
                  <w14:solidFill>
                    <w14:schemeClr w14:val="tx1"/>
                  </w14:solidFill>
                </w14:textFill>
              </w:rPr>
              <w:t>各区块功能明确，物料流向顺畅，符合防火、安全等有关规范，总体布局功能分区明确，便于生产的连续性，项目平面布置基本合理。</w:t>
            </w:r>
          </w:p>
          <w:p>
            <w:pPr>
              <w:pStyle w:val="3"/>
              <w:bidi w:val="0"/>
              <w:ind w:left="0" w:leftChars="0" w:firstLine="0" w:firstLineChars="0"/>
              <w:rPr>
                <w:rFonts w:hint="eastAsia"/>
                <w:color w:val="000000" w:themeColor="text1"/>
                <w:highlight w:val="none"/>
                <w14:textFill>
                  <w14:solidFill>
                    <w14:schemeClr w14:val="tx1"/>
                  </w14:solidFill>
                </w14:textFill>
              </w:rPr>
            </w:pPr>
            <w:bookmarkStart w:id="14" w:name="_Toc10081"/>
            <w:bookmarkStart w:id="15" w:name="_Toc24506"/>
            <w:bookmarkStart w:id="16" w:name="_Toc6646"/>
            <w:bookmarkStart w:id="17" w:name="_Toc9977"/>
            <w:r>
              <w:rPr>
                <w:rFonts w:hint="eastAsia"/>
                <w:color w:val="000000" w:themeColor="text1"/>
                <w:highlight w:val="none"/>
                <w14:textFill>
                  <w14:solidFill>
                    <w14:schemeClr w14:val="tx1"/>
                  </w14:solidFill>
                </w14:textFill>
              </w:rPr>
              <w:t>主要生产设备</w:t>
            </w:r>
            <w:bookmarkEnd w:id="14"/>
            <w:bookmarkEnd w:id="15"/>
            <w:bookmarkEnd w:id="16"/>
            <w:bookmarkEnd w:id="17"/>
          </w:p>
          <w:p>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本项目主要生产设备</w:t>
            </w:r>
            <w:r>
              <w:rPr>
                <w:rFonts w:hint="eastAsia"/>
                <w:color w:val="000000" w:themeColor="text1"/>
                <w:highlight w:val="none"/>
                <w:lang w:val="en-US" w:eastAsia="zh-CN"/>
                <w14:textFill>
                  <w14:solidFill>
                    <w14:schemeClr w14:val="tx1"/>
                  </w14:solidFill>
                </w14:textFill>
              </w:rPr>
              <w:t>及建成后全厂主要生产设施</w:t>
            </w:r>
            <w:r>
              <w:rPr>
                <w:rFonts w:hint="eastAsia"/>
                <w:color w:val="000000" w:themeColor="text1"/>
                <w:highlight w:val="none"/>
                <w14:textFill>
                  <w14:solidFill>
                    <w14:schemeClr w14:val="tx1"/>
                  </w14:solidFill>
                </w14:textFill>
              </w:rPr>
              <w:t>见下表</w:t>
            </w:r>
            <w:r>
              <w:rPr>
                <w:color w:val="000000" w:themeColor="text1"/>
                <w:highlight w:val="none"/>
                <w14:textFill>
                  <w14:solidFill>
                    <w14:schemeClr w14:val="tx1"/>
                  </w14:solidFill>
                </w14:textFill>
              </w:rPr>
              <w:t>。</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000000" w:themeColor="text1"/>
                <w:highlight w:val="none"/>
                <w14:textFill>
                  <w14:solidFill>
                    <w14:schemeClr w14:val="tx1"/>
                  </w14:solidFill>
                </w14:textFill>
              </w:rPr>
            </w:pPr>
            <w:bookmarkStart w:id="18" w:name="_Ref15628"/>
            <w:bookmarkStart w:id="19" w:name="_Toc20936"/>
            <w:bookmarkStart w:id="20" w:name="_Toc25944"/>
            <w:bookmarkStart w:id="21" w:name="_Toc4944"/>
            <w:bookmarkStart w:id="22" w:name="_Toc12299"/>
            <w:r>
              <w:rPr>
                <w:rFonts w:hint="eastAsia"/>
                <w:color w:val="000000" w:themeColor="text1"/>
                <w:highlight w:val="none"/>
                <w14:textFill>
                  <w14:solidFill>
                    <w14:schemeClr w14:val="tx1"/>
                  </w14:solidFill>
                </w14:textFill>
              </w:rPr>
              <w:t>项目生产设备</w:t>
            </w:r>
            <w:bookmarkEnd w:id="18"/>
            <w:r>
              <w:rPr>
                <w:rFonts w:hint="eastAsia"/>
                <w:color w:val="000000" w:themeColor="text1"/>
                <w:highlight w:val="none"/>
                <w14:textFill>
                  <w14:solidFill>
                    <w14:schemeClr w14:val="tx1"/>
                  </w14:solidFill>
                </w14:textFill>
              </w:rPr>
              <w:t>清单表</w:t>
            </w:r>
          </w:p>
          <w:tbl>
            <w:tblPr>
              <w:tblStyle w:val="3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5"/>
              <w:gridCol w:w="2056"/>
              <w:gridCol w:w="3702"/>
              <w:gridCol w:w="1411"/>
              <w:gridCol w:w="21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16"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设备名称</w:t>
                  </w:r>
                </w:p>
              </w:tc>
              <w:tc>
                <w:tcPr>
                  <w:tcW w:w="1829"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型号/功率</w:t>
                  </w:r>
                </w:p>
              </w:tc>
              <w:tc>
                <w:tcPr>
                  <w:tcW w:w="697"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数量</w:t>
                  </w:r>
                  <w:r>
                    <w:rPr>
                      <w:spacing w:val="6"/>
                    </w:rPr>
                    <w:t>（台套）</w:t>
                  </w:r>
                </w:p>
              </w:tc>
              <w:tc>
                <w:tcPr>
                  <w:tcW w:w="1067"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所在工段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op w:val="single" w:color="000000" w:sz="12" w:space="0"/>
                    <w:tl2br w:val="nil"/>
                    <w:tr2bl w:val="nil"/>
                  </w:tcBorders>
                  <w:shd w:val="clear" w:color="auto" w:fill="auto"/>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1016" w:type="pct"/>
                  <w:tcBorders>
                    <w:top w:val="single" w:color="000000" w:sz="12" w:space="0"/>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p&gt;:#"/>
                      <w:kern w:val="0"/>
                      <w:sz w:val="21"/>
                      <w:szCs w:val="24"/>
                    </w:rPr>
                    <w:t>焊机</w:t>
                  </w:r>
                </w:p>
              </w:tc>
              <w:tc>
                <w:tcPr>
                  <w:tcW w:w="1829" w:type="pct"/>
                  <w:tcBorders>
                    <w:top w:val="single" w:color="000000" w:sz="12" w:space="0"/>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p&gt;:#"/>
                      <w:kern w:val="0"/>
                      <w:sz w:val="21"/>
                    </w:rPr>
                    <w:t>NJ1530</w:t>
                  </w:r>
                </w:p>
              </w:tc>
              <w:tc>
                <w:tcPr>
                  <w:tcW w:w="697" w:type="pct"/>
                  <w:tcBorders>
                    <w:top w:val="single" w:color="000000" w:sz="12" w:space="0"/>
                    <w:tl2br w:val="nil"/>
                    <w:tr2bl w:val="nil"/>
                  </w:tcBorders>
                  <w:shd w:val="clear" w:color="auto" w:fill="auto"/>
                  <w:vAlign w:val="center"/>
                </w:tcPr>
                <w:p>
                  <w:pPr>
                    <w:pStyle w:val="113"/>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p&gt;:#"/>
                      <w:kern w:val="0"/>
                      <w:sz w:val="21"/>
                      <w:szCs w:val="24"/>
                    </w:rPr>
                    <w:t>24</w:t>
                  </w:r>
                </w:p>
              </w:tc>
              <w:tc>
                <w:tcPr>
                  <w:tcW w:w="1067" w:type="pct"/>
                  <w:tcBorders>
                    <w:top w:val="single" w:color="000000" w:sz="12" w:space="0"/>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焊接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shd w:val="clear" w:color="auto" w:fill="auto"/>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p&gt;:#"/>
                      <w:kern w:val="0"/>
                      <w:sz w:val="21"/>
                      <w:szCs w:val="24"/>
                    </w:rPr>
                    <w:t>纯水制备</w:t>
                  </w:r>
                  <w:r>
                    <w:rPr>
                      <w:rFonts w:hint="eastAsia" w:ascii="Times New Roman" w:hAnsi="Times New Roman" w:eastAsia="宋体" w:cs="p&gt;:#"/>
                      <w:kern w:val="0"/>
                      <w:sz w:val="21"/>
                      <w:szCs w:val="24"/>
                      <w:lang w:eastAsia="zh-CN"/>
                    </w:rPr>
                    <w:t>系统</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CHL4-30</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sz w:val="21"/>
                      <w:szCs w:val="24"/>
                      <w:lang w:val="en-US" w:eastAsia="zh-CN" w:bidi="ar-SA"/>
                    </w:rPr>
                  </w:pPr>
                  <w:r>
                    <w:rPr>
                      <w:rFonts w:hint="eastAsia" w:ascii="Times New Roman" w:hAnsi="Times New Roman" w:eastAsia="宋体" w:cs="Times New Roman"/>
                      <w:spacing w:val="-2"/>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shd w:val="clear" w:color="auto" w:fill="auto"/>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szCs w:val="24"/>
                    </w:rPr>
                    <w:t>预脱脂</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12000*1500*2200mm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3"/>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shd w:val="clear" w:color="auto" w:fill="auto"/>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szCs w:val="24"/>
                    </w:rPr>
                    <w:t>主脱脂</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12000*500*2200mm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shd w:val="clear" w:color="auto" w:fill="auto"/>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szCs w:val="24"/>
                    </w:rPr>
                    <w:t>水洗1</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6000*1500*2880+2500mm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shd w:val="clear" w:color="auto" w:fill="auto"/>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szCs w:val="24"/>
                    </w:rPr>
                    <w:t>水洗2</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8000*1500*2200mm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szCs w:val="24"/>
                    </w:rPr>
                    <w:t>硅烷</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11000*1500*2200mm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szCs w:val="24"/>
                    </w:rPr>
                    <w:t>水洗3</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rPr>
                    <w:t>5500*1500*2880+2500mm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1016" w:type="pct"/>
                  <w:tcBorders>
                    <w:tl2br w:val="nil"/>
                    <w:tr2bl w:val="nil"/>
                  </w:tcBorders>
                  <w:shd w:val="clear" w:color="auto" w:fill="auto"/>
                  <w:vAlign w:val="center"/>
                </w:tcPr>
                <w:p>
                  <w:pPr>
                    <w:pStyle w:val="113"/>
                    <w:jc w:val="center"/>
                    <w:rPr>
                      <w:rFonts w:hint="eastAsia" w:ascii="Times New Roman" w:hAnsi="Times New Roman" w:eastAsia="宋体" w:cs="Times New Roman"/>
                      <w:spacing w:val="7"/>
                      <w:kern w:val="2"/>
                      <w:sz w:val="21"/>
                      <w:szCs w:val="24"/>
                      <w:lang w:val="en-US" w:eastAsia="zh-CN" w:bidi="ar-SA"/>
                    </w:rPr>
                  </w:pPr>
                  <w:r>
                    <w:rPr>
                      <w:rFonts w:hint="eastAsia" w:ascii="Times New Roman" w:hAnsi="Times New Roman" w:eastAsia="宋体"/>
                      <w:sz w:val="21"/>
                      <w:szCs w:val="24"/>
                    </w:rPr>
                    <w:t>纯水洗1</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8000*1500*2200mm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szCs w:val="24"/>
                    </w:rPr>
                    <w:t>电泳</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pacing w:val="6"/>
                      <w:sz w:val="21"/>
                    </w:rPr>
                    <w:t>12000*1500*2200mm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3"/>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6"/>
                      <w:kern w:val="2"/>
                      <w:sz w:val="21"/>
                      <w:szCs w:val="24"/>
                      <w:lang w:val="en-US" w:eastAsia="zh-CN" w:bidi="ar-SA"/>
                    </w:rPr>
                  </w:pPr>
                  <w:r>
                    <w:rPr>
                      <w:rFonts w:hint="eastAsia" w:ascii="Times New Roman" w:hAnsi="Times New Roman" w:eastAsia="宋体"/>
                      <w:sz w:val="21"/>
                      <w:szCs w:val="24"/>
                    </w:rPr>
                    <w:t>UF0洗</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lang w:val="de-DE"/>
                    </w:rPr>
                    <w:t>14000*1500*</w:t>
                  </w:r>
                  <w:r>
                    <w:rPr>
                      <w:rFonts w:hint="eastAsia" w:ascii="Times New Roman" w:hAnsi="Times New Roman" w:eastAsia="宋体"/>
                      <w:sz w:val="21"/>
                    </w:rPr>
                    <w:t>28</w:t>
                  </w:r>
                  <w:r>
                    <w:rPr>
                      <w:rFonts w:hint="eastAsia" w:ascii="Times New Roman" w:hAnsi="Times New Roman" w:eastAsia="宋体"/>
                      <w:sz w:val="21"/>
                      <w:lang w:val="de-DE"/>
                    </w:rPr>
                    <w:t>80+2800mm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1016" w:type="pct"/>
                  <w:tcBorders>
                    <w:tl2br w:val="nil"/>
                    <w:tr2bl w:val="nil"/>
                  </w:tcBorders>
                  <w:shd w:val="clear" w:color="auto" w:fill="auto"/>
                  <w:vAlign w:val="center"/>
                </w:tcPr>
                <w:p>
                  <w:pPr>
                    <w:pStyle w:val="113"/>
                    <w:jc w:val="center"/>
                    <w:rPr>
                      <w:rFonts w:hint="eastAsia"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szCs w:val="24"/>
                    </w:rPr>
                    <w:t>UF1洗</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5000*1500*2880+2800mm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szCs w:val="24"/>
                    </w:rPr>
                    <w:t>UF2洗</w:t>
                  </w:r>
                  <w:r>
                    <w:rPr>
                      <w:rFonts w:hint="eastAsia" w:ascii="Times New Roman" w:hAnsi="Times New Roman" w:eastAsia="宋体"/>
                      <w:sz w:val="21"/>
                      <w:szCs w:val="24"/>
                      <w:lang w:eastAsia="zh-CN"/>
                    </w:rPr>
                    <w:t>槽</w:t>
                  </w:r>
                </w:p>
              </w:tc>
              <w:tc>
                <w:tcPr>
                  <w:tcW w:w="1829"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4500*1500*2880+2800mm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position w:val="1"/>
                      <w:sz w:val="21"/>
                      <w:szCs w:val="24"/>
                      <w:lang w:val="en-US" w:eastAsia="zh-CN" w:bidi="ar-SA"/>
                    </w:rPr>
                  </w:pPr>
                  <w:r>
                    <w:rPr>
                      <w:rFonts w:hint="eastAsia" w:ascii="Times New Roman" w:hAnsi="Times New Roman" w:eastAsia="宋体"/>
                      <w:sz w:val="21"/>
                      <w:szCs w:val="24"/>
                      <w:lang w:val="de-DE"/>
                    </w:rPr>
                    <w:t>泳漆烘干炉</w:t>
                  </w:r>
                </w:p>
              </w:tc>
              <w:tc>
                <w:tcPr>
                  <w:tcW w:w="1829"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lang w:val="de-DE"/>
                    </w:rPr>
                    <w:t>4</w:t>
                  </w:r>
                  <w:r>
                    <w:rPr>
                      <w:rFonts w:hint="eastAsia" w:ascii="Times New Roman" w:hAnsi="Times New Roman" w:eastAsia="宋体"/>
                      <w:sz w:val="21"/>
                    </w:rPr>
                    <w:t>5</w:t>
                  </w:r>
                  <w:r>
                    <w:rPr>
                      <w:rFonts w:hint="eastAsia" w:ascii="Times New Roman" w:hAnsi="Times New Roman" w:eastAsia="宋体"/>
                      <w:sz w:val="21"/>
                      <w:lang w:val="de-DE"/>
                    </w:rPr>
                    <w:t>000*</w:t>
                  </w:r>
                  <w:r>
                    <w:rPr>
                      <w:rFonts w:hint="eastAsia" w:ascii="Times New Roman" w:hAnsi="Times New Roman" w:eastAsia="宋体"/>
                      <w:sz w:val="21"/>
                    </w:rPr>
                    <w:t>300</w:t>
                  </w:r>
                  <w:r>
                    <w:rPr>
                      <w:rFonts w:hint="eastAsia" w:ascii="Times New Roman" w:hAnsi="Times New Roman" w:eastAsia="宋体"/>
                      <w:sz w:val="21"/>
                      <w:lang w:val="de-DE"/>
                    </w:rPr>
                    <w:t>0*3</w:t>
                  </w:r>
                  <w:r>
                    <w:rPr>
                      <w:rFonts w:hint="eastAsia" w:ascii="Times New Roman" w:hAnsi="Times New Roman" w:eastAsia="宋体"/>
                      <w:sz w:val="21"/>
                    </w:rPr>
                    <w:t>00</w:t>
                  </w:r>
                  <w:r>
                    <w:rPr>
                      <w:rFonts w:hint="eastAsia" w:ascii="Times New Roman" w:hAnsi="Times New Roman" w:eastAsia="宋体"/>
                      <w:sz w:val="21"/>
                      <w:lang w:val="de-DE"/>
                    </w:rPr>
                    <w:t>0mm</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3"/>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1016"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2"/>
                      <w:kern w:val="2"/>
                      <w:position w:val="1"/>
                      <w:sz w:val="21"/>
                      <w:szCs w:val="24"/>
                      <w:lang w:val="en-US" w:eastAsia="zh-CN" w:bidi="ar-SA"/>
                    </w:rPr>
                  </w:pPr>
                  <w:r>
                    <w:rPr>
                      <w:rFonts w:ascii="Times New Roman" w:hAnsi="Times New Roman" w:eastAsia="宋体" w:cs="p&gt;:#"/>
                      <w:kern w:val="0"/>
                      <w:sz w:val="21"/>
                      <w:szCs w:val="24"/>
                    </w:rPr>
                    <w:t>污水处理设施</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highlight w:val="none"/>
                      <w:lang w:val="en-US" w:eastAsia="zh-CN" w:bidi="ar-SA"/>
                    </w:rPr>
                    <w:t>物化反应+气浮+A/O+沉淀</w:t>
                  </w:r>
                </w:p>
              </w:tc>
              <w:tc>
                <w:tcPr>
                  <w:tcW w:w="697" w:type="pct"/>
                  <w:tcBorders>
                    <w:tl2br w:val="nil"/>
                    <w:tr2bl w:val="nil"/>
                  </w:tcBorders>
                  <w:shd w:val="clear" w:color="auto" w:fill="auto"/>
                  <w:vAlign w:val="center"/>
                </w:tcPr>
                <w:p>
                  <w:pPr>
                    <w:pStyle w:val="113"/>
                    <w:jc w:val="center"/>
                    <w:rPr>
                      <w:rFonts w:hint="default" w:ascii="Times New Roman" w:hAnsi="Times New Roman" w:eastAsia="宋体" w:cs="Times New Roman"/>
                      <w:spacing w:val="-10"/>
                      <w:kern w:val="2"/>
                      <w:sz w:val="21"/>
                      <w:szCs w:val="24"/>
                      <w:lang w:val="en-US" w:eastAsia="zh-CN" w:bidi="ar-SA"/>
                    </w:rPr>
                  </w:pPr>
                  <w:r>
                    <w:rPr>
                      <w:rFonts w:hint="eastAsia" w:ascii="Times New Roman" w:hAnsi="Times New Roman" w:eastAsia="宋体" w:cs="Times New Roman"/>
                      <w:spacing w:val="-10"/>
                      <w:sz w:val="21"/>
                      <w:szCs w:val="24"/>
                      <w:lang w:eastAsia="zh-CN"/>
                    </w:rPr>
                    <w:t>1</w:t>
                  </w:r>
                </w:p>
              </w:tc>
              <w:tc>
                <w:tcPr>
                  <w:tcW w:w="1067"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sz w:val="21"/>
                    </w:rPr>
                    <w:t>污水处理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1016" w:type="pct"/>
                  <w:tcBorders>
                    <w:tl2br w:val="nil"/>
                    <w:tr2bl w:val="nil"/>
                  </w:tcBorders>
                  <w:shd w:val="clear" w:color="auto" w:fill="auto"/>
                  <w:vAlign w:val="center"/>
                </w:tcPr>
                <w:p>
                  <w:pPr>
                    <w:pStyle w:val="113"/>
                    <w:jc w:val="center"/>
                    <w:rPr>
                      <w:rFonts w:hint="eastAsia" w:ascii="Times New Roman" w:hAnsi="Times New Roman" w:eastAsia="宋体" w:cs="Times New Roman"/>
                      <w:spacing w:val="2"/>
                      <w:kern w:val="2"/>
                      <w:position w:val="1"/>
                      <w:sz w:val="21"/>
                      <w:szCs w:val="24"/>
                      <w:lang w:val="en-US" w:eastAsia="zh-CN" w:bidi="ar-SA"/>
                    </w:rPr>
                  </w:pPr>
                  <w:r>
                    <w:rPr>
                      <w:rFonts w:ascii="Times New Roman" w:hAnsi="Times New Roman" w:eastAsia="宋体" w:cs="p&gt;:#"/>
                      <w:kern w:val="0"/>
                      <w:sz w:val="21"/>
                      <w:szCs w:val="24"/>
                    </w:rPr>
                    <w:t>座椅骨架装配线</w:t>
                  </w:r>
                </w:p>
              </w:tc>
              <w:tc>
                <w:tcPr>
                  <w:tcW w:w="1829" w:type="pct"/>
                  <w:tcBorders>
                    <w:tl2br w:val="nil"/>
                    <w:tr2bl w:val="nil"/>
                  </w:tcBorders>
                  <w:shd w:val="clear" w:color="auto" w:fill="auto"/>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t>
                  </w:r>
                </w:p>
              </w:tc>
              <w:tc>
                <w:tcPr>
                  <w:tcW w:w="697" w:type="pct"/>
                  <w:tcBorders>
                    <w:tl2br w:val="nil"/>
                    <w:tr2bl w:val="nil"/>
                  </w:tcBorders>
                  <w:shd w:val="clear" w:color="auto" w:fill="auto"/>
                  <w:vAlign w:val="center"/>
                </w:tcPr>
                <w:p>
                  <w:pPr>
                    <w:pStyle w:val="113"/>
                    <w:jc w:val="center"/>
                    <w:rPr>
                      <w:rFonts w:hint="eastAsia" w:ascii="Times New Roman" w:hAnsi="Times New Roman" w:eastAsia="宋体" w:cs="Times New Roman"/>
                      <w:spacing w:val="-5"/>
                      <w:kern w:val="2"/>
                      <w:sz w:val="21"/>
                      <w:szCs w:val="24"/>
                      <w:lang w:val="en-US" w:eastAsia="zh-CN" w:bidi="ar-SA"/>
                    </w:rPr>
                  </w:pPr>
                  <w:r>
                    <w:rPr>
                      <w:rFonts w:hint="eastAsia" w:ascii="Times New Roman" w:hAnsi="Times New Roman" w:eastAsia="宋体" w:cs="Times New Roman"/>
                      <w:spacing w:val="-5"/>
                      <w:sz w:val="21"/>
                      <w:szCs w:val="24"/>
                      <w:lang w:eastAsia="zh-CN"/>
                    </w:rPr>
                    <w:t>1</w:t>
                  </w:r>
                </w:p>
              </w:tc>
              <w:tc>
                <w:tcPr>
                  <w:tcW w:w="1067" w:type="pct"/>
                  <w:tcBorders>
                    <w:tl2br w:val="nil"/>
                    <w:tr2bl w:val="nil"/>
                  </w:tcBorders>
                  <w:shd w:val="clear" w:color="auto" w:fill="auto"/>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sz w:val="21"/>
                    </w:rPr>
                    <w:t>装配</w:t>
                  </w:r>
                </w:p>
              </w:tc>
            </w:tr>
          </w:tbl>
          <w:p>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主要原辅材料</w:t>
            </w:r>
            <w:bookmarkEnd w:id="19"/>
            <w:bookmarkEnd w:id="20"/>
            <w:bookmarkEnd w:id="21"/>
            <w:bookmarkEnd w:id="22"/>
            <w:r>
              <w:rPr>
                <w:rFonts w:hint="eastAsia"/>
                <w:color w:val="000000" w:themeColor="text1"/>
                <w:highlight w:val="none"/>
                <w14:textFill>
                  <w14:solidFill>
                    <w14:schemeClr w14:val="tx1"/>
                  </w14:solidFill>
                </w14:textFill>
              </w:rPr>
              <w:t>及能源消耗</w:t>
            </w:r>
          </w:p>
          <w:p>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（1）主要原辅材料</w:t>
            </w:r>
          </w:p>
          <w:p>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主要原辅材料用量见</w:t>
            </w:r>
            <w:r>
              <w:rPr>
                <w:rFonts w:hint="eastAsia"/>
                <w:color w:val="000000" w:themeColor="text1"/>
                <w:highlight w:val="none"/>
                <w14:textFill>
                  <w14:solidFill>
                    <w14:schemeClr w14:val="tx1"/>
                  </w14:solidFill>
                </w14:textFill>
              </w:rPr>
              <w:t>下表</w:t>
            </w:r>
            <w:r>
              <w:rPr>
                <w:color w:val="000000" w:themeColor="text1"/>
                <w:highlight w:val="none"/>
                <w14:textFill>
                  <w14:solidFill>
                    <w14:schemeClr w14:val="tx1"/>
                  </w14:solidFill>
                </w14:textFill>
              </w:rPr>
              <w:t>。</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主要原辅材料预计消耗一览表</w:t>
            </w:r>
          </w:p>
          <w:tbl>
            <w:tblPr>
              <w:tblStyle w:val="33"/>
              <w:tblW w:w="91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00"/>
              <w:gridCol w:w="963"/>
              <w:gridCol w:w="2208"/>
              <w:gridCol w:w="525"/>
              <w:gridCol w:w="698"/>
              <w:gridCol w:w="964"/>
              <w:gridCol w:w="1122"/>
              <w:gridCol w:w="775"/>
              <w:gridCol w:w="13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blHeader/>
              </w:trPr>
              <w:tc>
                <w:tcPr>
                  <w:tcW w:w="619"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990"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原料名称</w:t>
                  </w:r>
                </w:p>
              </w:tc>
              <w:tc>
                <w:tcPr>
                  <w:tcW w:w="2250"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成分</w:t>
                  </w:r>
                </w:p>
              </w:tc>
              <w:tc>
                <w:tcPr>
                  <w:tcW w:w="540"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形态</w:t>
                  </w:r>
                </w:p>
              </w:tc>
              <w:tc>
                <w:tcPr>
                  <w:tcW w:w="701"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规格</w:t>
                  </w:r>
                </w:p>
              </w:tc>
              <w:tc>
                <w:tcPr>
                  <w:tcW w:w="769"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年用量</w:t>
                  </w:r>
                </w:p>
              </w:tc>
              <w:tc>
                <w:tcPr>
                  <w:tcW w:w="1170"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贮存位置</w:t>
                  </w:r>
                </w:p>
              </w:tc>
              <w:tc>
                <w:tcPr>
                  <w:tcW w:w="780"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厂区贮存量</w:t>
                  </w:r>
                </w:p>
              </w:tc>
              <w:tc>
                <w:tcPr>
                  <w:tcW w:w="1361" w:type="dxa"/>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用途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0" w:hRule="atLeast"/>
              </w:trPr>
              <w:tc>
                <w:tcPr>
                  <w:tcW w:w="619"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90"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座椅座垫</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骨架零件</w:t>
                  </w:r>
                </w:p>
              </w:tc>
              <w:tc>
                <w:tcPr>
                  <w:tcW w:w="2250"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冷轧钢材，成分为C：0.1%，Mn：0.5%，P：0.035%，S：0.025%，Fe：99.34%</w:t>
                  </w:r>
                </w:p>
              </w:tc>
              <w:tc>
                <w:tcPr>
                  <w:tcW w:w="540"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料架</w:t>
                  </w:r>
                </w:p>
              </w:tc>
              <w:tc>
                <w:tcPr>
                  <w:tcW w:w="769"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10万</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套/a</w:t>
                  </w:r>
                </w:p>
              </w:tc>
              <w:tc>
                <w:tcPr>
                  <w:tcW w:w="1170"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进料暂存区</w:t>
                  </w:r>
                </w:p>
              </w:tc>
              <w:tc>
                <w:tcPr>
                  <w:tcW w:w="780" w:type="dxa"/>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2500套</w:t>
                  </w:r>
                </w:p>
              </w:tc>
              <w:tc>
                <w:tcPr>
                  <w:tcW w:w="1361" w:type="dxa"/>
                  <w:vMerge w:val="restar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螺栓</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冷墩钢，成分为C：0.18%~0.23%，Si：0.1%，Mn：0.7%~1%，P：0.025%，S：0.025%，Alt：0.02%，Fe：98.6%~98.95%</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纸箱</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10万</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套/a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进料暂存区</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2500套</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焊丝</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C：0.06%～0.15%，</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Si：0.7%～0.95%，</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Mn：1.8%～2.1%，</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S≤0.03%，</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P≤0.035%，</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Cr≤0.02%</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纸箱</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进料暂存区</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2t</w:t>
                  </w:r>
                </w:p>
              </w:tc>
              <w:tc>
                <w:tcPr>
                  <w:tcW w:w="1361" w:type="dxa"/>
                  <w:vMerge w:val="restar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焊接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钢瓶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10万</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2t</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脱脂粉</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偏硅酸钠30%、</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碳酸钠60%、非</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离子表面活性</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剂10%</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1t</w:t>
                  </w:r>
                </w:p>
              </w:tc>
              <w:tc>
                <w:tcPr>
                  <w:tcW w:w="136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脱脂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陶化剂</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硅烷16%、酒石酸0.4%、硝酸钠0.2%、硝酸镁2%、硝酸铝5.5%、氟锆酸</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 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0.5t</w:t>
                  </w:r>
                </w:p>
              </w:tc>
              <w:tc>
                <w:tcPr>
                  <w:tcW w:w="136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硅烷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乳液</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环氧树脂30%、聚氨酯交联剂10%、聚酰胺</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10%、去离子水45.4%、乙酸0.6%、混合溶剂</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13.5t/a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 t</w:t>
                  </w:r>
                </w:p>
              </w:tc>
              <w:tc>
                <w:tcPr>
                  <w:tcW w:w="1361" w:type="dxa"/>
                  <w:vMerge w:val="restar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阴极电泳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黑浆</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环氧树脂30%、高岭土15%、炭黑8%、去离子</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水38%、乙酸1%、混合溶剂8%</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 t</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助剂</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乙二醇丁醚45%、丙二醇苯醚8%、去离子水47%</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0.1t</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中和剂</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去离子水70%、</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乙酸30%</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0.12t/a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 t</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天然气</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0.001t*</w:t>
                  </w:r>
                </w:p>
              </w:tc>
              <w:tc>
                <w:tcPr>
                  <w:tcW w:w="1361" w:type="dxa"/>
                  <w:vMerge w:val="continue"/>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机油</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20kg/桶</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0.02t</w:t>
                  </w:r>
                </w:p>
              </w:tc>
              <w:tc>
                <w:tcPr>
                  <w:tcW w:w="136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固化炉燃料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PAC</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聚合氯化铝</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 t</w:t>
                  </w:r>
                </w:p>
              </w:tc>
              <w:tc>
                <w:tcPr>
                  <w:tcW w:w="136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设备维护、</w:t>
                  </w:r>
                </w:p>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保养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61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99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PAM</w:t>
                  </w:r>
                </w:p>
              </w:tc>
              <w:tc>
                <w:tcPr>
                  <w:tcW w:w="225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聚丙烯酰胺</w:t>
                  </w:r>
                </w:p>
              </w:tc>
              <w:tc>
                <w:tcPr>
                  <w:tcW w:w="54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70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25kg/袋</w:t>
                  </w:r>
                </w:p>
              </w:tc>
              <w:tc>
                <w:tcPr>
                  <w:tcW w:w="769"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0.01t/a</w:t>
                  </w:r>
                </w:p>
              </w:tc>
              <w:tc>
                <w:tcPr>
                  <w:tcW w:w="117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化学品库</w:t>
                  </w:r>
                </w:p>
              </w:tc>
              <w:tc>
                <w:tcPr>
                  <w:tcW w:w="780"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 t</w:t>
                  </w:r>
                </w:p>
              </w:tc>
              <w:tc>
                <w:tcPr>
                  <w:tcW w:w="1361" w:type="dxa"/>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废水处理</w:t>
                  </w:r>
                </w:p>
              </w:tc>
            </w:tr>
          </w:tbl>
          <w:p>
            <w:pPr>
              <w:pStyle w:val="44"/>
              <w:ind w:firstLine="48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注：[1]本项目使用的天然气来源为市政管道，厂区贮存量为厂区天然气管道内的在线量。[2]本项目使用的原辅材料中均不含汞、烷基汞、镉、铬、砷、铅、镍、铍、银、钒、硒、钴、锡、苯并（a）芘等成分。</w:t>
            </w:r>
          </w:p>
          <w:p>
            <w:pPr>
              <w:pStyle w:val="44"/>
              <w:ind w:firstLine="480"/>
              <w:rPr>
                <w:color w:val="000000" w:themeColor="text1"/>
                <w:sz w:val="21"/>
                <w:szCs w:val="21"/>
                <w:highlight w:val="none"/>
                <w:shd w:val="clear" w:fill="FFFF00"/>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shd w:val="clear"/>
                <w14:textFill>
                  <w14:solidFill>
                    <w14:schemeClr w14:val="tx1"/>
                  </w14:solidFill>
                </w14:textFill>
              </w:rPr>
              <w:t>主要原辅材料特性</w:t>
            </w:r>
          </w:p>
          <w:p>
            <w:pPr>
              <w:pStyle w:val="42"/>
              <w:keepNext/>
              <w:keepLines/>
              <w:pageBreakBefore w:val="0"/>
              <w:widowControl w:val="0"/>
              <w:kinsoku/>
              <w:wordWrap/>
              <w:overflowPunct/>
              <w:topLinePunct w:val="0"/>
              <w:autoSpaceDE/>
              <w:autoSpaceDN/>
              <w:bidi w:val="0"/>
              <w:adjustRightInd/>
              <w:snapToGrid/>
              <w:spacing w:before="157" w:beforeLines="5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项目主要原辅料理化性质一览表</w:t>
            </w:r>
          </w:p>
          <w:tbl>
            <w:tblPr>
              <w:tblStyle w:val="3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32"/>
              <w:gridCol w:w="1547"/>
              <w:gridCol w:w="2601"/>
              <w:gridCol w:w="1261"/>
              <w:gridCol w:w="2093"/>
              <w:gridCol w:w="12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764"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CAS</w:t>
                  </w:r>
                </w:p>
              </w:tc>
              <w:tc>
                <w:tcPr>
                  <w:tcW w:w="1285"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理化特性</w:t>
                  </w:r>
                </w:p>
              </w:tc>
              <w:tc>
                <w:tcPr>
                  <w:tcW w:w="623"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燃烧爆炸</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性</w:t>
                  </w:r>
                </w:p>
              </w:tc>
              <w:tc>
                <w:tcPr>
                  <w:tcW w:w="1034"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毒性毒理</w:t>
                  </w:r>
                </w:p>
              </w:tc>
              <w:tc>
                <w:tcPr>
                  <w:tcW w:w="633"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VOCs判</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偏硅酸钠</w:t>
                  </w:r>
                </w:p>
              </w:tc>
              <w:tc>
                <w:tcPr>
                  <w:tcW w:w="764"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13517-24-3</w:t>
                  </w:r>
                </w:p>
              </w:tc>
              <w:tc>
                <w:tcPr>
                  <w:tcW w:w="1285"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分子量为284.2。白色结晶状粉末，易溶于水及稀碱液，不溶于醇和酸。熔点72.2℃,相对密度（水=1）：2.61</w:t>
                  </w:r>
                </w:p>
              </w:tc>
              <w:tc>
                <w:tcPr>
                  <w:tcW w:w="623"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1152mg/kg(大鼠</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经口)</w:t>
                  </w:r>
                </w:p>
              </w:tc>
              <w:tc>
                <w:tcPr>
                  <w:tcW w:w="633"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碳酸钠</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497-19-8</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分子量为105.99。白色无气味的粉末或颗粒。密度2.532g/cm³,熔点851℃,沸点1600℃,相对密度（水=1）：2.53g/cm3。溶于水，微溶于无水乙醇，不溶于丙醇，溶于甘油</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LD50：4090 mg/kg</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（大鼠经口）</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2300mg/m3，2小时（大鼠吸入）</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硅烷</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7803-62-5</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分子量为32.118。熔</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点-185.0℃,沸</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点-111.5℃,相对密度</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(气体，空气=1，20℃,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101.325kPa)：1.114</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易燃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LC50：9600mg/kg</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（大鼠吸入）</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酒石酸</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526-83-0</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分子量为150.09。沸点399.3±42.0℃,熔点170-172℃,白色晶体</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LC50：2000 mg/kg（大鼠经口）</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LC50：2000 mg/kg（大鼠经皮）</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LD50：485 mg/kg（小鼠静脉内）</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硝酸钠</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7631-99-4</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分子量为85.01。无色透明或白微带黄色的菱形结晶，味微苦，易潮解。熔点306.8℃,相对密度（水＝1）：</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2.26</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3236mg/kg(大鼠</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经口)</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硝酸镁</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13446-18-9</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无色或白色单斜晶体，熔点89℃,沸点330℃,易溶于水，溶于乙醇和氨水</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5440mg/kg(大鼠</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经口)</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硝酸铝</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7784-27-2</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白色结晶粉末，分子量为375.14。熔点73.5℃</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助燃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264mg/kg(大鼠经</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口)</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氟锆酸</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12021-95-3</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浅绿色液体,分子量：</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207.23，密度1.512g/cm3</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聚酰胺</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63428-83-1</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白色至淡黄色固体，</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分子量为341.489，熔点250℃,沸点611.8℃</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乙酸</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64-19-7</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无色透明液体，有刺激</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性酸臭，分子量60.05。</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熔点16.7℃,沸点</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118.1℃,溶于水、醚、</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甘油，不溶于二硫化碳</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易燃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3530mg/kg(大鼠</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经口)</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1060mg/kg(兔经</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皮)</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环氧树</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脂</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61788-97-4</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黄色或透明固体。沸点大于260℃</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2-丁氧基</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乙醇（乙</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二醇丁</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醚）</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111-76-2</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无色透明液体。分子量：118.174，相对密度：0.902，沸点：</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171℃,闪点：60℃,蒸气压（25℃):</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1.368mmHg</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易燃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LD50：2500 mg/kg</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（大鼠经口）</w:t>
                  </w:r>
                </w:p>
              </w:tc>
              <w:tc>
                <w:tcPr>
                  <w:tcW w:w="63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丙二醇苯醚</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6180-61-6</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分子量为152.190，相</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对密度：1.1，沸点：</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250.2℃</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天然气</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8006-14-2</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无色气体。不溶于水，密度：0.7174kg/m3，</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相对密度（水）：0.45（液化）燃点(℃):</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650，爆炸极限（V%）：</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5-15</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易燃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聚合氯化铝</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1327-41-9</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黄色或灰色固体。熔点：190℃,易溶于水</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聚丙烯酰胺</w:t>
                  </w:r>
                </w:p>
              </w:tc>
              <w:tc>
                <w:tcPr>
                  <w:tcW w:w="76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9003-05-8</w:t>
                  </w:r>
                </w:p>
              </w:tc>
              <w:tc>
                <w:tcPr>
                  <w:tcW w:w="128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常温下为坚硬的玻璃态固体。密度：1.302 g/cm³(23℃)，易溶于水</w:t>
                  </w:r>
                </w:p>
              </w:tc>
              <w:tc>
                <w:tcPr>
                  <w:tcW w:w="623"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不燃</w:t>
                  </w:r>
                </w:p>
              </w:tc>
              <w:tc>
                <w:tcPr>
                  <w:tcW w:w="1034"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否</w:t>
                  </w:r>
                </w:p>
              </w:tc>
            </w:tr>
          </w:tbl>
          <w:p>
            <w:pPr>
              <w:rPr>
                <w:rFonts w:hint="eastAsia"/>
              </w:rPr>
            </w:pPr>
          </w:p>
          <w:p>
            <w:pPr>
              <w:pStyle w:val="113"/>
              <w:spacing w:before="4" w:line="359" w:lineRule="exact"/>
              <w:ind w:left="601"/>
              <w:outlineLvl w:val="1"/>
              <w:rPr>
                <w:sz w:val="24"/>
                <w:szCs w:val="24"/>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spacing w:val="3"/>
                <w:position w:val="2"/>
                <w:sz w:val="24"/>
                <w:szCs w:val="24"/>
              </w:rPr>
              <w:t>原辅材料中</w:t>
            </w:r>
            <w:r>
              <w:rPr>
                <w:rFonts w:ascii="Times New Roman" w:hAnsi="Times New Roman" w:eastAsia="Times New Roman" w:cs="Times New Roman"/>
                <w:position w:val="2"/>
                <w:sz w:val="24"/>
                <w:szCs w:val="24"/>
              </w:rPr>
              <w:t>VOCs</w:t>
            </w:r>
            <w:r>
              <w:rPr>
                <w:spacing w:val="3"/>
                <w:position w:val="2"/>
                <w:sz w:val="24"/>
                <w:szCs w:val="24"/>
              </w:rPr>
              <w:t>含量分析</w:t>
            </w:r>
          </w:p>
          <w:p>
            <w:pPr>
              <w:pStyle w:val="113"/>
              <w:spacing w:before="143" w:line="218" w:lineRule="auto"/>
              <w:ind w:left="588"/>
              <w:rPr>
                <w:sz w:val="24"/>
                <w:szCs w:val="24"/>
              </w:rPr>
            </w:pPr>
            <w:r>
              <w:rPr>
                <w:spacing w:val="-2"/>
                <w:sz w:val="24"/>
                <w:szCs w:val="24"/>
              </w:rPr>
              <w:t>①低</w:t>
            </w:r>
            <w:r>
              <w:rPr>
                <w:rFonts w:ascii="Times New Roman" w:hAnsi="Times New Roman" w:eastAsia="Times New Roman" w:cs="Times New Roman"/>
                <w:spacing w:val="-2"/>
                <w:sz w:val="24"/>
                <w:szCs w:val="24"/>
              </w:rPr>
              <w:t>VOC</w:t>
            </w:r>
            <w:r>
              <w:rPr>
                <w:spacing w:val="-2"/>
                <w:sz w:val="24"/>
                <w:szCs w:val="24"/>
              </w:rPr>
              <w:t>含量涂料分析</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项目使用的涂料中VOCs含量判定</w:t>
            </w:r>
          </w:p>
          <w:p>
            <w:pPr>
              <w:spacing w:line="146" w:lineRule="exact"/>
            </w:pPr>
          </w:p>
          <w:tbl>
            <w:tblPr>
              <w:tblStyle w:val="8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643"/>
              <w:gridCol w:w="1532"/>
              <w:gridCol w:w="1997"/>
              <w:gridCol w:w="2094"/>
              <w:gridCol w:w="983"/>
              <w:gridCol w:w="28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318"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757"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含VOCs物料</w:t>
                  </w:r>
                </w:p>
              </w:tc>
              <w:tc>
                <w:tcPr>
                  <w:tcW w:w="987"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本项目生产状态</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下电泳涂料中</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VOCs含量</w:t>
                  </w:r>
                </w:p>
              </w:tc>
              <w:tc>
                <w:tcPr>
                  <w:tcW w:w="1035"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涂料中VOCs含量限值</w:t>
                  </w:r>
                </w:p>
              </w:tc>
              <w:tc>
                <w:tcPr>
                  <w:tcW w:w="486"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符合性分析</w:t>
                  </w:r>
                </w:p>
              </w:tc>
              <w:tc>
                <w:tcPr>
                  <w:tcW w:w="1414"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318"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57"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电泳涂料</w:t>
                  </w:r>
                </w:p>
              </w:tc>
              <w:tc>
                <w:tcPr>
                  <w:tcW w:w="987"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65.85g/L</w:t>
                  </w:r>
                </w:p>
              </w:tc>
              <w:tc>
                <w:tcPr>
                  <w:tcW w:w="1035"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≤200g/L</w:t>
                  </w:r>
                </w:p>
              </w:tc>
              <w:tc>
                <w:tcPr>
                  <w:tcW w:w="486"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c>
                <w:tcPr>
                  <w:tcW w:w="1414"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《低挥发性有机化合物含量涂料产品技术要求》GB/T38597-2020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5000" w:type="pct"/>
                  <w:gridSpan w:val="6"/>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注：根据《低挥发性有机化合物含量涂料产品技术要求》（GB/T 38597-2020），低挥发性有机化合物含量涂料产品是指施工状态下涂料产品中存在的挥发性有机化合物的质量符合本标准相应产品的挥发性有机化合物含量限量要求的涂料产品；水性涂料不考虑水的稀释比例。因此，本项目使用的电泳涂料（属水性涂料）在进行低VOC含量涂料判定时，取施工状态下（即生产状态下），电泳涂料组分加入电泳槽后槽液中VOCs的含量（需扣除水分）。</w:t>
                  </w:r>
                </w:p>
              </w:tc>
            </w:tr>
          </w:tbl>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项目使用的电泳涂料中的挥发分占比满足《低挥发性有机化合物含量涂料产品技术要求》（GB/T 38597-2020）中的限值要求，本项目使用的电泳涂料属于低VOC含量涂料。</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②涂料中有害物质限值分析</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a.与GB 24409-2020符合性分析</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本项目使用的电泳涂料中的VOC有害物质限值与《车辆涂料中有害物质限量》（GB24409-2020）中的限值要求符合性分析见下表。</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项目使用的电泳涂料与GB 24409-2020符合性分析</w:t>
            </w:r>
          </w:p>
          <w:tbl>
            <w:tblPr>
              <w:tblStyle w:val="3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85"/>
              <w:gridCol w:w="2925"/>
              <w:gridCol w:w="1901"/>
              <w:gridCol w:w="1794"/>
              <w:gridCol w:w="17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种类</w:t>
                  </w:r>
                </w:p>
              </w:tc>
              <w:tc>
                <w:tcPr>
                  <w:tcW w:w="1445"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成分</w:t>
                  </w:r>
                </w:p>
              </w:tc>
              <w:tc>
                <w:tcPr>
                  <w:tcW w:w="939"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本项目含量</w:t>
                  </w:r>
                </w:p>
              </w:tc>
              <w:tc>
                <w:tcPr>
                  <w:tcW w:w="886" w:type="pct"/>
                  <w:tcBorders>
                    <w:bottom w:val="single" w:color="000000" w:sz="12" w:space="0"/>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限量值</w:t>
                  </w:r>
                </w:p>
              </w:tc>
              <w:tc>
                <w:tcPr>
                  <w:tcW w:w="846"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restar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电泳涂料</w:t>
                  </w:r>
                </w:p>
              </w:tc>
              <w:tc>
                <w:tcPr>
                  <w:tcW w:w="1445"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电泳底漆中VOC含量/(g/L)</w:t>
                  </w:r>
                </w:p>
              </w:tc>
              <w:tc>
                <w:tcPr>
                  <w:tcW w:w="939"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65.85</w:t>
                  </w:r>
                </w:p>
              </w:tc>
              <w:tc>
                <w:tcPr>
                  <w:tcW w:w="886" w:type="pct"/>
                  <w:tcBorders>
                    <w:top w:val="single" w:color="000000" w:sz="12" w:space="0"/>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846"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spacing w:val="3"/>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苯含量%</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4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甲苯、二甲苯（含乙苯）总和含量%</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4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苯系物总和含量%（限苯、甲苯、二甲苯（含乙苯））</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spacing w:val="3"/>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卤代烃总和含量%（限二氯甲烷、三氯甲烷、四氯</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化碳、1,1-二氯乙烷、1,2-二氯乙烷、1,1,1-三氯乙</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烷、1,1,2-三氯乙烷、1,2-二氯丙烷、1,2,3-三氯丙烷、</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三氯乙烯、四氯乙烯）</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4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乙二醇醚及醚酯总和含量/(mg/kg)</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（限乙二醇甲醚、乙二醇甲醚醋酸酯、乙二醇乙醚、</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乙二醇乙醚醋酸酯、乙二醇二甲醚、乙二醇二乙醚、</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二乙二醇二甲醚、三乙二醇二甲醚）</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84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spacing w:val="3"/>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vMerge w:val="restar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重金属含量</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铅含量</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4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镉含量</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4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六价铬含量</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4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45"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39"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汞含量</w:t>
                  </w:r>
                </w:p>
              </w:tc>
              <w:tc>
                <w:tcPr>
                  <w:tcW w:w="88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46" w:type="pct"/>
                  <w:tcBorders>
                    <w:tl2br w:val="nil"/>
                    <w:tr2bl w:val="nil"/>
                  </w:tcBorders>
                  <w:shd w:val="clear" w:color="auto" w:fill="auto"/>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p>
              </w:tc>
            </w:tr>
          </w:tbl>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hint="eastAsia" w:ascii="Times New Roman" w:hAnsi="Times New Roman" w:eastAsia="宋体" w:cs="宋体"/>
                <w:color w:val="000000" w:themeColor="text1"/>
                <w:kern w:val="0"/>
                <w:sz w:val="24"/>
                <w:szCs w:val="20"/>
                <w:lang w:val="zh-CN" w:eastAsia="zh-CN" w:bidi="ar-SA"/>
                <w14:textFill>
                  <w14:solidFill>
                    <w14:schemeClr w14:val="tx1"/>
                  </w14:solidFill>
                </w14:textFill>
              </w:rPr>
              <w:t>根据上表，本项目使用的电泳涂料中VOC有害物质限值能够满足《车辆涂料中有害物质限量》（GB24409-2020）中的限值要求。</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b.与HJ2537-2014符合性分析</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000000" w:themeColor="text1"/>
                <w:kern w:val="0"/>
                <w:sz w:val="24"/>
                <w:szCs w:val="20"/>
                <w:lang w:val="zh-CN" w:eastAsia="zh-CN" w:bidi="ar-SA"/>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本项目使用的电泳涂料中的VOC有害物质限值与《环境标志产品技术要求水性涂料》（HJ2537-2014）中的限值要求符合性分析见下表。</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项目使用的电泳涂料与HJ2537-2014符合性分析</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01"/>
              <w:gridCol w:w="5235"/>
              <w:gridCol w:w="970"/>
              <w:gridCol w:w="1053"/>
              <w:gridCol w:w="10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89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种类</w:t>
                  </w: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成分</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本项目含量</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限量值</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90" w:type="pct"/>
                  <w:vMerge w:val="restar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电泳涂料</w:t>
                  </w: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挥发性有机化合物(VOC)</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65.85</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≤75g/L</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游离甲醛，mg/kg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乙二醇醚及其酯类的总量（乙二醇甲醚、乙</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二醇甲醚醋酸酯、乙二醇乙醚、乙二醇乙醚</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醋酸酯、二乙二醇丁醚醋酸酯），mg/kg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苯、甲苯、二甲苯、乙苯的总量，mg/kg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卤代烃（以二氯甲烷计），mg/kg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可溶性铅，mg/kg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可溶性镉，mg/kg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可溶性铬，mg/kg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90"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586"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可溶性汞，mg/kg</w:t>
                  </w:r>
                </w:p>
              </w:tc>
              <w:tc>
                <w:tcPr>
                  <w:tcW w:w="47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2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522"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pPr>
              <w:pStyle w:val="113"/>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sz w:val="24"/>
                <w:szCs w:val="24"/>
              </w:rPr>
            </w:pPr>
            <w:r>
              <w:rPr>
                <w:sz w:val="24"/>
                <w:szCs w:val="24"/>
              </w:rPr>
              <w:t>根据上表，本项目使用的电泳涂料中有害物质限值能够满足《环境标志产品技术要求水性涂料》（</w:t>
            </w:r>
            <w:r>
              <w:rPr>
                <w:rFonts w:ascii="Times New Roman" w:hAnsi="Times New Roman" w:eastAsia="Times New Roman" w:cs="Times New Roman"/>
                <w:sz w:val="24"/>
                <w:szCs w:val="24"/>
              </w:rPr>
              <w:t>HJ2537-</w:t>
            </w:r>
            <w:r>
              <w:rPr>
                <w:rFonts w:ascii="Times New Roman" w:hAnsi="Times New Roman" w:eastAsia="Times New Roman" w:cs="Times New Roman"/>
                <w:spacing w:val="-1"/>
                <w:sz w:val="24"/>
                <w:szCs w:val="24"/>
              </w:rPr>
              <w:t>2014</w:t>
            </w:r>
            <w:r>
              <w:rPr>
                <w:spacing w:val="-1"/>
                <w:sz w:val="24"/>
                <w:szCs w:val="24"/>
              </w:rPr>
              <w:t>）中的限值要求。</w:t>
            </w:r>
          </w:p>
          <w:p>
            <w:pPr>
              <w:pStyle w:val="44"/>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）主要能耗</w:t>
            </w:r>
          </w:p>
          <w:p>
            <w:pPr>
              <w:pStyle w:val="44"/>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项目主要能源消耗情况见下表。</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shd w:val="clear"/>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项目主</w:t>
            </w:r>
            <w:r>
              <w:rPr>
                <w:rFonts w:hint="eastAsia" w:ascii="Times New Roman" w:hAnsi="Times New Roman" w:eastAsia="宋体"/>
                <w:color w:val="000000" w:themeColor="text1"/>
                <w:highlight w:val="none"/>
                <w:shd w:val="clear"/>
                <w14:textFill>
                  <w14:solidFill>
                    <w14:schemeClr w14:val="tx1"/>
                  </w14:solidFill>
                </w14:textFill>
              </w:rPr>
              <w:t>要能耗一览表</w:t>
            </w:r>
          </w:p>
          <w:tbl>
            <w:tblPr>
              <w:tblStyle w:val="3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55"/>
              <w:gridCol w:w="2388"/>
              <w:gridCol w:w="2672"/>
              <w:gridCol w:w="33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867" w:type="pct"/>
                  <w:vMerge w:val="restart"/>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序号</w:t>
                  </w:r>
                </w:p>
              </w:tc>
              <w:tc>
                <w:tcPr>
                  <w:tcW w:w="1180" w:type="pct"/>
                  <w:vMerge w:val="restart"/>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名称</w:t>
                  </w:r>
                </w:p>
              </w:tc>
              <w:tc>
                <w:tcPr>
                  <w:tcW w:w="1320" w:type="pct"/>
                  <w:vMerge w:val="restart"/>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单位</w:t>
                  </w:r>
                </w:p>
              </w:tc>
              <w:tc>
                <w:tcPr>
                  <w:tcW w:w="1632" w:type="pct"/>
                  <w:vMerge w:val="restart"/>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年用量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867" w:type="pct"/>
                  <w:vMerge w:val="continue"/>
                  <w:tcBorders>
                    <w:top w:val="single" w:color="000000" w:sz="12" w:space="0"/>
                    <w:bottom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1180" w:type="pct"/>
                  <w:vMerge w:val="continue"/>
                  <w:tcBorders>
                    <w:top w:val="single" w:color="000000" w:sz="12" w:space="0"/>
                    <w:bottom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1320" w:type="pct"/>
                  <w:vMerge w:val="continue"/>
                  <w:tcBorders>
                    <w:top w:val="single" w:color="000000" w:sz="12" w:space="0"/>
                    <w:bottom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c>
                <w:tcPr>
                  <w:tcW w:w="1632" w:type="pct"/>
                  <w:vMerge w:val="continue"/>
                  <w:tcBorders>
                    <w:top w:val="single" w:color="000000" w:sz="12" w:space="0"/>
                    <w:bottom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op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p>
              </w:tc>
              <w:tc>
                <w:tcPr>
                  <w:tcW w:w="1180" w:type="pct"/>
                  <w:tcBorders>
                    <w:top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shd w:val="clear"/>
                      <w14:textFill>
                        <w14:solidFill>
                          <w14:schemeClr w14:val="tx1"/>
                        </w14:solidFill>
                      </w14:textFill>
                    </w:rPr>
                    <w:t>新鲜水</w:t>
                  </w:r>
                </w:p>
              </w:tc>
              <w:tc>
                <w:tcPr>
                  <w:tcW w:w="1320" w:type="pct"/>
                  <w:tcBorders>
                    <w:top w:val="single" w:color="000000" w:sz="12" w:space="0"/>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t/a</w:t>
                  </w:r>
                </w:p>
              </w:tc>
              <w:tc>
                <w:tcPr>
                  <w:tcW w:w="1632" w:type="pct"/>
                  <w:tcBorders>
                    <w:top w:val="single" w:color="000000" w:sz="12" w:space="0"/>
                    <w:tl2br w:val="nil"/>
                    <w:tr2bl w:val="nil"/>
                  </w:tcBorders>
                  <w:shd w:val="clear" w:color="auto" w:fill="auto"/>
                  <w:vAlign w:val="center"/>
                </w:tcPr>
                <w:p>
                  <w:pPr>
                    <w:widowControl/>
                    <w:spacing w:line="240" w:lineRule="auto"/>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1018.5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1180"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电</w:t>
                  </w:r>
                </w:p>
              </w:tc>
              <w:tc>
                <w:tcPr>
                  <w:tcW w:w="1320"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万kwh/a</w:t>
                  </w:r>
                </w:p>
              </w:tc>
              <w:tc>
                <w:tcPr>
                  <w:tcW w:w="1632" w:type="pct"/>
                  <w:tcBorders>
                    <w:tl2br w:val="nil"/>
                    <w:tr2bl w:val="nil"/>
                  </w:tcBorders>
                  <w:shd w:val="clear" w:color="auto" w:fill="auto"/>
                  <w:vAlign w:val="center"/>
                </w:tcPr>
                <w:p>
                  <w:pPr>
                    <w:widowControl/>
                    <w:spacing w:line="240" w:lineRule="auto"/>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auto"/>
                      <w:spacing w:val="2"/>
                      <w:sz w:val="21"/>
                      <w:szCs w:val="21"/>
                      <w:highlight w:val="none"/>
                      <w:lang w:val="en-US" w:eastAsia="zh-CN"/>
                    </w:rPr>
                    <w:t>2</w:t>
                  </w:r>
                  <w:r>
                    <w:rPr>
                      <w:rFonts w:hint="eastAsia" w:cs="Times New Roman"/>
                      <w:color w:val="auto"/>
                      <w:spacing w:val="2"/>
                      <w:sz w:val="21"/>
                      <w:szCs w:val="21"/>
                      <w:highlight w:val="none"/>
                      <w:lang w:val="en-US" w:eastAsia="zh-CN"/>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180"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天然气</w:t>
                  </w:r>
                </w:p>
              </w:tc>
              <w:tc>
                <w:tcPr>
                  <w:tcW w:w="1320" w:type="pct"/>
                  <w:tcBorders>
                    <w:tl2br w:val="nil"/>
                    <w:tr2bl w:val="nil"/>
                  </w:tcBorders>
                  <w:shd w:val="clear" w:color="auto" w:fill="auto"/>
                  <w:vAlign w:val="center"/>
                </w:tcPr>
                <w:p>
                  <w:pPr>
                    <w:pStyle w:val="30"/>
                    <w:widowControl w:val="0"/>
                    <w:spacing w:before="0" w:beforeAutospacing="0" w:after="0" w:afterAutospacing="0" w:line="240" w:lineRule="auto"/>
                    <w:jc w:val="center"/>
                    <w:rPr>
                      <w:rFonts w:hint="default" w:ascii="Times New Roman" w:hAnsi="Times New Roman" w:eastAsia="宋体"/>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万m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vertAlign w:val="baseline"/>
                      <w:lang w:val="en-US" w:eastAsia="zh-CN"/>
                      <w14:textFill>
                        <w14:solidFill>
                          <w14:schemeClr w14:val="tx1"/>
                        </w14:solidFill>
                      </w14:textFill>
                    </w:rPr>
                    <w:t>/a</w:t>
                  </w:r>
                </w:p>
              </w:tc>
              <w:tc>
                <w:tcPr>
                  <w:tcW w:w="163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1</w:t>
                  </w:r>
                </w:p>
              </w:tc>
            </w:tr>
          </w:tbl>
          <w:p>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水平衡及物料平衡</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水平衡</w:t>
            </w:r>
          </w:p>
          <w:p>
            <w:pPr>
              <w:pStyle w:val="44"/>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color w:val="000000" w:themeColor="text1"/>
                <w:highlight w:val="none"/>
                <w14:textFill>
                  <w14:solidFill>
                    <w14:schemeClr w14:val="tx1"/>
                  </w14:solidFill>
                </w14:textFill>
              </w:rPr>
            </w:pPr>
            <w:r>
              <w:rPr>
                <w:rFonts w:ascii="Times New Roman" w:hAnsi="Times New Roman" w:eastAsia="宋体" w:cs="宋体"/>
                <w:color w:val="000000" w:themeColor="text1"/>
                <w:kern w:val="0"/>
                <w:sz w:val="24"/>
                <w:szCs w:val="20"/>
                <w:lang w:val="zh-CN" w:eastAsia="zh-CN" w:bidi="ar-SA"/>
                <w14:textFill>
                  <w14:solidFill>
                    <w14:schemeClr w14:val="tx1"/>
                  </w14:solidFill>
                </w14:textFill>
              </w:rPr>
              <w:t>（1）</w:t>
            </w:r>
            <w:r>
              <w:rPr>
                <w:rFonts w:hint="eastAsia"/>
                <w:color w:val="000000" w:themeColor="text1"/>
                <w:highlight w:val="none"/>
                <w14:textFill>
                  <w14:solidFill>
                    <w14:schemeClr w14:val="tx1"/>
                  </w14:solidFill>
                </w14:textFill>
              </w:rPr>
              <w:t>生产用水</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生产用水</w:t>
            </w:r>
            <w:r>
              <w:rPr>
                <w:rFonts w:hint="eastAsia"/>
                <w:color w:val="000000" w:themeColor="text1"/>
                <w:highlight w:val="none"/>
                <w:lang w:val="en-US" w:eastAsia="zh-CN"/>
                <w14:textFill>
                  <w14:solidFill>
                    <w14:schemeClr w14:val="tx1"/>
                  </w14:solidFill>
                </w14:textFill>
              </w:rPr>
              <w:t>主要</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纯</w:t>
            </w:r>
            <w:r>
              <w:rPr>
                <w:rFonts w:hint="eastAsia"/>
                <w:color w:val="000000" w:themeColor="text1"/>
                <w:highlight w:val="none"/>
                <w14:textFill>
                  <w14:solidFill>
                    <w14:schemeClr w14:val="tx1"/>
                  </w14:solidFill>
                </w14:textFill>
              </w:rPr>
              <w:t>水洗废水、脱脂废水、脱脂后水洗废水、硅烷后水洗废水、纯水制备尾水。</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①脱脂废水W</w:t>
            </w:r>
            <w:r>
              <w:rPr>
                <w:rFonts w:hint="eastAsia"/>
                <w:color w:val="000000" w:themeColor="text1"/>
                <w:highlight w:val="none"/>
                <w:lang w:val="en-US" w:eastAsia="zh-CN"/>
                <w14:textFill>
                  <w14:solidFill>
                    <w14:schemeClr w14:val="tx1"/>
                  </w14:solidFill>
                </w14:textFill>
              </w:rPr>
              <w:t>1</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项目脱脂槽液循环使用，定期更换（约6个月更换一次（33.9m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/次）），产生脱脂废水W</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，产生量为57m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/a。主要污染物为pH、CODcr、BOD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、SS、石油类、LAS。</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②脱脂后水洗废水W</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3</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项目脱脂后需要进行水洗，包括2道水洗，每个水洗槽每周需要排水一次（2m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/次）。经核算，脱脂后水洗废水产生量为171m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/a。主要污染物为pH、CODcr、BOD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、SS、石油类、LAS。</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③硅烷后水洗废水W</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w:t>
            </w:r>
            <w:r>
              <w:rPr>
                <w:rFonts w:hint="eastAsia"/>
                <w:color w:val="000000" w:themeColor="text1"/>
                <w:highlight w:val="none"/>
                <w:lang w:val="en-US" w:eastAsia="zh-CN"/>
                <w14:textFill>
                  <w14:solidFill>
                    <w14:schemeClr w14:val="tx1"/>
                  </w14:solidFill>
                </w14:textFill>
              </w:rPr>
              <w:t>5</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项目硅烷后需要进行水洗，包括1道水洗，1道纯水洗，每个水洗槽每周需要排水一次（2m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/次）。经核算，硅烷后水洗废水产生量为171m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/a。主要污染物为pH、CODcr、BOD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-N、SS、TN、氟化物、总锰。</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纯水洗2</w:t>
            </w:r>
            <w:r>
              <w:rPr>
                <w:rFonts w:hint="eastAsia"/>
                <w:color w:val="000000" w:themeColor="text1"/>
                <w:highlight w:val="none"/>
                <w14:textFill>
                  <w14:solidFill>
                    <w14:schemeClr w14:val="tx1"/>
                  </w14:solidFill>
                </w14:textFill>
              </w:rPr>
              <w:t>废水W</w:t>
            </w:r>
            <w:r>
              <w:rPr>
                <w:rFonts w:hint="eastAsia"/>
                <w:color w:val="000000" w:themeColor="text1"/>
                <w:highlight w:val="none"/>
                <w:lang w:val="en-US" w:eastAsia="zh-CN"/>
                <w14:textFill>
                  <w14:solidFill>
                    <w14:schemeClr w14:val="tx1"/>
                  </w14:solidFill>
                </w14:textFill>
              </w:rPr>
              <w:t>6</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项目水洗槽清洗水循环使用，定期更换（约1周更换一次（2.565m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/次）），产生</w:t>
            </w:r>
            <w:r>
              <w:rPr>
                <w:rFonts w:hint="eastAsia"/>
                <w:color w:val="000000" w:themeColor="text1"/>
                <w:highlight w:val="none"/>
                <w:lang w:val="en-US" w:eastAsia="zh-CN"/>
                <w14:textFill>
                  <w14:solidFill>
                    <w14:schemeClr w14:val="tx1"/>
                  </w14:solidFill>
                </w14:textFill>
              </w:rPr>
              <w:t>纯</w:t>
            </w:r>
            <w:r>
              <w:rPr>
                <w:rFonts w:hint="eastAsia"/>
                <w:color w:val="000000" w:themeColor="text1"/>
                <w:highlight w:val="none"/>
                <w14:textFill>
                  <w14:solidFill>
                    <w14:schemeClr w14:val="tx1"/>
                  </w14:solidFill>
                </w14:textFill>
              </w:rPr>
              <w:t xml:space="preserve">水洗废水W </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，产生量为111m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/a。主要污染物为pH、CODcr、BOD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、SS、石油类。</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⑤纯水制备尾水W7</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本项目纯水制备过程会有纯水制备尾水产生。根据项目设计方案，项目纯水用量为30m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/a，纯水制备率约40%，则纯水制备尾水的产生量为18m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/a，主要污染物为pH、CODcr、SS。纯水制备尾水回用于硅烷后水洗3工序。</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生活用水</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职工生活用水由工业园区市政给水管网直接供给，</w:t>
            </w: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建筑给水排水设计标准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GB50015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2019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不住厂职工生活用水量按照50L/d</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人计，</w:t>
            </w:r>
            <w:r>
              <w:rPr>
                <w:color w:val="000000" w:themeColor="text1"/>
                <w:highlight w:val="none"/>
                <w14:textFill>
                  <w14:solidFill>
                    <w14:schemeClr w14:val="tx1"/>
                  </w14:solidFill>
                </w14:textFill>
              </w:rPr>
              <w:t>年工作3</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0天</w:t>
            </w:r>
            <w:r>
              <w:rPr>
                <w:rFonts w:hint="eastAsia"/>
                <w:color w:val="000000" w:themeColor="text1"/>
                <w:highlight w:val="none"/>
                <w14:textFill>
                  <w14:solidFill>
                    <w14:schemeClr w14:val="tx1"/>
                  </w14:solidFill>
                </w14:textFill>
              </w:rPr>
              <w:t>，本项目职工定员</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人（均不住厂），则生活用水量为</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t/d（</w:t>
            </w:r>
            <w:r>
              <w:rPr>
                <w:rFonts w:hint="eastAsia"/>
                <w:color w:val="000000" w:themeColor="text1"/>
                <w:highlight w:val="none"/>
                <w:lang w:val="en-US" w:eastAsia="zh-CN"/>
                <w14:textFill>
                  <w14:solidFill>
                    <w14:schemeClr w14:val="tx1"/>
                  </w14:solidFill>
                </w14:textFill>
              </w:rPr>
              <w:t>450</w:t>
            </w:r>
            <w:r>
              <w:rPr>
                <w:rFonts w:hint="eastAsia"/>
                <w:color w:val="000000" w:themeColor="text1"/>
                <w:highlight w:val="none"/>
                <w14:textFill>
                  <w14:solidFill>
                    <w14:schemeClr w14:val="tx1"/>
                  </w14:solidFill>
                </w14:textFill>
              </w:rPr>
              <w:t>t/a），产污系数按0.8计，则生活污水产生量约为</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t/d（</w:t>
            </w:r>
            <w:r>
              <w:rPr>
                <w:rFonts w:hint="eastAsia"/>
                <w:color w:val="000000" w:themeColor="text1"/>
                <w:highlight w:val="none"/>
                <w:lang w:val="en-US" w:eastAsia="zh-CN"/>
                <w14:textFill>
                  <w14:solidFill>
                    <w14:schemeClr w14:val="tx1"/>
                  </w14:solidFill>
                </w14:textFill>
              </w:rPr>
              <w:t>360</w:t>
            </w:r>
            <w:r>
              <w:rPr>
                <w:rFonts w:hint="eastAsia"/>
                <w:color w:val="000000" w:themeColor="text1"/>
                <w:highlight w:val="none"/>
                <w14:textFill>
                  <w14:solidFill>
                    <w14:schemeClr w14:val="tx1"/>
                  </w14:solidFill>
                </w14:textFill>
              </w:rPr>
              <w:t>t/a）。</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（3）项目排水</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color w:val="000000" w:themeColor="text1"/>
                <w:highlight w:val="none"/>
                <w14:textFill>
                  <w14:solidFill>
                    <w14:schemeClr w14:val="tx1"/>
                  </w14:solidFill>
                </w14:textFill>
              </w:rPr>
              <w:t>本项目所在厂区雨污分流，已建立完善的雨、污水管道。厂区雨水经雨水管道纳入市政雨水管网。本项目水洗废水、脱脂废水、脱脂后水洗废水、硅烷后水洗废水经收集后进入废水处理设施净化处理后，出水进入厂区污水管道，再纳入</w:t>
            </w:r>
            <w:r>
              <w:rPr>
                <w:rFonts w:hint="eastAsia"/>
                <w:color w:val="000000" w:themeColor="text1"/>
                <w:highlight w:val="none"/>
                <w:lang w:val="en-US" w:eastAsia="zh-CN"/>
                <w14:textFill>
                  <w14:solidFill>
                    <w14:schemeClr w14:val="tx1"/>
                  </w14:solidFill>
                </w14:textFill>
              </w:rPr>
              <w:t>厂</w:t>
            </w:r>
            <w:r>
              <w:rPr>
                <w:color w:val="000000" w:themeColor="text1"/>
                <w:highlight w:val="none"/>
                <w14:textFill>
                  <w14:solidFill>
                    <w14:schemeClr w14:val="tx1"/>
                  </w14:solidFill>
                </w14:textFill>
              </w:rPr>
              <w:t>区污水管网；生活污水单独进入厂区污水管道，再纳入</w:t>
            </w:r>
            <w:r>
              <w:rPr>
                <w:rFonts w:hint="eastAsia"/>
                <w:color w:val="000000" w:themeColor="text1"/>
                <w:highlight w:val="none"/>
                <w:lang w:val="en-US" w:eastAsia="zh-CN"/>
                <w14:textFill>
                  <w14:solidFill>
                    <w14:schemeClr w14:val="tx1"/>
                  </w14:solidFill>
                </w14:textFill>
              </w:rPr>
              <w:t>厂</w:t>
            </w:r>
            <w:r>
              <w:rPr>
                <w:color w:val="000000" w:themeColor="text1"/>
                <w:highlight w:val="none"/>
                <w14:textFill>
                  <w14:solidFill>
                    <w14:schemeClr w14:val="tx1"/>
                  </w14:solidFill>
                </w14:textFill>
              </w:rPr>
              <w:t>区污水管网；项目废水最终全部纳入</w:t>
            </w:r>
            <w:r>
              <w:rPr>
                <w:rFonts w:hint="eastAsia"/>
                <w:color w:val="000000" w:themeColor="text1"/>
                <w:highlight w:val="none"/>
                <w:lang w:eastAsia="zh-CN"/>
                <w14:textFill>
                  <w14:solidFill>
                    <w14:schemeClr w14:val="tx1"/>
                  </w14:solidFill>
                </w14:textFill>
              </w:rPr>
              <w:t>福清市第二污水处理厂</w:t>
            </w:r>
            <w:r>
              <w:rPr>
                <w:color w:val="000000" w:themeColor="text1"/>
                <w:highlight w:val="none"/>
                <w14:textFill>
                  <w14:solidFill>
                    <w14:schemeClr w14:val="tx1"/>
                  </w14:solidFill>
                </w14:textFill>
              </w:rPr>
              <w:t>集中处理。</w:t>
            </w:r>
            <w:r>
              <w:rPr>
                <w:spacing w:val="-2"/>
                <w:sz w:val="24"/>
                <w:szCs w:val="24"/>
              </w:rPr>
              <w:t>项目排水情况见下表</w:t>
            </w:r>
            <w:r>
              <w:rPr>
                <w:rFonts w:hint="eastAsia"/>
                <w:spacing w:val="-2"/>
                <w:sz w:val="24"/>
                <w:szCs w:val="24"/>
                <w:lang w:val="en-US" w:eastAsia="zh-CN"/>
              </w:rPr>
              <w:t>2.6-1</w:t>
            </w:r>
            <w:r>
              <w:rPr>
                <w:spacing w:val="-2"/>
                <w:sz w:val="24"/>
                <w:szCs w:val="24"/>
              </w:rPr>
              <w:t>。</w:t>
            </w:r>
            <w:r>
              <w:rPr>
                <w:rFonts w:hint="eastAsia"/>
                <w:color w:val="000000" w:themeColor="text1"/>
                <w:highlight w:val="none"/>
                <w14:textFill>
                  <w14:solidFill>
                    <w14:schemeClr w14:val="tx1"/>
                  </w14:solidFill>
                </w14:textFill>
              </w:rPr>
              <w:t>具体情况见</w:t>
            </w:r>
            <w:r>
              <w:rPr>
                <w:color w:val="auto"/>
                <w:highlight w:val="none"/>
              </w:rPr>
              <w:t>平衡图见</w:t>
            </w:r>
            <w:r>
              <w:rPr>
                <w:rFonts w:hint="eastAsia"/>
                <w:color w:val="auto"/>
                <w:highlight w:val="none"/>
              </w:rPr>
              <w:fldChar w:fldCharType="begin"/>
            </w:r>
            <w:r>
              <w:rPr>
                <w:rFonts w:hint="eastAsia"/>
                <w:color w:val="auto"/>
                <w:highlight w:val="none"/>
              </w:rPr>
              <w:instrText xml:space="preserve"> REF _Ref27012 \n \h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REF _Ref22741 \n \h </w:instrText>
            </w:r>
            <w:r>
              <w:rPr>
                <w:rFonts w:hint="eastAsia"/>
                <w:color w:val="auto"/>
                <w:highlight w:val="none"/>
              </w:rPr>
              <w:fldChar w:fldCharType="separate"/>
            </w:r>
            <w:r>
              <w:rPr>
                <w:rFonts w:hint="eastAsia"/>
                <w:color w:val="auto"/>
                <w:highlight w:val="none"/>
              </w:rPr>
              <w:t>图</w:t>
            </w:r>
            <w:r>
              <w:rPr>
                <w:rFonts w:hint="eastAsia"/>
                <w:color w:val="auto"/>
                <w:highlight w:val="none"/>
                <w:lang w:val="en-US" w:eastAsia="zh-CN"/>
              </w:rPr>
              <w:t>2.6-</w:t>
            </w:r>
            <w:r>
              <w:rPr>
                <w:rFonts w:hint="eastAsia"/>
                <w:color w:val="auto"/>
                <w:highlight w:val="none"/>
              </w:rPr>
              <w:t>1</w:t>
            </w:r>
            <w:r>
              <w:rPr>
                <w:rFonts w:hint="eastAsia"/>
                <w:color w:val="auto"/>
                <w:highlight w:val="none"/>
              </w:rPr>
              <w:fldChar w:fldCharType="end"/>
            </w:r>
            <w:r>
              <w:rPr>
                <w:color w:val="auto"/>
                <w:highlight w:val="none"/>
              </w:rPr>
              <w:t>。</w:t>
            </w:r>
            <w:r>
              <w:rPr>
                <w:rFonts w:hint="eastAsia"/>
                <w:color w:val="auto"/>
                <w:highlight w:val="none"/>
              </w:rPr>
              <w:fldChar w:fldCharType="end"/>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项目用水、排水情况表</w:t>
            </w:r>
          </w:p>
          <w:tbl>
            <w:tblPr>
              <w:tblStyle w:val="8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33"/>
              <w:gridCol w:w="1319"/>
              <w:gridCol w:w="1325"/>
              <w:gridCol w:w="1512"/>
              <w:gridCol w:w="1321"/>
              <w:gridCol w:w="1323"/>
              <w:gridCol w:w="13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55" w:type="pct"/>
                  <w:vMerge w:val="restart"/>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6"/>
                      <w:sz w:val="21"/>
                    </w:rPr>
                    <w:t>用水单元</w:t>
                  </w:r>
                </w:p>
              </w:tc>
              <w:tc>
                <w:tcPr>
                  <w:tcW w:w="2054" w:type="pct"/>
                  <w:gridSpan w:val="3"/>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4"/>
                      <w:sz w:val="21"/>
                    </w:rPr>
                    <w:t>用水量（</w:t>
                  </w:r>
                  <w:r>
                    <w:rPr>
                      <w:rFonts w:ascii="Times New Roman" w:hAnsi="Times New Roman" w:eastAsia="宋体" w:cs="Times New Roman"/>
                      <w:b/>
                      <w:bCs/>
                      <w:spacing w:val="4"/>
                      <w:sz w:val="21"/>
                    </w:rPr>
                    <w:t>m</w:t>
                  </w:r>
                  <w:r>
                    <w:rPr>
                      <w:rFonts w:ascii="Times New Roman" w:hAnsi="Times New Roman" w:eastAsia="宋体" w:cs="Times New Roman"/>
                      <w:b/>
                      <w:bCs/>
                      <w:spacing w:val="4"/>
                      <w:position w:val="6"/>
                      <w:sz w:val="21"/>
                      <w:szCs w:val="13"/>
                    </w:rPr>
                    <w:t>3</w:t>
                  </w:r>
                  <w:r>
                    <w:rPr>
                      <w:rFonts w:ascii="Times New Roman" w:hAnsi="Times New Roman" w:eastAsia="宋体" w:cs="Times New Roman"/>
                      <w:b/>
                      <w:bCs/>
                      <w:spacing w:val="4"/>
                      <w:sz w:val="21"/>
                    </w:rPr>
                    <w:t>/d</w:t>
                  </w:r>
                  <w:r>
                    <w:rPr>
                      <w:rFonts w:ascii="Times New Roman" w:hAnsi="Times New Roman" w:eastAsia="宋体"/>
                      <w:b/>
                      <w:bCs/>
                      <w:spacing w:val="4"/>
                      <w:sz w:val="21"/>
                    </w:rPr>
                    <w:t>）</w:t>
                  </w:r>
                </w:p>
              </w:tc>
              <w:tc>
                <w:tcPr>
                  <w:tcW w:w="1990" w:type="pct"/>
                  <w:gridSpan w:val="3"/>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4"/>
                      <w:sz w:val="21"/>
                    </w:rPr>
                    <w:t>排放量（</w:t>
                  </w:r>
                  <w:r>
                    <w:rPr>
                      <w:rFonts w:ascii="Times New Roman" w:hAnsi="Times New Roman" w:eastAsia="宋体" w:cs="Times New Roman"/>
                      <w:b/>
                      <w:bCs/>
                      <w:spacing w:val="4"/>
                      <w:sz w:val="21"/>
                    </w:rPr>
                    <w:t>m</w:t>
                  </w:r>
                  <w:r>
                    <w:rPr>
                      <w:rFonts w:ascii="Times New Roman" w:hAnsi="Times New Roman" w:eastAsia="宋体" w:cs="Times New Roman"/>
                      <w:b/>
                      <w:bCs/>
                      <w:spacing w:val="4"/>
                      <w:position w:val="6"/>
                      <w:sz w:val="21"/>
                      <w:szCs w:val="13"/>
                    </w:rPr>
                    <w:t>3</w:t>
                  </w:r>
                  <w:r>
                    <w:rPr>
                      <w:rFonts w:ascii="Times New Roman" w:hAnsi="Times New Roman" w:eastAsia="宋体" w:cs="Times New Roman"/>
                      <w:b/>
                      <w:bCs/>
                      <w:spacing w:val="4"/>
                      <w:sz w:val="21"/>
                    </w:rPr>
                    <w:t>/d</w:t>
                  </w:r>
                  <w:r>
                    <w:rPr>
                      <w:rFonts w:ascii="Times New Roman" w:hAnsi="Times New Roman" w:eastAsia="宋体"/>
                      <w:b/>
                      <w:bCs/>
                      <w:spacing w:val="4"/>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955" w:type="pct"/>
                  <w:vMerge w:val="continue"/>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p>
              </w:tc>
              <w:tc>
                <w:tcPr>
                  <w:tcW w:w="652"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5"/>
                      <w:sz w:val="21"/>
                    </w:rPr>
                    <w:t>新鲜水</w:t>
                  </w:r>
                </w:p>
              </w:tc>
              <w:tc>
                <w:tcPr>
                  <w:tcW w:w="655"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2"/>
                      <w:sz w:val="21"/>
                    </w:rPr>
                    <w:t>纯水</w:t>
                  </w:r>
                </w:p>
              </w:tc>
              <w:tc>
                <w:tcPr>
                  <w:tcW w:w="746"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117" w:hanging="206"/>
                    <w:jc w:val="right"/>
                    <w:textAlignment w:val="auto"/>
                    <w:rPr>
                      <w:rFonts w:ascii="Times New Roman" w:hAnsi="Times New Roman" w:eastAsia="宋体"/>
                      <w:sz w:val="21"/>
                    </w:rPr>
                  </w:pPr>
                  <w:r>
                    <w:rPr>
                      <w:rFonts w:ascii="Times New Roman" w:hAnsi="Times New Roman" w:eastAsia="宋体"/>
                      <w:b/>
                      <w:bCs/>
                      <w:spacing w:val="5"/>
                      <w:sz w:val="21"/>
                    </w:rPr>
                    <w:t>纯水制备</w:t>
                  </w:r>
                  <w:r>
                    <w:rPr>
                      <w:rFonts w:ascii="Times New Roman" w:hAnsi="Times New Roman" w:eastAsia="宋体"/>
                      <w:b/>
                      <w:bCs/>
                      <w:spacing w:val="3"/>
                      <w:sz w:val="21"/>
                    </w:rPr>
                    <w:t>尾水</w:t>
                  </w:r>
                </w:p>
              </w:tc>
              <w:tc>
                <w:tcPr>
                  <w:tcW w:w="653"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155" w:hanging="207"/>
                    <w:jc w:val="right"/>
                    <w:textAlignment w:val="auto"/>
                    <w:rPr>
                      <w:rFonts w:ascii="Times New Roman" w:hAnsi="Times New Roman" w:eastAsia="宋体"/>
                      <w:sz w:val="21"/>
                    </w:rPr>
                  </w:pPr>
                  <w:r>
                    <w:rPr>
                      <w:rFonts w:ascii="Times New Roman" w:hAnsi="Times New Roman" w:eastAsia="宋体"/>
                      <w:b/>
                      <w:bCs/>
                      <w:spacing w:val="5"/>
                      <w:sz w:val="21"/>
                    </w:rPr>
                    <w:t>纳管排</w:t>
                  </w:r>
                  <w:r>
                    <w:rPr>
                      <w:rFonts w:ascii="Times New Roman" w:hAnsi="Times New Roman" w:eastAsia="宋体"/>
                      <w:b/>
                      <w:bCs/>
                      <w:spacing w:val="-2"/>
                      <w:sz w:val="21"/>
                    </w:rPr>
                    <w:t>放</w:t>
                  </w:r>
                </w:p>
              </w:tc>
              <w:tc>
                <w:tcPr>
                  <w:tcW w:w="65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7"/>
                      <w:sz w:val="21"/>
                    </w:rPr>
                    <w:t>回用</w:t>
                  </w:r>
                </w:p>
              </w:tc>
              <w:tc>
                <w:tcPr>
                  <w:tcW w:w="682"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3"/>
                      <w:sz w:val="21"/>
                    </w:rPr>
                    <w:t>损耗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7" w:hRule="atLeast"/>
                <w:jc w:val="center"/>
              </w:trPr>
              <w:tc>
                <w:tcPr>
                  <w:tcW w:w="955"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2"/>
                      <w:sz w:val="21"/>
                    </w:rPr>
                    <w:t>电泳线</w:t>
                  </w:r>
                </w:p>
              </w:tc>
              <w:tc>
                <w:tcPr>
                  <w:tcW w:w="652"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1"/>
                      <w:position w:val="2"/>
                      <w:sz w:val="21"/>
                      <w:szCs w:val="20"/>
                    </w:rPr>
                    <w:t>1.795</w:t>
                  </w:r>
                </w:p>
              </w:tc>
              <w:tc>
                <w:tcPr>
                  <w:tcW w:w="655"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0.04</w:t>
                  </w:r>
                </w:p>
              </w:tc>
              <w:tc>
                <w:tcPr>
                  <w:tcW w:w="746"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0.06</w:t>
                  </w:r>
                </w:p>
              </w:tc>
              <w:tc>
                <w:tcPr>
                  <w:tcW w:w="653"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4"/>
                      <w:position w:val="2"/>
                      <w:sz w:val="21"/>
                      <w:szCs w:val="20"/>
                    </w:rPr>
                    <w:t>1.7</w:t>
                  </w:r>
                </w:p>
              </w:tc>
              <w:tc>
                <w:tcPr>
                  <w:tcW w:w="654"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682"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0.195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7" w:hRule="atLeast"/>
                <w:jc w:val="center"/>
              </w:trPr>
              <w:tc>
                <w:tcPr>
                  <w:tcW w:w="95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6"/>
                      <w:sz w:val="21"/>
                    </w:rPr>
                    <w:t>纯水制备</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1"/>
                      <w:position w:val="1"/>
                      <w:sz w:val="21"/>
                      <w:szCs w:val="20"/>
                    </w:rPr>
                    <w:t>0.1</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6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1"/>
                      <w:sz w:val="21"/>
                      <w:szCs w:val="20"/>
                    </w:rPr>
                    <w:t>0.06</w:t>
                  </w:r>
                </w:p>
              </w:tc>
              <w:tc>
                <w:tcPr>
                  <w:tcW w:w="6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95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6"/>
                      <w:sz w:val="21"/>
                    </w:rPr>
                    <w:t>员工生活办公</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2"/>
                      <w:position w:val="1"/>
                      <w:sz w:val="21"/>
                      <w:szCs w:val="20"/>
                      <w:lang w:val="en-US" w:eastAsia="zh-CN"/>
                    </w:rPr>
                    <w:t>1.5</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2"/>
                      <w:position w:val="1"/>
                      <w:sz w:val="21"/>
                      <w:szCs w:val="20"/>
                      <w:lang w:val="en-US" w:eastAsia="zh-CN"/>
                    </w:rPr>
                    <w:t>1.2</w:t>
                  </w:r>
                </w:p>
              </w:tc>
              <w:tc>
                <w:tcPr>
                  <w:tcW w:w="6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position w:val="1"/>
                      <w:sz w:val="21"/>
                      <w:szCs w:val="20"/>
                    </w:rPr>
                    <w:t>0</w:t>
                  </w:r>
                </w:p>
              </w:tc>
              <w:tc>
                <w:tcPr>
                  <w:tcW w:w="6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2"/>
                      <w:position w:val="1"/>
                      <w:sz w:val="21"/>
                      <w:szCs w:val="20"/>
                      <w:lang w:val="en-US" w:eastAsia="zh-CN"/>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7" w:hRule="atLeast"/>
                <w:jc w:val="center"/>
              </w:trPr>
              <w:tc>
                <w:tcPr>
                  <w:tcW w:w="95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4"/>
                      <w:sz w:val="21"/>
                    </w:rPr>
                    <w:t>合计</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4"/>
                      <w:position w:val="2"/>
                      <w:sz w:val="21"/>
                      <w:szCs w:val="20"/>
                      <w:lang w:val="en-US" w:eastAsia="zh-CN"/>
                    </w:rPr>
                    <w:t>3.395</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0.04</w:t>
                  </w:r>
                </w:p>
              </w:tc>
              <w:tc>
                <w:tcPr>
                  <w:tcW w:w="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0.06</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2"/>
                      <w:position w:val="2"/>
                      <w:sz w:val="21"/>
                      <w:szCs w:val="20"/>
                      <w:lang w:val="en-US" w:eastAsia="zh-CN"/>
                    </w:rPr>
                    <w:t>2.9</w:t>
                  </w:r>
                </w:p>
              </w:tc>
              <w:tc>
                <w:tcPr>
                  <w:tcW w:w="6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0.06</w:t>
                  </w:r>
                </w:p>
              </w:tc>
              <w:tc>
                <w:tcPr>
                  <w:tcW w:w="6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pacing w:val="2"/>
                      <w:position w:val="2"/>
                      <w:sz w:val="21"/>
                      <w:szCs w:val="20"/>
                      <w:lang w:val="en-US" w:eastAsia="zh-CN"/>
                    </w:rPr>
                    <w:t>0.495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4" w:hRule="atLeast"/>
                <w:jc w:val="center"/>
              </w:trPr>
              <w:tc>
                <w:tcPr>
                  <w:tcW w:w="5000" w:type="pct"/>
                  <w:gridSpan w:val="7"/>
                  <w:tcBorders>
                    <w:tl2br w:val="nil"/>
                    <w:tr2bl w:val="nil"/>
                  </w:tcBorders>
                  <w:vAlign w:val="center"/>
                </w:tcPr>
                <w:p>
                  <w:pPr>
                    <w:pStyle w:val="113"/>
                    <w:spacing w:before="4" w:line="273" w:lineRule="exact"/>
                    <w:ind w:left="65"/>
                    <w:rPr>
                      <w:rFonts w:ascii="Times New Roman" w:hAnsi="Times New Roman" w:eastAsia="宋体"/>
                      <w:sz w:val="21"/>
                    </w:rPr>
                  </w:pPr>
                  <w:r>
                    <w:rPr>
                      <w:rFonts w:ascii="Times New Roman" w:hAnsi="Times New Roman" w:eastAsia="宋体"/>
                      <w:spacing w:val="11"/>
                      <w:position w:val="1"/>
                      <w:sz w:val="21"/>
                    </w:rPr>
                    <w:t>注：①纯水制备率取</w:t>
                  </w:r>
                  <w:r>
                    <w:rPr>
                      <w:rFonts w:ascii="Times New Roman" w:hAnsi="Times New Roman" w:eastAsia="宋体" w:cs="Times New Roman"/>
                      <w:spacing w:val="11"/>
                      <w:position w:val="1"/>
                      <w:sz w:val="21"/>
                    </w:rPr>
                    <w:t>40%</w:t>
                  </w:r>
                  <w:r>
                    <w:rPr>
                      <w:rFonts w:ascii="Times New Roman" w:hAnsi="Times New Roman" w:eastAsia="宋体"/>
                      <w:spacing w:val="11"/>
                      <w:position w:val="1"/>
                      <w:sz w:val="21"/>
                    </w:rPr>
                    <w:t>。</w:t>
                  </w:r>
                </w:p>
                <w:p>
                  <w:pPr>
                    <w:pStyle w:val="113"/>
                    <w:spacing w:line="266" w:lineRule="exact"/>
                    <w:ind w:left="483"/>
                    <w:rPr>
                      <w:rFonts w:ascii="Times New Roman" w:hAnsi="Times New Roman" w:eastAsia="宋体"/>
                      <w:sz w:val="21"/>
                    </w:rPr>
                  </w:pPr>
                  <w:r>
                    <w:rPr>
                      <w:rFonts w:ascii="Times New Roman" w:hAnsi="Times New Roman" w:eastAsia="宋体"/>
                      <w:spacing w:val="11"/>
                      <w:position w:val="1"/>
                      <w:sz w:val="21"/>
                    </w:rPr>
                    <w:t>②本项目生活用水产污系数取</w:t>
                  </w:r>
                  <w:r>
                    <w:rPr>
                      <w:rFonts w:ascii="Times New Roman" w:hAnsi="Times New Roman" w:eastAsia="宋体" w:cs="Times New Roman"/>
                      <w:spacing w:val="11"/>
                      <w:position w:val="1"/>
                      <w:sz w:val="21"/>
                    </w:rPr>
                    <w:t>0.8</w:t>
                  </w:r>
                  <w:r>
                    <w:rPr>
                      <w:rFonts w:ascii="Times New Roman" w:hAnsi="Times New Roman" w:eastAsia="宋体"/>
                      <w:spacing w:val="11"/>
                      <w:position w:val="1"/>
                      <w:sz w:val="21"/>
                    </w:rPr>
                    <w:t>。</w:t>
                  </w:r>
                </w:p>
              </w:tc>
            </w:tr>
          </w:tbl>
          <w:p>
            <w:pPr>
              <w:rPr>
                <w:rFonts w:hint="eastAsia"/>
              </w:rPr>
            </w:pP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p>
          <w:p>
            <w:pPr>
              <w:pStyle w:val="44"/>
              <w:ind w:left="0" w:leftChars="0" w:firstLine="0" w:firstLineChars="0"/>
              <w:rPr>
                <w:rFonts w:hint="eastAsia"/>
                <w:color w:val="auto"/>
                <w:highlight w:val="none"/>
              </w:rPr>
            </w:pPr>
            <w:r>
              <w:drawing>
                <wp:inline distT="0" distB="0" distL="114300" distR="114300">
                  <wp:extent cx="6416675" cy="3908425"/>
                  <wp:effectExtent l="0" t="0" r="9525" b="3175"/>
                  <wp:docPr id="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
                          <pic:cNvPicPr>
                            <a:picLocks noChangeAspect="1"/>
                          </pic:cNvPicPr>
                        </pic:nvPicPr>
                        <pic:blipFill>
                          <a:blip r:embed="rId13"/>
                          <a:stretch>
                            <a:fillRect/>
                          </a:stretch>
                        </pic:blipFill>
                        <pic:spPr>
                          <a:xfrm>
                            <a:off x="0" y="0"/>
                            <a:ext cx="6416675" cy="3908425"/>
                          </a:xfrm>
                          <a:prstGeom prst="rect">
                            <a:avLst/>
                          </a:prstGeom>
                          <a:noFill/>
                          <a:ln>
                            <a:noFill/>
                          </a:ln>
                        </pic:spPr>
                      </pic:pic>
                    </a:graphicData>
                  </a:graphic>
                </wp:inline>
              </w:drawing>
            </w:r>
          </w:p>
          <w:p>
            <w:pPr>
              <w:jc w:val="center"/>
              <w:rPr>
                <w:rFonts w:hint="eastAsia" w:eastAsia="宋体"/>
                <w:color w:val="000000" w:themeColor="text1"/>
                <w:highlight w:val="none"/>
                <w:lang w:eastAsia="zh-CN"/>
                <w14:textFill>
                  <w14:solidFill>
                    <w14:schemeClr w14:val="tx1"/>
                  </w14:solidFill>
                </w14:textFill>
              </w:rPr>
            </w:pPr>
          </w:p>
          <w:p>
            <w:pPr>
              <w:pStyle w:val="47"/>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项目水平衡  单位：m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 xml:space="preserve"> /d</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VOCs物料平衡</w:t>
            </w:r>
          </w:p>
          <w:p>
            <w:pPr>
              <w:pStyle w:val="45"/>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本项目配套设有1条电泳线，使用的电泳涂料为水性涂料，根据其MSDS资料，成分主要包括固份、水分、挥发分。具体见下表。</w:t>
            </w:r>
          </w:p>
          <w:p>
            <w:pPr>
              <w:pStyle w:val="42"/>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电泳涂料成分分析（单位：t/a）</w:t>
            </w:r>
          </w:p>
          <w:tbl>
            <w:tblPr>
              <w:tblStyle w:val="8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27"/>
              <w:gridCol w:w="1522"/>
              <w:gridCol w:w="1993"/>
              <w:gridCol w:w="2240"/>
              <w:gridCol w:w="22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restar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种类</w:t>
                  </w:r>
                </w:p>
              </w:tc>
              <w:tc>
                <w:tcPr>
                  <w:tcW w:w="752" w:type="pct"/>
                  <w:vMerge w:val="restar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年用量</w:t>
                  </w:r>
                </w:p>
              </w:tc>
              <w:tc>
                <w:tcPr>
                  <w:tcW w:w="3196" w:type="pct"/>
                  <w:gridSpan w:val="3"/>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其中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continue"/>
                  <w:tcBorders>
                    <w:bottom w:val="single" w:color="000000" w:sz="1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752" w:type="pct"/>
                  <w:vMerge w:val="continue"/>
                  <w:tcBorders>
                    <w:bottom w:val="single" w:color="000000" w:sz="1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985" w:type="pct"/>
                  <w:tcBorders>
                    <w:bottom w:val="single" w:color="000000" w:sz="1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固份</w:t>
                  </w:r>
                </w:p>
              </w:tc>
              <w:tc>
                <w:tcPr>
                  <w:tcW w:w="1107" w:type="pct"/>
                  <w:tcBorders>
                    <w:bottom w:val="single" w:color="000000" w:sz="1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水分</w:t>
                  </w:r>
                </w:p>
              </w:tc>
              <w:tc>
                <w:tcPr>
                  <w:tcW w:w="1103" w:type="pct"/>
                  <w:tcBorders>
                    <w:bottom w:val="single" w:color="000000" w:sz="12" w:space="0"/>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挥发份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op w:val="single" w:color="000000" w:sz="12" w:space="0"/>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乳液</w:t>
                  </w:r>
                </w:p>
              </w:tc>
              <w:tc>
                <w:tcPr>
                  <w:tcW w:w="752" w:type="pct"/>
                  <w:tcBorders>
                    <w:top w:val="single" w:color="000000" w:sz="12" w:space="0"/>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13.5</w:t>
                  </w:r>
                </w:p>
              </w:tc>
              <w:tc>
                <w:tcPr>
                  <w:tcW w:w="985" w:type="pct"/>
                  <w:tcBorders>
                    <w:top w:val="single" w:color="000000" w:sz="12" w:space="0"/>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6.75</w:t>
                  </w:r>
                </w:p>
              </w:tc>
              <w:tc>
                <w:tcPr>
                  <w:tcW w:w="1107" w:type="pct"/>
                  <w:tcBorders>
                    <w:top w:val="single" w:color="000000" w:sz="12" w:space="0"/>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6.129</w:t>
                  </w:r>
                </w:p>
              </w:tc>
              <w:tc>
                <w:tcPr>
                  <w:tcW w:w="1103" w:type="pct"/>
                  <w:tcBorders>
                    <w:top w:val="single" w:color="000000" w:sz="12" w:space="0"/>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0.621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黑浆</w:t>
                  </w:r>
                </w:p>
              </w:tc>
              <w:tc>
                <w:tcPr>
                  <w:tcW w:w="752"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2.1</w:t>
                  </w:r>
                </w:p>
              </w:tc>
              <w:tc>
                <w:tcPr>
                  <w:tcW w:w="985"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1.113</w:t>
                  </w:r>
                </w:p>
              </w:tc>
              <w:tc>
                <w:tcPr>
                  <w:tcW w:w="110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0.798</w:t>
                  </w:r>
                </w:p>
              </w:tc>
              <w:tc>
                <w:tcPr>
                  <w:tcW w:w="1103"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0.189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助剂</w:t>
                  </w:r>
                </w:p>
              </w:tc>
              <w:tc>
                <w:tcPr>
                  <w:tcW w:w="752"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0.18</w:t>
                  </w:r>
                </w:p>
              </w:tc>
              <w:tc>
                <w:tcPr>
                  <w:tcW w:w="985"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w:t>
                  </w:r>
                </w:p>
              </w:tc>
              <w:tc>
                <w:tcPr>
                  <w:tcW w:w="110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0.0846</w:t>
                  </w:r>
                </w:p>
              </w:tc>
              <w:tc>
                <w:tcPr>
                  <w:tcW w:w="1103"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0.0954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中和剂</w:t>
                  </w:r>
                </w:p>
              </w:tc>
              <w:tc>
                <w:tcPr>
                  <w:tcW w:w="752"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0.12</w:t>
                  </w:r>
                </w:p>
              </w:tc>
              <w:tc>
                <w:tcPr>
                  <w:tcW w:w="985"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w:t>
                  </w:r>
                </w:p>
              </w:tc>
              <w:tc>
                <w:tcPr>
                  <w:tcW w:w="110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0.084</w:t>
                  </w:r>
                </w:p>
              </w:tc>
              <w:tc>
                <w:tcPr>
                  <w:tcW w:w="1103"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合计</w:t>
                  </w:r>
                </w:p>
              </w:tc>
              <w:tc>
                <w:tcPr>
                  <w:tcW w:w="752"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15.9</w:t>
                  </w:r>
                </w:p>
              </w:tc>
              <w:tc>
                <w:tcPr>
                  <w:tcW w:w="985"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7.863</w:t>
                  </w:r>
                </w:p>
              </w:tc>
              <w:tc>
                <w:tcPr>
                  <w:tcW w:w="110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7.0956</w:t>
                  </w:r>
                </w:p>
              </w:tc>
              <w:tc>
                <w:tcPr>
                  <w:tcW w:w="1103"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0.9414</w:t>
                  </w:r>
                </w:p>
              </w:tc>
            </w:tr>
          </w:tbl>
          <w:p>
            <w:pPr>
              <w:pStyle w:val="45"/>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电泳槽液不更换，且电泳后的工件经UF0喷淋、UF1喷淋、UF2浸洗后，带出液基本全部回用于电泳槽。电泳涂料中固份全部进入产品（涂层），在电泳及烘干固化过程中，水分全部蒸发损耗（水蒸气），挥发分全部挥发进入废气。根据电泳涂料成分分析，废气污染因子包括非甲烷总烃（NMHC）。</w:t>
            </w:r>
          </w:p>
          <w:p>
            <w:pPr>
              <w:pStyle w:val="45"/>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根据《污染源源强核算技术指南汽车制造（HJ 1097-2020）》附录E，电泳过程中电泳涂料中挥发性有机物的挥发比例为：电泳35%、烘干65%。</w:t>
            </w:r>
          </w:p>
          <w:p>
            <w:pPr>
              <w:pStyle w:val="45"/>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color w:val="000000" w:themeColor="text1"/>
                <w:highlight w:val="none"/>
                <w:lang w:val="en-US" w:eastAsia="zh-CN"/>
                <w14:textFill>
                  <w14:solidFill>
                    <w14:schemeClr w14:val="tx1"/>
                  </w14:solidFill>
                </w14:textFill>
              </w:rPr>
              <w:t>本项目电泳废气和烘干废气收集后，经二级活性炭装置净化处理后排</w:t>
            </w:r>
            <w:r>
              <w:rPr>
                <w:sz w:val="24"/>
                <w:szCs w:val="24"/>
              </w:rPr>
              <w:t>气筒排放。</w:t>
            </w:r>
          </w:p>
          <w:p>
            <w:pPr>
              <w:pStyle w:val="45"/>
              <w:keepNext w:val="0"/>
              <w:keepLines w:val="0"/>
              <w:pageBreakBefore w:val="0"/>
              <w:widowControl w:val="0"/>
              <w:kinsoku/>
              <w:wordWrap/>
              <w:overflowPunct/>
              <w:topLinePunct w:val="0"/>
              <w:autoSpaceDE/>
              <w:autoSpaceDN/>
              <w:bidi w:val="0"/>
              <w:adjustRightInd/>
              <w:snapToGrid/>
              <w:textAlignment w:val="auto"/>
              <w:rPr>
                <w:sz w:val="24"/>
                <w:szCs w:val="24"/>
              </w:rPr>
            </w:pPr>
            <w:r>
              <w:rPr>
                <w:sz w:val="24"/>
                <w:szCs w:val="24"/>
              </w:rPr>
              <w:t>项目电泳线为相对封闭的结构，内部呈微负压状态，电泳废气、固化废气均可有效收集，捕集效率取90%，二级活性炭对有机废气的去除率取</w:t>
            </w:r>
            <w:r>
              <w:rPr>
                <w:rFonts w:hint="eastAsia"/>
                <w:sz w:val="24"/>
                <w:szCs w:val="24"/>
                <w:lang w:val="en-US" w:eastAsia="zh-CN"/>
              </w:rPr>
              <w:t>75</w:t>
            </w:r>
            <w:r>
              <w:rPr>
                <w:sz w:val="24"/>
                <w:szCs w:val="24"/>
              </w:rPr>
              <w:t>%。</w:t>
            </w:r>
          </w:p>
          <w:p>
            <w:pPr>
              <w:pStyle w:val="45"/>
              <w:keepNext w:val="0"/>
              <w:keepLines w:val="0"/>
              <w:pageBreakBefore w:val="0"/>
              <w:widowControl w:val="0"/>
              <w:kinsoku/>
              <w:wordWrap/>
              <w:overflowPunct/>
              <w:topLinePunct w:val="0"/>
              <w:autoSpaceDE/>
              <w:autoSpaceDN/>
              <w:bidi w:val="0"/>
              <w:adjustRightInd/>
              <w:snapToGrid/>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本项目VOCs物料平衡表如下图所示。</w:t>
            </w:r>
          </w:p>
          <w:p>
            <w:pPr>
              <w:pStyle w:val="88"/>
              <w:ind w:left="0" w:leftChars="0" w:firstLine="0" w:firstLineChars="0"/>
              <w:jc w:val="center"/>
              <w:rPr>
                <w:rFonts w:hint="eastAsia"/>
                <w:b/>
                <w:bCs/>
                <w:color w:val="000000" w:themeColor="text1"/>
                <w:highlight w:val="none"/>
                <w:lang w:val="en-US" w:eastAsia="zh-CN"/>
                <w14:textFill>
                  <w14:solidFill>
                    <w14:schemeClr w14:val="tx1"/>
                  </w14:solidFill>
                </w14:textFill>
              </w:rPr>
            </w:pPr>
            <w:r>
              <w:drawing>
                <wp:inline distT="0" distB="0" distL="114300" distR="114300">
                  <wp:extent cx="5581650" cy="6372225"/>
                  <wp:effectExtent l="0" t="0" r="0" b="9525"/>
                  <wp:docPr id="1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
                          <pic:cNvPicPr>
                            <a:picLocks noChangeAspect="1"/>
                          </pic:cNvPicPr>
                        </pic:nvPicPr>
                        <pic:blipFill>
                          <a:blip r:embed="rId14"/>
                          <a:stretch>
                            <a:fillRect/>
                          </a:stretch>
                        </pic:blipFill>
                        <pic:spPr>
                          <a:xfrm>
                            <a:off x="0" y="0"/>
                            <a:ext cx="5581650" cy="6372225"/>
                          </a:xfrm>
                          <a:prstGeom prst="rect">
                            <a:avLst/>
                          </a:prstGeom>
                          <a:noFill/>
                          <a:ln>
                            <a:noFill/>
                          </a:ln>
                        </pic:spPr>
                      </pic:pic>
                    </a:graphicData>
                  </a:graphic>
                </wp:inline>
              </w:drawing>
            </w:r>
          </w:p>
          <w:p>
            <w:pPr>
              <w:pStyle w:val="47"/>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kern w:val="2"/>
                <w:sz w:val="24"/>
                <w:szCs w:val="21"/>
                <w:highlight w:val="none"/>
                <w:lang w:val="en-US" w:eastAsia="zh-CN" w:bidi="ar-SA"/>
                <w14:textFill>
                  <w14:solidFill>
                    <w14:schemeClr w14:val="tx1"/>
                  </w14:solidFill>
                </w14:textFill>
              </w:rPr>
              <w:t>VOCs物料平衡图</w:t>
            </w:r>
          </w:p>
        </w:tc>
      </w:tr>
    </w:tbl>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93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4" w:hRule="atLeast"/>
        </w:trPr>
        <w:tc>
          <w:tcPr>
            <w:tcW w:w="429" w:type="dxa"/>
            <w:vAlign w:val="center"/>
          </w:tcPr>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949" w:type="dxa"/>
          </w:tcPr>
          <w:p>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主要工艺流程及产污环节</w:t>
            </w:r>
          </w:p>
          <w:p>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生产工艺</w:t>
            </w:r>
          </w:p>
          <w:p>
            <w:pPr>
              <w:pStyle w:val="11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本项目汽车座椅骨架生产工艺流程见图</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2.7-1；</w:t>
            </w:r>
            <w:r>
              <w:rPr>
                <w:rFonts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项目配套电泳线工艺流程如</w:t>
            </w:r>
            <w:r>
              <w:rPr>
                <w:rFonts w:hint="eastAsia"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图</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2.7-2</w:t>
            </w:r>
            <w:r>
              <w:rPr>
                <w:rFonts w:ascii="Times New Roman" w:hAnsi="Times New Roman" w:eastAsia="宋体" w:cs="宋体"/>
                <w:color w:val="000000" w:themeColor="text1"/>
                <w:kern w:val="0"/>
                <w:sz w:val="24"/>
                <w:szCs w:val="20"/>
                <w:highlight w:val="none"/>
                <w:lang w:val="zh-CN" w:eastAsia="zh-CN" w:bidi="ar-SA"/>
                <w14:textFill>
                  <w14:solidFill>
                    <w14:schemeClr w14:val="tx1"/>
                  </w14:solidFill>
                </w14:textFill>
              </w:rPr>
              <w:t>。</w:t>
            </w:r>
          </w:p>
          <w:p>
            <w:pPr>
              <w:pStyle w:val="44"/>
              <w:ind w:firstLine="480" w:firstLineChars="0"/>
              <w:jc w:val="center"/>
              <w:rPr>
                <w:rFonts w:hint="default" w:eastAsia="宋体"/>
                <w:i/>
                <w:iCs/>
                <w:color w:val="000000" w:themeColor="text1"/>
                <w:sz w:val="52"/>
                <w:szCs w:val="52"/>
                <w:highlight w:val="none"/>
                <w:lang w:val="en-US" w:eastAsia="zh-CN"/>
                <w14:textFill>
                  <w14:solidFill>
                    <w14:schemeClr w14:val="tx1"/>
                  </w14:solidFill>
                </w14:textFill>
              </w:rPr>
            </w:pPr>
            <w:r>
              <w:rPr>
                <w:rFonts w:hint="eastAsia"/>
                <w:i/>
                <w:iCs/>
                <w:color w:val="000000" w:themeColor="text1"/>
                <w:sz w:val="52"/>
                <w:szCs w:val="52"/>
                <w:highlight w:val="none"/>
                <w:lang w:val="en-US" w:eastAsia="zh-CN"/>
                <w14:textFill>
                  <w14:solidFill>
                    <w14:schemeClr w14:val="tx1"/>
                  </w14:solidFill>
                </w14:textFill>
              </w:rPr>
              <w:t>涉密删除</w:t>
            </w:r>
          </w:p>
          <w:p>
            <w:pPr>
              <w:pStyle w:val="47"/>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汽车座椅骨架</w:t>
            </w:r>
            <w:r>
              <w:rPr>
                <w:rFonts w:hint="eastAsia"/>
                <w:color w:val="000000" w:themeColor="text1"/>
                <w:highlight w:val="none"/>
                <w:lang w:val="en-US" w:eastAsia="zh-CN"/>
                <w14:textFill>
                  <w14:solidFill>
                    <w14:schemeClr w14:val="tx1"/>
                  </w14:solidFill>
                </w14:textFill>
              </w:rPr>
              <w:t>生产工艺流程图</w:t>
            </w:r>
          </w:p>
          <w:p>
            <w:pPr>
              <w:pStyle w:val="44"/>
              <w:ind w:firstLine="480" w:firstLineChars="0"/>
              <w:jc w:val="center"/>
              <w:rPr>
                <w:rFonts w:hint="default" w:eastAsia="宋体"/>
                <w:i/>
                <w:iCs/>
                <w:color w:val="000000" w:themeColor="text1"/>
                <w:sz w:val="52"/>
                <w:szCs w:val="52"/>
                <w:highlight w:val="none"/>
                <w:lang w:val="en-US" w:eastAsia="zh-CN"/>
                <w14:textFill>
                  <w14:solidFill>
                    <w14:schemeClr w14:val="tx1"/>
                  </w14:solidFill>
                </w14:textFill>
              </w:rPr>
            </w:pPr>
            <w:r>
              <w:rPr>
                <w:rFonts w:hint="eastAsia"/>
                <w:i/>
                <w:iCs/>
                <w:color w:val="000000" w:themeColor="text1"/>
                <w:sz w:val="52"/>
                <w:szCs w:val="52"/>
                <w:highlight w:val="none"/>
                <w:lang w:val="en-US" w:eastAsia="zh-CN"/>
                <w14:textFill>
                  <w14:solidFill>
                    <w14:schemeClr w14:val="tx1"/>
                  </w14:solidFill>
                </w14:textFill>
              </w:rPr>
              <w:t>涉密删除</w:t>
            </w:r>
          </w:p>
          <w:p>
            <w:pPr>
              <w:rPr>
                <w:rFonts w:hint="eastAsia" w:eastAsia="宋体"/>
                <w:lang w:eastAsia="zh-CN"/>
              </w:rPr>
            </w:pPr>
          </w:p>
          <w:p>
            <w:pPr>
              <w:pStyle w:val="47"/>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000000" w:themeColor="text1"/>
                <w:highlight w:val="none"/>
                <w14:textFill>
                  <w14:solidFill>
                    <w14:schemeClr w14:val="tx1"/>
                  </w14:solidFill>
                </w14:textFill>
              </w:rPr>
            </w:pPr>
            <w:r>
              <w:rPr>
                <w:b/>
                <w:bCs/>
                <w:spacing w:val="-3"/>
                <w:sz w:val="24"/>
                <w:szCs w:val="24"/>
              </w:rPr>
              <w:t>项目配套电泳线工艺流程图</w:t>
            </w:r>
          </w:p>
          <w:p/>
        </w:tc>
      </w:tr>
    </w:tbl>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sectPr>
          <w:pgSz w:w="11906" w:h="16838"/>
          <w:pgMar w:top="1531" w:right="1304" w:bottom="1531" w:left="1304"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3"/>
        <w:tblW w:w="93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88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528" w:type="dxa"/>
            <w:vAlign w:val="top"/>
          </w:tcPr>
          <w:p>
            <w:pPr>
              <w:pStyle w:val="3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802" w:type="dxa"/>
            <w:vAlign w:val="top"/>
          </w:tcPr>
          <w:p>
            <w:pPr>
              <w:pStyle w:val="5"/>
              <w:keepNext/>
              <w:keepLines/>
              <w:pageBreakBefore w:val="0"/>
              <w:widowControl w:val="0"/>
              <w:numPr>
                <w:ilvl w:val="3"/>
                <w:numId w:val="8"/>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w:t>
            </w:r>
            <w:r>
              <w:rPr>
                <w:rFonts w:hint="default"/>
                <w:color w:val="000000" w:themeColor="text1"/>
                <w:highlight w:val="none"/>
                <w:lang w:val="en-US" w:eastAsia="zh-CN"/>
                <w14:textFill>
                  <w14:solidFill>
                    <w14:schemeClr w14:val="tx1"/>
                  </w14:solidFill>
                </w14:textFill>
              </w:rPr>
              <w:t>工艺</w:t>
            </w:r>
            <w:r>
              <w:rPr>
                <w:rFonts w:hint="eastAsia"/>
                <w:color w:val="000000" w:themeColor="text1"/>
                <w:highlight w:val="none"/>
                <w:lang w:val="en-US" w:eastAsia="zh-CN"/>
                <w14:textFill>
                  <w14:solidFill>
                    <w14:schemeClr w14:val="tx1"/>
                  </w14:solidFill>
                </w14:textFill>
              </w:rPr>
              <w:t>流程</w:t>
            </w:r>
          </w:p>
          <w:p>
            <w:pPr>
              <w:pStyle w:val="44"/>
              <w:ind w:firstLine="480" w:firstLineChars="0"/>
              <w:jc w:val="center"/>
              <w:rPr>
                <w:rFonts w:hint="default" w:eastAsia="宋体"/>
                <w:i/>
                <w:iCs/>
                <w:color w:val="000000" w:themeColor="text1"/>
                <w:sz w:val="52"/>
                <w:szCs w:val="52"/>
                <w:highlight w:val="none"/>
                <w:lang w:val="en-US" w:eastAsia="zh-CN"/>
                <w14:textFill>
                  <w14:solidFill>
                    <w14:schemeClr w14:val="tx1"/>
                  </w14:solidFill>
                </w14:textFill>
              </w:rPr>
            </w:pPr>
            <w:r>
              <w:rPr>
                <w:rFonts w:hint="eastAsia"/>
                <w:i/>
                <w:iCs/>
                <w:color w:val="000000" w:themeColor="text1"/>
                <w:sz w:val="52"/>
                <w:szCs w:val="52"/>
                <w:highlight w:val="none"/>
                <w:lang w:val="en-US" w:eastAsia="zh-CN"/>
                <w14:textFill>
                  <w14:solidFill>
                    <w14:schemeClr w14:val="tx1"/>
                  </w14:solidFill>
                </w14:textFill>
              </w:rPr>
              <w:t>涉密删除</w:t>
            </w:r>
          </w:p>
          <w:p>
            <w:pPr>
              <w:rPr>
                <w:rFonts w:hint="default"/>
                <w:lang w:val="en-US" w:eastAsia="zh-CN"/>
              </w:rPr>
            </w:pPr>
          </w:p>
          <w:p>
            <w:pPr>
              <w:pStyle w:val="5"/>
              <w:numPr>
                <w:ilvl w:val="3"/>
                <w:numId w:val="8"/>
              </w:numPr>
              <w:tabs>
                <w:tab w:val="left" w:pos="0"/>
              </w:tabs>
              <w:bidi w:val="0"/>
              <w:ind w:left="864" w:leftChars="0" w:hanging="864"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生产工艺主要产污环节</w:t>
            </w:r>
          </w:p>
          <w:p>
            <w:pPr>
              <w:pStyle w:val="44"/>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w:t>
            </w:r>
            <w:r>
              <w:rPr>
                <w:rFonts w:hint="eastAsia"/>
                <w:color w:val="000000" w:themeColor="text1"/>
                <w:highlight w:val="none"/>
                <w:vertAlign w:val="baseline"/>
                <w:lang w:val="en-US" w:eastAsia="zh-CN"/>
                <w14:textFill>
                  <w14:solidFill>
                    <w14:schemeClr w14:val="tx1"/>
                  </w14:solidFill>
                </w14:textFill>
              </w:rPr>
              <w:t>产污环节</w:t>
            </w:r>
            <w:r>
              <w:rPr>
                <w:rFonts w:hint="eastAsia"/>
                <w:color w:val="000000" w:themeColor="text1"/>
                <w14:textFill>
                  <w14:solidFill>
                    <w14:schemeClr w14:val="tx1"/>
                  </w14:solidFill>
                </w14:textFill>
              </w:rPr>
              <w:t>见下表。</w:t>
            </w:r>
          </w:p>
          <w:p>
            <w:pPr>
              <w:pStyle w:val="42"/>
              <w:keepNext/>
              <w:keepLines/>
              <w:pageBreakBefore w:val="0"/>
              <w:widowControl w:val="0"/>
              <w:numPr>
                <w:ilvl w:val="7"/>
                <w:numId w:val="9"/>
              </w:numPr>
              <w:tabs>
                <w:tab w:val="left" w:pos="0"/>
              </w:tabs>
              <w:kinsoku/>
              <w:wordWrap/>
              <w:overflowPunct/>
              <w:topLinePunct w:val="0"/>
              <w:autoSpaceDE/>
              <w:autoSpaceDN/>
              <w:bidi w:val="0"/>
              <w:adjustRightInd/>
              <w:snapToGrid/>
              <w:spacing w:before="157" w:beforeLines="50" w:after="0"/>
              <w:ind w:left="630" w:leftChars="0" w:firstLineChar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主要污染工序一览表</w:t>
            </w:r>
          </w:p>
          <w:tbl>
            <w:tblPr>
              <w:tblStyle w:val="33"/>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419"/>
              <w:gridCol w:w="419"/>
              <w:gridCol w:w="1930"/>
              <w:gridCol w:w="1447"/>
              <w:gridCol w:w="440"/>
              <w:gridCol w:w="39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07" w:hRule="atLeast"/>
                <w:tblHeader/>
              </w:trPr>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pacing w:val="-8"/>
                      <w:sz w:val="21"/>
                    </w:rPr>
                    <w:t>序号</w:t>
                  </w:r>
                </w:p>
              </w:tc>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pacing w:val="-8"/>
                      <w:sz w:val="21"/>
                    </w:rPr>
                    <w:t>类别</w:t>
                  </w:r>
                </w:p>
              </w:tc>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产污工序</w:t>
                  </w:r>
                </w:p>
              </w:tc>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污染物名称</w:t>
                  </w:r>
                </w:p>
              </w:tc>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代号</w:t>
                  </w:r>
                </w:p>
              </w:tc>
              <w:tc>
                <w:tcPr>
                  <w:tcW w:w="0" w:type="auto"/>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主要成分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0" w:type="auto"/>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pacing w:val="-10"/>
                      <w:sz w:val="21"/>
                    </w:rPr>
                    <w:t>1</w:t>
                  </w:r>
                </w:p>
              </w:tc>
              <w:tc>
                <w:tcPr>
                  <w:tcW w:w="0" w:type="auto"/>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8"/>
                      <w:sz w:val="21"/>
                    </w:rPr>
                  </w:pPr>
                  <w:r>
                    <w:rPr>
                      <w:rFonts w:ascii="Times New Roman" w:hAnsi="Times New Roman" w:eastAsia="宋体"/>
                      <w:spacing w:val="-8"/>
                      <w:sz w:val="21"/>
                    </w:rPr>
                    <w:t>废气</w:t>
                  </w: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4"/>
                      <w:sz w:val="21"/>
                    </w:rPr>
                    <w:t>焊接</w:t>
                  </w:r>
                </w:p>
              </w:tc>
              <w:tc>
                <w:tcPr>
                  <w:tcW w:w="0" w:type="auto"/>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焊接废气</w:t>
                  </w:r>
                </w:p>
              </w:tc>
              <w:tc>
                <w:tcPr>
                  <w:tcW w:w="0" w:type="auto"/>
                  <w:tcBorders>
                    <w:top w:val="single" w:color="000000"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11"/>
                      <w:position w:val="1"/>
                      <w:sz w:val="21"/>
                      <w:szCs w:val="20"/>
                    </w:rPr>
                    <w:t>G1</w:t>
                  </w:r>
                </w:p>
              </w:tc>
              <w:tc>
                <w:tcPr>
                  <w:tcW w:w="0" w:type="auto"/>
                  <w:tcBorders>
                    <w:top w:val="single" w:color="000000"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8"/>
                      <w:sz w:val="21"/>
                    </w:rPr>
                    <w:t>电泳</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1"/>
                      <w:sz w:val="21"/>
                    </w:rPr>
                    <w:t>电泳废气</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1"/>
                      <w:position w:val="1"/>
                      <w:sz w:val="21"/>
                      <w:szCs w:val="20"/>
                    </w:rPr>
                    <w:t>G2</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7"/>
                      <w:sz w:val="21"/>
                      <w:szCs w:val="20"/>
                    </w:rPr>
                    <w:t>NMHC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烘干固化</w:t>
                  </w: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4"/>
                      <w:sz w:val="21"/>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2"/>
                      <w:sz w:val="21"/>
                    </w:rPr>
                    <w:t>固化废气</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1"/>
                      <w:position w:val="1"/>
                      <w:sz w:val="21"/>
                      <w:szCs w:val="20"/>
                    </w:rPr>
                    <w:t>G3</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7"/>
                      <w:sz w:val="21"/>
                      <w:szCs w:val="20"/>
                    </w:rPr>
                    <w:t>NMHC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4"/>
                      <w:sz w:val="21"/>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4"/>
                      <w:sz w:val="21"/>
                    </w:rPr>
                    <w:t>固化炉燃气</w:t>
                  </w:r>
                </w:p>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5"/>
                      <w:sz w:val="21"/>
                    </w:rPr>
                    <w:t>废气</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1"/>
                      <w:position w:val="2"/>
                      <w:sz w:val="21"/>
                      <w:szCs w:val="20"/>
                    </w:rPr>
                    <w:t>G4</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cs="Times New Roman"/>
                      <w:position w:val="1"/>
                      <w:sz w:val="21"/>
                    </w:rPr>
                    <w:t>SO</w:t>
                  </w:r>
                  <w:r>
                    <w:rPr>
                      <w:rFonts w:ascii="Times New Roman" w:hAnsi="Times New Roman" w:eastAsia="宋体" w:cs="Times New Roman"/>
                      <w:spacing w:val="2"/>
                      <w:sz w:val="21"/>
                      <w:szCs w:val="13"/>
                      <w:vertAlign w:val="subscript"/>
                    </w:rPr>
                    <w:t>2</w:t>
                  </w:r>
                  <w:r>
                    <w:rPr>
                      <w:rFonts w:ascii="Times New Roman" w:hAnsi="Times New Roman" w:eastAsia="宋体"/>
                      <w:spacing w:val="2"/>
                      <w:position w:val="1"/>
                      <w:sz w:val="21"/>
                    </w:rPr>
                    <w:t>、</w:t>
                  </w:r>
                  <w:r>
                    <w:rPr>
                      <w:rFonts w:ascii="Times New Roman" w:hAnsi="Times New Roman" w:eastAsia="宋体" w:cs="Times New Roman"/>
                      <w:position w:val="1"/>
                      <w:sz w:val="21"/>
                    </w:rPr>
                    <w:t>NOx</w:t>
                  </w:r>
                  <w:r>
                    <w:rPr>
                      <w:rFonts w:ascii="Times New Roman" w:hAnsi="Times New Roman" w:eastAsia="宋体"/>
                      <w:spacing w:val="2"/>
                      <w:position w:val="1"/>
                      <w:sz w:val="21"/>
                    </w:rPr>
                    <w:t>、烟尘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93" w:hRule="atLeast"/>
                <w:tblHeader/>
              </w:trPr>
              <w:tc>
                <w:tcPr>
                  <w:tcW w:w="0" w:type="auto"/>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pacing w:val="-10"/>
                      <w:sz w:val="21"/>
                    </w:rPr>
                    <w:t>2</w:t>
                  </w:r>
                </w:p>
              </w:tc>
              <w:tc>
                <w:tcPr>
                  <w:tcW w:w="0" w:type="auto"/>
                  <w:vMerge w:val="restar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spacing w:val="-8"/>
                      <w:sz w:val="21"/>
                    </w:rPr>
                    <w:t>废</w:t>
                  </w:r>
                  <w:r>
                    <w:rPr>
                      <w:rFonts w:hint="eastAsia" w:ascii="Times New Roman" w:hAnsi="Times New Roman" w:eastAsia="宋体"/>
                      <w:spacing w:val="-8"/>
                      <w:sz w:val="21"/>
                      <w:lang w:val="en-US" w:eastAsia="zh-CN"/>
                    </w:rPr>
                    <w:t>水</w:t>
                  </w:r>
                </w:p>
              </w:tc>
              <w:tc>
                <w:tcPr>
                  <w:tcW w:w="0" w:type="auto"/>
                  <w:vMerge w:val="restar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spacing w:val="-2"/>
                      <w:sz w:val="21"/>
                    </w:rPr>
                    <w:t>电泳线</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4"/>
                      <w:sz w:val="21"/>
                    </w:rPr>
                  </w:pPr>
                  <w:r>
                    <w:rPr>
                      <w:rFonts w:hint="eastAsia" w:ascii="Times New Roman" w:hAnsi="Times New Roman"/>
                      <w:spacing w:val="6"/>
                      <w:sz w:val="21"/>
                      <w:lang w:val="en-US" w:eastAsia="zh-CN"/>
                    </w:rPr>
                    <w:t>纯</w:t>
                  </w:r>
                  <w:r>
                    <w:rPr>
                      <w:rFonts w:ascii="Times New Roman" w:hAnsi="Times New Roman" w:eastAsia="宋体"/>
                      <w:spacing w:val="6"/>
                      <w:sz w:val="21"/>
                    </w:rPr>
                    <w:t>水洗废水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14"/>
                      <w:position w:val="2"/>
                      <w:sz w:val="21"/>
                      <w:szCs w:val="20"/>
                    </w:rPr>
                    <w:t>W</w:t>
                  </w:r>
                  <w:r>
                    <w:rPr>
                      <w:rFonts w:hint="eastAsia" w:cs="Times New Roman"/>
                      <w:spacing w:val="14"/>
                      <w:position w:val="2"/>
                      <w:sz w:val="21"/>
                      <w:szCs w:val="20"/>
                      <w:lang w:val="en-US" w:eastAsia="zh-CN"/>
                    </w:rPr>
                    <w:t>6</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cs="Times New Roman"/>
                      <w:sz w:val="21"/>
                    </w:rPr>
                    <w:t>pH</w:t>
                  </w:r>
                  <w:r>
                    <w:rPr>
                      <w:rFonts w:ascii="Times New Roman" w:hAnsi="Times New Roman" w:eastAsia="宋体"/>
                      <w:spacing w:val="5"/>
                      <w:sz w:val="21"/>
                    </w:rPr>
                    <w:t>、</w:t>
                  </w:r>
                  <w:r>
                    <w:rPr>
                      <w:rFonts w:ascii="Times New Roman" w:hAnsi="Times New Roman" w:eastAsia="宋体" w:cs="Times New Roman"/>
                      <w:sz w:val="21"/>
                    </w:rPr>
                    <w:t>CODcr</w:t>
                  </w:r>
                  <w:r>
                    <w:rPr>
                      <w:rFonts w:ascii="Times New Roman" w:hAnsi="Times New Roman" w:eastAsia="宋体"/>
                      <w:spacing w:val="5"/>
                      <w:sz w:val="21"/>
                    </w:rPr>
                    <w:t>、</w:t>
                  </w:r>
                  <w:r>
                    <w:rPr>
                      <w:rFonts w:ascii="Times New Roman" w:hAnsi="Times New Roman" w:eastAsia="宋体" w:cs="Times New Roman"/>
                      <w:sz w:val="21"/>
                    </w:rPr>
                    <w:t>BOD</w:t>
                  </w:r>
                  <w:r>
                    <w:rPr>
                      <w:rFonts w:ascii="Times New Roman" w:hAnsi="Times New Roman" w:eastAsia="宋体" w:cs="Times New Roman"/>
                      <w:spacing w:val="5"/>
                      <w:position w:val="-1"/>
                      <w:sz w:val="21"/>
                      <w:szCs w:val="13"/>
                      <w:vertAlign w:val="subscript"/>
                    </w:rPr>
                    <w:t>5</w:t>
                  </w:r>
                  <w:r>
                    <w:rPr>
                      <w:rFonts w:ascii="Times New Roman" w:hAnsi="Times New Roman" w:eastAsia="宋体"/>
                      <w:spacing w:val="5"/>
                      <w:sz w:val="21"/>
                    </w:rPr>
                    <w:t>、</w:t>
                  </w:r>
                  <w:r>
                    <w:rPr>
                      <w:rFonts w:ascii="Times New Roman" w:hAnsi="Times New Roman" w:eastAsia="宋体" w:cs="Times New Roman"/>
                      <w:sz w:val="21"/>
                    </w:rPr>
                    <w:t>SS</w:t>
                  </w:r>
                  <w:r>
                    <w:rPr>
                      <w:rFonts w:ascii="Times New Roman" w:hAnsi="Times New Roman" w:eastAsia="宋体"/>
                      <w:spacing w:val="5"/>
                      <w:sz w:val="21"/>
                    </w:rPr>
                    <w:t>、石油</w:t>
                  </w:r>
                  <w:r>
                    <w:rPr>
                      <w:rFonts w:ascii="Times New Roman" w:hAnsi="Times New Roman" w:eastAsia="宋体"/>
                      <w:sz w:val="21"/>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0" w:type="auto"/>
                  <w:tcBorders>
                    <w:tl2br w:val="nil"/>
                    <w:tr2bl w:val="nil"/>
                  </w:tcBorders>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8"/>
                      <w:sz w:val="21"/>
                    </w:rPr>
                  </w:pPr>
                  <w:r>
                    <w:rPr>
                      <w:rFonts w:ascii="Times New Roman" w:hAnsi="Times New Roman" w:eastAsia="宋体"/>
                      <w:spacing w:val="7"/>
                      <w:sz w:val="21"/>
                    </w:rPr>
                    <w:t>脱脂废水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2"/>
                      <w:sz w:val="21"/>
                      <w:szCs w:val="20"/>
                    </w:rPr>
                    <w:t>W</w:t>
                  </w:r>
                  <w:r>
                    <w:rPr>
                      <w:rFonts w:hint="eastAsia" w:cs="Times New Roman"/>
                      <w:spacing w:val="4"/>
                      <w:position w:val="2"/>
                      <w:sz w:val="21"/>
                      <w:szCs w:val="20"/>
                      <w:lang w:val="en-US" w:eastAsia="zh-CN"/>
                    </w:rPr>
                    <w:t>1</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sz w:val="21"/>
                    </w:rPr>
                    <w:t>pH</w:t>
                  </w:r>
                  <w:r>
                    <w:rPr>
                      <w:rFonts w:ascii="Times New Roman" w:hAnsi="Times New Roman" w:eastAsia="宋体"/>
                      <w:spacing w:val="5"/>
                      <w:sz w:val="21"/>
                    </w:rPr>
                    <w:t>、</w:t>
                  </w:r>
                  <w:r>
                    <w:rPr>
                      <w:rFonts w:ascii="Times New Roman" w:hAnsi="Times New Roman" w:eastAsia="宋体" w:cs="Times New Roman"/>
                      <w:sz w:val="21"/>
                    </w:rPr>
                    <w:t>CODcr</w:t>
                  </w:r>
                  <w:r>
                    <w:rPr>
                      <w:rFonts w:ascii="Times New Roman" w:hAnsi="Times New Roman" w:eastAsia="宋体"/>
                      <w:spacing w:val="5"/>
                      <w:sz w:val="21"/>
                    </w:rPr>
                    <w:t>、</w:t>
                  </w:r>
                  <w:r>
                    <w:rPr>
                      <w:rFonts w:ascii="Times New Roman" w:hAnsi="Times New Roman" w:eastAsia="宋体" w:cs="Times New Roman"/>
                      <w:sz w:val="21"/>
                    </w:rPr>
                    <w:t>BOD</w:t>
                  </w:r>
                  <w:r>
                    <w:rPr>
                      <w:rFonts w:ascii="Times New Roman" w:hAnsi="Times New Roman" w:eastAsia="宋体" w:cs="Times New Roman"/>
                      <w:spacing w:val="5"/>
                      <w:position w:val="-1"/>
                      <w:sz w:val="21"/>
                      <w:szCs w:val="13"/>
                      <w:vertAlign w:val="subscript"/>
                    </w:rPr>
                    <w:t>5</w:t>
                  </w:r>
                  <w:r>
                    <w:rPr>
                      <w:rFonts w:ascii="Times New Roman" w:hAnsi="Times New Roman" w:eastAsia="宋体"/>
                      <w:spacing w:val="5"/>
                      <w:sz w:val="21"/>
                    </w:rPr>
                    <w:t>、</w:t>
                  </w:r>
                  <w:r>
                    <w:rPr>
                      <w:rFonts w:ascii="Times New Roman" w:hAnsi="Times New Roman" w:eastAsia="宋体" w:cs="Times New Roman"/>
                      <w:sz w:val="21"/>
                    </w:rPr>
                    <w:t>SS</w:t>
                  </w:r>
                  <w:r>
                    <w:rPr>
                      <w:rFonts w:ascii="Times New Roman" w:hAnsi="Times New Roman" w:eastAsia="宋体"/>
                      <w:spacing w:val="5"/>
                      <w:sz w:val="21"/>
                    </w:rPr>
                    <w:t>、石油</w:t>
                  </w:r>
                  <w:r>
                    <w:rPr>
                      <w:rFonts w:ascii="Times New Roman" w:hAnsi="Times New Roman" w:eastAsia="宋体"/>
                      <w:spacing w:val="14"/>
                      <w:sz w:val="21"/>
                    </w:rPr>
                    <w:t>类、</w:t>
                  </w:r>
                  <w:r>
                    <w:rPr>
                      <w:rFonts w:ascii="Times New Roman" w:hAnsi="Times New Roman" w:eastAsia="宋体" w:cs="Times New Roman"/>
                      <w:sz w:val="21"/>
                    </w:rPr>
                    <w:t>LAS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7"/>
                      <w:sz w:val="21"/>
                    </w:rPr>
                    <w:t>脱脂后水洗</w:t>
                  </w:r>
                </w:p>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4"/>
                      <w:sz w:val="21"/>
                    </w:rPr>
                  </w:pPr>
                  <w:r>
                    <w:rPr>
                      <w:rFonts w:ascii="Times New Roman" w:hAnsi="Times New Roman" w:eastAsia="宋体"/>
                      <w:spacing w:val="5"/>
                      <w:sz w:val="21"/>
                    </w:rPr>
                    <w:t>废水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2"/>
                      <w:sz w:val="21"/>
                      <w:szCs w:val="20"/>
                    </w:rPr>
                    <w:t>W</w:t>
                  </w:r>
                  <w:r>
                    <w:rPr>
                      <w:rFonts w:hint="eastAsia" w:cs="Times New Roman"/>
                      <w:spacing w:val="4"/>
                      <w:position w:val="2"/>
                      <w:sz w:val="21"/>
                      <w:szCs w:val="20"/>
                      <w:lang w:val="en-US" w:eastAsia="zh-CN"/>
                    </w:rPr>
                    <w:t>2</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sz w:val="21"/>
                    </w:rPr>
                    <w:t>pH</w:t>
                  </w:r>
                  <w:r>
                    <w:rPr>
                      <w:rFonts w:ascii="Times New Roman" w:hAnsi="Times New Roman" w:eastAsia="宋体"/>
                      <w:spacing w:val="5"/>
                      <w:sz w:val="21"/>
                    </w:rPr>
                    <w:t>、</w:t>
                  </w:r>
                  <w:r>
                    <w:rPr>
                      <w:rFonts w:ascii="Times New Roman" w:hAnsi="Times New Roman" w:eastAsia="宋体" w:cs="Times New Roman"/>
                      <w:sz w:val="21"/>
                    </w:rPr>
                    <w:t>CODcr</w:t>
                  </w:r>
                  <w:r>
                    <w:rPr>
                      <w:rFonts w:ascii="Times New Roman" w:hAnsi="Times New Roman" w:eastAsia="宋体"/>
                      <w:spacing w:val="5"/>
                      <w:sz w:val="21"/>
                    </w:rPr>
                    <w:t>、</w:t>
                  </w:r>
                  <w:r>
                    <w:rPr>
                      <w:rFonts w:ascii="Times New Roman" w:hAnsi="Times New Roman" w:eastAsia="宋体" w:cs="Times New Roman"/>
                      <w:sz w:val="21"/>
                    </w:rPr>
                    <w:t>BOD</w:t>
                  </w:r>
                  <w:r>
                    <w:rPr>
                      <w:rFonts w:ascii="Times New Roman" w:hAnsi="Times New Roman" w:eastAsia="宋体" w:cs="Times New Roman"/>
                      <w:spacing w:val="5"/>
                      <w:position w:val="-1"/>
                      <w:sz w:val="21"/>
                      <w:szCs w:val="13"/>
                      <w:vertAlign w:val="subscript"/>
                    </w:rPr>
                    <w:t>5</w:t>
                  </w:r>
                  <w:r>
                    <w:rPr>
                      <w:rFonts w:ascii="Times New Roman" w:hAnsi="Times New Roman" w:eastAsia="宋体"/>
                      <w:spacing w:val="5"/>
                      <w:sz w:val="21"/>
                    </w:rPr>
                    <w:t>、</w:t>
                  </w:r>
                  <w:r>
                    <w:rPr>
                      <w:rFonts w:ascii="Times New Roman" w:hAnsi="Times New Roman" w:eastAsia="宋体" w:cs="Times New Roman"/>
                      <w:sz w:val="21"/>
                    </w:rPr>
                    <w:t>SS</w:t>
                  </w:r>
                  <w:r>
                    <w:rPr>
                      <w:rFonts w:ascii="Times New Roman" w:hAnsi="Times New Roman" w:eastAsia="宋体"/>
                      <w:spacing w:val="5"/>
                      <w:sz w:val="21"/>
                    </w:rPr>
                    <w:t>、石油</w:t>
                  </w:r>
                  <w:r>
                    <w:rPr>
                      <w:rFonts w:ascii="Times New Roman" w:hAnsi="Times New Roman" w:eastAsia="宋体"/>
                      <w:spacing w:val="14"/>
                      <w:sz w:val="21"/>
                    </w:rPr>
                    <w:t>类、</w:t>
                  </w:r>
                  <w:r>
                    <w:rPr>
                      <w:rFonts w:ascii="Times New Roman" w:hAnsi="Times New Roman" w:eastAsia="宋体" w:cs="Times New Roman"/>
                      <w:sz w:val="21"/>
                    </w:rPr>
                    <w:t>LAS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2"/>
                      <w:sz w:val="21"/>
                      <w:szCs w:val="20"/>
                    </w:rPr>
                    <w:t>W</w:t>
                  </w:r>
                  <w:r>
                    <w:rPr>
                      <w:rFonts w:hint="eastAsia" w:cs="Times New Roman"/>
                      <w:spacing w:val="4"/>
                      <w:position w:val="2"/>
                      <w:sz w:val="21"/>
                      <w:szCs w:val="20"/>
                      <w:lang w:val="en-US" w:eastAsia="zh-CN"/>
                    </w:rPr>
                    <w:t>3</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sz w:val="21"/>
                    </w:rPr>
                    <w:t>pH</w:t>
                  </w:r>
                  <w:r>
                    <w:rPr>
                      <w:rFonts w:ascii="Times New Roman" w:hAnsi="Times New Roman" w:eastAsia="宋体"/>
                      <w:spacing w:val="5"/>
                      <w:sz w:val="21"/>
                    </w:rPr>
                    <w:t>、</w:t>
                  </w:r>
                  <w:r>
                    <w:rPr>
                      <w:rFonts w:ascii="Times New Roman" w:hAnsi="Times New Roman" w:eastAsia="宋体" w:cs="Times New Roman"/>
                      <w:sz w:val="21"/>
                    </w:rPr>
                    <w:t>CODcr</w:t>
                  </w:r>
                  <w:r>
                    <w:rPr>
                      <w:rFonts w:ascii="Times New Roman" w:hAnsi="Times New Roman" w:eastAsia="宋体"/>
                      <w:spacing w:val="5"/>
                      <w:sz w:val="21"/>
                    </w:rPr>
                    <w:t>、</w:t>
                  </w:r>
                  <w:r>
                    <w:rPr>
                      <w:rFonts w:ascii="Times New Roman" w:hAnsi="Times New Roman" w:eastAsia="宋体" w:cs="Times New Roman"/>
                      <w:sz w:val="21"/>
                    </w:rPr>
                    <w:t>BOD</w:t>
                  </w:r>
                  <w:r>
                    <w:rPr>
                      <w:rFonts w:ascii="Times New Roman" w:hAnsi="Times New Roman" w:eastAsia="宋体" w:cs="Times New Roman"/>
                      <w:spacing w:val="5"/>
                      <w:position w:val="-1"/>
                      <w:sz w:val="21"/>
                      <w:szCs w:val="13"/>
                      <w:vertAlign w:val="subscript"/>
                    </w:rPr>
                    <w:t>5</w:t>
                  </w:r>
                  <w:r>
                    <w:rPr>
                      <w:rFonts w:ascii="Times New Roman" w:hAnsi="Times New Roman" w:eastAsia="宋体"/>
                      <w:spacing w:val="5"/>
                      <w:sz w:val="21"/>
                    </w:rPr>
                    <w:t>、</w:t>
                  </w:r>
                  <w:r>
                    <w:rPr>
                      <w:rFonts w:ascii="Times New Roman" w:hAnsi="Times New Roman" w:eastAsia="宋体" w:cs="Times New Roman"/>
                      <w:sz w:val="21"/>
                    </w:rPr>
                    <w:t>SS</w:t>
                  </w:r>
                  <w:r>
                    <w:rPr>
                      <w:rFonts w:ascii="Times New Roman" w:hAnsi="Times New Roman" w:eastAsia="宋体"/>
                      <w:spacing w:val="5"/>
                      <w:sz w:val="21"/>
                    </w:rPr>
                    <w:t>、石油</w:t>
                  </w:r>
                  <w:r>
                    <w:rPr>
                      <w:rFonts w:ascii="Times New Roman" w:hAnsi="Times New Roman" w:eastAsia="宋体"/>
                      <w:spacing w:val="14"/>
                      <w:sz w:val="21"/>
                    </w:rPr>
                    <w:t>类、</w:t>
                  </w:r>
                  <w:r>
                    <w:rPr>
                      <w:rFonts w:ascii="Times New Roman" w:hAnsi="Times New Roman" w:eastAsia="宋体" w:cs="Times New Roman"/>
                      <w:sz w:val="21"/>
                    </w:rPr>
                    <w:t>LAS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9"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8"/>
                      <w:sz w:val="21"/>
                    </w:rPr>
                    <w:t>硅烷后水洗</w:t>
                  </w:r>
                </w:p>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4"/>
                      <w:sz w:val="21"/>
                    </w:rPr>
                  </w:pPr>
                  <w:r>
                    <w:rPr>
                      <w:rFonts w:ascii="Times New Roman" w:hAnsi="Times New Roman" w:eastAsia="宋体"/>
                      <w:spacing w:val="5"/>
                      <w:sz w:val="21"/>
                    </w:rPr>
                    <w:t>废水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4"/>
                      <w:sz w:val="21"/>
                      <w:szCs w:val="20"/>
                    </w:rPr>
                    <w:t>W</w:t>
                  </w:r>
                  <w:r>
                    <w:rPr>
                      <w:rFonts w:hint="eastAsia" w:cs="Times New Roman"/>
                      <w:spacing w:val="4"/>
                      <w:sz w:val="21"/>
                      <w:szCs w:val="20"/>
                      <w:lang w:val="en-US" w:eastAsia="zh-CN"/>
                    </w:rPr>
                    <w:t>4</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cs="Times New Roman"/>
                      <w:spacing w:val="-3"/>
                      <w:sz w:val="21"/>
                    </w:rPr>
                    <w:t>pH</w:t>
                  </w:r>
                  <w:r>
                    <w:rPr>
                      <w:rFonts w:ascii="Times New Roman" w:hAnsi="Times New Roman" w:eastAsia="宋体"/>
                      <w:spacing w:val="-3"/>
                      <w:sz w:val="21"/>
                    </w:rPr>
                    <w:t>、</w:t>
                  </w:r>
                  <w:r>
                    <w:rPr>
                      <w:rFonts w:ascii="Times New Roman" w:hAnsi="Times New Roman" w:eastAsia="宋体" w:cs="Times New Roman"/>
                      <w:spacing w:val="-3"/>
                      <w:sz w:val="21"/>
                    </w:rPr>
                    <w:t>CODcr</w:t>
                  </w:r>
                  <w:r>
                    <w:rPr>
                      <w:rFonts w:ascii="Times New Roman" w:hAnsi="Times New Roman" w:eastAsia="宋体"/>
                      <w:spacing w:val="-3"/>
                      <w:sz w:val="21"/>
                    </w:rPr>
                    <w:t>、</w:t>
                  </w:r>
                  <w:r>
                    <w:rPr>
                      <w:rFonts w:ascii="Times New Roman" w:hAnsi="Times New Roman" w:eastAsia="宋体" w:cs="Times New Roman"/>
                      <w:spacing w:val="-3"/>
                      <w:sz w:val="21"/>
                    </w:rPr>
                    <w:t>BOD</w:t>
                  </w:r>
                  <w:r>
                    <w:rPr>
                      <w:rFonts w:ascii="Times New Roman" w:hAnsi="Times New Roman" w:eastAsia="宋体" w:cs="Times New Roman"/>
                      <w:spacing w:val="-3"/>
                      <w:position w:val="-1"/>
                      <w:sz w:val="21"/>
                      <w:szCs w:val="13"/>
                      <w:vertAlign w:val="subscript"/>
                    </w:rPr>
                    <w:t>5</w:t>
                  </w:r>
                  <w:r>
                    <w:rPr>
                      <w:rFonts w:ascii="Times New Roman" w:hAnsi="Times New Roman" w:eastAsia="宋体"/>
                      <w:spacing w:val="-3"/>
                      <w:sz w:val="21"/>
                    </w:rPr>
                    <w:t>、</w:t>
                  </w:r>
                  <w:r>
                    <w:rPr>
                      <w:rFonts w:ascii="Times New Roman" w:hAnsi="Times New Roman" w:eastAsia="宋体" w:cs="Times New Roman"/>
                      <w:spacing w:val="-3"/>
                      <w:sz w:val="21"/>
                    </w:rPr>
                    <w:t>NH</w:t>
                  </w:r>
                  <w:r>
                    <w:rPr>
                      <w:rFonts w:ascii="Times New Roman" w:hAnsi="Times New Roman" w:eastAsia="宋体" w:cs="Times New Roman"/>
                      <w:spacing w:val="-3"/>
                      <w:sz w:val="21"/>
                      <w:szCs w:val="13"/>
                      <w:vertAlign w:val="subscript"/>
                    </w:rPr>
                    <w:t>3</w:t>
                  </w:r>
                  <w:r>
                    <w:rPr>
                      <w:rFonts w:ascii="Times New Roman" w:hAnsi="Times New Roman" w:eastAsia="宋体" w:cs="Times New Roman"/>
                      <w:spacing w:val="-3"/>
                      <w:sz w:val="21"/>
                    </w:rPr>
                    <w:t>-N</w:t>
                  </w:r>
                  <w:r>
                    <w:rPr>
                      <w:rFonts w:ascii="Times New Roman" w:hAnsi="Times New Roman" w:eastAsia="宋体"/>
                      <w:spacing w:val="-3"/>
                      <w:sz w:val="21"/>
                    </w:rPr>
                    <w:t>、</w:t>
                  </w:r>
                  <w:r>
                    <w:rPr>
                      <w:rFonts w:ascii="Times New Roman" w:hAnsi="Times New Roman" w:eastAsia="宋体" w:cs="Times New Roman"/>
                      <w:spacing w:val="-3"/>
                      <w:sz w:val="21"/>
                    </w:rPr>
                    <w:t>SS</w:t>
                  </w:r>
                  <w:r>
                    <w:rPr>
                      <w:rFonts w:ascii="Times New Roman" w:hAnsi="Times New Roman" w:eastAsia="宋体"/>
                      <w:spacing w:val="-3"/>
                      <w:sz w:val="21"/>
                    </w:rPr>
                    <w:t>、</w:t>
                  </w:r>
                  <w:r>
                    <w:rPr>
                      <w:rFonts w:ascii="Times New Roman" w:hAnsi="Times New Roman" w:eastAsia="宋体" w:cs="Times New Roman"/>
                      <w:sz w:val="21"/>
                    </w:rPr>
                    <w:t>TN</w:t>
                  </w:r>
                  <w:r>
                    <w:rPr>
                      <w:rFonts w:ascii="Times New Roman" w:hAnsi="Times New Roman" w:eastAsia="宋体"/>
                      <w:spacing w:val="5"/>
                      <w:sz w:val="21"/>
                    </w:rPr>
                    <w:t>、氟化物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9" w:hRule="atLeast"/>
                <w:tblHeader/>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z w:val="21"/>
                    </w:rPr>
                  </w:pP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2"/>
                      <w:sz w:val="21"/>
                      <w:szCs w:val="20"/>
                    </w:rPr>
                    <w:t>W</w:t>
                  </w:r>
                  <w:r>
                    <w:rPr>
                      <w:rFonts w:hint="eastAsia" w:cs="Times New Roman"/>
                      <w:spacing w:val="4"/>
                      <w:position w:val="2"/>
                      <w:sz w:val="21"/>
                      <w:szCs w:val="20"/>
                      <w:lang w:val="en-US" w:eastAsia="zh-CN"/>
                    </w:rPr>
                    <w:t>5</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宋体"/>
                      <w:kern w:val="2"/>
                      <w:sz w:val="21"/>
                      <w:szCs w:val="24"/>
                      <w:lang w:val="en-US" w:eastAsia="zh-CN" w:bidi="ar-SA"/>
                    </w:rPr>
                  </w:pPr>
                  <w:r>
                    <w:rPr>
                      <w:rFonts w:ascii="Times New Roman" w:hAnsi="Times New Roman" w:eastAsia="宋体" w:cs="Times New Roman"/>
                      <w:spacing w:val="-3"/>
                      <w:sz w:val="21"/>
                    </w:rPr>
                    <w:t>pH</w:t>
                  </w:r>
                  <w:r>
                    <w:rPr>
                      <w:rFonts w:ascii="Times New Roman" w:hAnsi="Times New Roman" w:eastAsia="宋体"/>
                      <w:spacing w:val="-3"/>
                      <w:sz w:val="21"/>
                    </w:rPr>
                    <w:t>、</w:t>
                  </w:r>
                  <w:r>
                    <w:rPr>
                      <w:rFonts w:ascii="Times New Roman" w:hAnsi="Times New Roman" w:eastAsia="宋体" w:cs="Times New Roman"/>
                      <w:spacing w:val="-3"/>
                      <w:sz w:val="21"/>
                    </w:rPr>
                    <w:t>CODcr</w:t>
                  </w:r>
                  <w:r>
                    <w:rPr>
                      <w:rFonts w:ascii="Times New Roman" w:hAnsi="Times New Roman" w:eastAsia="宋体"/>
                      <w:spacing w:val="-3"/>
                      <w:sz w:val="21"/>
                    </w:rPr>
                    <w:t>、</w:t>
                  </w:r>
                  <w:r>
                    <w:rPr>
                      <w:rFonts w:ascii="Times New Roman" w:hAnsi="Times New Roman" w:eastAsia="宋体" w:cs="Times New Roman"/>
                      <w:spacing w:val="-3"/>
                      <w:sz w:val="21"/>
                    </w:rPr>
                    <w:t>BOD</w:t>
                  </w:r>
                  <w:r>
                    <w:rPr>
                      <w:rFonts w:ascii="Times New Roman" w:hAnsi="Times New Roman" w:eastAsia="宋体" w:cs="Times New Roman"/>
                      <w:spacing w:val="-3"/>
                      <w:position w:val="-1"/>
                      <w:sz w:val="21"/>
                      <w:szCs w:val="13"/>
                      <w:vertAlign w:val="subscript"/>
                    </w:rPr>
                    <w:t>5</w:t>
                  </w:r>
                  <w:r>
                    <w:rPr>
                      <w:rFonts w:ascii="Times New Roman" w:hAnsi="Times New Roman" w:eastAsia="宋体"/>
                      <w:spacing w:val="-3"/>
                      <w:sz w:val="21"/>
                    </w:rPr>
                    <w:t>、</w:t>
                  </w:r>
                  <w:r>
                    <w:rPr>
                      <w:rFonts w:ascii="Times New Roman" w:hAnsi="Times New Roman" w:eastAsia="宋体" w:cs="Times New Roman"/>
                      <w:spacing w:val="-3"/>
                      <w:sz w:val="21"/>
                    </w:rPr>
                    <w:t>NH</w:t>
                  </w:r>
                  <w:r>
                    <w:rPr>
                      <w:rFonts w:ascii="Times New Roman" w:hAnsi="Times New Roman" w:eastAsia="宋体" w:cs="Times New Roman"/>
                      <w:spacing w:val="-3"/>
                      <w:sz w:val="21"/>
                      <w:szCs w:val="13"/>
                      <w:vertAlign w:val="subscript"/>
                    </w:rPr>
                    <w:t>3</w:t>
                  </w:r>
                  <w:r>
                    <w:rPr>
                      <w:rFonts w:ascii="Times New Roman" w:hAnsi="Times New Roman" w:eastAsia="宋体" w:cs="Times New Roman"/>
                      <w:spacing w:val="-3"/>
                      <w:sz w:val="21"/>
                    </w:rPr>
                    <w:t>-N</w:t>
                  </w:r>
                  <w:r>
                    <w:rPr>
                      <w:rFonts w:ascii="Times New Roman" w:hAnsi="Times New Roman" w:eastAsia="宋体"/>
                      <w:spacing w:val="-3"/>
                      <w:sz w:val="21"/>
                    </w:rPr>
                    <w:t>、</w:t>
                  </w:r>
                  <w:r>
                    <w:rPr>
                      <w:rFonts w:ascii="Times New Roman" w:hAnsi="Times New Roman" w:eastAsia="宋体" w:cs="Times New Roman"/>
                      <w:spacing w:val="-3"/>
                      <w:sz w:val="21"/>
                    </w:rPr>
                    <w:t>SS</w:t>
                  </w:r>
                  <w:r>
                    <w:rPr>
                      <w:rFonts w:ascii="Times New Roman" w:hAnsi="Times New Roman" w:eastAsia="宋体"/>
                      <w:spacing w:val="-3"/>
                      <w:sz w:val="21"/>
                    </w:rPr>
                    <w:t>、</w:t>
                  </w:r>
                  <w:r>
                    <w:rPr>
                      <w:rFonts w:ascii="Times New Roman" w:hAnsi="Times New Roman" w:eastAsia="宋体" w:cs="Times New Roman"/>
                      <w:sz w:val="21"/>
                    </w:rPr>
                    <w:t>TN</w:t>
                  </w:r>
                  <w:r>
                    <w:rPr>
                      <w:rFonts w:ascii="Times New Roman" w:hAnsi="Times New Roman" w:eastAsia="宋体"/>
                      <w:spacing w:val="5"/>
                      <w:sz w:val="21"/>
                    </w:rPr>
                    <w:t>、氟化物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highlight w:val="none"/>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6"/>
                      <w:sz w:val="21"/>
                    </w:rPr>
                    <w:t>纯水制备</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7"/>
                      <w:sz w:val="21"/>
                    </w:rPr>
                    <w:t>纯水制备尾</w:t>
                  </w:r>
                </w:p>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z w:val="21"/>
                    </w:rPr>
                    <w:t>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en-US" w:bidi="ar-SA"/>
                    </w:rPr>
                  </w:pPr>
                  <w:r>
                    <w:rPr>
                      <w:rFonts w:ascii="Times New Roman" w:hAnsi="Times New Roman" w:eastAsia="宋体" w:cs="Times New Roman"/>
                      <w:spacing w:val="4"/>
                      <w:sz w:val="21"/>
                      <w:szCs w:val="20"/>
                    </w:rPr>
                    <w:t>W7</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sz w:val="21"/>
                    </w:rPr>
                    <w:t>pH</w:t>
                  </w:r>
                  <w:r>
                    <w:rPr>
                      <w:rFonts w:ascii="Times New Roman" w:hAnsi="Times New Roman" w:eastAsia="宋体"/>
                      <w:spacing w:val="13"/>
                      <w:sz w:val="21"/>
                    </w:rPr>
                    <w:t>、</w:t>
                  </w:r>
                  <w:r>
                    <w:rPr>
                      <w:rFonts w:ascii="Times New Roman" w:hAnsi="Times New Roman" w:eastAsia="宋体" w:cs="Times New Roman"/>
                      <w:sz w:val="21"/>
                    </w:rPr>
                    <w:t>CODcr</w:t>
                  </w:r>
                  <w:r>
                    <w:rPr>
                      <w:rFonts w:ascii="Times New Roman" w:hAnsi="Times New Roman" w:eastAsia="宋体"/>
                      <w:spacing w:val="13"/>
                      <w:sz w:val="21"/>
                    </w:rPr>
                    <w:t>、</w:t>
                  </w:r>
                  <w:r>
                    <w:rPr>
                      <w:rFonts w:ascii="Times New Roman" w:hAnsi="Times New Roman" w:eastAsia="宋体" w:cs="Times New Roman"/>
                      <w:sz w:val="21"/>
                    </w:rPr>
                    <w:t>SS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highlight w:val="none"/>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5"/>
                      <w:sz w:val="21"/>
                    </w:rPr>
                    <w:t>员工生活</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6"/>
                      <w:sz w:val="21"/>
                    </w:rPr>
                    <w:t>生活污水</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kern w:val="2"/>
                      <w:sz w:val="21"/>
                      <w:szCs w:val="20"/>
                      <w:lang w:val="en-US" w:eastAsia="en-US" w:bidi="ar-SA"/>
                    </w:rPr>
                  </w:pPr>
                  <w:r>
                    <w:rPr>
                      <w:rFonts w:ascii="Times New Roman" w:hAnsi="Times New Roman" w:eastAsia="宋体" w:cs="Times New Roman"/>
                      <w:spacing w:val="4"/>
                      <w:position w:val="1"/>
                      <w:sz w:val="21"/>
                      <w:szCs w:val="20"/>
                    </w:rPr>
                    <w:t>W8</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spacing w:val="-1"/>
                      <w:sz w:val="21"/>
                    </w:rPr>
                    <w:t>COD</w:t>
                  </w:r>
                  <w:r>
                    <w:rPr>
                      <w:rFonts w:ascii="Times New Roman" w:hAnsi="Times New Roman" w:eastAsia="宋体" w:cs="Times New Roman"/>
                      <w:spacing w:val="-1"/>
                      <w:position w:val="-1"/>
                      <w:sz w:val="21"/>
                      <w:szCs w:val="13"/>
                    </w:rPr>
                    <w:t>Cr</w:t>
                  </w:r>
                  <w:r>
                    <w:rPr>
                      <w:rFonts w:ascii="Times New Roman" w:hAnsi="Times New Roman" w:eastAsia="宋体"/>
                      <w:spacing w:val="-1"/>
                      <w:sz w:val="21"/>
                    </w:rPr>
                    <w:t>、</w:t>
                  </w:r>
                  <w:r>
                    <w:rPr>
                      <w:rFonts w:ascii="Times New Roman" w:hAnsi="Times New Roman" w:eastAsia="宋体" w:cs="Times New Roman"/>
                      <w:spacing w:val="-1"/>
                      <w:sz w:val="21"/>
                    </w:rPr>
                    <w:t>BOD</w:t>
                  </w:r>
                  <w:r>
                    <w:rPr>
                      <w:rFonts w:ascii="Times New Roman" w:hAnsi="Times New Roman" w:eastAsia="宋体" w:cs="Times New Roman"/>
                      <w:spacing w:val="-1"/>
                      <w:position w:val="-1"/>
                      <w:sz w:val="21"/>
                      <w:szCs w:val="13"/>
                      <w:vertAlign w:val="subscript"/>
                    </w:rPr>
                    <w:t>5</w:t>
                  </w:r>
                  <w:r>
                    <w:rPr>
                      <w:rFonts w:ascii="Times New Roman" w:hAnsi="Times New Roman" w:eastAsia="宋体"/>
                      <w:spacing w:val="-1"/>
                      <w:sz w:val="21"/>
                    </w:rPr>
                    <w:t>、</w:t>
                  </w:r>
                  <w:r>
                    <w:rPr>
                      <w:rFonts w:ascii="Times New Roman" w:hAnsi="Times New Roman" w:eastAsia="宋体" w:cs="Times New Roman"/>
                      <w:spacing w:val="-1"/>
                      <w:sz w:val="21"/>
                    </w:rPr>
                    <w:t>NH</w:t>
                  </w:r>
                  <w:r>
                    <w:rPr>
                      <w:rFonts w:ascii="Times New Roman" w:hAnsi="Times New Roman" w:eastAsia="宋体" w:cs="Times New Roman"/>
                      <w:spacing w:val="-1"/>
                      <w:sz w:val="21"/>
                      <w:szCs w:val="13"/>
                      <w:vertAlign w:val="subscript"/>
                    </w:rPr>
                    <w:t>3</w:t>
                  </w:r>
                  <w:r>
                    <w:rPr>
                      <w:rFonts w:ascii="Times New Roman" w:hAnsi="Times New Roman" w:eastAsia="宋体" w:cs="Times New Roman"/>
                      <w:spacing w:val="-1"/>
                      <w:sz w:val="21"/>
                    </w:rPr>
                    <w:t>-N</w:t>
                  </w:r>
                  <w:r>
                    <w:rPr>
                      <w:rFonts w:ascii="Times New Roman" w:hAnsi="Times New Roman" w:eastAsia="宋体"/>
                      <w:spacing w:val="-1"/>
                      <w:sz w:val="21"/>
                    </w:rPr>
                    <w:t>、</w:t>
                  </w:r>
                  <w:r>
                    <w:rPr>
                      <w:rFonts w:ascii="Times New Roman" w:hAnsi="Times New Roman" w:eastAsia="宋体" w:cs="Times New Roman"/>
                      <w:spacing w:val="-1"/>
                      <w:sz w:val="21"/>
                    </w:rPr>
                    <w:t>SS</w:t>
                  </w:r>
                  <w:r>
                    <w:rPr>
                      <w:rFonts w:ascii="Times New Roman" w:hAnsi="Times New Roman" w:eastAsia="宋体"/>
                      <w:spacing w:val="-1"/>
                      <w:sz w:val="21"/>
                    </w:rPr>
                    <w:t>、</w:t>
                  </w:r>
                  <w:r>
                    <w:rPr>
                      <w:rFonts w:ascii="Times New Roman" w:hAnsi="Times New Roman" w:eastAsia="宋体" w:cs="Times New Roman"/>
                      <w:spacing w:val="-1"/>
                      <w:sz w:val="21"/>
                    </w:rPr>
                    <w:t>TN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0" w:type="auto"/>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pacing w:val="-10"/>
                      <w:sz w:val="21"/>
                    </w:rPr>
                    <w:t>3</w:t>
                  </w:r>
                </w:p>
              </w:tc>
              <w:tc>
                <w:tcPr>
                  <w:tcW w:w="0" w:type="auto"/>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ascii="Times New Roman" w:hAnsi="Times New Roman" w:eastAsia="宋体"/>
                      <w:spacing w:val="-8"/>
                      <w:sz w:val="21"/>
                    </w:rPr>
                    <w:t>固废</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4"/>
                      <w:sz w:val="21"/>
                    </w:rPr>
                    <w:t>焊接</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焊渣</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7"/>
                      <w:position w:val="1"/>
                      <w:sz w:val="21"/>
                      <w:szCs w:val="20"/>
                    </w:rPr>
                    <w:t>S1</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焊渣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10"/>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8"/>
                      <w:sz w:val="21"/>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4"/>
                      <w:sz w:val="21"/>
                    </w:rPr>
                    <w:t>装配</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7"/>
                      <w:sz w:val="21"/>
                    </w:rPr>
                    <w:t>废金属料</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spacing w:val="7"/>
                      <w:position w:val="1"/>
                      <w:sz w:val="21"/>
                      <w:szCs w:val="20"/>
                    </w:rPr>
                  </w:pPr>
                  <w:r>
                    <w:rPr>
                      <w:rFonts w:ascii="Times New Roman" w:hAnsi="Times New Roman" w:eastAsia="宋体" w:cs="Times New Roman"/>
                      <w:spacing w:val="-3"/>
                      <w:sz w:val="21"/>
                      <w:szCs w:val="20"/>
                    </w:rPr>
                    <w:t>S5</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8"/>
                      <w:sz w:val="21"/>
                    </w:rPr>
                    <w:t>废金属零件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10"/>
                      <w:sz w:val="21"/>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spacing w:val="-8"/>
                      <w:sz w:val="21"/>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1"/>
                      <w:sz w:val="21"/>
                    </w:rPr>
                    <w:t>原料拆包装、产</w:t>
                  </w:r>
                  <w:r>
                    <w:rPr>
                      <w:rFonts w:ascii="Times New Roman" w:hAnsi="Times New Roman" w:eastAsia="宋体"/>
                      <w:spacing w:val="1"/>
                      <w:sz w:val="21"/>
                    </w:rPr>
                    <w:t>品包装</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8"/>
                      <w:sz w:val="21"/>
                    </w:rPr>
                    <w:t>废一般包装</w:t>
                  </w:r>
                  <w:r>
                    <w:rPr>
                      <w:rFonts w:ascii="Times New Roman" w:hAnsi="Times New Roman" w:eastAsia="宋体"/>
                      <w:spacing w:val="4"/>
                      <w:sz w:val="21"/>
                    </w:rPr>
                    <w:t>材料</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spacing w:val="7"/>
                      <w:position w:val="1"/>
                      <w:sz w:val="21"/>
                      <w:szCs w:val="20"/>
                    </w:rPr>
                  </w:pPr>
                  <w:r>
                    <w:rPr>
                      <w:rFonts w:ascii="Times New Roman" w:hAnsi="Times New Roman" w:eastAsia="宋体" w:cs="Times New Roman"/>
                      <w:spacing w:val="-3"/>
                      <w:sz w:val="21"/>
                      <w:szCs w:val="20"/>
                    </w:rPr>
                    <w:t>S7</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spacing w:val="4"/>
                      <w:sz w:val="21"/>
                    </w:rPr>
                  </w:pPr>
                  <w:r>
                    <w:rPr>
                      <w:rFonts w:ascii="Times New Roman" w:hAnsi="Times New Roman" w:eastAsia="宋体"/>
                      <w:spacing w:val="8"/>
                      <w:position w:val="1"/>
                      <w:sz w:val="21"/>
                    </w:rPr>
                    <w:t>废纸、塑料袋</w:t>
                  </w:r>
                  <w:r>
                    <w:rPr>
                      <w:rFonts w:ascii="Times New Roman" w:hAnsi="Times New Roman" w:eastAsia="宋体" w:cs="Times New Roman"/>
                      <w:spacing w:val="8"/>
                      <w:position w:val="1"/>
                      <w:sz w:val="21"/>
                    </w:rPr>
                    <w:t>/</w:t>
                  </w:r>
                  <w:r>
                    <w:rPr>
                      <w:rFonts w:ascii="Times New Roman" w:hAnsi="Times New Roman" w:eastAsia="宋体"/>
                      <w:spacing w:val="8"/>
                      <w:position w:val="1"/>
                      <w:sz w:val="21"/>
                    </w:rPr>
                    <w:t>膜、纸箱等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8"/>
                      <w:sz w:val="21"/>
                    </w:rPr>
                    <w:t>脱脂槽槽液过</w:t>
                  </w:r>
                  <w:r>
                    <w:rPr>
                      <w:rFonts w:ascii="Times New Roman" w:hAnsi="Times New Roman" w:eastAsia="宋体"/>
                      <w:sz w:val="21"/>
                    </w:rPr>
                    <w:t>滤</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废过滤物</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S2</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沾染废过滤杂物的废过滤袋等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化学品拆包装</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废化学品包</w:t>
                  </w:r>
                  <w:r>
                    <w:rPr>
                      <w:rFonts w:ascii="Times New Roman" w:hAnsi="Times New Roman" w:eastAsia="宋体"/>
                      <w:sz w:val="21"/>
                    </w:rPr>
                    <w:t>装</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S3</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沾有化学品的包装物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8"/>
                      <w:sz w:val="21"/>
                    </w:rPr>
                    <w:t>电泳</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废涂料桶</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1"/>
                      <w:sz w:val="21"/>
                      <w:szCs w:val="20"/>
                    </w:rPr>
                    <w:t>S4</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沾有水性涂料的包装物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000000" w:themeColor="text1"/>
                      <w:sz w:val="21"/>
                      <w:highlight w:val="none"/>
                      <w:lang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1"/>
                      <w:sz w:val="21"/>
                    </w:rPr>
                    <w:t>装配、设备维护</w:t>
                  </w:r>
                </w:p>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en-US" w:bidi="ar-SA"/>
                    </w:rPr>
                  </w:pPr>
                  <w:r>
                    <w:rPr>
                      <w:rFonts w:ascii="Times New Roman" w:hAnsi="Times New Roman" w:eastAsia="宋体"/>
                      <w:spacing w:val="4"/>
                      <w:sz w:val="21"/>
                    </w:rPr>
                    <w:t>保养</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8"/>
                      <w:sz w:val="21"/>
                    </w:rPr>
                    <w:t>废含油抹布</w:t>
                  </w:r>
                </w:p>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4"/>
                      <w:sz w:val="21"/>
                    </w:rPr>
                    <w:t>手套</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S6</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沾染机油的抹布、手套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6"/>
                      <w:sz w:val="21"/>
                    </w:rPr>
                    <w:t>纯水制备</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z w:val="21"/>
                    </w:rPr>
                  </w:pPr>
                  <w:r>
                    <w:rPr>
                      <w:rFonts w:ascii="Times New Roman" w:hAnsi="Times New Roman" w:eastAsia="宋体"/>
                      <w:spacing w:val="8"/>
                      <w:sz w:val="21"/>
                    </w:rPr>
                    <w:t>废弃纯水制</w:t>
                  </w:r>
                </w:p>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6"/>
                      <w:sz w:val="21"/>
                    </w:rPr>
                    <w:t>备耗材</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S8</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9"/>
                      <w:sz w:val="21"/>
                    </w:rPr>
                    <w:t>废</w:t>
                  </w:r>
                  <w:r>
                    <w:rPr>
                      <w:rFonts w:ascii="Times New Roman" w:hAnsi="Times New Roman" w:eastAsia="宋体" w:cs="Times New Roman"/>
                      <w:sz w:val="21"/>
                    </w:rPr>
                    <w:t>RO</w:t>
                  </w:r>
                  <w:r>
                    <w:rPr>
                      <w:rFonts w:ascii="Times New Roman" w:hAnsi="Times New Roman" w:eastAsia="宋体"/>
                      <w:spacing w:val="9"/>
                      <w:sz w:val="21"/>
                    </w:rPr>
                    <w:t>膜、废过滤器、废离子交</w:t>
                  </w:r>
                  <w:r>
                    <w:rPr>
                      <w:rFonts w:ascii="Times New Roman" w:hAnsi="Times New Roman" w:eastAsia="宋体"/>
                      <w:spacing w:val="6"/>
                      <w:sz w:val="21"/>
                    </w:rPr>
                    <w:t>换树脂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设备维护保养</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废机油</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1"/>
                      <w:sz w:val="21"/>
                      <w:szCs w:val="20"/>
                    </w:rPr>
                    <w:t>S9</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废矿物油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设备维护保养</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废油桶</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8"/>
                      <w:position w:val="1"/>
                      <w:sz w:val="21"/>
                      <w:szCs w:val="20"/>
                    </w:rPr>
                    <w:t>S</w:t>
                  </w:r>
                  <w:r>
                    <w:rPr>
                      <w:rFonts w:ascii="Times New Roman" w:hAnsi="Times New Roman" w:eastAsia="宋体" w:cs="Times New Roman"/>
                      <w:spacing w:val="-27"/>
                      <w:position w:val="1"/>
                      <w:sz w:val="21"/>
                      <w:szCs w:val="20"/>
                    </w:rPr>
                    <w:t xml:space="preserve"> </w:t>
                  </w:r>
                  <w:r>
                    <w:rPr>
                      <w:rFonts w:ascii="Times New Roman" w:hAnsi="Times New Roman" w:eastAsia="宋体" w:cs="Times New Roman"/>
                      <w:spacing w:val="-8"/>
                      <w:position w:val="1"/>
                      <w:sz w:val="21"/>
                      <w:szCs w:val="20"/>
                    </w:rPr>
                    <w:t>10</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沾染矿物油的包装物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0" w:type="auto"/>
                  <w:vMerge w:val="continue"/>
                  <w:tcBorders>
                    <w:tl2br w:val="nil"/>
                    <w:tr2bl w:val="nil"/>
                  </w:tcBorders>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污水处理设施</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8"/>
                      <w:sz w:val="21"/>
                    </w:rPr>
                    <w:t>废水处理污</w:t>
                  </w:r>
                  <w:r>
                    <w:rPr>
                      <w:rFonts w:ascii="Times New Roman" w:hAnsi="Times New Roman" w:eastAsia="宋体"/>
                      <w:sz w:val="21"/>
                    </w:rPr>
                    <w:t>泥</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8"/>
                      <w:position w:val="2"/>
                      <w:sz w:val="21"/>
                      <w:szCs w:val="20"/>
                    </w:rPr>
                    <w:t>S</w:t>
                  </w:r>
                  <w:r>
                    <w:rPr>
                      <w:rFonts w:ascii="Times New Roman" w:hAnsi="Times New Roman" w:eastAsia="宋体" w:cs="Times New Roman"/>
                      <w:spacing w:val="-27"/>
                      <w:position w:val="2"/>
                      <w:sz w:val="21"/>
                      <w:szCs w:val="20"/>
                    </w:rPr>
                    <w:t xml:space="preserve"> </w:t>
                  </w:r>
                  <w:r>
                    <w:rPr>
                      <w:rFonts w:ascii="Times New Roman" w:hAnsi="Times New Roman" w:eastAsia="宋体" w:cs="Times New Roman"/>
                      <w:spacing w:val="-8"/>
                      <w:position w:val="2"/>
                      <w:sz w:val="21"/>
                      <w:szCs w:val="20"/>
                    </w:rPr>
                    <w:t>11</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3"/>
                      <w:sz w:val="21"/>
                    </w:rPr>
                    <w:t>污泥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活性炭装置</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废活性炭</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8"/>
                      <w:position w:val="1"/>
                      <w:sz w:val="21"/>
                      <w:szCs w:val="20"/>
                    </w:rPr>
                    <w:t>S</w:t>
                  </w:r>
                  <w:r>
                    <w:rPr>
                      <w:rFonts w:ascii="Times New Roman" w:hAnsi="Times New Roman" w:eastAsia="宋体" w:cs="Times New Roman"/>
                      <w:spacing w:val="-27"/>
                      <w:position w:val="1"/>
                      <w:sz w:val="21"/>
                      <w:szCs w:val="20"/>
                    </w:rPr>
                    <w:t xml:space="preserve"> </w:t>
                  </w:r>
                  <w:r>
                    <w:rPr>
                      <w:rFonts w:ascii="Times New Roman" w:hAnsi="Times New Roman" w:eastAsia="宋体" w:cs="Times New Roman"/>
                      <w:spacing w:val="-8"/>
                      <w:position w:val="1"/>
                      <w:sz w:val="21"/>
                      <w:szCs w:val="20"/>
                    </w:rPr>
                    <w:t>12</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吸附废气的活性炭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7"/>
                      <w:sz w:val="21"/>
                    </w:rPr>
                    <w:t>超滤系统</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废滤膜</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8"/>
                      <w:position w:val="1"/>
                      <w:sz w:val="21"/>
                      <w:szCs w:val="20"/>
                    </w:rPr>
                    <w:t>S</w:t>
                  </w:r>
                  <w:r>
                    <w:rPr>
                      <w:rFonts w:ascii="Times New Roman" w:hAnsi="Times New Roman" w:eastAsia="宋体" w:cs="Times New Roman"/>
                      <w:spacing w:val="-27"/>
                      <w:position w:val="1"/>
                      <w:sz w:val="21"/>
                      <w:szCs w:val="20"/>
                    </w:rPr>
                    <w:t xml:space="preserve"> </w:t>
                  </w:r>
                  <w:r>
                    <w:rPr>
                      <w:rFonts w:ascii="Times New Roman" w:hAnsi="Times New Roman" w:eastAsia="宋体" w:cs="Times New Roman"/>
                      <w:spacing w:val="-8"/>
                      <w:position w:val="1"/>
                      <w:sz w:val="21"/>
                      <w:szCs w:val="20"/>
                    </w:rPr>
                    <w:t>13</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7"/>
                      <w:sz w:val="21"/>
                    </w:rPr>
                    <w:t>沾染杂物的滤膜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0" w:type="auto"/>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5"/>
                      <w:sz w:val="21"/>
                    </w:rPr>
                    <w:t>员工生活</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6"/>
                      <w:sz w:val="21"/>
                    </w:rPr>
                    <w:t>生活垃圾</w:t>
                  </w:r>
                </w:p>
              </w:tc>
              <w:tc>
                <w:tcPr>
                  <w:tcW w:w="0" w:type="auto"/>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8"/>
                      <w:position w:val="1"/>
                      <w:sz w:val="21"/>
                      <w:szCs w:val="20"/>
                    </w:rPr>
                    <w:t>S</w:t>
                  </w:r>
                  <w:r>
                    <w:rPr>
                      <w:rFonts w:ascii="Times New Roman" w:hAnsi="Times New Roman" w:eastAsia="宋体" w:cs="Times New Roman"/>
                      <w:spacing w:val="-27"/>
                      <w:position w:val="1"/>
                      <w:sz w:val="21"/>
                      <w:szCs w:val="20"/>
                    </w:rPr>
                    <w:t xml:space="preserve"> </w:t>
                  </w:r>
                  <w:r>
                    <w:rPr>
                      <w:rFonts w:ascii="Times New Roman" w:hAnsi="Times New Roman" w:eastAsia="宋体" w:cs="Times New Roman"/>
                      <w:spacing w:val="-8"/>
                      <w:position w:val="1"/>
                      <w:sz w:val="21"/>
                      <w:szCs w:val="20"/>
                    </w:rPr>
                    <w:t>14</w:t>
                  </w:r>
                </w:p>
              </w:tc>
              <w:tc>
                <w:tcPr>
                  <w:tcW w:w="0" w:type="auto"/>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kern w:val="2"/>
                      <w:sz w:val="21"/>
                      <w:szCs w:val="24"/>
                      <w:lang w:val="en-US" w:eastAsia="en-US" w:bidi="ar-SA"/>
                    </w:rPr>
                  </w:pPr>
                  <w:r>
                    <w:rPr>
                      <w:rFonts w:ascii="Times New Roman" w:hAnsi="Times New Roman" w:eastAsia="宋体"/>
                      <w:spacing w:val="9"/>
                      <w:sz w:val="21"/>
                    </w:rPr>
                    <w:t>废纸、废塑料和有机垃圾等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0" w:type="auto"/>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p>
              </w:tc>
              <w:tc>
                <w:tcPr>
                  <w:tcW w:w="0" w:type="auto"/>
                  <w:tcBorders>
                    <w:tl2br w:val="nil"/>
                    <w:tr2bl w:val="nil"/>
                  </w:tcBorders>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spacing w:val="-8"/>
                      <w:sz w:val="21"/>
                    </w:rPr>
                    <w:t>噪声</w:t>
                  </w:r>
                </w:p>
              </w:tc>
              <w:tc>
                <w:tcPr>
                  <w:tcW w:w="0" w:type="auto"/>
                  <w:gridSpan w:val="4"/>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pacing w:val="9"/>
                      <w:sz w:val="21"/>
                    </w:rPr>
                    <w:t>本项目新增噪声源主要是焊接设备、废气处</w:t>
                  </w:r>
                  <w:r>
                    <w:rPr>
                      <w:rFonts w:ascii="Times New Roman" w:hAnsi="Times New Roman" w:eastAsia="宋体"/>
                      <w:spacing w:val="8"/>
                      <w:sz w:val="21"/>
                    </w:rPr>
                    <w:t>理风机等设备运行产生的噪声。</w:t>
                  </w:r>
                </w:p>
              </w:tc>
            </w:tr>
          </w:tbl>
          <w:p>
            <w:pPr>
              <w:pStyle w:val="26"/>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7" w:hRule="atLeast"/>
          <w:jc w:val="center"/>
        </w:trPr>
        <w:tc>
          <w:tcPr>
            <w:tcW w:w="528" w:type="dxa"/>
            <w:vAlign w:val="center"/>
          </w:tcPr>
          <w:p>
            <w:pPr>
              <w:pStyle w:val="30"/>
              <w:adjustRightInd w:val="0"/>
              <w:snapToGrid w:val="0"/>
              <w:spacing w:before="0" w:beforeAutospacing="0" w:after="0" w:afterAutospacing="0"/>
              <w:jc w:val="center"/>
              <w:rPr>
                <w:rFonts w:hint="eastAsia" w:cs="宋体"/>
                <w:bCs/>
                <w:color w:val="000000" w:themeColor="text1"/>
                <w:kern w:val="2"/>
                <w:sz w:val="21"/>
                <w:szCs w:val="21"/>
                <w:highlight w:val="none"/>
                <w14:textFill>
                  <w14:solidFill>
                    <w14:schemeClr w14:val="tx1"/>
                  </w14:solidFill>
                </w14:textFill>
              </w:rPr>
            </w:pPr>
            <w:r>
              <w:rPr>
                <w:rFonts w:hint="eastAsia" w:cs="宋体"/>
                <w:bCs/>
                <w:color w:val="000000" w:themeColor="text1"/>
                <w:kern w:val="2"/>
                <w:sz w:val="21"/>
                <w:szCs w:val="21"/>
                <w:highlight w:val="none"/>
                <w14:textFill>
                  <w14:solidFill>
                    <w14:schemeClr w14:val="tx1"/>
                  </w14:solidFill>
                </w14:textFill>
              </w:rPr>
              <w:t>与项目有关的原有环境污染问题</w:t>
            </w:r>
          </w:p>
        </w:tc>
        <w:tc>
          <w:tcPr>
            <w:tcW w:w="8802" w:type="dxa"/>
            <w:vAlign w:val="center"/>
          </w:tcPr>
          <w:p>
            <w:pPr>
              <w:pStyle w:val="44"/>
              <w:ind w:firstLine="480"/>
              <w:jc w:val="both"/>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本项目为新建项目，不存在与本项目有关的环境污染问题。</w:t>
            </w:r>
          </w:p>
        </w:tc>
      </w:tr>
    </w:tbl>
    <w:p>
      <w:pPr>
        <w:rPr>
          <w:color w:val="000000" w:themeColor="text1"/>
          <w14:textFill>
            <w14:solidFill>
              <w14:schemeClr w14:val="tx1"/>
            </w14:solidFill>
          </w14:textFill>
        </w:rPr>
      </w:pPr>
    </w:p>
    <w:p>
      <w:pPr>
        <w:pStyle w:val="30"/>
        <w:jc w:val="center"/>
        <w:rPr>
          <w:rFonts w:ascii="黑体" w:hAnsi="黑体" w:eastAsia="黑体"/>
          <w:snapToGrid w:val="0"/>
          <w:color w:val="000000" w:themeColor="text1"/>
          <w:sz w:val="36"/>
          <w:szCs w:val="36"/>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2"/>
        <w:numPr>
          <w:ilvl w:val="0"/>
          <w:numId w:val="1"/>
        </w:numPr>
        <w:bidi w:val="0"/>
        <w:ind w:left="432" w:leftChars="0" w:hanging="432" w:firstLineChars="0"/>
        <w:rPr>
          <w:rFonts w:hint="eastAsia"/>
          <w:color w:val="000000" w:themeColor="text1"/>
          <w:highlight w:val="none"/>
          <w14:textFill>
            <w14:solidFill>
              <w14:schemeClr w14:val="tx1"/>
            </w14:solidFill>
          </w14:textFill>
        </w:rPr>
      </w:pPr>
      <w:bookmarkStart w:id="23" w:name="_Toc6808"/>
      <w:bookmarkStart w:id="24" w:name="_Toc19680"/>
      <w:bookmarkStart w:id="25" w:name="_Toc18814"/>
      <w:bookmarkStart w:id="26" w:name="_Toc26415"/>
      <w:bookmarkStart w:id="27" w:name="_Toc24049"/>
      <w:r>
        <w:rPr>
          <w:rFonts w:hint="eastAsia"/>
          <w:color w:val="000000" w:themeColor="text1"/>
          <w:highlight w:val="none"/>
          <w14:textFill>
            <w14:solidFill>
              <w14:schemeClr w14:val="tx1"/>
            </w14:solidFill>
          </w14:textFill>
        </w:rPr>
        <w:t>区域环境质量现状、环境保护目标及评价标准</w:t>
      </w:r>
      <w:bookmarkEnd w:id="23"/>
      <w:bookmarkEnd w:id="24"/>
      <w:bookmarkEnd w:id="25"/>
      <w:bookmarkEnd w:id="26"/>
      <w:bookmarkEnd w:id="27"/>
    </w:p>
    <w:tbl>
      <w:tblPr>
        <w:tblStyle w:val="33"/>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区域</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质量</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现状</w:t>
            </w:r>
          </w:p>
        </w:tc>
        <w:tc>
          <w:tcPr>
            <w:tcW w:w="8461" w:type="dxa"/>
            <w:vAlign w:val="center"/>
          </w:tcPr>
          <w:p>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28" w:name="_Toc12042"/>
            <w:r>
              <w:rPr>
                <w:rFonts w:hint="eastAsia"/>
                <w:color w:val="000000" w:themeColor="text1"/>
                <w:highlight w:val="none"/>
                <w14:textFill>
                  <w14:solidFill>
                    <w14:schemeClr w14:val="tx1"/>
                  </w14:solidFill>
                </w14:textFill>
              </w:rPr>
              <w:t>区域环境质量现状</w:t>
            </w:r>
            <w:bookmarkEnd w:id="28"/>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地表水环境质量现状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）地表水功能区划</w:t>
            </w:r>
          </w:p>
          <w:p>
            <w:pPr>
              <w:pStyle w:val="44"/>
              <w:keepNext w:val="0"/>
              <w:keepLines w:val="0"/>
              <w:pageBreakBefore w:val="0"/>
              <w:widowControl w:val="0"/>
              <w:shd w:val="clear"/>
              <w:kinsoku/>
              <w:wordWrap/>
              <w:overflowPunct/>
              <w:topLinePunct w:val="0"/>
              <w:autoSpaceDE w:val="0"/>
              <w:autoSpaceDN w:val="0"/>
              <w:bidi w:val="0"/>
              <w:adjustRightInd/>
              <w:snapToGrid/>
              <w:ind w:firstLine="480"/>
              <w:textAlignment w:val="auto"/>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本项目污废水排入福清市第二污水处理厂，福清市第二污水处理厂尾水达到 《城镇污水处理厂污染物排放标准》(GB18918-2002)一级A标准后排放至龙江，龙江水质执行《地表水环境质量标准》(GB3838-2002)中V类标准，水质执行《地表水环境质量标准》(GB3838-2002)V类水质标准，具体详见表3.1-1。</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bookmarkStart w:id="29" w:name="_Ref6142"/>
            <w:r>
              <w:rPr>
                <w:rFonts w:hint="eastAsia" w:ascii="Times New Roman" w:hAnsi="Times New Roman" w:eastAsia="宋体"/>
                <w:color w:val="000000" w:themeColor="text1"/>
                <w:highlight w:val="none"/>
                <w14:textFill>
                  <w14:solidFill>
                    <w14:schemeClr w14:val="tx1"/>
                  </w14:solidFill>
                </w14:textFill>
              </w:rPr>
              <w:t xml:space="preserve"> </w:t>
            </w:r>
            <w:bookmarkEnd w:id="29"/>
            <w:r>
              <w:rPr>
                <w:rFonts w:hint="eastAsia" w:ascii="Times New Roman" w:hAnsi="Times New Roman" w:eastAsia="宋体"/>
                <w:color w:val="000000" w:themeColor="text1"/>
                <w:highlight w:val="none"/>
                <w14:textFill>
                  <w14:solidFill>
                    <w14:schemeClr w14:val="tx1"/>
                  </w14:solidFill>
                </w14:textFill>
              </w:rPr>
              <w:t>地表水环境质量标准（摘录） 单位：mg/L（除pH外）</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2"/>
              <w:gridCol w:w="2909"/>
              <w:gridCol w:w="1240"/>
              <w:gridCol w:w="1204"/>
              <w:gridCol w:w="1171"/>
              <w:gridCol w:w="11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序号</w:t>
                  </w:r>
                </w:p>
              </w:tc>
              <w:tc>
                <w:tcPr>
                  <w:tcW w:w="1682"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项目</w:t>
                  </w:r>
                </w:p>
              </w:tc>
              <w:tc>
                <w:tcPr>
                  <w:tcW w:w="717"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Ⅱ类</w:t>
                  </w:r>
                </w:p>
              </w:tc>
              <w:tc>
                <w:tcPr>
                  <w:tcW w:w="696" w:type="pct"/>
                  <w:tcBorders>
                    <w:bottom w:val="single" w:color="000000" w:sz="12" w:space="0"/>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8"/>
                      <w:sz w:val="21"/>
                    </w:rPr>
                    <w:t>Ⅲ类</w:t>
                  </w:r>
                </w:p>
              </w:tc>
              <w:tc>
                <w:tcPr>
                  <w:tcW w:w="677"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Ⅳ类</w:t>
                  </w:r>
                </w:p>
              </w:tc>
              <w:tc>
                <w:tcPr>
                  <w:tcW w:w="680" w:type="pct"/>
                  <w:tcBorders>
                    <w:bottom w:val="single" w:color="000000" w:sz="12" w:space="0"/>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pacing w:val="-6"/>
                      <w:sz w:val="21"/>
                    </w:rPr>
                    <w:t>Ⅴ类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1</w:t>
                  </w:r>
                </w:p>
              </w:tc>
              <w:tc>
                <w:tcPr>
                  <w:tcW w:w="1682" w:type="pc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eastAsia="Times New Roman"/>
                      <w:sz w:val="21"/>
                    </w:rPr>
                  </w:pPr>
                  <w:r>
                    <w:rPr>
                      <w:rFonts w:ascii="Times New Roman" w:eastAsia="Times New Roman"/>
                      <w:spacing w:val="-2"/>
                      <w:sz w:val="21"/>
                    </w:rPr>
                    <w:t>pH(</w:t>
                  </w:r>
                  <w:r>
                    <w:rPr>
                      <w:spacing w:val="-2"/>
                      <w:sz w:val="21"/>
                    </w:rPr>
                    <w:t>无量纲</w:t>
                  </w:r>
                  <w:r>
                    <w:rPr>
                      <w:rFonts w:ascii="Times New Roman" w:eastAsia="Times New Roman"/>
                      <w:spacing w:val="-10"/>
                      <w:sz w:val="21"/>
                    </w:rPr>
                    <w:t>)</w:t>
                  </w:r>
                </w:p>
              </w:tc>
              <w:tc>
                <w:tcPr>
                  <w:tcW w:w="2772" w:type="pct"/>
                  <w:gridSpan w:val="4"/>
                  <w:tcBorders>
                    <w:top w:val="single" w:color="000000" w:sz="12" w:space="0"/>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eastAsia="Times New Roman"/>
                      <w:sz w:val="21"/>
                    </w:rPr>
                  </w:pPr>
                  <w:r>
                    <w:rPr>
                      <w:rFonts w:ascii="Times New Roman" w:eastAsia="Times New Roman"/>
                      <w:spacing w:val="-5"/>
                      <w:sz w:val="21"/>
                    </w:rPr>
                    <w:t>6</w:t>
                  </w:r>
                  <w:r>
                    <w:rPr>
                      <w:spacing w:val="-5"/>
                      <w:sz w:val="21"/>
                    </w:rPr>
                    <w:t>～</w:t>
                  </w:r>
                  <w:r>
                    <w:rPr>
                      <w:rFonts w:ascii="Times New Roman" w:eastAsia="Times New Roman"/>
                      <w:spacing w:val="-5"/>
                      <w:sz w:val="21"/>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54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c>
                <w:tcPr>
                  <w:tcW w:w="16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eastAsia="Times New Roman"/>
                      <w:sz w:val="21"/>
                    </w:rPr>
                  </w:pPr>
                  <w:r>
                    <w:rPr>
                      <w:sz w:val="21"/>
                    </w:rPr>
                    <w:t>溶解氧</w:t>
                  </w:r>
                  <w:r>
                    <w:rPr>
                      <w:rFonts w:ascii="Times New Roman" w:hAnsi="Times New Roman" w:eastAsia="Times New Roman"/>
                      <w:sz w:val="21"/>
                    </w:rPr>
                    <w:t>(DO)</w:t>
                  </w:r>
                  <w:r>
                    <w:rPr>
                      <w:rFonts w:ascii="Times New Roman" w:hAnsi="Times New Roman" w:eastAsia="Times New Roman"/>
                      <w:spacing w:val="-9"/>
                      <w:sz w:val="21"/>
                    </w:rPr>
                    <w:t xml:space="preserve"> ≥</w:t>
                  </w:r>
                </w:p>
              </w:tc>
              <w:tc>
                <w:tcPr>
                  <w:tcW w:w="71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96" w:type="pc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67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80" w:type="pct"/>
                  <w:tcBorders>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54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16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position w:val="2"/>
                      <w:sz w:val="21"/>
                    </w:rPr>
                  </w:pPr>
                  <w:r>
                    <w:rPr>
                      <w:rFonts w:ascii="Times New Roman" w:hAnsi="Times New Roman"/>
                      <w:spacing w:val="-2"/>
                      <w:position w:val="2"/>
                      <w:sz w:val="21"/>
                    </w:rPr>
                    <w:t>COD</w:t>
                  </w:r>
                  <w:r>
                    <w:rPr>
                      <w:rFonts w:ascii="Times New Roman" w:hAnsi="Times New Roman"/>
                      <w:spacing w:val="-2"/>
                      <w:sz w:val="13"/>
                    </w:rPr>
                    <w:t>Mn</w:t>
                  </w:r>
                  <w:r>
                    <w:rPr>
                      <w:rFonts w:ascii="Times New Roman" w:hAnsi="Times New Roman"/>
                      <w:spacing w:val="-2"/>
                      <w:position w:val="2"/>
                      <w:sz w:val="21"/>
                    </w:rPr>
                    <w:t>≤</w:t>
                  </w:r>
                </w:p>
              </w:tc>
              <w:tc>
                <w:tcPr>
                  <w:tcW w:w="71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696" w:type="pc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7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c>
                <w:tcPr>
                  <w:tcW w:w="680" w:type="pct"/>
                  <w:tcBorders>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54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16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sz w:val="21"/>
                    </w:rPr>
                  </w:pPr>
                  <w:r>
                    <w:rPr>
                      <w:rFonts w:ascii="Times New Roman" w:hAnsi="Times New Roman"/>
                      <w:spacing w:val="-5"/>
                      <w:sz w:val="21"/>
                    </w:rPr>
                    <w:t>DO≤</w:t>
                  </w:r>
                </w:p>
              </w:tc>
              <w:tc>
                <w:tcPr>
                  <w:tcW w:w="71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96" w:type="pc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67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80" w:type="pct"/>
                  <w:tcBorders>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6" w:hRule="atLeast"/>
              </w:trPr>
              <w:tc>
                <w:tcPr>
                  <w:tcW w:w="54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5</w:t>
                  </w:r>
                </w:p>
              </w:tc>
              <w:tc>
                <w:tcPr>
                  <w:tcW w:w="16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position w:val="2"/>
                      <w:sz w:val="21"/>
                    </w:rPr>
                  </w:pPr>
                  <w:r>
                    <w:rPr>
                      <w:rFonts w:ascii="Times New Roman" w:hAnsi="Times New Roman"/>
                      <w:spacing w:val="-2"/>
                      <w:position w:val="2"/>
                      <w:sz w:val="21"/>
                    </w:rPr>
                    <w:t>NH</w:t>
                  </w:r>
                  <w:r>
                    <w:rPr>
                      <w:rFonts w:ascii="Times New Roman" w:hAnsi="Times New Roman"/>
                      <w:spacing w:val="-2"/>
                      <w:sz w:val="13"/>
                    </w:rPr>
                    <w:t>3</w:t>
                  </w:r>
                  <w:r>
                    <w:rPr>
                      <w:rFonts w:ascii="Times New Roman" w:hAnsi="Times New Roman"/>
                      <w:spacing w:val="-2"/>
                      <w:position w:val="2"/>
                      <w:sz w:val="21"/>
                    </w:rPr>
                    <w:t>-</w:t>
                  </w:r>
                  <w:r>
                    <w:rPr>
                      <w:rFonts w:ascii="Times New Roman" w:hAnsi="Times New Roman"/>
                      <w:spacing w:val="-5"/>
                      <w:position w:val="2"/>
                      <w:sz w:val="21"/>
                    </w:rPr>
                    <w:t>N≤</w:t>
                  </w:r>
                </w:p>
              </w:tc>
              <w:tc>
                <w:tcPr>
                  <w:tcW w:w="71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0.5</w:t>
                  </w:r>
                </w:p>
              </w:tc>
              <w:tc>
                <w:tcPr>
                  <w:tcW w:w="696" w:type="pc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c>
                <w:tcPr>
                  <w:tcW w:w="67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1.5</w:t>
                  </w:r>
                </w:p>
              </w:tc>
              <w:tc>
                <w:tcPr>
                  <w:tcW w:w="680" w:type="pct"/>
                  <w:tcBorders>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6" w:hRule="atLeast"/>
              </w:trPr>
              <w:tc>
                <w:tcPr>
                  <w:tcW w:w="54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16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position w:val="2"/>
                      <w:sz w:val="21"/>
                    </w:rPr>
                  </w:pPr>
                  <w:r>
                    <w:rPr>
                      <w:rFonts w:ascii="Times New Roman" w:hAnsi="Times New Roman"/>
                      <w:spacing w:val="-2"/>
                      <w:position w:val="2"/>
                      <w:sz w:val="21"/>
                    </w:rPr>
                    <w:t>BOD</w:t>
                  </w:r>
                  <w:r>
                    <w:rPr>
                      <w:rFonts w:ascii="Times New Roman" w:hAnsi="Times New Roman"/>
                      <w:spacing w:val="-2"/>
                      <w:sz w:val="13"/>
                    </w:rPr>
                    <w:t>5</w:t>
                  </w:r>
                  <w:r>
                    <w:rPr>
                      <w:rFonts w:ascii="Times New Roman" w:hAnsi="Times New Roman"/>
                      <w:spacing w:val="-2"/>
                      <w:position w:val="2"/>
                      <w:sz w:val="21"/>
                    </w:rPr>
                    <w:t>≤</w:t>
                  </w:r>
                </w:p>
              </w:tc>
              <w:tc>
                <w:tcPr>
                  <w:tcW w:w="71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3</w:t>
                  </w:r>
                </w:p>
              </w:tc>
              <w:tc>
                <w:tcPr>
                  <w:tcW w:w="696" w:type="pct"/>
                  <w:tcBorders>
                    <w:tl2br w:val="nil"/>
                    <w:tr2bl w:val="nil"/>
                  </w:tcBorders>
                  <w:shd w:val="clear" w:color="auto" w:fill="auto"/>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4</w:t>
                  </w:r>
                </w:p>
              </w:tc>
              <w:tc>
                <w:tcPr>
                  <w:tcW w:w="67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10"/>
                      <w:sz w:val="21"/>
                    </w:rPr>
                    <w:t>6</w:t>
                  </w:r>
                </w:p>
              </w:tc>
              <w:tc>
                <w:tcPr>
                  <w:tcW w:w="680" w:type="pct"/>
                  <w:tcBorders>
                    <w:tl2br w:val="nil"/>
                    <w:tr2bl w:val="nil"/>
                  </w:tcBorders>
                  <w:shd w:val="clear" w:color="auto" w:fill="BEBEBE" w:themeFill="background1" w:themeFillShade="BF"/>
                  <w:vAlign w:val="center"/>
                </w:tcPr>
                <w:p>
                  <w:pPr>
                    <w:pStyle w:val="9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pacing w:val="-5"/>
                      <w:sz w:val="21"/>
                    </w:rPr>
                    <w:t>10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）地表水环境现状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cs="Times New Roman"/>
                <w:color w:val="000000" w:themeColor="text1"/>
                <w:kern w:val="2"/>
                <w:sz w:val="24"/>
                <w:szCs w:val="20"/>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地表水水质现状调查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为了解项目地表水水质环境质量现状，根据福建省生态环境厅网站发布的福建省主要流域水环境质量状况(2024年),2024年，福建省主要流域总体水质为优，国控断面I~Ⅲ类水质比例100%.I~类水质比例77.1%;国控及省控断面I~Ⅲ类水质比例99.7%,其中I～类水质比例80.0%,各类水质比例如下：类占2.4%,类占77.6%,Ⅲ类占19.7%,IV类占0.3%,无V类和劣V类水(详见</w:t>
            </w:r>
            <w:r>
              <w:rPr>
                <w:rFonts w:hint="eastAsia" w:cs="Times New Roman"/>
                <w:color w:val="000000" w:themeColor="text1"/>
                <w:kern w:val="2"/>
                <w:sz w:val="24"/>
                <w:szCs w:val="20"/>
                <w:highlight w:val="none"/>
                <w:lang w:val="en-US" w:eastAsia="zh-CN" w:bidi="ar-SA"/>
                <w14:textFill>
                  <w14:solidFill>
                    <w14:schemeClr w14:val="tx1"/>
                  </w14:solidFill>
                </w14:textFill>
              </w:rPr>
              <w:t>图3.1-1）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2024年，福建省主要流域总体水质从相对较好开始排序，具体为：闽江、交溪、九龙江、汀江(韩江)、霍童溪、晋江、荻芦溪、东西溪、木兰溪、敖江、漳江、诏安东溪、鹿溪、</w:t>
            </w: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龙江</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(详见</w:t>
            </w:r>
            <w:r>
              <w:rPr>
                <w:rFonts w:hint="eastAsia" w:cs="Times New Roman"/>
                <w:color w:val="000000" w:themeColor="text1"/>
                <w:kern w:val="2"/>
                <w:sz w:val="24"/>
                <w:szCs w:val="20"/>
                <w:highlight w:val="none"/>
                <w:lang w:val="en-US" w:eastAsia="zh-CN" w:bidi="ar-SA"/>
                <w14:textFill>
                  <w14:solidFill>
                    <w14:schemeClr w14:val="tx1"/>
                  </w14:solidFill>
                </w14:textFill>
              </w:rPr>
              <w:t>图3.1-2）</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由此，可知龙江水质可达到《地表水环境质量标准》(GB3838-2002)V类水标准。</w:t>
            </w:r>
            <w:r>
              <w:drawing>
                <wp:inline distT="0" distB="0" distL="114300" distR="114300">
                  <wp:extent cx="5560060" cy="3710940"/>
                  <wp:effectExtent l="0" t="0" r="254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5"/>
                          <a:stretch>
                            <a:fillRect/>
                          </a:stretch>
                        </pic:blipFill>
                        <pic:spPr>
                          <a:xfrm>
                            <a:off x="0" y="0"/>
                            <a:ext cx="5560060" cy="37109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cs="Times New Roman"/>
                <w:b/>
                <w:bCs/>
                <w:color w:val="000000" w:themeColor="text1"/>
                <w:kern w:val="2"/>
                <w:sz w:val="24"/>
                <w:szCs w:val="20"/>
                <w:highlight w:val="none"/>
                <w:lang w:val="en-US" w:eastAsia="zh-CN" w:bidi="ar-SA"/>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353695</wp:posOffset>
                  </wp:positionV>
                  <wp:extent cx="5554345" cy="2183765"/>
                  <wp:effectExtent l="0" t="0" r="8255" b="6985"/>
                  <wp:wrapTopAndBottom/>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6"/>
                          <a:stretch>
                            <a:fillRect/>
                          </a:stretch>
                        </pic:blipFill>
                        <pic:spPr>
                          <a:xfrm>
                            <a:off x="0" y="0"/>
                            <a:ext cx="5554345" cy="2183765"/>
                          </a:xfrm>
                          <a:prstGeom prst="rect">
                            <a:avLst/>
                          </a:prstGeom>
                          <a:noFill/>
                          <a:ln>
                            <a:noFill/>
                          </a:ln>
                        </pic:spPr>
                      </pic:pic>
                    </a:graphicData>
                  </a:graphic>
                </wp:anchor>
              </w:drawing>
            </w:r>
            <w:r>
              <w:rPr>
                <w:rFonts w:hint="eastAsia" w:cs="Times New Roman"/>
                <w:b/>
                <w:bCs/>
                <w:color w:val="000000" w:themeColor="text1"/>
                <w:kern w:val="2"/>
                <w:sz w:val="24"/>
                <w:szCs w:val="20"/>
                <w:highlight w:val="none"/>
                <w:lang w:val="en-US" w:eastAsia="zh-CN" w:bidi="ar-SA"/>
                <w14:textFill>
                  <w14:solidFill>
                    <w14:schemeClr w14:val="tx1"/>
                  </w14:solidFill>
                </w14:textFill>
              </w:rPr>
              <w:t>图3.1-1 福建省流域水环境质量状况（2024年）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cs="Times New Roman"/>
                <w:b/>
                <w:bCs/>
                <w:color w:val="000000" w:themeColor="text1"/>
                <w:kern w:val="2"/>
                <w:sz w:val="24"/>
                <w:szCs w:val="20"/>
                <w:highlight w:val="none"/>
                <w:lang w:val="en-US" w:eastAsia="zh-CN" w:bidi="ar-SA"/>
                <w14:textFill>
                  <w14:solidFill>
                    <w14:schemeClr w14:val="tx1"/>
                  </w14:solidFill>
                </w14:textFill>
              </w:rPr>
            </w:pPr>
            <w:r>
              <w:rPr>
                <w:rFonts w:hint="eastAsia" w:cs="Times New Roman"/>
                <w:b/>
                <w:bCs/>
                <w:color w:val="000000" w:themeColor="text1"/>
                <w:kern w:val="2"/>
                <w:sz w:val="24"/>
                <w:szCs w:val="20"/>
                <w:highlight w:val="none"/>
                <w:lang w:val="en-US" w:eastAsia="zh-CN" w:bidi="ar-SA"/>
                <w14:textFill>
                  <w14:solidFill>
                    <w14:schemeClr w14:val="tx1"/>
                  </w14:solidFill>
                </w14:textFill>
              </w:rPr>
              <w:t>图3.1-2 福建省地表水水质状况排序（2024年）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cs="Times New Roman"/>
                <w:color w:val="000000" w:themeColor="text1"/>
                <w:kern w:val="2"/>
                <w:sz w:val="24"/>
                <w:szCs w:val="20"/>
                <w:highlight w:val="none"/>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引用资料的有效性分析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根据《建设项目环境影响报告表编制技术指南（污染影响类）（试行）》（环办环评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状</w:t>
            </w:r>
            <w:r>
              <w:rPr>
                <w:rFonts w:hint="eastAsia" w:cs="Times New Roman"/>
                <w:color w:val="000000" w:themeColor="text1"/>
                <w:kern w:val="2"/>
                <w:sz w:val="24"/>
                <w:szCs w:val="20"/>
                <w:highlight w:val="none"/>
                <w:lang w:val="en-US" w:eastAsia="zh-CN" w:bidi="ar-SA"/>
                <w14:textFill>
                  <w14:solidFill>
                    <w14:schemeClr w14:val="tx1"/>
                  </w14:solidFill>
                </w14:textFill>
              </w:rPr>
              <w:t>况</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，符合</w:t>
            </w:r>
            <w:r>
              <w:rPr>
                <w:rFonts w:hint="eastAsia" w:cs="Times New Roman"/>
                <w:color w:val="000000" w:themeColor="text1"/>
                <w:kern w:val="2"/>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建设项目环境影响报告表编制技术指南（污染影响类）（试行）》（环办环评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33号）的要求。</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大气环境质量现状</w:t>
            </w:r>
          </w:p>
          <w:p>
            <w:pPr>
              <w:pStyle w:val="5"/>
              <w:bidi w:val="0"/>
              <w:rPr>
                <w:rFonts w:hint="default"/>
                <w:highlight w:val="none"/>
              </w:rPr>
            </w:pPr>
            <w:r>
              <w:rPr>
                <w:rFonts w:hint="default"/>
                <w:highlight w:val="none"/>
                <w:lang w:val="en-US" w:eastAsia="zh-CN"/>
              </w:rPr>
              <w:t>区域达标判断</w:t>
            </w:r>
          </w:p>
          <w:p>
            <w:pPr>
              <w:pStyle w:val="44"/>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福州市人民政府榕政综[2014]30号文件正式批准实施《福州市环境空气质量功能区划(报批稿)》的规定，项目所在区域环境空气功能规划为二类区，环境空气质量执行《环境空气质量标准》(GB3095-2012)及其修改单中的二级标准。非甲烷总烃参照执行《大气污染物综合排放标准详解》(</w:t>
            </w:r>
            <w:r>
              <w:rPr>
                <w:rFonts w:hint="eastAsia" w:cs="宋体"/>
                <w:color w:val="000000" w:themeColor="text1"/>
                <w:highlight w:val="none"/>
                <w:lang w:val="en-US" w:eastAsia="zh-CN"/>
                <w14:textFill>
                  <w14:solidFill>
                    <w14:schemeClr w14:val="tx1"/>
                  </w14:solidFill>
                </w14:textFill>
              </w:rPr>
              <w:t>生态环境部</w:t>
            </w:r>
            <w:r>
              <w:rPr>
                <w:rFonts w:hint="eastAsia" w:ascii="Times New Roman" w:hAnsi="Times New Roman" w:eastAsia="宋体" w:cs="宋体"/>
                <w:color w:val="000000" w:themeColor="text1"/>
                <w:highlight w:val="none"/>
                <w:lang w:val="en-US" w:eastAsia="zh-CN"/>
                <w14:textFill>
                  <w14:solidFill>
                    <w14:schemeClr w14:val="tx1"/>
                  </w14:solidFill>
                </w14:textFill>
              </w:rPr>
              <w:t>科技标准司)中规定的标准限值，氨和硫化氢满足《环境影响评价技术导则</w:t>
            </w:r>
            <w:r>
              <w:rPr>
                <w:rFonts w:hint="eastAsia" w:cs="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highlight w:val="none"/>
                <w:lang w:val="en-US" w:eastAsia="zh-CN"/>
                <w14:textFill>
                  <w14:solidFill>
                    <w14:schemeClr w14:val="tx1"/>
                  </w14:solidFill>
                </w14:textFill>
              </w:rPr>
              <w:t>大气环境》（HJ2.2-2018）附录D中空气质量浓度参考限值</w:t>
            </w:r>
            <w:r>
              <w:rPr>
                <w:rFonts w:hint="eastAsia"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具体详见表3.1-2。</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环境空气标准一览表</w:t>
            </w:r>
          </w:p>
          <w:tbl>
            <w:tblPr>
              <w:tblStyle w:val="34"/>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82"/>
              <w:gridCol w:w="2418"/>
              <w:gridCol w:w="1927"/>
              <w:gridCol w:w="26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4"/>
                      <w:sz w:val="21"/>
                    </w:rPr>
                    <w:t>污染物名称</w:t>
                  </w:r>
                </w:p>
              </w:tc>
              <w:tc>
                <w:tcPr>
                  <w:tcW w:w="1399"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7"/>
                      <w:sz w:val="21"/>
                    </w:rPr>
                    <w:t>取值时间</w:t>
                  </w:r>
                </w:p>
              </w:tc>
              <w:tc>
                <w:tcPr>
                  <w:tcW w:w="1115"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7"/>
                      <w:sz w:val="21"/>
                    </w:rPr>
                    <w:t>浓度限值</w:t>
                  </w:r>
                </w:p>
              </w:tc>
              <w:tc>
                <w:tcPr>
                  <w:tcW w:w="1511" w:type="pct"/>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vertAlign w:val="baseline"/>
                    </w:rPr>
                  </w:pPr>
                  <w:r>
                    <w:rPr>
                      <w:rFonts w:ascii="Times New Roman" w:hAnsi="Times New Roman" w:eastAsia="宋体"/>
                      <w:spacing w:val="-7"/>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13"/>
                    </w:rPr>
                  </w:pPr>
                </w:p>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4"/>
                      <w:position w:val="2"/>
                      <w:sz w:val="21"/>
                    </w:rPr>
                    <w:t>PM</w:t>
                  </w:r>
                  <w:r>
                    <w:rPr>
                      <w:rFonts w:ascii="Times New Roman" w:hAnsi="Times New Roman" w:eastAsia="宋体"/>
                      <w:spacing w:val="-4"/>
                      <w:sz w:val="13"/>
                    </w:rPr>
                    <w:t>10</w:t>
                  </w:r>
                </w:p>
              </w:tc>
              <w:tc>
                <w:tcPr>
                  <w:tcW w:w="1399" w:type="pc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70μg/m</w:t>
                  </w:r>
                  <w:r>
                    <w:rPr>
                      <w:rFonts w:ascii="Times New Roman" w:hAnsi="Times New Roman" w:eastAsia="宋体"/>
                      <w:spacing w:val="-2"/>
                      <w:sz w:val="21"/>
                      <w:vertAlign w:val="superscript"/>
                    </w:rPr>
                    <w:t>3</w:t>
                  </w:r>
                </w:p>
              </w:tc>
              <w:tc>
                <w:tcPr>
                  <w:tcW w:w="1511" w:type="pct"/>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3"/>
                      <w:sz w:val="21"/>
                    </w:rPr>
                    <w:t>《环境空气质量标准》</w:t>
                  </w:r>
                </w:p>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(GB3095-2012)</w:t>
                  </w:r>
                  <w:r>
                    <w:rPr>
                      <w:rFonts w:ascii="Times New Roman" w:hAnsi="Times New Roman" w:eastAsia="宋体"/>
                      <w:spacing w:val="-4"/>
                      <w:sz w:val="21"/>
                    </w:rPr>
                    <w:t>及其修改单中的二级标准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150μg/m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13"/>
                    </w:rPr>
                  </w:pPr>
                </w:p>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vertAlign w:val="baseline"/>
                    </w:rPr>
                  </w:pPr>
                  <w:r>
                    <w:rPr>
                      <w:rFonts w:ascii="Times New Roman" w:hAnsi="Times New Roman" w:eastAsia="宋体"/>
                      <w:spacing w:val="-2"/>
                      <w:w w:val="105"/>
                      <w:position w:val="2"/>
                      <w:sz w:val="21"/>
                    </w:rPr>
                    <w:t>PM</w:t>
                  </w:r>
                  <w:r>
                    <w:rPr>
                      <w:rFonts w:ascii="Times New Roman" w:hAnsi="Times New Roman" w:eastAsia="宋体"/>
                      <w:spacing w:val="-2"/>
                      <w:w w:val="105"/>
                      <w:sz w:val="13"/>
                    </w:rPr>
                    <w:t>2.5</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35μg/m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75μg/m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SO</w:t>
                  </w:r>
                  <w:r>
                    <w:rPr>
                      <w:rFonts w:ascii="Times New Roman" w:hAnsi="Times New Roman" w:eastAsia="宋体"/>
                      <w:spacing w:val="-5"/>
                      <w:sz w:val="13"/>
                    </w:rPr>
                    <w:t>2</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年平均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60μg/m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150μg/m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z w:val="21"/>
                    </w:rPr>
                    <w:t>1</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500μg/m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rPr>
                  </w:pPr>
                </w:p>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NO</w:t>
                  </w:r>
                  <w:r>
                    <w:rPr>
                      <w:rFonts w:ascii="Times New Roman" w:hAnsi="Times New Roman" w:eastAsia="宋体"/>
                      <w:spacing w:val="-5"/>
                      <w:sz w:val="13"/>
                    </w:rPr>
                    <w:t>2</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sz w:val="21"/>
                    </w:rPr>
                  </w:pPr>
                  <w:r>
                    <w:rPr>
                      <w:rFonts w:ascii="Times New Roman" w:hAnsi="Times New Roman" w:eastAsia="宋体"/>
                      <w:spacing w:val="-5"/>
                      <w:sz w:val="21"/>
                    </w:rPr>
                    <w:t>年平均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40μg/m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z w:val="21"/>
                    </w:rPr>
                    <w:t>24</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80μg/m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z w:val="21"/>
                    </w:rPr>
                    <w:t>1</w:t>
                  </w:r>
                  <w:r>
                    <w:rPr>
                      <w:rFonts w:ascii="Times New Roman" w:hAnsi="Times New Roman" w:eastAsia="宋体"/>
                      <w:spacing w:val="-3"/>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200μg/m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sz w:val="21"/>
                    </w:rPr>
                    <w:t>CO</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24</w:t>
                  </w:r>
                  <w:r>
                    <w:rPr>
                      <w:rFonts w:ascii="Times New Roman" w:hAnsi="Times New Roman" w:eastAsia="宋体"/>
                      <w:spacing w:val="-4"/>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4mg/m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1</w:t>
                  </w:r>
                  <w:r>
                    <w:rPr>
                      <w:rFonts w:ascii="Times New Roman" w:hAnsi="Times New Roman" w:eastAsia="宋体"/>
                      <w:spacing w:val="-4"/>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10mg/m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vertAlign w:val="baseline"/>
                    </w:rPr>
                  </w:pPr>
                  <w:r>
                    <w:rPr>
                      <w:rFonts w:ascii="Times New Roman" w:hAnsi="Times New Roman" w:eastAsia="宋体"/>
                      <w:spacing w:val="-5"/>
                      <w:position w:val="2"/>
                      <w:sz w:val="21"/>
                    </w:rPr>
                    <w:t>O</w:t>
                  </w:r>
                  <w:r>
                    <w:rPr>
                      <w:rFonts w:ascii="Times New Roman" w:hAnsi="Times New Roman" w:eastAsia="宋体"/>
                      <w:spacing w:val="-5"/>
                      <w:sz w:val="13"/>
                    </w:rPr>
                    <w:t>3</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日最大8</w:t>
                  </w:r>
                  <w:r>
                    <w:rPr>
                      <w:rFonts w:ascii="Times New Roman" w:hAnsi="Times New Roman" w:eastAsia="宋体"/>
                      <w:spacing w:val="-4"/>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160μg/m</w:t>
                  </w:r>
                  <w:r>
                    <w:rPr>
                      <w:rFonts w:ascii="Times New Roman" w:hAnsi="Times New Roman" w:eastAsia="宋体"/>
                      <w:spacing w:val="-2"/>
                      <w:position w:val="7"/>
                      <w:sz w:val="13"/>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sz w:val="21"/>
                    </w:rPr>
                  </w:pPr>
                  <w:r>
                    <w:rPr>
                      <w:rFonts w:ascii="Times New Roman" w:hAnsi="Times New Roman" w:eastAsia="宋体"/>
                      <w:spacing w:val="-2"/>
                      <w:sz w:val="21"/>
                    </w:rPr>
                    <w:t>1</w:t>
                  </w:r>
                  <w:r>
                    <w:rPr>
                      <w:rFonts w:ascii="Times New Roman" w:hAnsi="Times New Roman" w:eastAsia="宋体"/>
                      <w:spacing w:val="-4"/>
                      <w:sz w:val="21"/>
                    </w:rPr>
                    <w:t>小时平均</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vertAlign w:val="baseline"/>
                    </w:rPr>
                  </w:pPr>
                  <w:r>
                    <w:rPr>
                      <w:rFonts w:ascii="Times New Roman" w:hAnsi="Times New Roman" w:eastAsia="宋体"/>
                      <w:spacing w:val="-2"/>
                      <w:sz w:val="21"/>
                    </w:rPr>
                    <w:t>200μg/m</w:t>
                  </w:r>
                  <w:r>
                    <w:rPr>
                      <w:rFonts w:ascii="Times New Roman" w:hAnsi="Times New Roman" w:eastAsia="宋体"/>
                      <w:spacing w:val="-2"/>
                      <w:sz w:val="21"/>
                      <w:vertAlign w:val="superscript"/>
                    </w:rPr>
                    <w:t>3</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vertAlign w:val="baseline"/>
                      <w:lang w:val="en-US" w:eastAsia="zh-CN"/>
                    </w:rPr>
                  </w:pPr>
                  <w:r>
                    <w:rPr>
                      <w:rFonts w:hint="eastAsia"/>
                      <w:vertAlign w:val="baseline"/>
                      <w:lang w:val="en-US" w:eastAsia="zh-CN"/>
                    </w:rPr>
                    <w:t>TSP</w:t>
                  </w:r>
                </w:p>
              </w:tc>
              <w:tc>
                <w:tcPr>
                  <w:tcW w:w="1399" w:type="pct"/>
                  <w:tcBorders>
                    <w:tl2br w:val="nil"/>
                    <w:tr2bl w:val="nil"/>
                  </w:tcBorders>
                  <w:shd w:val="clear" w:color="auto" w:fill="auto"/>
                  <w:vAlign w:val="top"/>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spacing w:val="-2"/>
                      <w:sz w:val="21"/>
                      <w:lang w:val="en-US" w:eastAsia="en-US"/>
                    </w:rPr>
                  </w:pPr>
                  <w:r>
                    <w:rPr>
                      <w:rFonts w:ascii="Times New Roman" w:hAnsi="Times New Roman" w:eastAsia="宋体" w:cs="宋体"/>
                      <w:spacing w:val="-2"/>
                      <w:sz w:val="21"/>
                    </w:rPr>
                    <w:t>年平均</w:t>
                  </w:r>
                </w:p>
              </w:tc>
              <w:tc>
                <w:tcPr>
                  <w:tcW w:w="1115" w:type="pct"/>
                  <w:tcBorders>
                    <w:tl2br w:val="nil"/>
                    <w:tr2bl w:val="nil"/>
                  </w:tcBorders>
                  <w:shd w:val="clear" w:color="auto" w:fill="auto"/>
                  <w:vAlign w:val="top"/>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spacing w:val="-2"/>
                      <w:sz w:val="21"/>
                      <w:lang w:val="en-US" w:eastAsia="en-US"/>
                    </w:rPr>
                  </w:pPr>
                  <w:r>
                    <w:rPr>
                      <w:rFonts w:ascii="Times New Roman" w:hAnsi="Times New Roman" w:eastAsia="宋体" w:cs="宋体"/>
                      <w:spacing w:val="-2"/>
                      <w:sz w:val="21"/>
                    </w:rPr>
                    <w:t>200μg/m³</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c>
                <w:tcPr>
                  <w:tcW w:w="1399" w:type="pct"/>
                  <w:tcBorders>
                    <w:tl2br w:val="nil"/>
                    <w:tr2bl w:val="nil"/>
                  </w:tcBorders>
                  <w:shd w:val="clear" w:color="auto" w:fill="auto"/>
                  <w:vAlign w:val="top"/>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spacing w:val="-2"/>
                      <w:sz w:val="21"/>
                      <w:lang w:val="en-US" w:eastAsia="en-US"/>
                    </w:rPr>
                  </w:pPr>
                  <w:r>
                    <w:rPr>
                      <w:rFonts w:ascii="Times New Roman" w:hAnsi="Times New Roman" w:eastAsia="宋体" w:cs="宋体"/>
                      <w:spacing w:val="-2"/>
                      <w:sz w:val="21"/>
                    </w:rPr>
                    <w:t>24小时平均</w:t>
                  </w:r>
                </w:p>
              </w:tc>
              <w:tc>
                <w:tcPr>
                  <w:tcW w:w="1115" w:type="pct"/>
                  <w:tcBorders>
                    <w:tl2br w:val="nil"/>
                    <w:tr2bl w:val="nil"/>
                  </w:tcBorders>
                  <w:shd w:val="clear" w:color="auto" w:fill="auto"/>
                  <w:vAlign w:val="top"/>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spacing w:val="-2"/>
                      <w:sz w:val="21"/>
                      <w:lang w:val="en-US" w:eastAsia="en-US"/>
                    </w:rPr>
                  </w:pPr>
                  <w:r>
                    <w:rPr>
                      <w:rFonts w:ascii="Times New Roman" w:hAnsi="Times New Roman" w:eastAsia="宋体" w:cs="宋体"/>
                      <w:spacing w:val="-2"/>
                      <w:sz w:val="21"/>
                    </w:rPr>
                    <w:t>300μg/m³</w:t>
                  </w:r>
                </w:p>
              </w:tc>
              <w:tc>
                <w:tcPr>
                  <w:tcW w:w="1511"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spacing w:val="-4"/>
                      <w:sz w:val="21"/>
                    </w:rPr>
                  </w:pPr>
                  <w:r>
                    <w:rPr>
                      <w:rFonts w:ascii="Times New Roman" w:hAnsi="Times New Roman" w:eastAsia="宋体"/>
                      <w:spacing w:val="-4"/>
                      <w:sz w:val="21"/>
                    </w:rPr>
                    <w:t>非甲烷总烃</w:t>
                  </w:r>
                </w:p>
              </w:tc>
              <w:tc>
                <w:tcPr>
                  <w:tcW w:w="139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eastAsia="Times New Roman"/>
                      <w:sz w:val="21"/>
                    </w:rPr>
                  </w:pPr>
                  <w:r>
                    <w:rPr>
                      <w:rFonts w:ascii="Times New Roman" w:hAnsi="Times New Roman" w:eastAsia="宋体"/>
                      <w:sz w:val="21"/>
                    </w:rPr>
                    <w:t>1</w:t>
                  </w:r>
                  <w:r>
                    <w:rPr>
                      <w:rFonts w:ascii="Times New Roman" w:hAnsi="Times New Roman" w:eastAsia="宋体"/>
                      <w:spacing w:val="-3"/>
                      <w:sz w:val="21"/>
                    </w:rPr>
                    <w:t>小时均值</w:t>
                  </w:r>
                </w:p>
              </w:tc>
              <w:tc>
                <w:tcPr>
                  <w:tcW w:w="111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pacing w:val="-2"/>
                      <w:sz w:val="21"/>
                    </w:rPr>
                  </w:pPr>
                  <w:r>
                    <w:rPr>
                      <w:rFonts w:ascii="Times New Roman" w:hAnsi="Times New Roman" w:eastAsia="宋体"/>
                      <w:spacing w:val="-2"/>
                      <w:sz w:val="21"/>
                    </w:rPr>
                    <w:t>2.0mg/m</w:t>
                  </w:r>
                  <w:r>
                    <w:rPr>
                      <w:rFonts w:ascii="Times New Roman" w:hAnsi="Times New Roman" w:eastAsia="宋体"/>
                      <w:spacing w:val="-2"/>
                      <w:sz w:val="21"/>
                      <w:vertAlign w:val="superscript"/>
                    </w:rPr>
                    <w:t>3</w:t>
                  </w:r>
                </w:p>
              </w:tc>
              <w:tc>
                <w:tcPr>
                  <w:tcW w:w="1511"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ertAlign w:val="baseline"/>
                    </w:rPr>
                  </w:pPr>
                  <w:r>
                    <w:rPr>
                      <w:rFonts w:ascii="Times New Roman" w:hAnsi="Times New Roman" w:eastAsia="宋体" w:cs="宋体"/>
                      <w:spacing w:val="-3"/>
                      <w:sz w:val="21"/>
                    </w:rPr>
                    <w:t>《大气污染物综合排放标准详解》(GB16297-1996)</w:t>
                  </w:r>
                </w:p>
              </w:tc>
            </w:tr>
          </w:tbl>
          <w:p>
            <w:pPr>
              <w:pStyle w:val="46"/>
              <w:rPr>
                <w:rFonts w:hint="default"/>
              </w:rPr>
            </w:pPr>
          </w:p>
          <w:p>
            <w:pPr>
              <w:pStyle w:val="5"/>
              <w:bidi w:val="0"/>
              <w:rPr>
                <w:rFonts w:hint="default"/>
              </w:rPr>
            </w:pPr>
            <w:r>
              <w:rPr>
                <w:rFonts w:hint="eastAsia"/>
                <w:lang w:val="en-US" w:eastAsia="zh-CN"/>
              </w:rPr>
              <w:t>区域大气</w:t>
            </w:r>
            <w:r>
              <w:rPr>
                <w:rFonts w:hint="default"/>
                <w:lang w:val="en-US" w:eastAsia="zh-CN"/>
              </w:rPr>
              <w:t>环境质量现状</w:t>
            </w:r>
          </w:p>
          <w:p>
            <w:pPr>
              <w:pStyle w:val="44"/>
              <w:numPr>
                <w:ilvl w:val="0"/>
                <w:numId w:val="11"/>
              </w:numPr>
              <w:bidi w:val="0"/>
              <w:ind w:left="425" w:leftChars="0" w:hanging="425" w:firstLine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城市达标区域判断</w:t>
            </w:r>
          </w:p>
          <w:p>
            <w:pPr>
              <w:pStyle w:val="44"/>
              <w:bidi w:val="0"/>
              <w:jc w:val="both"/>
              <w:rPr>
                <w:rFonts w:hint="eastAsia" w:ascii="Times New Roman" w:hAnsi="Times New Roman" w:eastAsia="宋体" w:cs="宋体"/>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城市环境空气质量达标情况评价指标为SO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、NO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、PM</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10</w:t>
            </w:r>
            <w:r>
              <w:rPr>
                <w:rFonts w:hint="eastAsia" w:ascii="Times New Roman" w:hAnsi="Times New Roman" w:eastAsia="宋体" w:cs="宋体"/>
                <w:color w:val="000000" w:themeColor="text1"/>
                <w:highlight w:val="none"/>
                <w:lang w:val="en-US" w:eastAsia="zh-CN"/>
                <w14:textFill>
                  <w14:solidFill>
                    <w14:schemeClr w14:val="tx1"/>
                  </w14:solidFill>
                </w14:textFill>
              </w:rPr>
              <w:t>、PM</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2.5</w:t>
            </w:r>
            <w:r>
              <w:rPr>
                <w:rFonts w:hint="eastAsia" w:ascii="Times New Roman" w:hAnsi="Times New Roman" w:eastAsia="宋体" w:cs="宋体"/>
                <w:color w:val="000000" w:themeColor="text1"/>
                <w:highlight w:val="none"/>
                <w:lang w:val="en-US" w:eastAsia="zh-CN"/>
                <w14:textFill>
                  <w14:solidFill>
                    <w14:schemeClr w14:val="tx1"/>
                  </w14:solidFill>
                </w14:textFill>
              </w:rPr>
              <w:t>、CO和O</w:t>
            </w:r>
            <w:r>
              <w:rPr>
                <w:rFonts w:hint="eastAsia"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，六项污染物全部达标即为城市环境空气质量达标。根据福建省生态环境厅发布的</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“202</w:t>
            </w:r>
            <w:r>
              <w:rPr>
                <w:rFonts w:hint="eastAsia" w:ascii="Times New Roman" w:hAnsi="Times New Roman" w:cs="宋体"/>
                <w:color w:val="000000" w:themeColor="text1"/>
                <w:sz w:val="24"/>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年12月福建省城市环境空气质量状况”显示，202</w:t>
            </w:r>
            <w:r>
              <w:rPr>
                <w:rFonts w:hint="eastAsia" w:ascii="Times New Roman" w:hAnsi="Times New Roman" w:cs="宋体"/>
                <w:color w:val="000000" w:themeColor="text1"/>
                <w:sz w:val="24"/>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年1</w:t>
            </w:r>
            <w:r>
              <w:rPr>
                <w:rFonts w:hint="eastAsia"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12月，福州市环境空气质量综合指数2.</w:t>
            </w:r>
            <w:r>
              <w:rPr>
                <w:rFonts w:hint="eastAsia" w:ascii="Times New Roman" w:hAnsi="Times New Roman" w:cs="宋体"/>
                <w:color w:val="000000" w:themeColor="text1"/>
                <w:sz w:val="24"/>
                <w:highlight w:val="none"/>
                <w:lang w:val="en-US" w:eastAsia="zh-CN"/>
                <w14:textFill>
                  <w14:solidFill>
                    <w14:schemeClr w14:val="tx1"/>
                  </w14:solidFill>
                </w14:textFill>
              </w:rPr>
              <w:t>40</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。由此可知，福州市城区环境空气质量总体达到二级标准，</w:t>
            </w:r>
            <w:r>
              <w:rPr>
                <w:rFonts w:hint="eastAsia" w:cs="宋体"/>
                <w:color w:val="000000" w:themeColor="text1"/>
                <w:sz w:val="24"/>
                <w:highlight w:val="none"/>
                <w:lang w:val="en-US" w:eastAsia="zh-CN"/>
                <w14:textFill>
                  <w14:solidFill>
                    <w14:schemeClr w14:val="tx1"/>
                  </w14:solidFill>
                </w14:textFill>
              </w:rPr>
              <w:t>福清市</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属于达标区域</w:t>
            </w:r>
            <w:r>
              <w:rPr>
                <w:rFonts w:hint="eastAsia"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见表3.1-</w:t>
            </w:r>
            <w:r>
              <w:rPr>
                <w:rFonts w:hint="eastAsia" w:ascii="Times New Roman" w:hAnsi="Times New Roman" w:cs="宋体"/>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2024年1</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12月设区城市环境空气质量状况</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autofit"/>
              <w:tblCellMar>
                <w:top w:w="0" w:type="dxa"/>
                <w:left w:w="0" w:type="dxa"/>
                <w:bottom w:w="0" w:type="dxa"/>
                <w:right w:w="0" w:type="dxa"/>
              </w:tblCellMar>
            </w:tblPr>
            <w:tblGrid>
              <w:gridCol w:w="536"/>
              <w:gridCol w:w="832"/>
              <w:gridCol w:w="808"/>
              <w:gridCol w:w="706"/>
              <w:gridCol w:w="739"/>
              <w:gridCol w:w="799"/>
              <w:gridCol w:w="870"/>
              <w:gridCol w:w="1106"/>
              <w:gridCol w:w="1312"/>
              <w:gridCol w:w="935"/>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5" w:hRule="atLeast"/>
              </w:trPr>
              <w:tc>
                <w:tcPr>
                  <w:tcW w:w="31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10"/>
                      <w:sz w:val="21"/>
                      <w:szCs w:val="21"/>
                    </w:rPr>
                    <w:t>排</w:t>
                  </w:r>
                </w:p>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10"/>
                      <w:sz w:val="21"/>
                      <w:szCs w:val="21"/>
                    </w:rPr>
                    <w:t>名</w:t>
                  </w:r>
                </w:p>
              </w:tc>
              <w:tc>
                <w:tcPr>
                  <w:tcW w:w="481"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城市</w:t>
                  </w:r>
                </w:p>
              </w:tc>
              <w:tc>
                <w:tcPr>
                  <w:tcW w:w="46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综合</w:t>
                  </w:r>
                </w:p>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sz w:val="21"/>
                      <w:szCs w:val="21"/>
                    </w:rPr>
                  </w:pPr>
                  <w:r>
                    <w:rPr>
                      <w:rFonts w:ascii="Times New Roman" w:hAnsi="Times New Roman" w:eastAsia="宋体"/>
                      <w:spacing w:val="-8"/>
                      <w:sz w:val="21"/>
                      <w:szCs w:val="21"/>
                    </w:rPr>
                    <w:t>指数</w:t>
                  </w:r>
                </w:p>
              </w:tc>
              <w:tc>
                <w:tcPr>
                  <w:tcW w:w="408"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position w:val="2"/>
                      <w:sz w:val="21"/>
                      <w:szCs w:val="21"/>
                    </w:rPr>
                    <w:t>SO</w:t>
                  </w:r>
                  <w:r>
                    <w:rPr>
                      <w:rFonts w:ascii="Times New Roman" w:hAnsi="Times New Roman" w:eastAsia="宋体"/>
                      <w:spacing w:val="-5"/>
                      <w:sz w:val="21"/>
                      <w:szCs w:val="21"/>
                    </w:rPr>
                    <w:t>2</w:t>
                  </w:r>
                </w:p>
              </w:tc>
              <w:tc>
                <w:tcPr>
                  <w:tcW w:w="42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position w:val="2"/>
                      <w:sz w:val="21"/>
                      <w:szCs w:val="21"/>
                    </w:rPr>
                    <w:t>NO</w:t>
                  </w:r>
                  <w:r>
                    <w:rPr>
                      <w:rFonts w:ascii="Times New Roman" w:hAnsi="Times New Roman" w:eastAsia="宋体"/>
                      <w:spacing w:val="-5"/>
                      <w:sz w:val="21"/>
                      <w:szCs w:val="21"/>
                    </w:rPr>
                    <w:t>2</w:t>
                  </w:r>
                </w:p>
              </w:tc>
              <w:tc>
                <w:tcPr>
                  <w:tcW w:w="46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4"/>
                      <w:position w:val="2"/>
                      <w:sz w:val="21"/>
                      <w:szCs w:val="21"/>
                    </w:rPr>
                    <w:t>PM</w:t>
                  </w:r>
                  <w:r>
                    <w:rPr>
                      <w:rFonts w:ascii="Times New Roman" w:hAnsi="Times New Roman" w:eastAsia="宋体"/>
                      <w:spacing w:val="-4"/>
                      <w:sz w:val="21"/>
                      <w:szCs w:val="21"/>
                    </w:rPr>
                    <w:t>10</w:t>
                  </w:r>
                </w:p>
              </w:tc>
              <w:tc>
                <w:tcPr>
                  <w:tcW w:w="503"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2"/>
                      <w:w w:val="105"/>
                      <w:position w:val="2"/>
                      <w:sz w:val="21"/>
                      <w:szCs w:val="21"/>
                    </w:rPr>
                    <w:t>PM</w:t>
                  </w:r>
                  <w:r>
                    <w:rPr>
                      <w:rFonts w:ascii="Times New Roman" w:hAnsi="Times New Roman" w:eastAsia="宋体"/>
                      <w:spacing w:val="-2"/>
                      <w:w w:val="105"/>
                      <w:sz w:val="21"/>
                      <w:szCs w:val="21"/>
                    </w:rPr>
                    <w:t>2.5</w:t>
                  </w:r>
                </w:p>
              </w:tc>
              <w:tc>
                <w:tcPr>
                  <w:tcW w:w="639"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2"/>
                      <w:position w:val="2"/>
                      <w:sz w:val="21"/>
                      <w:szCs w:val="21"/>
                    </w:rPr>
                    <w:t>CO-</w:t>
                  </w:r>
                  <w:r>
                    <w:rPr>
                      <w:rFonts w:ascii="Times New Roman" w:hAnsi="Times New Roman" w:eastAsia="宋体"/>
                      <w:spacing w:val="-2"/>
                      <w:sz w:val="21"/>
                      <w:szCs w:val="21"/>
                    </w:rPr>
                    <w:t>95per</w:t>
                  </w:r>
                </w:p>
              </w:tc>
              <w:tc>
                <w:tcPr>
                  <w:tcW w:w="758"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position w:val="2"/>
                      <w:sz w:val="21"/>
                      <w:szCs w:val="21"/>
                    </w:rPr>
                    <w:t>O</w:t>
                  </w:r>
                  <w:r>
                    <w:rPr>
                      <w:rFonts w:ascii="Times New Roman" w:hAnsi="Times New Roman" w:eastAsia="宋体"/>
                      <w:sz w:val="21"/>
                      <w:szCs w:val="21"/>
                    </w:rPr>
                    <w:t>3</w:t>
                  </w:r>
                  <w:r>
                    <w:rPr>
                      <w:rFonts w:ascii="Times New Roman" w:hAnsi="Times New Roman" w:eastAsia="宋体"/>
                      <w:position w:val="2"/>
                      <w:sz w:val="21"/>
                      <w:szCs w:val="21"/>
                    </w:rPr>
                    <w:t>_</w:t>
                  </w:r>
                  <w:r>
                    <w:rPr>
                      <w:rFonts w:ascii="Times New Roman" w:hAnsi="Times New Roman" w:eastAsia="宋体"/>
                      <w:sz w:val="21"/>
                      <w:szCs w:val="21"/>
                    </w:rPr>
                    <w:t>8h-</w:t>
                  </w:r>
                  <w:r>
                    <w:rPr>
                      <w:rFonts w:ascii="Times New Roman" w:hAnsi="Times New Roman" w:eastAsia="宋体"/>
                      <w:spacing w:val="-2"/>
                      <w:sz w:val="21"/>
                      <w:szCs w:val="21"/>
                    </w:rPr>
                    <w:t>90per</w:t>
                  </w:r>
                </w:p>
              </w:tc>
              <w:tc>
                <w:tcPr>
                  <w:tcW w:w="54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5"/>
                      <w:sz w:val="21"/>
                      <w:szCs w:val="21"/>
                    </w:rPr>
                    <w:t>首要污</w:t>
                  </w:r>
                </w:p>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8"/>
                      <w:sz w:val="21"/>
                      <w:szCs w:val="21"/>
                    </w:rPr>
                    <w:t>染物</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4" w:hRule="atLeast"/>
              </w:trPr>
              <w:tc>
                <w:tcPr>
                  <w:tcW w:w="31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10"/>
                      <w:sz w:val="21"/>
                      <w:szCs w:val="21"/>
                    </w:rPr>
                    <w:t>1</w:t>
                  </w:r>
                </w:p>
              </w:tc>
              <w:tc>
                <w:tcPr>
                  <w:tcW w:w="481"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8"/>
                      <w:sz w:val="21"/>
                      <w:szCs w:val="21"/>
                    </w:rPr>
                    <w:t>福州</w:t>
                  </w:r>
                </w:p>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sz w:val="21"/>
                      <w:szCs w:val="21"/>
                    </w:rPr>
                  </w:pPr>
                  <w:r>
                    <w:rPr>
                      <w:rFonts w:ascii="Times New Roman" w:hAnsi="Times New Roman" w:eastAsia="宋体"/>
                      <w:spacing w:val="-10"/>
                      <w:sz w:val="21"/>
                      <w:szCs w:val="21"/>
                    </w:rPr>
                    <w:t>市</w:t>
                  </w:r>
                </w:p>
              </w:tc>
              <w:tc>
                <w:tcPr>
                  <w:tcW w:w="467"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sz w:val="21"/>
                      <w:szCs w:val="21"/>
                      <w:lang w:val="en-US" w:eastAsia="zh-CN"/>
                    </w:rPr>
                  </w:pPr>
                  <w:r>
                    <w:rPr>
                      <w:rFonts w:ascii="Times New Roman" w:hAnsi="Times New Roman" w:eastAsia="宋体"/>
                      <w:spacing w:val="-4"/>
                      <w:sz w:val="21"/>
                      <w:szCs w:val="21"/>
                    </w:rPr>
                    <w:t>2.</w:t>
                  </w:r>
                  <w:r>
                    <w:rPr>
                      <w:rFonts w:hint="eastAsia" w:ascii="Times New Roman" w:hAnsi="Times New Roman" w:eastAsia="宋体"/>
                      <w:spacing w:val="-4"/>
                      <w:sz w:val="21"/>
                      <w:szCs w:val="21"/>
                      <w:lang w:val="en-US" w:eastAsia="zh-CN"/>
                    </w:rPr>
                    <w:t>40</w:t>
                  </w:r>
                </w:p>
              </w:tc>
              <w:tc>
                <w:tcPr>
                  <w:tcW w:w="704"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4</w:t>
                  </w:r>
                </w:p>
              </w:tc>
              <w:tc>
                <w:tcPr>
                  <w:tcW w:w="736"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14</w:t>
                  </w:r>
                </w:p>
              </w:tc>
              <w:tc>
                <w:tcPr>
                  <w:tcW w:w="797"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31</w:t>
                  </w:r>
                </w:p>
              </w:tc>
              <w:tc>
                <w:tcPr>
                  <w:tcW w:w="867"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19</w:t>
                  </w:r>
                </w:p>
              </w:tc>
              <w:tc>
                <w:tcPr>
                  <w:tcW w:w="1102"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0.7</w:t>
                  </w:r>
                </w:p>
              </w:tc>
              <w:tc>
                <w:tcPr>
                  <w:tcW w:w="1306"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132</w:t>
                  </w:r>
                </w:p>
              </w:tc>
              <w:tc>
                <w:tcPr>
                  <w:tcW w:w="931" w:type="dxa"/>
                  <w:tcBorders>
                    <w:tl2br w:val="nil"/>
                    <w:tr2bl w:val="nil"/>
                  </w:tcBorders>
                  <w:vAlign w:val="center"/>
                </w:tcPr>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sz w:val="21"/>
                      <w:szCs w:val="21"/>
                    </w:rPr>
                  </w:pPr>
                  <w:r>
                    <w:rPr>
                      <w:rFonts w:hint="eastAsia" w:ascii="Times New Roman" w:hAnsi="Times New Roman" w:eastAsia="宋体" w:cs="宋体"/>
                      <w:i w:val="0"/>
                      <w:iCs w:val="0"/>
                      <w:caps w:val="0"/>
                      <w:color w:val="333333"/>
                      <w:spacing w:val="0"/>
                      <w:sz w:val="21"/>
                      <w:szCs w:val="21"/>
                    </w:rPr>
                    <w:t>臭氧</w:t>
                  </w:r>
                </w:p>
              </w:tc>
            </w:tr>
          </w:tbl>
          <w:p>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(详见附图</w:t>
            </w:r>
            <w:r>
              <w:rPr>
                <w:rFonts w:hint="eastAsia" w:cs="宋体"/>
                <w:color w:val="000000" w:themeColor="text1"/>
                <w:highlight w:val="none"/>
                <w:lang w:val="en-US" w:eastAsia="zh-CN"/>
                <w14:textFill>
                  <w14:solidFill>
                    <w14:schemeClr w14:val="tx1"/>
                  </w14:solidFill>
                </w14:textFill>
              </w:rPr>
              <w:t>6</w:t>
            </w:r>
            <w:r>
              <w:rPr>
                <w:rFonts w:hint="eastAsia" w:ascii="Times New Roman" w:hAnsi="Times New Roman" w:eastAsia="宋体" w:cs="宋体"/>
                <w:color w:val="000000" w:themeColor="text1"/>
                <w:highlight w:val="none"/>
                <w:lang w:val="en-US" w:eastAsia="zh-CN"/>
                <w14:textFill>
                  <w14:solidFill>
                    <w14:schemeClr w14:val="tx1"/>
                  </w14:solidFill>
                </w14:textFill>
              </w:rPr>
              <w:t>、附图</w:t>
            </w:r>
            <w:r>
              <w:rPr>
                <w:rFonts w:hint="eastAsia" w:cs="宋体"/>
                <w:color w:val="000000" w:themeColor="text1"/>
                <w:highlight w:val="none"/>
                <w:lang w:val="en-US" w:eastAsia="zh-CN"/>
                <w14:textFill>
                  <w14:solidFill>
                    <w14:schemeClr w14:val="tx1"/>
                  </w14:solidFill>
                </w14:textFill>
              </w:rPr>
              <w:t>7</w:t>
            </w:r>
            <w:r>
              <w:rPr>
                <w:rFonts w:hint="eastAsia" w:ascii="Times New Roman" w:hAnsi="Times New Roman" w:eastAsia="宋体" w:cs="宋体"/>
                <w:color w:val="000000" w:themeColor="text1"/>
                <w:highlight w:val="none"/>
                <w:lang w:val="en-US" w:eastAsia="zh-CN"/>
                <w14:textFill>
                  <w14:solidFill>
                    <w14:schemeClr w14:val="tx1"/>
                  </w14:solidFill>
                </w14:textFill>
              </w:rPr>
              <w:t>)。</w:t>
            </w:r>
          </w:p>
          <w:p>
            <w:pPr>
              <w:pStyle w:val="44"/>
              <w:numPr>
                <w:ilvl w:val="0"/>
                <w:numId w:val="0"/>
              </w:numPr>
              <w:bidi w:val="0"/>
              <w:ind w:left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cs="宋体"/>
                <w:color w:val="000000" w:themeColor="text1"/>
                <w:highlight w:val="none"/>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引用资料的有效性分析</w:t>
            </w:r>
          </w:p>
          <w:p>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本评价常规污染因子选取福建省生态环境厅、福州市</w:t>
            </w:r>
            <w:r>
              <w:rPr>
                <w:rFonts w:hint="eastAsia" w:cs="宋体"/>
                <w:color w:val="000000" w:themeColor="text1"/>
                <w:highlight w:val="none"/>
                <w:lang w:val="en-US" w:eastAsia="zh-CN"/>
                <w14:textFill>
                  <w14:solidFill>
                    <w14:schemeClr w14:val="tx1"/>
                  </w14:solidFill>
                </w14:textFill>
              </w:rPr>
              <w:t>福清市</w:t>
            </w:r>
            <w:r>
              <w:rPr>
                <w:rFonts w:hint="eastAsia" w:ascii="Times New Roman" w:hAnsi="Times New Roman" w:eastAsia="宋体" w:cs="宋体"/>
                <w:color w:val="000000" w:themeColor="text1"/>
                <w:highlight w:val="none"/>
                <w:lang w:val="en-US" w:eastAsia="zh-CN"/>
                <w14:textFill>
                  <w14:solidFill>
                    <w14:schemeClr w14:val="tx1"/>
                  </w14:solidFill>
                </w14:textFill>
              </w:rPr>
              <w:t>人民政府网址发布的环境空气质量现状信息，符合《建设项目环境影响报告表编制技术指南(污染影响类)(试行)》(环办环评〔2020〕33号)的要求。</w:t>
            </w:r>
          </w:p>
          <w:p>
            <w:pPr>
              <w:pStyle w:val="44"/>
              <w:numPr>
                <w:ilvl w:val="0"/>
                <w:numId w:val="11"/>
              </w:numPr>
              <w:bidi w:val="0"/>
              <w:ind w:left="425" w:leftChars="0" w:hanging="425" w:firstLineChars="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其他污染因子</w:t>
            </w:r>
          </w:p>
          <w:p>
            <w:pPr>
              <w:pStyle w:val="44"/>
              <w:bidi w:val="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环境影响评价网(生态环境部环境工程评估中心)关于《建设项目环境影响报告表》内容、格式及编制技术指南常见问题解答：“技术指南中提到“排放国家、地方环境空气质量标准中有标准限值要求的特征污染物”，其中环境空气质量标准指《环境空气质量标准》(GB3095)和地方的环境空气质量标准，不包括《环境影响评价技术导则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声环境质量现状</w:t>
            </w:r>
          </w:p>
          <w:p>
            <w:pPr>
              <w:pStyle w:val="44"/>
              <w:numPr>
                <w:ilvl w:val="0"/>
                <w:numId w:val="12"/>
              </w:numPr>
              <w:autoSpaceDE w:val="0"/>
              <w:autoSpaceDN w:val="0"/>
              <w:spacing w:before="120" w:beforeLines="50"/>
              <w:ind w:left="425" w:leftChars="0" w:hanging="425"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声环境功能区</w:t>
            </w:r>
          </w:p>
          <w:p>
            <w:pPr>
              <w:pStyle w:val="44"/>
              <w:shd w:val="clear"/>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本项目位于</w:t>
            </w:r>
            <w:r>
              <w:rPr>
                <w:rFonts w:hint="eastAsia" w:cs="宋体"/>
                <w:color w:val="auto"/>
                <w:highlight w:val="none"/>
                <w:lang w:val="en-US" w:eastAsia="zh-CN"/>
              </w:rPr>
              <w:t>福清市镜洋镇过洋39号</w:t>
            </w:r>
            <w:r>
              <w:rPr>
                <w:rFonts w:hint="eastAsia" w:ascii="Times New Roman" w:hAnsi="Times New Roman" w:eastAsia="宋体" w:cs="宋体"/>
                <w:color w:val="auto"/>
                <w:highlight w:val="none"/>
                <w:lang w:val="en-US" w:eastAsia="zh-CN"/>
              </w:rPr>
              <w:t>，根据调查，</w:t>
            </w:r>
            <w:r>
              <w:rPr>
                <w:rFonts w:hint="eastAsia" w:cs="宋体"/>
                <w:color w:val="auto"/>
                <w:highlight w:val="none"/>
                <w:lang w:val="en-US" w:eastAsia="zh-CN"/>
              </w:rPr>
              <w:t>项目周边</w:t>
            </w:r>
            <w:r>
              <w:rPr>
                <w:rFonts w:hint="eastAsia" w:ascii="Times New Roman" w:hAnsi="Times New Roman" w:eastAsia="宋体" w:cs="宋体"/>
                <w:color w:val="auto"/>
                <w:highlight w:val="none"/>
                <w:lang w:val="en-US" w:eastAsia="zh-CN"/>
              </w:rPr>
              <w:t>以工业生产、仓储物流为主要功能，需要防止工业噪声对周围环境产生严重影响的区域。项目所在区域声环境为</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类功能区，声环境功能执行《声环境质量标准》(GB3096-2008)表1中</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类标准；</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《声环境质量标准》(GB3096-2008)(摘录)</w:t>
            </w:r>
          </w:p>
          <w:tbl>
            <w:tblPr>
              <w:tblStyle w:val="33"/>
              <w:tblW w:w="5073" w:type="pct"/>
              <w:tblInd w:w="-79"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0" w:type="dxa"/>
                <w:bottom w:w="0" w:type="dxa"/>
                <w:right w:w="0" w:type="dxa"/>
              </w:tblCellMar>
            </w:tblPr>
            <w:tblGrid>
              <w:gridCol w:w="1021"/>
              <w:gridCol w:w="4651"/>
              <w:gridCol w:w="1536"/>
              <w:gridCol w:w="1566"/>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restar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1"/>
                    </w:rPr>
                  </w:pPr>
                  <w:r>
                    <w:rPr>
                      <w:rFonts w:ascii="Times New Roman" w:hAnsi="Times New Roman" w:eastAsia="宋体"/>
                      <w:spacing w:val="-6"/>
                      <w:sz w:val="21"/>
                    </w:rPr>
                    <w:t>标准</w:t>
                  </w:r>
                  <w:r>
                    <w:rPr>
                      <w:rFonts w:ascii="Times New Roman" w:hAnsi="Times New Roman" w:eastAsia="宋体"/>
                      <w:spacing w:val="-8"/>
                      <w:sz w:val="21"/>
                    </w:rPr>
                    <w:t>类别</w:t>
                  </w:r>
                </w:p>
              </w:tc>
              <w:tc>
                <w:tcPr>
                  <w:tcW w:w="2650" w:type="pct"/>
                  <w:vMerge w:val="restar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pacing w:val="-7"/>
                      <w:sz w:val="21"/>
                    </w:rPr>
                    <w:t>适用区域</w:t>
                  </w:r>
                </w:p>
              </w:tc>
              <w:tc>
                <w:tcPr>
                  <w:tcW w:w="1767" w:type="pct"/>
                  <w:gridSpan w:val="2"/>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pacing w:val="-12"/>
                      <w:position w:val="2"/>
                      <w:sz w:val="21"/>
                    </w:rPr>
                  </w:pPr>
                  <w:r>
                    <w:rPr>
                      <w:rFonts w:ascii="Times New Roman" w:hAnsi="Times New Roman" w:eastAsia="宋体"/>
                      <w:spacing w:val="-12"/>
                      <w:position w:val="2"/>
                      <w:sz w:val="21"/>
                    </w:rPr>
                    <w:t xml:space="preserve">等效声级 </w:t>
                  </w:r>
                  <w:r>
                    <w:rPr>
                      <w:rFonts w:ascii="Times New Roman" w:hAnsi="Times New Roman" w:eastAsia="宋体"/>
                      <w:spacing w:val="-4"/>
                      <w:position w:val="2"/>
                      <w:sz w:val="21"/>
                    </w:rPr>
                    <w:t>L</w:t>
                  </w:r>
                  <w:r>
                    <w:rPr>
                      <w:rFonts w:ascii="Times New Roman" w:hAnsi="Times New Roman" w:eastAsia="宋体"/>
                      <w:spacing w:val="-4"/>
                      <w:sz w:val="13"/>
                    </w:rPr>
                    <w:t>eq</w:t>
                  </w:r>
                  <w:r>
                    <w:rPr>
                      <w:rFonts w:ascii="Times New Roman" w:hAnsi="Times New Roman" w:eastAsia="宋体"/>
                      <w:spacing w:val="-4"/>
                      <w:position w:val="2"/>
                      <w:sz w:val="21"/>
                    </w:rPr>
                    <w:t>(dB(A))</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continue"/>
                  <w:tcBorders>
                    <w:top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
                      <w:szCs w:val="2"/>
                    </w:rPr>
                  </w:pPr>
                </w:p>
              </w:tc>
              <w:tc>
                <w:tcPr>
                  <w:tcW w:w="2650" w:type="pct"/>
                  <w:vMerge w:val="continue"/>
                  <w:tcBorders>
                    <w:top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
                      <w:szCs w:val="2"/>
                    </w:rPr>
                  </w:pPr>
                </w:p>
              </w:tc>
              <w:tc>
                <w:tcPr>
                  <w:tcW w:w="875"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pacing w:val="-8"/>
                      <w:sz w:val="21"/>
                    </w:rPr>
                    <w:t>昼间</w:t>
                  </w:r>
                </w:p>
              </w:tc>
              <w:tc>
                <w:tcPr>
                  <w:tcW w:w="891"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8"/>
                      <w:sz w:val="21"/>
                      <w:lang w:val="en-US" w:eastAsia="zh-CN"/>
                    </w:rPr>
                  </w:pPr>
                  <w:r>
                    <w:rPr>
                      <w:rFonts w:hint="eastAsia" w:ascii="Times New Roman" w:hAnsi="Times New Roman" w:eastAsia="宋体"/>
                      <w:spacing w:val="-8"/>
                      <w:sz w:val="21"/>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679" w:hRule="atLeast"/>
              </w:trPr>
              <w:tc>
                <w:tcPr>
                  <w:tcW w:w="582"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10"/>
                      <w:sz w:val="21"/>
                      <w:lang w:val="en-US" w:eastAsia="zh-CN"/>
                    </w:rPr>
                  </w:pPr>
                  <w:r>
                    <w:rPr>
                      <w:rFonts w:hint="eastAsia" w:ascii="Times New Roman" w:hAnsi="Times New Roman"/>
                      <w:spacing w:val="-10"/>
                      <w:sz w:val="21"/>
                      <w:lang w:val="en-US" w:eastAsia="zh-CN"/>
                    </w:rPr>
                    <w:t>3</w:t>
                  </w:r>
                </w:p>
              </w:tc>
              <w:tc>
                <w:tcPr>
                  <w:tcW w:w="265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pacing w:val="-3"/>
                      <w:sz w:val="21"/>
                    </w:rPr>
                  </w:pPr>
                  <w:r>
                    <w:rPr>
                      <w:rFonts w:hint="eastAsia" w:ascii="Times New Roman" w:hAnsi="Times New Roman" w:eastAsia="宋体"/>
                      <w:spacing w:val="-3"/>
                      <w:sz w:val="21"/>
                    </w:rPr>
                    <w:t>指</w:t>
                  </w:r>
                  <w:r>
                    <w:rPr>
                      <w:rFonts w:hint="eastAsia" w:ascii="Times New Roman" w:hAnsi="Times New Roman" w:eastAsia="宋体"/>
                      <w:spacing w:val="-3"/>
                      <w:sz w:val="21"/>
                      <w:lang w:val="en-US" w:eastAsia="zh-CN"/>
                    </w:rPr>
                    <w:t>以工业生产、仓储物流为主要功能，需要防止工业噪声对周围环境产生严重影响的区域。</w:t>
                  </w:r>
                </w:p>
              </w:tc>
              <w:tc>
                <w:tcPr>
                  <w:tcW w:w="87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pacing w:val="-5"/>
                      <w:sz w:val="21"/>
                      <w:lang w:eastAsia="zh-CN"/>
                    </w:rPr>
                  </w:pPr>
                  <w:r>
                    <w:rPr>
                      <w:rFonts w:ascii="Times New Roman" w:hAnsi="Times New Roman" w:eastAsia="宋体"/>
                      <w:spacing w:val="-5"/>
                      <w:sz w:val="21"/>
                    </w:rPr>
                    <w:t>≤6</w:t>
                  </w:r>
                  <w:r>
                    <w:rPr>
                      <w:rFonts w:hint="eastAsia" w:ascii="Times New Roman" w:hAnsi="Times New Roman"/>
                      <w:spacing w:val="-5"/>
                      <w:sz w:val="21"/>
                      <w:lang w:val="en-US" w:eastAsia="zh-CN"/>
                    </w:rPr>
                    <w:t>5</w:t>
                  </w:r>
                </w:p>
              </w:tc>
              <w:tc>
                <w:tcPr>
                  <w:tcW w:w="891"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pacing w:val="-5"/>
                      <w:sz w:val="21"/>
                      <w:lang w:val="en-US" w:eastAsia="zh-CN"/>
                    </w:rPr>
                  </w:pPr>
                  <w:r>
                    <w:rPr>
                      <w:rFonts w:ascii="Times New Roman" w:hAnsi="Times New Roman" w:eastAsia="宋体"/>
                      <w:spacing w:val="-5"/>
                      <w:sz w:val="21"/>
                    </w:rPr>
                    <w:t>≤</w:t>
                  </w:r>
                  <w:r>
                    <w:rPr>
                      <w:rFonts w:hint="eastAsia" w:ascii="Times New Roman" w:hAnsi="Times New Roman" w:eastAsia="宋体"/>
                      <w:spacing w:val="-5"/>
                      <w:sz w:val="21"/>
                      <w:lang w:val="en-US" w:eastAsia="zh-CN"/>
                    </w:rPr>
                    <w:t>5</w:t>
                  </w:r>
                  <w:r>
                    <w:rPr>
                      <w:rFonts w:hint="eastAsia" w:ascii="Times New Roman" w:hAnsi="Times New Roman"/>
                      <w:spacing w:val="-5"/>
                      <w:sz w:val="21"/>
                      <w:lang w:val="en-US" w:eastAsia="zh-CN"/>
                    </w:rPr>
                    <w:t>5</w:t>
                  </w:r>
                </w:p>
              </w:tc>
            </w:tr>
          </w:tbl>
          <w:p>
            <w:pPr>
              <w:pStyle w:val="44"/>
              <w:numPr>
                <w:ilvl w:val="0"/>
                <w:numId w:val="12"/>
              </w:numPr>
              <w:autoSpaceDE w:val="0"/>
              <w:autoSpaceDN w:val="0"/>
              <w:spacing w:before="120" w:beforeLines="50"/>
              <w:ind w:left="425" w:leftChars="0" w:hanging="425"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声环境质量现状</w:t>
            </w:r>
          </w:p>
          <w:p>
            <w:pPr>
              <w:pStyle w:val="44"/>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pPr>
              <w:pStyle w:val="44"/>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根据现场踏勘可知，项目周边50米范围内无声环境保护目标，可不进行声环境质量现状的监测。</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生态环境</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根据《建设项目环境影响报告表编制技术指南（污染影响类）（试行）》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“产业园区外建设项目新增用地且用地范围内含生态环境保护目标时，应进行生态现状调查”。本项目位于</w:t>
            </w:r>
            <w:r>
              <w:rPr>
                <w:rFonts w:hint="eastAsia"/>
                <w:color w:val="000000" w:themeColor="text1"/>
                <w:highlight w:val="none"/>
                <w:lang w:eastAsia="zh-CN"/>
                <w14:textFill>
                  <w14:solidFill>
                    <w14:schemeClr w14:val="tx1"/>
                  </w14:solidFill>
                </w14:textFill>
              </w:rPr>
              <w:t>福清市镜洋镇过洋39号</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厂房已建设，</w:t>
            </w:r>
            <w:r>
              <w:rPr>
                <w:rFonts w:hint="eastAsia"/>
                <w:color w:val="000000" w:themeColor="text1"/>
                <w:highlight w:val="none"/>
                <w14:textFill>
                  <w14:solidFill>
                    <w14:schemeClr w14:val="tx1"/>
                  </w14:solidFill>
                </w14:textFill>
              </w:rPr>
              <w:t>用地范围内无生态环境保护目标，无需进行生态现状调查。</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地下水、土壤环境</w:t>
            </w:r>
          </w:p>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《建设项目环境影响报告表编制技术指南（污染影响类）</w:t>
            </w:r>
            <w:r>
              <w:rPr>
                <w:rFonts w:hint="eastAsia"/>
                <w:color w:val="000000" w:themeColor="text1"/>
                <w:highlight w:val="none"/>
                <w:lang w:eastAsia="zh-CN"/>
                <w14:textFill>
                  <w14:solidFill>
                    <w14:schemeClr w14:val="tx1"/>
                  </w14:solidFill>
                </w14:textFill>
              </w:rPr>
              <w:t>（试行）》</w:t>
            </w:r>
            <w:r>
              <w:rPr>
                <w:color w:val="000000" w:themeColor="text1"/>
                <w:highlight w:val="none"/>
                <w14:textFill>
                  <w14:solidFill>
                    <w14:schemeClr w14:val="tx1"/>
                  </w14:solidFill>
                </w14:textFill>
              </w:rPr>
              <w:t>中表明：原则上不开展地下水、土壤环境质量现状调查</w:t>
            </w:r>
            <w:r>
              <w:rPr>
                <w:rFonts w:hint="eastAsia"/>
                <w:color w:val="000000" w:themeColor="text1"/>
                <w:highlight w:val="none"/>
                <w14:textFill>
                  <w14:solidFill>
                    <w14:schemeClr w14:val="tx1"/>
                  </w14:solidFill>
                </w14:textFill>
              </w:rPr>
              <w:t>。本项目厂区车间经分区防渗后，项目基本不会对土壤、地下水产生影响。且项目</w:t>
            </w:r>
            <w:r>
              <w:rPr>
                <w:color w:val="000000" w:themeColor="text1"/>
                <w:highlight w:val="none"/>
                <w14:textFill>
                  <w14:solidFill>
                    <w14:schemeClr w14:val="tx1"/>
                  </w14:solidFill>
                </w14:textFill>
              </w:rPr>
              <w:t>厂界外500</w:t>
            </w:r>
            <w:r>
              <w:rPr>
                <w:rFonts w:hint="eastAsia"/>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范围内无地下水集中式饮用水水源和热水、矿泉水、泉水等特殊地下水资源。因此，本项目不</w:t>
            </w:r>
            <w:r>
              <w:rPr>
                <w:rFonts w:hint="eastAsia"/>
                <w:color w:val="000000" w:themeColor="text1"/>
                <w:highlight w:val="none"/>
                <w14:textFill>
                  <w14:solidFill>
                    <w14:schemeClr w14:val="tx1"/>
                  </w14:solidFill>
                </w14:textFill>
              </w:rPr>
              <w:t>开展</w:t>
            </w:r>
            <w:r>
              <w:rPr>
                <w:color w:val="000000" w:themeColor="text1"/>
                <w:highlight w:val="none"/>
                <w14:textFill>
                  <w14:solidFill>
                    <w14:schemeClr w14:val="tx1"/>
                  </w14:solidFill>
                </w14:textFill>
              </w:rPr>
              <w:t>地下水、土壤环境质量现状</w:t>
            </w:r>
            <w:r>
              <w:rPr>
                <w:rFonts w:hint="eastAsia"/>
                <w:color w:val="000000" w:themeColor="text1"/>
                <w:highlight w:val="none"/>
                <w14:textFill>
                  <w14:solidFill>
                    <w14:schemeClr w14:val="tx1"/>
                  </w14:solidFill>
                </w14:textFill>
              </w:rPr>
              <w:t>调查</w:t>
            </w:r>
            <w:r>
              <w:rPr>
                <w:color w:val="000000" w:themeColor="text1"/>
                <w:highlight w:val="none"/>
                <w14:textFill>
                  <w14:solidFill>
                    <w14:schemeClr w14:val="tx1"/>
                  </w14:solidFill>
                </w14:textFill>
              </w:rPr>
              <w:t>。</w:t>
            </w:r>
          </w:p>
        </w:tc>
      </w:tr>
    </w:tbl>
    <w:p>
      <w:pPr>
        <w:rPr>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3"/>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8" w:hRule="atLeast"/>
          <w:jc w:val="center"/>
        </w:trPr>
        <w:tc>
          <w:tcPr>
            <w:tcW w:w="800"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保护</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目标</w:t>
            </w:r>
          </w:p>
        </w:tc>
        <w:tc>
          <w:tcPr>
            <w:tcW w:w="8190" w:type="dxa"/>
            <w:vAlign w:val="center"/>
          </w:tcPr>
          <w:p>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30" w:name="_Toc15528"/>
            <w:r>
              <w:rPr>
                <w:rFonts w:hint="eastAsia"/>
                <w:color w:val="000000" w:themeColor="text1"/>
                <w:highlight w:val="none"/>
                <w14:textFill>
                  <w14:solidFill>
                    <w14:schemeClr w14:val="tx1"/>
                  </w14:solidFill>
                </w14:textFill>
              </w:rPr>
              <w:t>环境保护目标</w:t>
            </w:r>
            <w:bookmarkEnd w:id="30"/>
          </w:p>
          <w:p>
            <w:pPr>
              <w:pStyle w:val="4"/>
              <w:bidi w:val="0"/>
              <w:rPr>
                <w:rFonts w:hint="default"/>
                <w:highlight w:val="none"/>
                <w:lang w:val="en-US" w:eastAsia="zh-CN"/>
              </w:rPr>
            </w:pPr>
            <w:r>
              <w:rPr>
                <w:rFonts w:hint="eastAsia"/>
                <w:highlight w:val="none"/>
                <w:lang w:val="en-US" w:eastAsia="zh-CN"/>
              </w:rPr>
              <w:t>环境敏感目标</w:t>
            </w:r>
          </w:p>
          <w:p>
            <w:pPr>
              <w:pStyle w:val="44"/>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eastAsia" w:cs="Times New Roman"/>
                <w:color w:val="000000" w:themeColor="text1"/>
                <w:highlight w:val="none"/>
                <w:lang w:val="en-US" w:eastAsia="zh-CN"/>
                <w14:textFill>
                  <w14:solidFill>
                    <w14:schemeClr w14:val="tx1"/>
                  </w14:solidFill>
                </w14:textFill>
              </w:rPr>
              <w:t>福清市镜洋镇过洋39号</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项目评价范围内不涉及自然保护区、风景名胜区、文物古迹等敏感目标。本项目周边环境敏感目标详见</w:t>
            </w:r>
            <w:r>
              <w:rPr>
                <w:rFonts w:hint="eastAsia"/>
                <w:color w:val="000000" w:themeColor="text1"/>
                <w:highlight w:val="none"/>
                <w:lang w:val="en-US" w:eastAsia="zh-CN"/>
                <w14:textFill>
                  <w14:solidFill>
                    <w14:schemeClr w14:val="tx1"/>
                  </w14:solidFill>
                </w14:textFill>
              </w:rPr>
              <w:t>下表</w:t>
            </w:r>
            <w:r>
              <w:rPr>
                <w:rFonts w:hint="eastAsia"/>
                <w:color w:val="000000" w:themeColor="text1"/>
                <w:highlight w:val="none"/>
                <w14:textFill>
                  <w14:solidFill>
                    <w14:schemeClr w14:val="tx1"/>
                  </w14:solidFill>
                </w14:textFill>
              </w:rPr>
              <w:t>和附图2。</w:t>
            </w: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color w:val="000000" w:themeColor="text1"/>
                <w:highlight w:val="none"/>
                <w14:textFill>
                  <w14:solidFill>
                    <w14:schemeClr w14:val="tx1"/>
                  </w14:solidFill>
                </w14:textFill>
              </w:rPr>
            </w:pPr>
            <w:bookmarkStart w:id="31" w:name="_Ref4901"/>
            <w:r>
              <w:rPr>
                <w:rFonts w:hint="eastAsia"/>
                <w:color w:val="000000" w:themeColor="text1"/>
                <w:highlight w:val="none"/>
                <w14:textFill>
                  <w14:solidFill>
                    <w14:schemeClr w14:val="tx1"/>
                  </w14:solidFill>
                </w14:textFill>
              </w:rPr>
              <w:t>本项目周边环境敏感目标一览表</w:t>
            </w:r>
            <w:bookmarkEnd w:id="31"/>
          </w:p>
          <w:tbl>
            <w:tblPr>
              <w:tblStyle w:val="84"/>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2"/>
              <w:gridCol w:w="1472"/>
              <w:gridCol w:w="1658"/>
              <w:gridCol w:w="1435"/>
              <w:gridCol w:w="24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7"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环境要素</w:t>
                  </w:r>
                </w:p>
              </w:tc>
              <w:tc>
                <w:tcPr>
                  <w:tcW w:w="923"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环境保护对象名称</w:t>
                  </w:r>
                </w:p>
              </w:tc>
              <w:tc>
                <w:tcPr>
                  <w:tcW w:w="1040"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与项目厂界的方位和最近距离</w:t>
                  </w:r>
                </w:p>
              </w:tc>
              <w:tc>
                <w:tcPr>
                  <w:tcW w:w="900"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基本特征</w:t>
                  </w:r>
                </w:p>
              </w:tc>
              <w:tc>
                <w:tcPr>
                  <w:tcW w:w="1539" w:type="pct"/>
                  <w:tcBorders>
                    <w:bottom w:val="single" w:color="000000" w:sz="12" w:space="0"/>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环境功能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restar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环境空气</w:t>
                  </w:r>
                </w:p>
              </w:tc>
              <w:tc>
                <w:tcPr>
                  <w:tcW w:w="923"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Times New Roman"/>
                      <w:snapToGrid/>
                      <w:color w:val="000000" w:themeColor="text1"/>
                      <w:kern w:val="2"/>
                      <w:sz w:val="21"/>
                      <w:szCs w:val="21"/>
                      <w:lang w:val="en-US" w:eastAsia="zh-CN"/>
                      <w14:textFill>
                        <w14:solidFill>
                          <w14:schemeClr w14:val="tx1"/>
                        </w14:solidFill>
                      </w14:textFill>
                    </w:rPr>
                    <w:t>上井</w:t>
                  </w:r>
                </w:p>
              </w:tc>
              <w:tc>
                <w:tcPr>
                  <w:tcW w:w="1040"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Times New Roman"/>
                      <w:snapToGrid/>
                      <w:color w:val="000000" w:themeColor="text1"/>
                      <w:kern w:val="2"/>
                      <w:sz w:val="21"/>
                      <w:szCs w:val="21"/>
                      <w:lang w:val="en-US" w:eastAsia="zh-CN"/>
                      <w14:textFill>
                        <w14:solidFill>
                          <w14:schemeClr w14:val="tx1"/>
                        </w14:solidFill>
                      </w14:textFill>
                    </w:rPr>
                    <w:t>北</w:t>
                  </w: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侧</w:t>
                  </w:r>
                  <w:r>
                    <w:rPr>
                      <w:rFonts w:hint="eastAsia" w:cs="Times New Roman"/>
                      <w:snapToGrid/>
                      <w:color w:val="000000" w:themeColor="text1"/>
                      <w:kern w:val="2"/>
                      <w:sz w:val="21"/>
                      <w:szCs w:val="21"/>
                      <w:lang w:val="en-US" w:eastAsia="zh-CN"/>
                      <w14:textFill>
                        <w14:solidFill>
                          <w14:schemeClr w14:val="tx1"/>
                        </w14:solidFill>
                      </w14:textFill>
                    </w:rPr>
                    <w:t>230</w:t>
                  </w: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m</w:t>
                  </w:r>
                </w:p>
              </w:tc>
              <w:tc>
                <w:tcPr>
                  <w:tcW w:w="900" w:type="pc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居民区</w:t>
                  </w:r>
                </w:p>
              </w:tc>
              <w:tc>
                <w:tcPr>
                  <w:tcW w:w="1539" w:type="pct"/>
                  <w:vMerge w:val="restart"/>
                  <w:tcBorders>
                    <w:top w:val="single" w:color="000000" w:sz="12" w:space="0"/>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《环境空气质量标准》</w:t>
                  </w:r>
                </w:p>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(GB3095-2012)及其修改单中的二级标准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92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Times New Roman"/>
                      <w:snapToGrid/>
                      <w:color w:val="000000" w:themeColor="text1"/>
                      <w:kern w:val="2"/>
                      <w:sz w:val="21"/>
                      <w:szCs w:val="21"/>
                      <w:lang w:val="en-US" w:eastAsia="zh-CN"/>
                      <w14:textFill>
                        <w14:solidFill>
                          <w14:schemeClr w14:val="tx1"/>
                        </w14:solidFill>
                      </w14:textFill>
                    </w:rPr>
                    <w:t>过洋</w:t>
                  </w:r>
                </w:p>
              </w:tc>
              <w:tc>
                <w:tcPr>
                  <w:tcW w:w="104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东侧</w:t>
                  </w:r>
                  <w:r>
                    <w:rPr>
                      <w:rFonts w:hint="eastAsia" w:cs="Times New Roman"/>
                      <w:snapToGrid/>
                      <w:color w:val="000000" w:themeColor="text1"/>
                      <w:kern w:val="2"/>
                      <w:sz w:val="21"/>
                      <w:szCs w:val="21"/>
                      <w:lang w:val="en-US" w:eastAsia="zh-CN"/>
                      <w14:textFill>
                        <w14:solidFill>
                          <w14:schemeClr w14:val="tx1"/>
                        </w14:solidFill>
                      </w14:textFill>
                    </w:rPr>
                    <w:t>207</w:t>
                  </w: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m</w:t>
                  </w:r>
                </w:p>
              </w:tc>
              <w:tc>
                <w:tcPr>
                  <w:tcW w:w="90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居民区</w:t>
                  </w:r>
                </w:p>
              </w:tc>
              <w:tc>
                <w:tcPr>
                  <w:tcW w:w="1539"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92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Times New Roman"/>
                      <w:snapToGrid/>
                      <w:color w:val="000000" w:themeColor="text1"/>
                      <w:kern w:val="2"/>
                      <w:sz w:val="21"/>
                      <w:szCs w:val="21"/>
                      <w:lang w:val="en-US" w:eastAsia="zh-CN"/>
                      <w14:textFill>
                        <w14:solidFill>
                          <w14:schemeClr w14:val="tx1"/>
                        </w14:solidFill>
                      </w14:textFill>
                    </w:rPr>
                    <w:t>出水村</w:t>
                  </w:r>
                </w:p>
              </w:tc>
              <w:tc>
                <w:tcPr>
                  <w:tcW w:w="104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Times New Roman"/>
                      <w:snapToGrid/>
                      <w:color w:val="000000" w:themeColor="text1"/>
                      <w:kern w:val="2"/>
                      <w:sz w:val="21"/>
                      <w:szCs w:val="21"/>
                      <w:lang w:val="en-US" w:eastAsia="zh-CN"/>
                      <w14:textFill>
                        <w14:solidFill>
                          <w14:schemeClr w14:val="tx1"/>
                        </w14:solidFill>
                      </w14:textFill>
                    </w:rPr>
                    <w:t>南侧410m</w:t>
                  </w:r>
                </w:p>
              </w:tc>
              <w:tc>
                <w:tcPr>
                  <w:tcW w:w="90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居民区</w:t>
                  </w:r>
                </w:p>
              </w:tc>
              <w:tc>
                <w:tcPr>
                  <w:tcW w:w="1539" w:type="pct"/>
                  <w:vMerge w:val="continue"/>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97"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地表水</w:t>
                  </w:r>
                </w:p>
              </w:tc>
              <w:tc>
                <w:tcPr>
                  <w:tcW w:w="923"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cs="宋体"/>
                      <w:sz w:val="21"/>
                      <w:szCs w:val="21"/>
                      <w:lang w:val="en-US" w:eastAsia="zh-CN"/>
                    </w:rPr>
                    <w:t>太城溪</w:t>
                  </w:r>
                </w:p>
              </w:tc>
              <w:tc>
                <w:tcPr>
                  <w:tcW w:w="104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东侧</w:t>
                  </w:r>
                  <w:r>
                    <w:rPr>
                      <w:rFonts w:hint="eastAsia" w:cs="Times New Roman"/>
                      <w:snapToGrid/>
                      <w:color w:val="000000" w:themeColor="text1"/>
                      <w:kern w:val="2"/>
                      <w:sz w:val="21"/>
                      <w:szCs w:val="21"/>
                      <w:lang w:val="en-US" w:eastAsia="zh-CN"/>
                      <w14:textFill>
                        <w14:solidFill>
                          <w14:schemeClr w14:val="tx1"/>
                        </w14:solidFill>
                      </w14:textFill>
                    </w:rPr>
                    <w:t>166</w:t>
                  </w: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m</w:t>
                  </w:r>
                </w:p>
              </w:tc>
              <w:tc>
                <w:tcPr>
                  <w:tcW w:w="900"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小型河流</w:t>
                  </w:r>
                </w:p>
              </w:tc>
              <w:tc>
                <w:tcPr>
                  <w:tcW w:w="153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《地表水环境质量标准》(GB3838-2002)Ⅲ类标准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7"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声环境</w:t>
                  </w:r>
                </w:p>
              </w:tc>
              <w:tc>
                <w:tcPr>
                  <w:tcW w:w="2863" w:type="pct"/>
                  <w:gridSpan w:val="3"/>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厂界外50米范围内无声环境保护目标</w:t>
                  </w:r>
                </w:p>
              </w:tc>
              <w:tc>
                <w:tcPr>
                  <w:tcW w:w="1539"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《声环境质量标准》（GB3096-2008）中</w:t>
                  </w:r>
                  <w:r>
                    <w:rPr>
                      <w:rFonts w:hint="eastAsia" w:cs="Times New Roman"/>
                      <w:snapToGrid/>
                      <w:color w:val="000000" w:themeColor="text1"/>
                      <w:kern w:val="2"/>
                      <w:sz w:val="21"/>
                      <w:szCs w:val="21"/>
                      <w:lang w:val="en-US" w:eastAsia="zh-CN"/>
                      <w14:textFill>
                        <w14:solidFill>
                          <w14:schemeClr w14:val="tx1"/>
                        </w14:solidFill>
                      </w14:textFill>
                    </w:rPr>
                    <w:t>3</w:t>
                  </w: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类功能区标准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97" w:type="pct"/>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地下水</w:t>
                  </w:r>
                </w:p>
              </w:tc>
              <w:tc>
                <w:tcPr>
                  <w:tcW w:w="4402" w:type="pct"/>
                  <w:gridSpan w:val="4"/>
                  <w:tcBorders>
                    <w:tl2br w:val="nil"/>
                    <w:tr2bl w:val="nil"/>
                  </w:tcBorders>
                  <w:vAlign w:val="center"/>
                </w:tcPr>
                <w:p>
                  <w:pPr>
                    <w:pStyle w:val="46"/>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t>项目厂界外500米范围内无地下水集中式饮用水水源和热水、矿泉水、温泉等特殊地下水资源</w:t>
                  </w:r>
                </w:p>
              </w:tc>
            </w:tr>
          </w:tbl>
          <w:p>
            <w:pPr>
              <w:pStyle w:val="4"/>
              <w:bidi w:val="0"/>
              <w:rPr>
                <w:rFonts w:hint="default"/>
                <w:lang w:val="en-US" w:eastAsia="zh-CN"/>
              </w:rPr>
            </w:pPr>
            <w:r>
              <w:rPr>
                <w:rFonts w:hint="eastAsia"/>
                <w:lang w:val="en-US" w:eastAsia="zh-CN"/>
              </w:rPr>
              <w:t>生态环境保护目标</w:t>
            </w:r>
          </w:p>
          <w:p>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根据《建设项目环境影响报告表编制技术指南(污染影响类)(试行)》(环办环评〔2020〕33号)“产业园区外建设项目新增用地的，应明确新增用地范围内生态环境保护目标”。本项目位于</w:t>
            </w:r>
            <w:r>
              <w:rPr>
                <w:rFonts w:hint="eastAsia" w:ascii="Times New Roman" w:hAnsi="Times New Roman" w:cs="宋体"/>
                <w:color w:val="000000" w:themeColor="text1"/>
                <w:kern w:val="0"/>
                <w:sz w:val="24"/>
                <w:szCs w:val="20"/>
                <w:highlight w:val="none"/>
                <w:lang w:val="en-US" w:eastAsia="zh-CN" w:bidi="ar-SA"/>
                <w14:textFill>
                  <w14:solidFill>
                    <w14:schemeClr w14:val="tx1"/>
                  </w14:solidFill>
                </w14:textFill>
              </w:rPr>
              <w:t>福清融侨经济技术开发区</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内，根据调查，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0" w:type="dxa"/>
            <w:tcMar>
              <w:left w:w="28" w:type="dxa"/>
              <w:right w:w="28" w:type="dxa"/>
            </w:tcMar>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污染</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物排</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放控</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制标</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190" w:type="dxa"/>
            <w:vAlign w:val="center"/>
          </w:tcPr>
          <w:p>
            <w:pPr>
              <w:pStyle w:val="3"/>
              <w:numPr>
                <w:ilvl w:val="1"/>
                <w:numId w:val="1"/>
              </w:numPr>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污染物排放控制标准</w:t>
            </w: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废气排放标准</w:t>
            </w:r>
          </w:p>
          <w:p>
            <w:pPr>
              <w:pStyle w:val="44"/>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bookmarkStart w:id="32" w:name="_Ref11732"/>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焊接工序颗粒物排放执行《大气污染物综合排放标准》（GB 16297-1996）表2标准；电泳和烘干工序非甲烷总烃排放执行《大气污染物综合排放标准》（GB 16297-1996）表2标准；同时，无组织排放的有机废气需满足《挥发性有机物无组织排放控制标准》（GB37822-2019）表A.1特别排放限值；烟（粉）尘、二氧化硫、氮氧化物排放标准执行《工业炉窑大气污染物排放标准》</w:t>
            </w:r>
          </w:p>
          <w:p>
            <w:pPr>
              <w:pStyle w:val="44"/>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（GB9078-1996）表2中二级标准及《工业炉窑大气污染综合治理方案》中重点区域排放要求；氨、硫化氢和臭气浓度排放执行《恶臭污染物排放标准》（GB14554-93）表1标准，详见下表。</w:t>
            </w: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lang w:val="en-US" w:eastAsia="zh-CN"/>
              </w:rPr>
            </w:pPr>
            <w:r>
              <w:rPr>
                <w:rFonts w:hint="default" w:ascii="Times New Roman" w:hAnsi="Times New Roman" w:eastAsia="宋体" w:cs="宋体"/>
                <w:lang w:val="en-US" w:eastAsia="zh-CN"/>
              </w:rPr>
              <w:t>大气污染物有组织排放限值</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892"/>
              <w:gridCol w:w="1210"/>
              <w:gridCol w:w="1167"/>
              <w:gridCol w:w="1687"/>
              <w:gridCol w:w="1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6"/>
                      <w:sz w:val="21"/>
                    </w:rPr>
                    <w:t>产污环节</w:t>
                  </w:r>
                </w:p>
              </w:tc>
              <w:tc>
                <w:tcPr>
                  <w:tcW w:w="559"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5"/>
                      <w:sz w:val="21"/>
                    </w:rPr>
                    <w:t>污染物</w:t>
                  </w:r>
                </w:p>
              </w:tc>
              <w:tc>
                <w:tcPr>
                  <w:tcW w:w="758"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b w:val="0"/>
                      <w:bCs w:val="0"/>
                      <w:sz w:val="21"/>
                    </w:rPr>
                  </w:pPr>
                  <w:r>
                    <w:rPr>
                      <w:rFonts w:ascii="Times New Roman" w:hAnsi="Times New Roman" w:eastAsia="宋体"/>
                      <w:b w:val="0"/>
                      <w:bCs w:val="0"/>
                      <w:spacing w:val="5"/>
                      <w:sz w:val="21"/>
                    </w:rPr>
                    <w:t>最高允许</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b w:val="0"/>
                      <w:bCs w:val="0"/>
                      <w:sz w:val="21"/>
                    </w:rPr>
                  </w:pPr>
                  <w:r>
                    <w:rPr>
                      <w:rFonts w:ascii="Times New Roman" w:hAnsi="Times New Roman" w:eastAsia="宋体"/>
                      <w:b w:val="0"/>
                      <w:bCs w:val="0"/>
                      <w:spacing w:val="6"/>
                      <w:sz w:val="21"/>
                    </w:rPr>
                    <w:t>排放浓度</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2"/>
                      <w:sz w:val="21"/>
                    </w:rPr>
                    <w:t>（</w:t>
                  </w:r>
                  <w:r>
                    <w:rPr>
                      <w:rFonts w:ascii="Times New Roman" w:hAnsi="Times New Roman" w:eastAsia="宋体" w:cs="Times New Roman"/>
                      <w:b w:val="0"/>
                      <w:bCs w:val="0"/>
                      <w:sz w:val="21"/>
                    </w:rPr>
                    <w:t>mg</w:t>
                  </w:r>
                  <w:r>
                    <w:rPr>
                      <w:rFonts w:ascii="Times New Roman" w:hAnsi="Times New Roman" w:eastAsia="宋体" w:cs="Times New Roman"/>
                      <w:b w:val="0"/>
                      <w:bCs w:val="0"/>
                      <w:spacing w:val="2"/>
                      <w:sz w:val="21"/>
                    </w:rPr>
                    <w:t>/m</w:t>
                  </w:r>
                  <w:r>
                    <w:rPr>
                      <w:rFonts w:hint="eastAsia" w:ascii="Times New Roman" w:hAnsi="Times New Roman" w:eastAsia="宋体" w:cs="Times New Roman"/>
                      <w:b w:val="0"/>
                      <w:bCs w:val="0"/>
                      <w:spacing w:val="2"/>
                      <w:sz w:val="21"/>
                      <w:vertAlign w:val="superscript"/>
                      <w:lang w:val="en-US" w:eastAsia="zh-CN"/>
                    </w:rPr>
                    <w:t>3</w:t>
                  </w:r>
                  <w:r>
                    <w:rPr>
                      <w:rFonts w:ascii="Times New Roman" w:hAnsi="Times New Roman" w:eastAsia="宋体"/>
                      <w:b w:val="0"/>
                      <w:bCs w:val="0"/>
                      <w:spacing w:val="2"/>
                      <w:sz w:val="21"/>
                    </w:rPr>
                    <w:t>）</w:t>
                  </w:r>
                </w:p>
              </w:tc>
              <w:tc>
                <w:tcPr>
                  <w:tcW w:w="731"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6"/>
                      <w:sz w:val="21"/>
                    </w:rPr>
                    <w:t>排气筒高</w:t>
                  </w:r>
                  <w:r>
                    <w:rPr>
                      <w:rFonts w:ascii="Times New Roman" w:hAnsi="Times New Roman" w:eastAsia="宋体"/>
                      <w:b w:val="0"/>
                      <w:bCs w:val="0"/>
                      <w:spacing w:val="-6"/>
                      <w:sz w:val="21"/>
                    </w:rPr>
                    <w:t>度（</w:t>
                  </w:r>
                  <w:r>
                    <w:rPr>
                      <w:rFonts w:ascii="Times New Roman" w:hAnsi="Times New Roman" w:eastAsia="宋体" w:cs="Times New Roman"/>
                      <w:b w:val="0"/>
                      <w:bCs w:val="0"/>
                      <w:spacing w:val="-6"/>
                      <w:sz w:val="21"/>
                    </w:rPr>
                    <w:t>m</w:t>
                  </w:r>
                  <w:r>
                    <w:rPr>
                      <w:rFonts w:ascii="Times New Roman" w:hAnsi="Times New Roman" w:eastAsia="宋体"/>
                      <w:b w:val="0"/>
                      <w:bCs w:val="0"/>
                      <w:spacing w:val="-6"/>
                      <w:sz w:val="21"/>
                    </w:rPr>
                    <w:t>）</w:t>
                  </w:r>
                </w:p>
              </w:tc>
              <w:tc>
                <w:tcPr>
                  <w:tcW w:w="1057"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6"/>
                      <w:sz w:val="21"/>
                    </w:rPr>
                    <w:t>最高允许排放</w:t>
                  </w:r>
                  <w:r>
                    <w:rPr>
                      <w:rFonts w:ascii="Times New Roman" w:hAnsi="Times New Roman" w:eastAsia="宋体"/>
                      <w:b w:val="0"/>
                      <w:bCs w:val="0"/>
                      <w:spacing w:val="5"/>
                      <w:sz w:val="21"/>
                    </w:rPr>
                    <w:t>速率（</w:t>
                  </w:r>
                  <w:r>
                    <w:rPr>
                      <w:rFonts w:ascii="Times New Roman" w:hAnsi="Times New Roman" w:eastAsia="宋体" w:cs="Times New Roman"/>
                      <w:b w:val="0"/>
                      <w:bCs w:val="0"/>
                      <w:sz w:val="21"/>
                    </w:rPr>
                    <w:t>kg</w:t>
                  </w:r>
                  <w:r>
                    <w:rPr>
                      <w:rFonts w:ascii="Times New Roman" w:hAnsi="Times New Roman" w:eastAsia="宋体" w:cs="Times New Roman"/>
                      <w:b w:val="0"/>
                      <w:bCs w:val="0"/>
                      <w:spacing w:val="5"/>
                      <w:sz w:val="21"/>
                    </w:rPr>
                    <w:t>/h</w:t>
                  </w:r>
                  <w:r>
                    <w:rPr>
                      <w:rFonts w:ascii="Times New Roman" w:hAnsi="Times New Roman" w:eastAsia="宋体"/>
                      <w:b w:val="0"/>
                      <w:bCs w:val="0"/>
                      <w:spacing w:val="5"/>
                      <w:sz w:val="21"/>
                    </w:rPr>
                    <w:t>）</w:t>
                  </w:r>
                </w:p>
              </w:tc>
              <w:tc>
                <w:tcPr>
                  <w:tcW w:w="1251"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b w:val="0"/>
                      <w:bCs w:val="0"/>
                      <w:sz w:val="21"/>
                    </w:rPr>
                  </w:pPr>
                  <w:r>
                    <w:rPr>
                      <w:rFonts w:ascii="Times New Roman" w:hAnsi="Times New Roman" w:eastAsia="宋体"/>
                      <w:b w:val="0"/>
                      <w:bCs w:val="0"/>
                      <w:spacing w:val="7"/>
                      <w:sz w:val="21"/>
                    </w:rPr>
                    <w:t>厂界大气污染物监控点浓度限制</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b w:val="0"/>
                      <w:bCs w:val="0"/>
                      <w:kern w:val="2"/>
                      <w:sz w:val="21"/>
                      <w:szCs w:val="24"/>
                      <w:lang w:val="en-US" w:eastAsia="zh-CN" w:bidi="ar-SA"/>
                    </w:rPr>
                  </w:pPr>
                  <w:r>
                    <w:rPr>
                      <w:rFonts w:ascii="Times New Roman" w:hAnsi="Times New Roman" w:eastAsia="宋体"/>
                      <w:b w:val="0"/>
                      <w:bCs w:val="0"/>
                      <w:spacing w:val="3"/>
                      <w:sz w:val="21"/>
                    </w:rPr>
                    <w:t>（</w:t>
                  </w:r>
                  <w:r>
                    <w:rPr>
                      <w:rFonts w:ascii="Times New Roman" w:hAnsi="Times New Roman" w:eastAsia="宋体" w:cs="Times New Roman"/>
                      <w:b w:val="0"/>
                      <w:bCs w:val="0"/>
                      <w:sz w:val="21"/>
                    </w:rPr>
                    <w:t>mg</w:t>
                  </w:r>
                  <w:r>
                    <w:rPr>
                      <w:rFonts w:ascii="Times New Roman" w:hAnsi="Times New Roman" w:eastAsia="宋体" w:cs="Times New Roman"/>
                      <w:b w:val="0"/>
                      <w:bCs w:val="0"/>
                      <w:spacing w:val="3"/>
                      <w:sz w:val="21"/>
                    </w:rPr>
                    <w:t>/m</w:t>
                  </w:r>
                  <w:r>
                    <w:rPr>
                      <w:rFonts w:hint="eastAsia" w:ascii="Times New Roman" w:hAnsi="Times New Roman" w:eastAsia="宋体" w:cs="Times New Roman"/>
                      <w:b w:val="0"/>
                      <w:bCs w:val="0"/>
                      <w:spacing w:val="3"/>
                      <w:sz w:val="21"/>
                      <w:vertAlign w:val="superscript"/>
                      <w:lang w:val="en-US" w:eastAsia="zh-CN"/>
                    </w:rPr>
                    <w:t>3</w:t>
                  </w:r>
                  <w:r>
                    <w:rPr>
                      <w:rFonts w:ascii="Times New Roman" w:hAnsi="Times New Roman" w:eastAsia="宋体"/>
                      <w:b w:val="0"/>
                      <w:bCs w:val="0"/>
                      <w:spacing w:val="3"/>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7"/>
                      <w:sz w:val="21"/>
                    </w:rPr>
                    <w:t>焊接工序</w:t>
                  </w:r>
                </w:p>
              </w:tc>
              <w:tc>
                <w:tcPr>
                  <w:tcW w:w="559" w:type="pct"/>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7"/>
                      <w:sz w:val="21"/>
                    </w:rPr>
                    <w:t>颗粒物</w:t>
                  </w:r>
                </w:p>
              </w:tc>
              <w:tc>
                <w:tcPr>
                  <w:tcW w:w="758" w:type="pc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120</w:t>
                  </w:r>
                </w:p>
              </w:tc>
              <w:tc>
                <w:tcPr>
                  <w:tcW w:w="731" w:type="pc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2"/>
                      <w:sz w:val="21"/>
                      <w:szCs w:val="20"/>
                    </w:rPr>
                    <w:t>20</w:t>
                  </w:r>
                </w:p>
              </w:tc>
              <w:tc>
                <w:tcPr>
                  <w:tcW w:w="1057" w:type="pc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position w:val="2"/>
                      <w:sz w:val="21"/>
                      <w:szCs w:val="20"/>
                    </w:rPr>
                    <w:t>5.9</w:t>
                  </w:r>
                </w:p>
              </w:tc>
              <w:tc>
                <w:tcPr>
                  <w:tcW w:w="1251" w:type="pc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2"/>
                      <w:sz w:val="21"/>
                      <w:szCs w:val="20"/>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z w:val="21"/>
                    </w:rPr>
                    <w:t>电泳、烘干</w:t>
                  </w:r>
                  <w:r>
                    <w:rPr>
                      <w:rFonts w:ascii="Times New Roman" w:hAnsi="Times New Roman" w:eastAsia="宋体"/>
                      <w:spacing w:val="3"/>
                      <w:sz w:val="21"/>
                    </w:rPr>
                    <w:t>工序</w:t>
                  </w:r>
                </w:p>
              </w:tc>
              <w:tc>
                <w:tcPr>
                  <w:tcW w:w="559"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5"/>
                      <w:sz w:val="21"/>
                    </w:rPr>
                    <w:t>非甲烷</w:t>
                  </w:r>
                  <w:r>
                    <w:rPr>
                      <w:rFonts w:ascii="Times New Roman" w:hAnsi="Times New Roman" w:eastAsia="宋体"/>
                      <w:spacing w:val="3"/>
                      <w:sz w:val="21"/>
                    </w:rPr>
                    <w:t>总烃</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120</w:t>
                  </w:r>
                </w:p>
              </w:tc>
              <w:tc>
                <w:tcPr>
                  <w:tcW w:w="73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2"/>
                      <w:sz w:val="21"/>
                      <w:szCs w:val="20"/>
                    </w:rPr>
                    <w:t>23</w:t>
                  </w: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27.8</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position w:val="2"/>
                      <w:sz w:val="21"/>
                      <w:szCs w:val="20"/>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sz w:val="21"/>
                      <w:vertAlign w:val="baseline"/>
                      <w:lang w:val="en-US" w:eastAsia="zh-CN"/>
                    </w:rPr>
                  </w:pPr>
                  <w:r>
                    <w:rPr>
                      <w:rFonts w:ascii="Times New Roman" w:hAnsi="Times New Roman" w:eastAsia="宋体"/>
                      <w:spacing w:val="7"/>
                      <w:sz w:val="21"/>
                    </w:rPr>
                    <w:t>燃烧工序</w:t>
                  </w:r>
                </w:p>
              </w:tc>
              <w:tc>
                <w:tcPr>
                  <w:tcW w:w="559"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7"/>
                      <w:sz w:val="21"/>
                    </w:rPr>
                    <w:t>颗粒物</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position w:val="1"/>
                      <w:sz w:val="21"/>
                      <w:szCs w:val="20"/>
                    </w:rPr>
                    <w:t>30</w:t>
                  </w:r>
                </w:p>
              </w:tc>
              <w:tc>
                <w:tcPr>
                  <w:tcW w:w="73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5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13"/>
                      <w:lang w:val="en-US" w:eastAsia="zh-CN" w:bidi="ar-SA"/>
                    </w:rPr>
                  </w:pPr>
                  <w:r>
                    <w:rPr>
                      <w:rFonts w:ascii="Times New Roman" w:hAnsi="Times New Roman" w:eastAsia="宋体" w:cs="Times New Roman"/>
                      <w:sz w:val="21"/>
                      <w:szCs w:val="20"/>
                    </w:rPr>
                    <w:t>SO</w:t>
                  </w:r>
                  <w:r>
                    <w:rPr>
                      <w:rFonts w:ascii="Times New Roman" w:hAnsi="Times New Roman" w:eastAsia="宋体" w:cs="Times New Roman"/>
                      <w:spacing w:val="1"/>
                      <w:sz w:val="21"/>
                      <w:szCs w:val="13"/>
                      <w:vertAlign w:val="subscript"/>
                    </w:rPr>
                    <w:t>2</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3"/>
                      <w:sz w:val="21"/>
                      <w:szCs w:val="20"/>
                    </w:rPr>
                    <w:t>200</w:t>
                  </w:r>
                </w:p>
              </w:tc>
              <w:tc>
                <w:tcPr>
                  <w:tcW w:w="73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5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6"/>
                      <w:sz w:val="21"/>
                      <w:szCs w:val="20"/>
                    </w:rPr>
                    <w:t>NOx</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300</w:t>
                  </w:r>
                </w:p>
              </w:tc>
              <w:tc>
                <w:tcPr>
                  <w:tcW w:w="73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sz w:val="21"/>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r>
                    <w:rPr>
                      <w:rFonts w:ascii="Times New Roman" w:hAnsi="Times New Roman" w:eastAsia="宋体"/>
                      <w:spacing w:val="7"/>
                      <w:sz w:val="21"/>
                    </w:rPr>
                    <w:t>废水处理</w:t>
                  </w:r>
                  <w:r>
                    <w:rPr>
                      <w:rFonts w:ascii="Times New Roman" w:hAnsi="Times New Roman" w:eastAsia="宋体"/>
                      <w:spacing w:val="3"/>
                      <w:sz w:val="21"/>
                    </w:rPr>
                    <w:t>设施</w:t>
                  </w:r>
                </w:p>
              </w:tc>
              <w:tc>
                <w:tcPr>
                  <w:tcW w:w="559"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z w:val="21"/>
                    </w:rPr>
                    <w:t>氨</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73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sz w:val="21"/>
                      <w:vertAlign w:val="baseline"/>
                      <w:lang w:val="en-US" w:eastAsia="zh-CN"/>
                    </w:rPr>
                  </w:pPr>
                  <w:r>
                    <w:rPr>
                      <w:rFonts w:ascii="Times New Roman" w:hAnsi="Times New Roman" w:eastAsia="宋体" w:cs="Times New Roman"/>
                      <w:spacing w:val="2"/>
                      <w:position w:val="1"/>
                      <w:sz w:val="21"/>
                      <w:szCs w:val="20"/>
                    </w:rPr>
                    <w:t>/</w:t>
                  </w: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4"/>
                      <w:position w:val="1"/>
                      <w:sz w:val="21"/>
                      <w:szCs w:val="20"/>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559"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7"/>
                      <w:sz w:val="21"/>
                    </w:rPr>
                    <w:t>硫化氢</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7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559"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6"/>
                      <w:sz w:val="21"/>
                    </w:rPr>
                    <w:t>臭气浓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4"/>
                      <w:sz w:val="21"/>
                    </w:rPr>
                    <w:t>度（无量</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2"/>
                      <w:sz w:val="21"/>
                    </w:rPr>
                    <w:t>纲）</w:t>
                  </w:r>
                </w:p>
              </w:tc>
              <w:tc>
                <w:tcPr>
                  <w:tcW w:w="7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7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sz w:val="21"/>
                      <w:vertAlign w:val="baseline"/>
                      <w:lang w:val="en-US" w:eastAsia="zh-CN"/>
                    </w:rPr>
                  </w:pPr>
                </w:p>
              </w:tc>
              <w:tc>
                <w:tcPr>
                  <w:tcW w:w="105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1"/>
                      <w:sz w:val="21"/>
                      <w:szCs w:val="20"/>
                    </w:rPr>
                    <w:t>/</w:t>
                  </w:r>
                </w:p>
              </w:tc>
              <w:tc>
                <w:tcPr>
                  <w:tcW w:w="12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2"/>
                      <w:sz w:val="21"/>
                      <w:szCs w:val="20"/>
                    </w:rPr>
                    <w:t>20</w:t>
                  </w:r>
                </w:p>
              </w:tc>
            </w:tr>
          </w:tbl>
          <w:p>
            <w:pPr>
              <w:rPr>
                <w:rFonts w:hint="default"/>
                <w:lang w:val="en-US" w:eastAsia="zh-CN"/>
              </w:rPr>
            </w:pP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lang w:val="en-US" w:eastAsia="zh-CN"/>
              </w:rPr>
            </w:pPr>
            <w:r>
              <w:rPr>
                <w:rFonts w:hint="default" w:ascii="Times New Roman" w:hAnsi="Times New Roman" w:eastAsia="宋体" w:cs="宋体"/>
                <w:lang w:val="en-US" w:eastAsia="zh-CN"/>
              </w:rPr>
              <w:t>《挥发性有机物无组织排放控制标准》（GB37822-2019）</w:t>
            </w:r>
          </w:p>
          <w:tbl>
            <w:tblPr>
              <w:tblStyle w:val="84"/>
              <w:tblW w:w="4999"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67"/>
              <w:gridCol w:w="1504"/>
              <w:gridCol w:w="2814"/>
              <w:gridCol w:w="22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7" w:type="pct"/>
                  <w:tcBorders>
                    <w:bottom w:val="single" w:color="000000" w:sz="12" w:space="0"/>
                  </w:tcBorders>
                  <w:vAlign w:val="top"/>
                </w:tcPr>
                <w:p>
                  <w:pPr>
                    <w:pStyle w:val="113"/>
                    <w:spacing w:before="127" w:line="229" w:lineRule="auto"/>
                    <w:ind w:left="148"/>
                    <w:rPr>
                      <w:rFonts w:ascii="Times New Roman" w:hAnsi="Times New Roman" w:eastAsia="宋体"/>
                      <w:sz w:val="21"/>
                    </w:rPr>
                  </w:pPr>
                  <w:r>
                    <w:rPr>
                      <w:rFonts w:ascii="Times New Roman" w:hAnsi="Times New Roman" w:eastAsia="宋体"/>
                      <w:b/>
                      <w:bCs/>
                      <w:spacing w:val="6"/>
                      <w:sz w:val="21"/>
                    </w:rPr>
                    <w:t>污染物名称</w:t>
                  </w:r>
                </w:p>
              </w:tc>
              <w:tc>
                <w:tcPr>
                  <w:tcW w:w="2707" w:type="pct"/>
                  <w:gridSpan w:val="2"/>
                  <w:tcBorders>
                    <w:bottom w:val="single" w:color="000000" w:sz="12" w:space="0"/>
                  </w:tcBorders>
                  <w:vAlign w:val="top"/>
                </w:tcPr>
                <w:p>
                  <w:pPr>
                    <w:pStyle w:val="113"/>
                    <w:spacing w:before="127" w:line="221" w:lineRule="auto"/>
                    <w:ind w:left="973"/>
                    <w:rPr>
                      <w:rFonts w:ascii="Times New Roman" w:hAnsi="Times New Roman" w:eastAsia="宋体"/>
                      <w:sz w:val="21"/>
                    </w:rPr>
                  </w:pPr>
                  <w:r>
                    <w:rPr>
                      <w:rFonts w:ascii="Times New Roman" w:hAnsi="Times New Roman" w:eastAsia="宋体"/>
                      <w:b/>
                      <w:bCs/>
                      <w:spacing w:val="3"/>
                      <w:sz w:val="21"/>
                    </w:rPr>
                    <w:t>特别排放限值（</w:t>
                  </w:r>
                  <w:r>
                    <w:rPr>
                      <w:rFonts w:ascii="Times New Roman" w:hAnsi="Times New Roman" w:eastAsia="宋体" w:cs="Times New Roman"/>
                      <w:b/>
                      <w:bCs/>
                      <w:sz w:val="21"/>
                    </w:rPr>
                    <w:t>mg</w:t>
                  </w:r>
                  <w:r>
                    <w:rPr>
                      <w:rFonts w:ascii="Times New Roman" w:hAnsi="Times New Roman" w:eastAsia="宋体" w:cs="Times New Roman"/>
                      <w:b/>
                      <w:bCs/>
                      <w:spacing w:val="3"/>
                      <w:sz w:val="21"/>
                    </w:rPr>
                    <w:t>/m</w:t>
                  </w:r>
                  <w:r>
                    <w:rPr>
                      <w:rFonts w:hint="eastAsia" w:ascii="Times New Roman" w:hAnsi="Times New Roman" w:eastAsia="宋体" w:cs="Times New Roman"/>
                      <w:b/>
                      <w:bCs/>
                      <w:spacing w:val="3"/>
                      <w:sz w:val="21"/>
                      <w:vertAlign w:val="superscript"/>
                      <w:lang w:val="en-US" w:eastAsia="zh-CN"/>
                    </w:rPr>
                    <w:t>3</w:t>
                  </w:r>
                  <w:r>
                    <w:rPr>
                      <w:rFonts w:ascii="Times New Roman" w:hAnsi="Times New Roman" w:eastAsia="宋体"/>
                      <w:b/>
                      <w:bCs/>
                      <w:spacing w:val="3"/>
                      <w:sz w:val="21"/>
                    </w:rPr>
                    <w:t>）</w:t>
                  </w:r>
                </w:p>
              </w:tc>
              <w:tc>
                <w:tcPr>
                  <w:tcW w:w="1434" w:type="pct"/>
                  <w:tcBorders>
                    <w:bottom w:val="single" w:color="000000" w:sz="12" w:space="0"/>
                  </w:tcBorders>
                  <w:vAlign w:val="top"/>
                </w:tcPr>
                <w:p>
                  <w:pPr>
                    <w:pStyle w:val="113"/>
                    <w:spacing w:before="127" w:line="229" w:lineRule="auto"/>
                    <w:ind w:left="174"/>
                    <w:rPr>
                      <w:rFonts w:ascii="Times New Roman" w:hAnsi="Times New Roman" w:eastAsia="宋体"/>
                      <w:sz w:val="21"/>
                    </w:rPr>
                  </w:pPr>
                  <w:r>
                    <w:rPr>
                      <w:rFonts w:ascii="Times New Roman" w:hAnsi="Times New Roman" w:eastAsia="宋体"/>
                      <w:b/>
                      <w:bCs/>
                      <w:spacing w:val="7"/>
                      <w:sz w:val="21"/>
                    </w:rPr>
                    <w:t>无组织排放监控位置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857" w:type="pct"/>
                  <w:vMerge w:val="restart"/>
                  <w:tcBorders>
                    <w:top w:val="single" w:color="000000" w:sz="12" w:space="0"/>
                    <w:tl2br w:val="nil"/>
                    <w:tr2bl w:val="nil"/>
                  </w:tcBorders>
                  <w:vAlign w:val="top"/>
                </w:tcPr>
                <w:p>
                  <w:pPr>
                    <w:spacing w:line="296" w:lineRule="auto"/>
                    <w:rPr>
                      <w:rFonts w:ascii="Times New Roman" w:hAnsi="Times New Roman" w:eastAsia="宋体"/>
                      <w:sz w:val="21"/>
                    </w:rPr>
                  </w:pPr>
                </w:p>
                <w:p>
                  <w:pPr>
                    <w:spacing w:before="58" w:line="195" w:lineRule="auto"/>
                    <w:ind w:left="346"/>
                    <w:rPr>
                      <w:rFonts w:ascii="Times New Roman" w:hAnsi="Times New Roman" w:eastAsia="宋体" w:cs="Times New Roman"/>
                      <w:sz w:val="21"/>
                      <w:szCs w:val="20"/>
                    </w:rPr>
                  </w:pPr>
                  <w:r>
                    <w:rPr>
                      <w:rFonts w:ascii="Times New Roman" w:hAnsi="Times New Roman" w:eastAsia="宋体" w:cs="Times New Roman"/>
                      <w:spacing w:val="7"/>
                      <w:sz w:val="21"/>
                      <w:szCs w:val="20"/>
                    </w:rPr>
                    <w:t>NMHC</w:t>
                  </w:r>
                </w:p>
              </w:tc>
              <w:tc>
                <w:tcPr>
                  <w:tcW w:w="943" w:type="pct"/>
                  <w:tcBorders>
                    <w:top w:val="single" w:color="000000" w:sz="12" w:space="0"/>
                    <w:tl2br w:val="nil"/>
                    <w:tr2bl w:val="nil"/>
                  </w:tcBorders>
                  <w:vAlign w:val="top"/>
                </w:tcPr>
                <w:p>
                  <w:pPr>
                    <w:spacing w:before="94" w:line="275" w:lineRule="exact"/>
                    <w:ind w:left="684"/>
                    <w:rPr>
                      <w:rFonts w:ascii="Times New Roman" w:hAnsi="Times New Roman" w:eastAsia="宋体" w:cs="Times New Roman"/>
                      <w:sz w:val="21"/>
                      <w:szCs w:val="20"/>
                    </w:rPr>
                  </w:pPr>
                  <w:r>
                    <w:rPr>
                      <w:rFonts w:ascii="Times New Roman" w:hAnsi="Times New Roman" w:eastAsia="宋体" w:cs="Times New Roman"/>
                      <w:position w:val="2"/>
                      <w:sz w:val="21"/>
                      <w:szCs w:val="20"/>
                    </w:rPr>
                    <w:t>6</w:t>
                  </w:r>
                </w:p>
              </w:tc>
              <w:tc>
                <w:tcPr>
                  <w:tcW w:w="1764" w:type="pct"/>
                  <w:tcBorders>
                    <w:top w:val="single" w:color="000000" w:sz="12" w:space="0"/>
                    <w:tl2br w:val="nil"/>
                    <w:tr2bl w:val="nil"/>
                  </w:tcBorders>
                  <w:vAlign w:val="top"/>
                </w:tcPr>
                <w:p>
                  <w:pPr>
                    <w:pStyle w:val="113"/>
                    <w:spacing w:before="94" w:line="275" w:lineRule="exact"/>
                    <w:ind w:left="271"/>
                    <w:rPr>
                      <w:rFonts w:ascii="Times New Roman" w:hAnsi="Times New Roman" w:eastAsia="宋体"/>
                      <w:sz w:val="21"/>
                    </w:rPr>
                  </w:pPr>
                  <w:r>
                    <w:rPr>
                      <w:rFonts w:ascii="Times New Roman" w:hAnsi="Times New Roman" w:eastAsia="宋体"/>
                      <w:spacing w:val="5"/>
                      <w:position w:val="1"/>
                      <w:sz w:val="21"/>
                    </w:rPr>
                    <w:t>监控点处</w:t>
                  </w:r>
                  <w:r>
                    <w:rPr>
                      <w:rFonts w:ascii="Times New Roman" w:hAnsi="Times New Roman" w:eastAsia="宋体" w:cs="Times New Roman"/>
                      <w:spacing w:val="5"/>
                      <w:position w:val="1"/>
                      <w:sz w:val="21"/>
                    </w:rPr>
                    <w:t>1h</w:t>
                  </w:r>
                  <w:r>
                    <w:rPr>
                      <w:rFonts w:ascii="Times New Roman" w:hAnsi="Times New Roman" w:eastAsia="宋体"/>
                      <w:spacing w:val="5"/>
                      <w:position w:val="1"/>
                      <w:sz w:val="21"/>
                    </w:rPr>
                    <w:t>平均浓度值</w:t>
                  </w:r>
                </w:p>
              </w:tc>
              <w:tc>
                <w:tcPr>
                  <w:tcW w:w="1434" w:type="pct"/>
                  <w:vMerge w:val="restart"/>
                  <w:tcBorders>
                    <w:top w:val="single" w:color="000000" w:sz="12" w:space="0"/>
                    <w:tl2br w:val="nil"/>
                    <w:tr2bl w:val="nil"/>
                  </w:tcBorders>
                  <w:vAlign w:val="top"/>
                </w:tcPr>
                <w:p>
                  <w:pPr>
                    <w:spacing w:line="253" w:lineRule="auto"/>
                    <w:rPr>
                      <w:rFonts w:ascii="Times New Roman" w:hAnsi="Times New Roman" w:eastAsia="宋体"/>
                      <w:sz w:val="21"/>
                    </w:rPr>
                  </w:pPr>
                </w:p>
                <w:p>
                  <w:pPr>
                    <w:pStyle w:val="113"/>
                    <w:spacing w:before="65" w:line="229" w:lineRule="auto"/>
                    <w:ind w:left="172"/>
                    <w:rPr>
                      <w:rFonts w:ascii="Times New Roman" w:hAnsi="Times New Roman" w:eastAsia="宋体"/>
                      <w:sz w:val="21"/>
                    </w:rPr>
                  </w:pPr>
                  <w:r>
                    <w:rPr>
                      <w:rFonts w:ascii="Times New Roman" w:hAnsi="Times New Roman" w:eastAsia="宋体"/>
                      <w:spacing w:val="9"/>
                      <w:sz w:val="21"/>
                    </w:rPr>
                    <w:t>在厂房外设置监控点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7" w:type="pct"/>
                  <w:vMerge w:val="continue"/>
                  <w:tcBorders>
                    <w:tl2br w:val="nil"/>
                    <w:tr2bl w:val="nil"/>
                  </w:tcBorders>
                  <w:vAlign w:val="top"/>
                </w:tcPr>
                <w:p>
                  <w:pPr>
                    <w:rPr>
                      <w:rFonts w:ascii="Times New Roman" w:hAnsi="Times New Roman" w:eastAsia="宋体"/>
                      <w:sz w:val="21"/>
                    </w:rPr>
                  </w:pPr>
                </w:p>
              </w:tc>
              <w:tc>
                <w:tcPr>
                  <w:tcW w:w="943" w:type="pct"/>
                  <w:tcBorders>
                    <w:tl2br w:val="nil"/>
                    <w:tr2bl w:val="nil"/>
                  </w:tcBorders>
                  <w:vAlign w:val="top"/>
                </w:tcPr>
                <w:p>
                  <w:pPr>
                    <w:spacing w:before="95" w:line="274" w:lineRule="exact"/>
                    <w:ind w:left="626"/>
                    <w:rPr>
                      <w:rFonts w:ascii="Times New Roman" w:hAnsi="Times New Roman" w:eastAsia="宋体" w:cs="Times New Roman"/>
                      <w:sz w:val="21"/>
                      <w:szCs w:val="20"/>
                    </w:rPr>
                  </w:pPr>
                  <w:r>
                    <w:rPr>
                      <w:rFonts w:ascii="Times New Roman" w:hAnsi="Times New Roman" w:eastAsia="宋体" w:cs="Times New Roman"/>
                      <w:spacing w:val="2"/>
                      <w:position w:val="2"/>
                      <w:sz w:val="21"/>
                      <w:szCs w:val="20"/>
                    </w:rPr>
                    <w:t>20</w:t>
                  </w:r>
                </w:p>
              </w:tc>
              <w:tc>
                <w:tcPr>
                  <w:tcW w:w="1764" w:type="pct"/>
                  <w:tcBorders>
                    <w:tl2br w:val="nil"/>
                    <w:tr2bl w:val="nil"/>
                  </w:tcBorders>
                  <w:vAlign w:val="top"/>
                </w:tcPr>
                <w:p>
                  <w:pPr>
                    <w:pStyle w:val="113"/>
                    <w:spacing w:before="126" w:line="228" w:lineRule="auto"/>
                    <w:ind w:left="218"/>
                    <w:rPr>
                      <w:rFonts w:ascii="Times New Roman" w:hAnsi="Times New Roman" w:eastAsia="宋体"/>
                      <w:sz w:val="21"/>
                    </w:rPr>
                  </w:pPr>
                  <w:r>
                    <w:rPr>
                      <w:rFonts w:ascii="Times New Roman" w:hAnsi="Times New Roman" w:eastAsia="宋体"/>
                      <w:spacing w:val="9"/>
                      <w:sz w:val="21"/>
                    </w:rPr>
                    <w:t>监控点处任意一次浓度值</w:t>
                  </w:r>
                </w:p>
              </w:tc>
              <w:tc>
                <w:tcPr>
                  <w:tcW w:w="1434" w:type="pct"/>
                  <w:vMerge w:val="continue"/>
                  <w:tcBorders>
                    <w:tl2br w:val="nil"/>
                    <w:tr2bl w:val="nil"/>
                  </w:tcBorders>
                  <w:vAlign w:val="top"/>
                </w:tcPr>
                <w:p>
                  <w:pPr>
                    <w:rPr>
                      <w:rFonts w:ascii="Times New Roman" w:hAnsi="Times New Roman" w:eastAsia="宋体"/>
                      <w:sz w:val="21"/>
                    </w:rPr>
                  </w:pPr>
                </w:p>
              </w:tc>
            </w:tr>
            <w:bookmarkEnd w:id="32"/>
          </w:tbl>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废水排放标准</w:t>
            </w:r>
          </w:p>
          <w:p>
            <w:pPr>
              <w:pStyle w:val="44"/>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(1)项目水污染物排放标准</w:t>
            </w:r>
          </w:p>
          <w:p>
            <w:pPr>
              <w:pStyle w:val="44"/>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项目生产废水经自建污水处理设施处理后回用于生产，不外排，生活污水依托出租方化粪池处理后排入市政污水管网送往</w:t>
            </w:r>
            <w:r>
              <w:rPr>
                <w:rFonts w:hint="eastAsia" w:ascii="Times New Roman" w:hAnsi="Times New Roman" w:eastAsia="宋体" w:cs="宋体"/>
                <w:color w:val="000000" w:themeColor="text1"/>
                <w:highlight w:val="none"/>
                <w:lang w:eastAsia="zh-CN"/>
                <w14:textFill>
                  <w14:solidFill>
                    <w14:schemeClr w14:val="tx1"/>
                  </w14:solidFill>
                </w14:textFill>
              </w:rPr>
              <w:t>福清市第二污水处理厂</w:t>
            </w:r>
            <w:r>
              <w:rPr>
                <w:rFonts w:hint="eastAsia" w:ascii="Times New Roman" w:hAnsi="Times New Roman" w:eastAsia="宋体" w:cs="宋体"/>
                <w:color w:val="000000" w:themeColor="text1"/>
                <w:highlight w:val="none"/>
                <w14:textFill>
                  <w14:solidFill>
                    <w14:schemeClr w14:val="tx1"/>
                  </w14:solidFill>
                </w14:textFill>
              </w:rPr>
              <w:t>集中处理；外排生活污水执行《污水综合排放标准》(GB8978-1996)表4中的三级标准，氨氮参照执行《污水排入城镇下水道水质标准》(GB/T 31962-2015)表1中B级标准，详见表3.</w:t>
            </w:r>
            <w:r>
              <w:rPr>
                <w:rFonts w:hint="eastAsia" w:ascii="Times New Roman" w:hAnsi="Times New Roman" w:eastAsia="宋体" w:cs="宋体"/>
                <w:color w:val="000000" w:themeColor="text1"/>
                <w:highlight w:val="none"/>
                <w:lang w:val="en-US" w:eastAsia="zh-CN"/>
                <w14:textFill>
                  <w14:solidFill>
                    <w14:schemeClr w14:val="tx1"/>
                  </w14:solidFill>
                </w14:textFill>
              </w:rPr>
              <w:t>3</w:t>
            </w:r>
            <w:r>
              <w:rPr>
                <w:rFonts w:hint="eastAsia"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3</w:t>
            </w:r>
            <w:r>
              <w:rPr>
                <w:rFonts w:hint="eastAsia" w:ascii="Times New Roman" w:hAnsi="Times New Roman" w:eastAsia="宋体" w:cs="宋体"/>
                <w:color w:val="000000" w:themeColor="text1"/>
                <w:highlight w:val="none"/>
                <w14:textFill>
                  <w14:solidFill>
                    <w14:schemeClr w14:val="tx1"/>
                  </w14:solidFill>
                </w14:textFill>
              </w:rPr>
              <w:t>。</w:t>
            </w: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项目污水排放标准限值一览表</w:t>
            </w:r>
          </w:p>
          <w:tbl>
            <w:tblPr>
              <w:tblStyle w:val="33"/>
              <w:tblW w:w="0" w:type="auto"/>
              <w:tblInd w:w="6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86"/>
              <w:gridCol w:w="1944"/>
              <w:gridCol w:w="41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4"/>
                      <w:sz w:val="21"/>
                    </w:rPr>
                    <w:t>污染物名称</w:t>
                  </w:r>
                </w:p>
              </w:tc>
              <w:tc>
                <w:tcPr>
                  <w:tcW w:w="1958"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4"/>
                      <w:sz w:val="21"/>
                    </w:rPr>
                    <w:t>三级标准值</w:t>
                  </w:r>
                </w:p>
              </w:tc>
              <w:tc>
                <w:tcPr>
                  <w:tcW w:w="4211"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7"/>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pH</w:t>
                  </w:r>
                </w:p>
              </w:tc>
              <w:tc>
                <w:tcPr>
                  <w:tcW w:w="1958" w:type="dxa"/>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sz w:val="21"/>
                    </w:rPr>
                  </w:pPr>
                  <w:r>
                    <w:rPr>
                      <w:rFonts w:ascii="Times New Roman" w:eastAsia="Times New Roman"/>
                      <w:spacing w:val="-2"/>
                      <w:sz w:val="21"/>
                    </w:rPr>
                    <w:t>6</w:t>
                  </w:r>
                  <w:r>
                    <w:rPr>
                      <w:spacing w:val="-2"/>
                      <w:sz w:val="21"/>
                    </w:rPr>
                    <w:t>～</w:t>
                  </w:r>
                  <w:r>
                    <w:rPr>
                      <w:rFonts w:ascii="Times New Roman" w:eastAsia="Times New Roman"/>
                      <w:spacing w:val="-2"/>
                      <w:sz w:val="21"/>
                    </w:rPr>
                    <w:t>9(</w:t>
                  </w:r>
                  <w:r>
                    <w:rPr>
                      <w:spacing w:val="-2"/>
                      <w:sz w:val="21"/>
                    </w:rPr>
                    <w:t>无量纲</w:t>
                  </w:r>
                  <w:r>
                    <w:rPr>
                      <w:rFonts w:ascii="Times New Roman" w:eastAsia="Times New Roman"/>
                      <w:spacing w:val="-10"/>
                      <w:sz w:val="21"/>
                    </w:rPr>
                    <w:t>)</w:t>
                  </w:r>
                </w:p>
              </w:tc>
              <w:tc>
                <w:tcPr>
                  <w:tcW w:w="4211" w:type="dxa"/>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p>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spacing w:val="-3"/>
                      <w:sz w:val="21"/>
                    </w:rPr>
                    <w:t>《污水综合排放标准》</w:t>
                  </w:r>
                </w:p>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eastAsia="Times New Roman"/>
                      <w:sz w:val="21"/>
                    </w:rPr>
                  </w:pPr>
                  <w:r>
                    <w:rPr>
                      <w:rFonts w:ascii="Times New Roman" w:eastAsia="Times New Roman"/>
                      <w:spacing w:val="-2"/>
                      <w:sz w:val="21"/>
                    </w:rPr>
                    <w:t>(GB8978-1996)</w:t>
                  </w:r>
                  <w:r>
                    <w:rPr>
                      <w:spacing w:val="-13"/>
                      <w:sz w:val="21"/>
                    </w:rPr>
                    <w:t>中表</w:t>
                  </w:r>
                  <w:r>
                    <w:rPr>
                      <w:rFonts w:ascii="Times New Roman" w:eastAsia="Times New Roman"/>
                      <w:spacing w:val="-10"/>
                      <w:sz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COD</w:t>
                  </w:r>
                </w:p>
              </w:tc>
              <w:tc>
                <w:tcPr>
                  <w:tcW w:w="1958"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500mg/L</w:t>
                  </w:r>
                </w:p>
              </w:tc>
              <w:tc>
                <w:tcPr>
                  <w:tcW w:w="42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3"/>
                    </w:rPr>
                  </w:pPr>
                  <w:r>
                    <w:rPr>
                      <w:rFonts w:ascii="Times New Roman"/>
                      <w:spacing w:val="-4"/>
                      <w:position w:val="2"/>
                      <w:sz w:val="21"/>
                    </w:rPr>
                    <w:t>BOD</w:t>
                  </w:r>
                  <w:r>
                    <w:rPr>
                      <w:rFonts w:ascii="Times New Roman"/>
                      <w:spacing w:val="-4"/>
                      <w:sz w:val="13"/>
                    </w:rPr>
                    <w:t>5</w:t>
                  </w:r>
                </w:p>
              </w:tc>
              <w:tc>
                <w:tcPr>
                  <w:tcW w:w="1958"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300mg/L</w:t>
                  </w:r>
                </w:p>
              </w:tc>
              <w:tc>
                <w:tcPr>
                  <w:tcW w:w="42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5"/>
                      <w:sz w:val="21"/>
                    </w:rPr>
                    <w:t>SS</w:t>
                  </w:r>
                </w:p>
              </w:tc>
              <w:tc>
                <w:tcPr>
                  <w:tcW w:w="1958"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400mg/L</w:t>
                  </w:r>
                </w:p>
              </w:tc>
              <w:tc>
                <w:tcPr>
                  <w:tcW w:w="42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
                      <w:szCs w:val="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0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pacing w:val="-8"/>
                      <w:sz w:val="21"/>
                    </w:rPr>
                    <w:t>氨氮</w:t>
                  </w:r>
                </w:p>
              </w:tc>
              <w:tc>
                <w:tcPr>
                  <w:tcW w:w="1958"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pacing w:val="-2"/>
                      <w:sz w:val="21"/>
                    </w:rPr>
                    <w:t>45mg/L</w:t>
                  </w:r>
                </w:p>
              </w:tc>
              <w:tc>
                <w:tcPr>
                  <w:tcW w:w="421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spacing w:val="-3"/>
                      <w:sz w:val="21"/>
                    </w:rPr>
                    <w:t>《污水排入城镇下水道水质标准》</w:t>
                  </w:r>
                </w:p>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1"/>
                    </w:rPr>
                  </w:pPr>
                  <w:r>
                    <w:rPr>
                      <w:rFonts w:ascii="Times New Roman" w:eastAsia="Times New Roman"/>
                      <w:sz w:val="21"/>
                    </w:rPr>
                    <w:t>(GB/T</w:t>
                  </w:r>
                  <w:r>
                    <w:rPr>
                      <w:rFonts w:ascii="Times New Roman" w:eastAsia="Times New Roman"/>
                      <w:spacing w:val="-14"/>
                      <w:sz w:val="21"/>
                    </w:rPr>
                    <w:t xml:space="preserve"> </w:t>
                  </w:r>
                  <w:r>
                    <w:rPr>
                      <w:rFonts w:ascii="Times New Roman" w:eastAsia="Times New Roman"/>
                      <w:sz w:val="21"/>
                    </w:rPr>
                    <w:t>31962-2015)</w:t>
                  </w:r>
                  <w:r>
                    <w:rPr>
                      <w:spacing w:val="-27"/>
                      <w:sz w:val="21"/>
                    </w:rPr>
                    <w:t>表</w:t>
                  </w:r>
                  <w:r>
                    <w:rPr>
                      <w:rFonts w:ascii="Times New Roman" w:eastAsia="Times New Roman"/>
                      <w:sz w:val="21"/>
                    </w:rPr>
                    <w:t>1</w:t>
                  </w:r>
                  <w:r>
                    <w:rPr>
                      <w:spacing w:val="-27"/>
                      <w:sz w:val="21"/>
                    </w:rPr>
                    <w:t>中</w:t>
                  </w:r>
                  <w:r>
                    <w:rPr>
                      <w:rFonts w:ascii="Times New Roman" w:eastAsia="Times New Roman"/>
                      <w:sz w:val="21"/>
                    </w:rPr>
                    <w:t>B</w:t>
                  </w:r>
                  <w:r>
                    <w:rPr>
                      <w:spacing w:val="-4"/>
                      <w:sz w:val="21"/>
                    </w:rPr>
                    <w:t>级标准</w:t>
                  </w:r>
                </w:p>
              </w:tc>
            </w:tr>
          </w:tbl>
          <w:p>
            <w:pPr>
              <w:pStyle w:val="95"/>
              <w:numPr>
                <w:ilvl w:val="3"/>
                <w:numId w:val="0"/>
              </w:numPr>
              <w:tabs>
                <w:tab w:val="left" w:pos="767"/>
              </w:tabs>
              <w:spacing w:before="0" w:after="0" w:line="240" w:lineRule="auto"/>
              <w:ind w:left="767" w:leftChars="0" w:right="0" w:rightChars="0" w:hanging="277" w:firstLineChars="0"/>
              <w:jc w:val="left"/>
              <w:rPr>
                <w:sz w:val="24"/>
              </w:rPr>
            </w:pPr>
            <w:r>
              <w:rPr>
                <w:rFonts w:hint="default" w:ascii="Times New Roman" w:hAnsi="Times New Roman" w:eastAsia="Times New Roman" w:cs="Times New Roman"/>
                <w:b w:val="0"/>
                <w:bCs w:val="0"/>
                <w:i w:val="0"/>
                <w:iCs w:val="0"/>
                <w:spacing w:val="-1"/>
                <w:w w:val="100"/>
                <w:kern w:val="2"/>
                <w:sz w:val="22"/>
                <w:szCs w:val="22"/>
                <w:lang w:val="en-US" w:eastAsia="zh-CN" w:bidi="ar-SA"/>
              </w:rPr>
              <w:t>(</w:t>
            </w:r>
            <w:r>
              <w:rPr>
                <w:rFonts w:hint="eastAsia" w:ascii="Times New Roman" w:hAnsi="Times New Roman" w:eastAsia="Times New Roman" w:cs="Times New Roman"/>
                <w:b w:val="0"/>
                <w:bCs w:val="0"/>
                <w:i w:val="0"/>
                <w:iCs w:val="0"/>
                <w:spacing w:val="-1"/>
                <w:w w:val="100"/>
                <w:kern w:val="2"/>
                <w:sz w:val="22"/>
                <w:szCs w:val="22"/>
                <w:lang w:val="en-US" w:eastAsia="zh-CN" w:bidi="ar-SA"/>
              </w:rPr>
              <w:t>2</w:t>
            </w:r>
            <w:r>
              <w:rPr>
                <w:rFonts w:hint="default" w:ascii="Times New Roman" w:hAnsi="Times New Roman" w:eastAsia="Times New Roman" w:cs="Times New Roman"/>
                <w:b w:val="0"/>
                <w:bCs w:val="0"/>
                <w:i w:val="0"/>
                <w:iCs w:val="0"/>
                <w:spacing w:val="-1"/>
                <w:w w:val="100"/>
                <w:kern w:val="2"/>
                <w:sz w:val="22"/>
                <w:szCs w:val="22"/>
                <w:lang w:val="en-US" w:eastAsia="zh-CN" w:bidi="ar-SA"/>
              </w:rPr>
              <w:t>)</w:t>
            </w:r>
            <w:r>
              <w:rPr>
                <w:rFonts w:hint="eastAsia"/>
                <w:spacing w:val="-2"/>
                <w:sz w:val="24"/>
                <w:lang w:eastAsia="zh-CN"/>
              </w:rPr>
              <w:t>污水处理厂</w:t>
            </w:r>
            <w:r>
              <w:rPr>
                <w:spacing w:val="-2"/>
                <w:sz w:val="24"/>
              </w:rPr>
              <w:t>排放标准</w:t>
            </w:r>
          </w:p>
          <w:p>
            <w:pPr>
              <w:pStyle w:val="95"/>
              <w:spacing w:before="158" w:line="364" w:lineRule="auto"/>
              <w:ind w:left="10" w:right="87" w:firstLine="480"/>
              <w:jc w:val="both"/>
              <w:rPr>
                <w:spacing w:val="-2"/>
                <w:sz w:val="24"/>
              </w:rPr>
            </w:pPr>
            <w:r>
              <w:rPr>
                <w:spacing w:val="-2"/>
                <w:sz w:val="24"/>
              </w:rPr>
              <w:t>根据调查，</w:t>
            </w:r>
            <w:r>
              <w:rPr>
                <w:rFonts w:hint="eastAsia"/>
                <w:spacing w:val="-2"/>
                <w:sz w:val="24"/>
                <w:lang w:eastAsia="zh-CN"/>
              </w:rPr>
              <w:t>福清市第二污水处理厂</w:t>
            </w:r>
            <w:r>
              <w:rPr>
                <w:spacing w:val="-2"/>
                <w:sz w:val="24"/>
              </w:rPr>
              <w:t>尾水排放执行《城镇污水处理厂污染物排放标准》</w:t>
            </w:r>
            <w:r>
              <w:rPr>
                <w:rFonts w:hint="eastAsia"/>
                <w:spacing w:val="-2"/>
                <w:sz w:val="24"/>
                <w:lang w:val="en-US" w:eastAsia="zh-CN"/>
              </w:rPr>
              <w:t xml:space="preserve"> </w:t>
            </w:r>
            <w:r>
              <w:rPr>
                <w:rFonts w:ascii="Times New Roman" w:eastAsia="Times New Roman"/>
                <w:spacing w:val="-2"/>
                <w:sz w:val="24"/>
              </w:rPr>
              <w:t>(GB18918-2002)</w:t>
            </w:r>
            <w:r>
              <w:rPr>
                <w:spacing w:val="-6"/>
                <w:sz w:val="24"/>
              </w:rPr>
              <w:t>及其修改单表</w:t>
            </w:r>
            <w:r>
              <w:rPr>
                <w:rFonts w:ascii="Times New Roman" w:eastAsia="Times New Roman"/>
                <w:spacing w:val="-2"/>
                <w:sz w:val="24"/>
              </w:rPr>
              <w:t>1</w:t>
            </w:r>
            <w:r>
              <w:rPr>
                <w:spacing w:val="-9"/>
                <w:sz w:val="24"/>
              </w:rPr>
              <w:t>的一级</w:t>
            </w:r>
            <w:r>
              <w:rPr>
                <w:rFonts w:ascii="Times New Roman" w:eastAsia="Times New Roman"/>
                <w:spacing w:val="-2"/>
                <w:sz w:val="24"/>
              </w:rPr>
              <w:t>A</w:t>
            </w:r>
            <w:r>
              <w:rPr>
                <w:spacing w:val="-2"/>
                <w:sz w:val="24"/>
              </w:rPr>
              <w:t>标准，具体详见表</w:t>
            </w:r>
            <w:r>
              <w:rPr>
                <w:rFonts w:ascii="Times New Roman" w:eastAsia="Times New Roman"/>
                <w:spacing w:val="-2"/>
                <w:sz w:val="24"/>
              </w:rPr>
              <w:t>3.</w:t>
            </w:r>
            <w:r>
              <w:rPr>
                <w:rFonts w:hint="eastAsia" w:ascii="Times New Roman" w:eastAsia="宋体"/>
                <w:spacing w:val="-2"/>
                <w:sz w:val="24"/>
                <w:lang w:val="en-US" w:eastAsia="zh-CN"/>
              </w:rPr>
              <w:t>3</w:t>
            </w:r>
            <w:r>
              <w:rPr>
                <w:rFonts w:ascii="Times New Roman" w:eastAsia="Times New Roman"/>
                <w:spacing w:val="-2"/>
                <w:sz w:val="24"/>
              </w:rPr>
              <w:t>-</w:t>
            </w:r>
            <w:r>
              <w:rPr>
                <w:rFonts w:hint="eastAsia" w:ascii="Times New Roman" w:eastAsia="宋体"/>
                <w:spacing w:val="-2"/>
                <w:sz w:val="24"/>
                <w:lang w:val="en-US" w:eastAsia="zh-CN"/>
              </w:rPr>
              <w:t>4</w:t>
            </w:r>
            <w:r>
              <w:rPr>
                <w:spacing w:val="-2"/>
                <w:sz w:val="24"/>
              </w:rPr>
              <w:t>。</w:t>
            </w: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污水处理厂尾水排放标准一览表</w:t>
            </w:r>
          </w:p>
          <w:tbl>
            <w:tblPr>
              <w:tblStyle w:val="34"/>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0"/>
              <w:gridCol w:w="1991"/>
              <w:gridCol w:w="1992"/>
              <w:gridCol w:w="19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8"/>
                      <w:sz w:val="21"/>
                    </w:rPr>
                    <w:t>序号</w:t>
                  </w:r>
                </w:p>
              </w:tc>
              <w:tc>
                <w:tcPr>
                  <w:tcW w:w="1991"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4"/>
                      <w:sz w:val="21"/>
                    </w:rPr>
                    <w:t>污染物名称</w:t>
                  </w:r>
                </w:p>
              </w:tc>
              <w:tc>
                <w:tcPr>
                  <w:tcW w:w="1992"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11"/>
                      <w:sz w:val="21"/>
                    </w:rPr>
                    <w:t>一级标准</w:t>
                  </w:r>
                  <w:r>
                    <w:rPr>
                      <w:rFonts w:ascii="Times New Roman" w:hAnsi="Times New Roman" w:eastAsia="宋体"/>
                      <w:sz w:val="21"/>
                    </w:rPr>
                    <w:t>A</w:t>
                  </w:r>
                  <w:r>
                    <w:rPr>
                      <w:rFonts w:ascii="Times New Roman" w:hAnsi="Times New Roman" w:eastAsia="宋体"/>
                      <w:spacing w:val="-5"/>
                      <w:sz w:val="21"/>
                    </w:rPr>
                    <w:t>标准</w:t>
                  </w:r>
                </w:p>
              </w:tc>
              <w:tc>
                <w:tcPr>
                  <w:tcW w:w="1991" w:type="dxa"/>
                  <w:tcBorders>
                    <w:bottom w:val="single" w:color="000000" w:sz="12" w:space="0"/>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r>
                    <w:rPr>
                      <w:rFonts w:ascii="Times New Roman" w:hAnsi="Times New Roman" w:eastAsia="宋体"/>
                      <w:spacing w:val="-7"/>
                      <w:sz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1</w:t>
                  </w:r>
                </w:p>
              </w:tc>
              <w:tc>
                <w:tcPr>
                  <w:tcW w:w="1991" w:type="dxa"/>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5"/>
                      <w:sz w:val="21"/>
                    </w:rPr>
                    <w:t>pH</w:t>
                  </w:r>
                </w:p>
              </w:tc>
              <w:tc>
                <w:tcPr>
                  <w:tcW w:w="1992" w:type="dxa"/>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2"/>
                      <w:sz w:val="21"/>
                    </w:rPr>
                    <w:t>6～9(无量纲</w:t>
                  </w:r>
                  <w:r>
                    <w:rPr>
                      <w:rFonts w:ascii="Times New Roman" w:hAnsi="Times New Roman" w:eastAsia="宋体"/>
                      <w:spacing w:val="-10"/>
                      <w:sz w:val="21"/>
                    </w:rPr>
                    <w:t>)</w:t>
                  </w:r>
                </w:p>
              </w:tc>
              <w:tc>
                <w:tcPr>
                  <w:tcW w:w="1991" w:type="dxa"/>
                  <w:vMerge w:val="restart"/>
                  <w:tcBorders>
                    <w:top w:val="single" w:color="000000" w:sz="12"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4"/>
                      <w:vertAlign w:val="baseline"/>
                    </w:rPr>
                  </w:pPr>
                  <w:r>
                    <w:rPr>
                      <w:rFonts w:ascii="Times New Roman" w:hAnsi="Times New Roman" w:eastAsia="宋体"/>
                      <w:spacing w:val="-2"/>
                      <w:sz w:val="21"/>
                    </w:rPr>
                    <w:t>《城镇污水处理厂污染物排放标准》(GB18918-2002)及其修</w:t>
                  </w:r>
                  <w:r>
                    <w:rPr>
                      <w:rFonts w:ascii="Times New Roman" w:hAnsi="Times New Roman" w:eastAsia="宋体"/>
                      <w:spacing w:val="-14"/>
                      <w:sz w:val="21"/>
                    </w:rPr>
                    <w:t>改单表</w:t>
                  </w:r>
                  <w:r>
                    <w:rPr>
                      <w:rFonts w:ascii="Times New Roman" w:hAnsi="Times New Roman" w:eastAsia="宋体"/>
                      <w:spacing w:val="-10"/>
                      <w:sz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2</w:t>
                  </w:r>
                </w:p>
              </w:tc>
              <w:tc>
                <w:tcPr>
                  <w:tcW w:w="199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5"/>
                      <w:sz w:val="21"/>
                    </w:rPr>
                    <w:t>COD</w:t>
                  </w:r>
                </w:p>
              </w:tc>
              <w:tc>
                <w:tcPr>
                  <w:tcW w:w="199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50mg/L</w:t>
                  </w:r>
                </w:p>
              </w:tc>
              <w:tc>
                <w:tcPr>
                  <w:tcW w:w="1991" w:type="dxa"/>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3</w:t>
                  </w:r>
                </w:p>
              </w:tc>
              <w:tc>
                <w:tcPr>
                  <w:tcW w:w="199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4"/>
                      <w:position w:val="2"/>
                      <w:sz w:val="21"/>
                    </w:rPr>
                    <w:t>BOD</w:t>
                  </w:r>
                  <w:r>
                    <w:rPr>
                      <w:rFonts w:ascii="Times New Roman" w:hAnsi="Times New Roman" w:eastAsia="宋体"/>
                      <w:spacing w:val="-4"/>
                      <w:sz w:val="13"/>
                    </w:rPr>
                    <w:t>5</w:t>
                  </w:r>
                </w:p>
              </w:tc>
              <w:tc>
                <w:tcPr>
                  <w:tcW w:w="199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10mg/L</w:t>
                  </w:r>
                </w:p>
              </w:tc>
              <w:tc>
                <w:tcPr>
                  <w:tcW w:w="1991" w:type="dxa"/>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4</w:t>
                  </w:r>
                </w:p>
              </w:tc>
              <w:tc>
                <w:tcPr>
                  <w:tcW w:w="199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5"/>
                      <w:sz w:val="21"/>
                    </w:rPr>
                    <w:t>SS</w:t>
                  </w:r>
                </w:p>
              </w:tc>
              <w:tc>
                <w:tcPr>
                  <w:tcW w:w="199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10mg/L</w:t>
                  </w:r>
                </w:p>
              </w:tc>
              <w:tc>
                <w:tcPr>
                  <w:tcW w:w="1991" w:type="dxa"/>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sz w:val="24"/>
                      <w:vertAlign w:val="baseline"/>
                    </w:rPr>
                  </w:pPr>
                  <w:r>
                    <w:rPr>
                      <w:rFonts w:ascii="Times New Roman" w:hAnsi="Times New Roman" w:eastAsia="宋体"/>
                      <w:spacing w:val="-10"/>
                      <w:sz w:val="21"/>
                    </w:rPr>
                    <w:t>5</w:t>
                  </w:r>
                </w:p>
              </w:tc>
              <w:tc>
                <w:tcPr>
                  <w:tcW w:w="199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position w:val="2"/>
                      <w:sz w:val="21"/>
                    </w:rPr>
                    <w:t>NH</w:t>
                  </w:r>
                  <w:r>
                    <w:rPr>
                      <w:rFonts w:ascii="Times New Roman" w:hAnsi="Times New Roman" w:eastAsia="宋体"/>
                      <w:spacing w:val="-2"/>
                      <w:sz w:val="13"/>
                    </w:rPr>
                    <w:t>3</w:t>
                  </w:r>
                  <w:r>
                    <w:rPr>
                      <w:rFonts w:ascii="Times New Roman" w:hAnsi="Times New Roman" w:eastAsia="宋体"/>
                      <w:spacing w:val="-2"/>
                      <w:position w:val="2"/>
                      <w:sz w:val="21"/>
                    </w:rPr>
                    <w:t>-</w:t>
                  </w:r>
                  <w:r>
                    <w:rPr>
                      <w:rFonts w:ascii="Times New Roman" w:hAnsi="Times New Roman" w:eastAsia="宋体"/>
                      <w:spacing w:val="-10"/>
                      <w:position w:val="2"/>
                      <w:sz w:val="21"/>
                    </w:rPr>
                    <w:t>N</w:t>
                  </w:r>
                </w:p>
              </w:tc>
              <w:tc>
                <w:tcPr>
                  <w:tcW w:w="1992"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sz w:val="24"/>
                      <w:vertAlign w:val="baseline"/>
                    </w:rPr>
                  </w:pPr>
                  <w:r>
                    <w:rPr>
                      <w:rFonts w:ascii="Times New Roman" w:hAnsi="Times New Roman" w:eastAsia="宋体"/>
                      <w:spacing w:val="-2"/>
                      <w:sz w:val="21"/>
                    </w:rPr>
                    <w:t>5mg/L</w:t>
                  </w:r>
                </w:p>
              </w:tc>
              <w:tc>
                <w:tcPr>
                  <w:tcW w:w="1991" w:type="dxa"/>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6</w:t>
                  </w:r>
                </w:p>
              </w:tc>
              <w:tc>
                <w:tcPr>
                  <w:tcW w:w="1991" w:type="dxa"/>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动植物油</w:t>
                  </w:r>
                </w:p>
              </w:tc>
              <w:tc>
                <w:tcPr>
                  <w:tcW w:w="1992" w:type="dxa"/>
                  <w:tcBorders>
                    <w:tl2br w:val="nil"/>
                    <w:tr2bl w:val="nil"/>
                  </w:tcBorders>
                  <w:vAlign w:val="center"/>
                </w:tcPr>
                <w:p>
                  <w:pPr>
                    <w:keepNext w:val="0"/>
                    <w:keepLines w:val="0"/>
                    <w:pageBreakBefore w:val="0"/>
                    <w:widowControl w:val="0"/>
                    <w:tabs>
                      <w:tab w:val="left" w:pos="3741"/>
                      <w:tab w:val="left" w:pos="5726"/>
                    </w:tabs>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sz w:val="24"/>
                      <w:vertAlign w:val="baseline"/>
                      <w:lang w:val="en-US" w:eastAsia="zh-CN"/>
                    </w:rPr>
                  </w:pPr>
                  <w:r>
                    <w:rPr>
                      <w:rFonts w:ascii="Times New Roman" w:hAnsi="Times New Roman" w:eastAsia="宋体"/>
                      <w:spacing w:val="-4"/>
                      <w:sz w:val="21"/>
                    </w:rPr>
                    <w:t>1mg/L</w:t>
                  </w:r>
                </w:p>
              </w:tc>
              <w:tc>
                <w:tcPr>
                  <w:tcW w:w="1991" w:type="dxa"/>
                  <w:vMerge w:val="continue"/>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sz w:val="24"/>
                      <w:vertAlign w:val="baseline"/>
                    </w:rPr>
                  </w:pPr>
                </w:p>
              </w:tc>
            </w:tr>
          </w:tbl>
          <w:p>
            <w:pPr>
              <w:pStyle w:val="95"/>
              <w:rPr>
                <w:sz w:val="24"/>
              </w:rPr>
            </w:pPr>
          </w:p>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噪声排放标准</w:t>
            </w:r>
          </w:p>
          <w:p>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厂界噪声执行《工业企业厂界环境噪声排放标准》</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GB12348-2008</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中</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类标准。</w:t>
            </w:r>
          </w:p>
          <w:p>
            <w:pPr>
              <w:pStyle w:val="42"/>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工业企业厂界环境噪声</w:t>
            </w:r>
            <w:r>
              <w:rPr>
                <w:rFonts w:hint="eastAsia" w:ascii="Times New Roman" w:hAnsi="Times New Roman" w:eastAsia="宋体" w:cs="宋体"/>
                <w:color w:val="000000" w:themeColor="text1"/>
                <w:highlight w:val="none"/>
                <w:lang w:val="en-US" w:eastAsia="zh-CN"/>
                <w14:textFill>
                  <w14:solidFill>
                    <w14:schemeClr w14:val="tx1"/>
                  </w14:solidFill>
                </w14:textFill>
              </w:rPr>
              <w:t>排放限值</w:t>
            </w:r>
          </w:p>
          <w:tbl>
            <w:tblPr>
              <w:tblStyle w:val="33"/>
              <w:tblW w:w="7971" w:type="dxa"/>
              <w:jc w:val="center"/>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Layout w:type="autofit"/>
              <w:tblCellMar>
                <w:top w:w="0" w:type="dxa"/>
                <w:left w:w="108" w:type="dxa"/>
                <w:bottom w:w="0" w:type="dxa"/>
                <w:right w:w="108" w:type="dxa"/>
              </w:tblCellMar>
            </w:tblPr>
            <w:tblGrid>
              <w:gridCol w:w="2658"/>
              <w:gridCol w:w="2658"/>
              <w:gridCol w:w="2655"/>
            </w:tblGrid>
            <w:tr>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类别</w:t>
                  </w:r>
                </w:p>
              </w:tc>
              <w:tc>
                <w:tcPr>
                  <w:tcW w:w="2658"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昼间</w:t>
                  </w:r>
                </w:p>
              </w:tc>
              <w:tc>
                <w:tcPr>
                  <w:tcW w:w="2655"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类</w:t>
                  </w:r>
                </w:p>
              </w:tc>
              <w:tc>
                <w:tcPr>
                  <w:tcW w:w="2658"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ascii="Times New Roman" w:hAnsi="Times New Roman"/>
                      <w:spacing w:val="-5"/>
                      <w:sz w:val="21"/>
                    </w:rPr>
                    <w:t>≤</w:t>
                  </w:r>
                  <w:r>
                    <w:rPr>
                      <w:rFonts w:hint="default"/>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5dB（A）</w:t>
                  </w:r>
                </w:p>
              </w:tc>
              <w:tc>
                <w:tcPr>
                  <w:tcW w:w="2655" w:type="dxa"/>
                  <w:tcBorders>
                    <w:tl2br w:val="nil"/>
                    <w:tr2bl w:val="nil"/>
                  </w:tcBorders>
                  <w:vAlign w:val="center"/>
                </w:tcPr>
                <w:p>
                  <w:pPr>
                    <w:pStyle w:val="46"/>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000000" w:themeColor="text1"/>
                      <w14:textFill>
                        <w14:solidFill>
                          <w14:schemeClr w14:val="tx1"/>
                        </w14:solidFill>
                      </w14:textFill>
                    </w:rPr>
                  </w:pPr>
                  <w:r>
                    <w:rPr>
                      <w:rFonts w:ascii="Times New Roman" w:hAnsi="Times New Roman"/>
                      <w:spacing w:val="-5"/>
                      <w:sz w:val="21"/>
                    </w:rPr>
                    <w:t>≤</w:t>
                  </w:r>
                  <w:r>
                    <w:rPr>
                      <w:rFonts w:hint="default"/>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5dB（A）</w:t>
                  </w:r>
                </w:p>
              </w:tc>
            </w:tr>
          </w:tbl>
          <w:p>
            <w:pPr>
              <w:pStyle w:val="4"/>
              <w:numPr>
                <w:ilvl w:val="2"/>
                <w:numId w:val="1"/>
              </w:numPr>
              <w:bidi w:val="0"/>
              <w:ind w:left="720" w:leftChars="0" w:hanging="72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固体废物执行标准</w:t>
            </w:r>
          </w:p>
          <w:p>
            <w:pPr>
              <w:pStyle w:val="44"/>
              <w:ind w:firstLine="480"/>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本项目运营期项目生活垃圾处置执行《中华人民共和国固体废物污染环境防治法》(2020 年修订)的相关规定；产生的一般工业固废应按照《一般工业固体废物贮存和填埋污染控制标准》(GB18599-2020)进行处理处置。项目内产生的危险废物应按照《危险废物贮存污染控制标准》(GB 18597-2023)的要求进行贮存，并委托有资质单位处理。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800" w:type="dxa"/>
            <w:vAlign w:val="center"/>
          </w:tcPr>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总量</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控制</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指标</w:t>
            </w:r>
          </w:p>
        </w:tc>
        <w:tc>
          <w:tcPr>
            <w:tcW w:w="8190" w:type="dxa"/>
            <w:vAlign w:val="center"/>
          </w:tcPr>
          <w:p>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bookmarkStart w:id="33" w:name="_Toc22536"/>
            <w:bookmarkStart w:id="34" w:name="_Toc18142"/>
            <w:bookmarkStart w:id="35" w:name="_Toc24101"/>
            <w:bookmarkStart w:id="36" w:name="_Toc551"/>
            <w:r>
              <w:rPr>
                <w:rFonts w:hint="eastAsia" w:ascii="Times New Roman" w:hAnsi="Times New Roman" w:eastAsia="宋体" w:cs="Times New Roman"/>
                <w:color w:val="000000" w:themeColor="text1"/>
                <w:highlight w:val="none"/>
                <w14:textFill>
                  <w14:solidFill>
                    <w14:schemeClr w14:val="tx1"/>
                  </w14:solidFill>
                </w14:textFill>
              </w:rPr>
              <w:t>总量控制分析</w:t>
            </w:r>
          </w:p>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总量控制因子</w:t>
            </w:r>
            <w:bookmarkEnd w:id="33"/>
            <w:bookmarkEnd w:id="34"/>
            <w:bookmarkEnd w:id="35"/>
            <w:bookmarkEnd w:id="36"/>
          </w:p>
          <w:p>
            <w:pPr>
              <w:pStyle w:val="44"/>
              <w:ind w:firstLine="480"/>
              <w:rPr>
                <w:color w:val="000000" w:themeColor="text1"/>
                <w:highlight w:val="none"/>
                <w14:textFill>
                  <w14:solidFill>
                    <w14:schemeClr w14:val="tx1"/>
                  </w14:solidFill>
                </w14:textFill>
              </w:rPr>
            </w:pPr>
            <w:r>
              <w:rPr>
                <w:rFonts w:hint="eastAsia" w:ascii="Times New Roman" w:hAnsi="Times New Roman"/>
                <w:color w:val="000000" w:themeColor="text1"/>
                <w14:textFill>
                  <w14:solidFill>
                    <w14:schemeClr w14:val="tx1"/>
                  </w14:solidFill>
                </w14:textFill>
              </w:rPr>
              <w:t>根据</w:t>
            </w:r>
            <w:r>
              <w:rPr>
                <w:rFonts w:ascii="Times New Roman" w:hAnsi="Times New Roman"/>
                <w:color w:val="000000" w:themeColor="text1"/>
                <w14:textFill>
                  <w14:solidFill>
                    <w14:schemeClr w14:val="tx1"/>
                  </w14:solidFill>
                </w14:textFill>
              </w:rPr>
              <w:t>国家</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十</w:t>
            </w:r>
            <w:r>
              <w:rPr>
                <w:rFonts w:hint="eastAsia" w:ascii="Times New Roman" w:hAnsi="Times New Roman"/>
                <w:color w:val="000000" w:themeColor="text1"/>
                <w14:textFill>
                  <w14:solidFill>
                    <w14:schemeClr w14:val="tx1"/>
                  </w14:solidFill>
                </w14:textFill>
              </w:rPr>
              <w:t>四</w:t>
            </w:r>
            <w:r>
              <w:rPr>
                <w:rFonts w:ascii="Times New Roman" w:hAnsi="Times New Roman"/>
                <w:color w:val="000000" w:themeColor="text1"/>
                <w14:textFill>
                  <w14:solidFill>
                    <w14:schemeClr w14:val="tx1"/>
                  </w14:solidFill>
                </w14:textFill>
              </w:rPr>
              <w:t>五</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期间污染物</w:t>
            </w:r>
            <w:r>
              <w:rPr>
                <w:rFonts w:hint="eastAsia" w:ascii="Times New Roman" w:hAnsi="Times New Roman"/>
                <w:color w:val="000000" w:themeColor="text1"/>
                <w14:textFill>
                  <w14:solidFill>
                    <w14:schemeClr w14:val="tx1"/>
                  </w14:solidFill>
                </w14:textFill>
              </w:rPr>
              <w:t>总量</w:t>
            </w:r>
            <w:r>
              <w:rPr>
                <w:rFonts w:ascii="Times New Roman" w:hAnsi="Times New Roman"/>
                <w:color w:val="000000" w:themeColor="text1"/>
                <w14:textFill>
                  <w14:solidFill>
                    <w14:schemeClr w14:val="tx1"/>
                  </w14:solidFill>
                </w14:textFill>
              </w:rPr>
              <w:t>控制</w:t>
            </w:r>
            <w:r>
              <w:rPr>
                <w:rFonts w:hint="eastAsia" w:ascii="Times New Roman" w:hAnsi="Times New Roman"/>
                <w:color w:val="000000" w:themeColor="text1"/>
                <w14:textFill>
                  <w14:solidFill>
                    <w14:schemeClr w14:val="tx1"/>
                  </w14:solidFill>
                </w14:textFill>
              </w:rPr>
              <w:t>要求及</w:t>
            </w:r>
            <w:r>
              <w:rPr>
                <w:rFonts w:ascii="Times New Roman" w:hAnsi="Times New Roman"/>
                <w:color w:val="000000" w:themeColor="text1"/>
                <w14:textFill>
                  <w14:solidFill>
                    <w14:schemeClr w14:val="tx1"/>
                  </w14:solidFill>
                </w14:textFill>
              </w:rPr>
              <w:t>《福建省“十四五”生态环境保护专项规划》（闽政办〔2021〕59号）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《福建省人民政府关于推进排污权有偿使用和交易工作的意见(试行)》</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闽政</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24号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、《福建省环保厅关于贯彻落实</w:t>
            </w:r>
            <w:r>
              <w:rPr>
                <w:rFonts w:hint="eastAsia"/>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推进排污权有偿使用和交易工作的意见</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试行</w:t>
            </w:r>
            <w:r>
              <w:rPr>
                <w:rFonts w:hint="eastAsia" w:ascii="Times New Roman" w:hAnsi="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的通知》</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闽环发</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9号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、《福建省环保厅关于环评审批中落实排污权交易工作要求的通知》</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闽环保评</w:t>
            </w:r>
            <w:r>
              <w:rPr>
                <w:rFonts w:hint="eastAsia" w:ascii="Times New Roman" w:hAnsi="Times New Roman"/>
                <w:color w:val="000000" w:themeColor="text1"/>
                <w:lang w:eastAsia="zh-CN"/>
                <w14:textFill>
                  <w14:solidFill>
                    <w14:schemeClr w14:val="tx1"/>
                  </w14:solidFill>
                </w14:textFill>
              </w:rPr>
              <w:t>〔2014〕</w:t>
            </w:r>
            <w:r>
              <w:rPr>
                <w:rFonts w:ascii="Times New Roman" w:hAnsi="Times New Roman"/>
                <w:color w:val="000000" w:themeColor="text1"/>
                <w14:textFill>
                  <w14:solidFill>
                    <w14:schemeClr w14:val="tx1"/>
                  </w14:solidFill>
                </w14:textFill>
              </w:rPr>
              <w:t>43号</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等有关文件要求，</w:t>
            </w:r>
            <w:r>
              <w:rPr>
                <w:color w:val="000000" w:themeColor="text1"/>
                <w:highlight w:val="none"/>
                <w14:textFill>
                  <w14:solidFill>
                    <w14:schemeClr w14:val="tx1"/>
                  </w14:solidFill>
                </w14:textFill>
              </w:rPr>
              <w:t>结合本项目排污特征，确定本项目总量控制因子为挥发性有机物（以非甲烷总烃计）。</w:t>
            </w:r>
          </w:p>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37" w:name="_Toc9744"/>
            <w:bookmarkStart w:id="38" w:name="_Toc17857"/>
            <w:bookmarkStart w:id="39" w:name="_Toc26157"/>
            <w:bookmarkStart w:id="40" w:name="_Toc32260"/>
            <w:r>
              <w:rPr>
                <w:rFonts w:hint="eastAsia" w:ascii="Times New Roman" w:hAnsi="Times New Roman" w:eastAsia="宋体" w:cs="Times New Roman"/>
                <w:color w:val="000000" w:themeColor="text1"/>
                <w:highlight w:val="none"/>
                <w:lang w:val="en-US" w:eastAsia="zh-CN"/>
                <w14:textFill>
                  <w14:solidFill>
                    <w14:schemeClr w14:val="tx1"/>
                  </w14:solidFill>
                </w14:textFill>
              </w:rPr>
              <w:t>污染物总量控制指标</w:t>
            </w:r>
            <w:bookmarkEnd w:id="37"/>
            <w:bookmarkEnd w:id="38"/>
            <w:bookmarkEnd w:id="39"/>
            <w:bookmarkEnd w:id="40"/>
          </w:p>
          <w:p>
            <w:pPr>
              <w:pStyle w:val="5"/>
              <w:numPr>
                <w:ilvl w:val="3"/>
                <w:numId w:val="13"/>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水污染物排放总量控制</w:t>
            </w:r>
          </w:p>
          <w:p>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根据《福建省环保厅关于进一步加快推进排污权有偿使用和交易工作的意见》（闽环发</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2015</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6号）中相关规定</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对于水污染物，仅核定工业废水部分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，因此，本项目生活污水中COD、氨氮无需购买总量。</w:t>
            </w:r>
          </w:p>
          <w:p>
            <w:pPr>
              <w:pStyle w:val="44"/>
              <w:ind w:firstLine="48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项目建成实施后生产废水经污水处理设施处理后，排入</w:t>
            </w:r>
            <w:r>
              <w:rPr>
                <w:rFonts w:hint="eastAsia"/>
                <w:color w:val="000000" w:themeColor="text1"/>
                <w:highlight w:val="none"/>
                <w:lang w:eastAsia="zh-CN"/>
                <w14:textFill>
                  <w14:solidFill>
                    <w14:schemeClr w14:val="tx1"/>
                  </w14:solidFill>
                </w14:textFill>
              </w:rPr>
              <w:t>福清市第二污水处理厂</w:t>
            </w:r>
            <w:r>
              <w:rPr>
                <w:color w:val="000000" w:themeColor="text1"/>
                <w:highlight w:val="none"/>
                <w14:textFill>
                  <w14:solidFill>
                    <w14:schemeClr w14:val="tx1"/>
                  </w14:solidFill>
                </w14:textFill>
              </w:rPr>
              <w:t>处理；本项目生活污水经化粪池处理后排入</w:t>
            </w:r>
            <w:r>
              <w:rPr>
                <w:rFonts w:hint="eastAsia"/>
                <w:color w:val="000000" w:themeColor="text1"/>
                <w:highlight w:val="none"/>
                <w:lang w:eastAsia="zh-CN"/>
                <w14:textFill>
                  <w14:solidFill>
                    <w14:schemeClr w14:val="tx1"/>
                  </w14:solidFill>
                </w14:textFill>
              </w:rPr>
              <w:t>福清市第二污水处理厂</w:t>
            </w:r>
            <w:r>
              <w:rPr>
                <w:color w:val="000000" w:themeColor="text1"/>
                <w:highlight w:val="none"/>
                <w14:textFill>
                  <w14:solidFill>
                    <w14:schemeClr w14:val="tx1"/>
                  </w14:solidFill>
                </w14:textFill>
              </w:rPr>
              <w:t>处理，COD（化学需氧量）、NH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-N（氨氮）纳入污水处理厂总量指标，本项目不再单独申请。</w:t>
            </w:r>
          </w:p>
          <w:p>
            <w:pPr>
              <w:pStyle w:val="5"/>
              <w:numPr>
                <w:ilvl w:val="3"/>
                <w:numId w:val="13"/>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大气污染物总量控制</w:t>
            </w:r>
          </w:p>
          <w:p>
            <w:pPr>
              <w:pStyle w:val="142"/>
              <w:adjustRightInd/>
              <w:snapToGrid/>
              <w:ind w:firstLine="31680"/>
              <w:rPr>
                <w:rFonts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本项目</w:t>
            </w:r>
            <w:r>
              <w:rPr>
                <w:rFonts w:hint="eastAsia" w:ascii="Times New Roman" w:hAnsi="Times New Roman" w:eastAsia="宋体"/>
                <w:color w:val="000000" w:themeColor="text1"/>
                <w:highlight w:val="none"/>
                <w:lang w:val="en-US" w:eastAsia="zh-CN"/>
                <w14:textFill>
                  <w14:solidFill>
                    <w14:schemeClr w14:val="tx1"/>
                  </w14:solidFill>
                </w14:textFill>
              </w:rPr>
              <w:t>大气</w:t>
            </w:r>
            <w:r>
              <w:rPr>
                <w:rFonts w:hint="eastAsia" w:ascii="Times New Roman" w:hAnsi="Times New Roman" w:eastAsia="宋体"/>
                <w:color w:val="000000" w:themeColor="text1"/>
                <w:szCs w:val="24"/>
                <w:highlight w:val="none"/>
                <w14:textFill>
                  <w14:solidFill>
                    <w14:schemeClr w14:val="tx1"/>
                  </w14:solidFill>
                </w14:textFill>
              </w:rPr>
              <w:t>污染物主要为</w:t>
            </w:r>
            <w:r>
              <w:rPr>
                <w:rFonts w:hint="eastAsia"/>
                <w:color w:val="000000" w:themeColor="text1"/>
                <w:szCs w:val="24"/>
                <w:highlight w:val="none"/>
                <w:lang w:val="en-US" w:eastAsia="zh-CN"/>
                <w14:textFill>
                  <w14:solidFill>
                    <w14:schemeClr w14:val="tx1"/>
                  </w14:solidFill>
                </w14:textFill>
              </w:rPr>
              <w:t>电泳</w:t>
            </w:r>
            <w:r>
              <w:rPr>
                <w:rFonts w:hint="eastAsia" w:ascii="Times New Roman" w:hAnsi="Times New Roman" w:eastAsia="宋体"/>
                <w:color w:val="000000" w:themeColor="text1"/>
                <w:szCs w:val="24"/>
                <w:highlight w:val="none"/>
                <w:lang w:val="en-US" w:eastAsia="zh-CN"/>
                <w14:textFill>
                  <w14:solidFill>
                    <w14:schemeClr w14:val="tx1"/>
                  </w14:solidFill>
                </w14:textFill>
              </w:rPr>
              <w:t>过程中产生VOCs</w:t>
            </w:r>
            <w:r>
              <w:rPr>
                <w:rFonts w:hint="eastAsia" w:ascii="Times New Roman" w:hAnsi="Times New Roman" w:eastAsia="宋体"/>
                <w:color w:val="000000" w:themeColor="text1"/>
                <w:szCs w:val="24"/>
                <w:highlight w:val="none"/>
                <w14:textFill>
                  <w14:solidFill>
                    <w14:schemeClr w14:val="tx1"/>
                  </w14:solidFill>
                </w14:textFill>
              </w:rPr>
              <w:t>。项目总量控制指标见表</w:t>
            </w:r>
            <w:r>
              <w:rPr>
                <w:rFonts w:hint="eastAsia" w:ascii="Times New Roman" w:hAnsi="Times New Roman" w:eastAsia="宋体"/>
                <w:color w:val="000000" w:themeColor="text1"/>
                <w:szCs w:val="24"/>
                <w:highlight w:val="none"/>
                <w:lang w:val="en-US" w:eastAsia="zh-CN"/>
                <w14:textFill>
                  <w14:solidFill>
                    <w14:schemeClr w14:val="tx1"/>
                  </w14:solidFill>
                </w14:textFill>
              </w:rPr>
              <w:t>3.4-1</w:t>
            </w:r>
            <w:r>
              <w:rPr>
                <w:rFonts w:hint="eastAsia" w:ascii="Times New Roman" w:hAnsi="Times New Roman" w:eastAsia="宋体"/>
                <w:color w:val="000000" w:themeColor="text1"/>
                <w:szCs w:val="24"/>
                <w:highlight w:val="none"/>
                <w14:textFill>
                  <w14:solidFill>
                    <w14:schemeClr w14:val="tx1"/>
                  </w14:solidFill>
                </w14:textFill>
              </w:rPr>
              <w:t>。</w:t>
            </w:r>
          </w:p>
          <w:p>
            <w:pPr>
              <w:shd w:val="clear"/>
              <w:spacing w:beforeLines="5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表</w:t>
            </w:r>
            <w:r>
              <w:rPr>
                <w:rFonts w:hint="eastAsia" w:ascii="Times New Roman" w:hAnsi="Times New Roman" w:eastAsia="宋体"/>
                <w:b/>
                <w:bCs/>
                <w:color w:val="000000" w:themeColor="text1"/>
                <w:sz w:val="24"/>
                <w:highlight w:val="none"/>
                <w:lang w:val="en-US" w:eastAsia="zh-CN"/>
                <w14:textFill>
                  <w14:solidFill>
                    <w14:schemeClr w14:val="tx1"/>
                  </w14:solidFill>
                </w14:textFill>
              </w:rPr>
              <w:t>3.4-1</w:t>
            </w:r>
            <w:r>
              <w:rPr>
                <w:rFonts w:hint="eastAsia" w:ascii="Times New Roman" w:hAnsi="Times New Roman" w:eastAsia="宋体"/>
                <w:b/>
                <w:bCs/>
                <w:color w:val="000000" w:themeColor="text1"/>
                <w:sz w:val="24"/>
                <w:highlight w:val="none"/>
                <w14:textFill>
                  <w14:solidFill>
                    <w14:schemeClr w14:val="tx1"/>
                  </w14:solidFill>
                </w14:textFill>
              </w:rPr>
              <w:t xml:space="preserve">  项目废气总量控制指标</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3"/>
              <w:gridCol w:w="1592"/>
              <w:gridCol w:w="1744"/>
              <w:gridCol w:w="1744"/>
              <w:gridCol w:w="17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17"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3"/>
                      <w:sz w:val="21"/>
                    </w:rPr>
                    <w:t>类别</w:t>
                  </w:r>
                </w:p>
              </w:tc>
              <w:tc>
                <w:tcPr>
                  <w:tcW w:w="998"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6"/>
                      <w:sz w:val="21"/>
                    </w:rPr>
                    <w:t>主要污染物</w:t>
                  </w:r>
                </w:p>
              </w:tc>
              <w:tc>
                <w:tcPr>
                  <w:tcW w:w="1093"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5"/>
                      <w:sz w:val="21"/>
                    </w:rPr>
                    <w:t>有组织</w:t>
                  </w:r>
                </w:p>
              </w:tc>
              <w:tc>
                <w:tcPr>
                  <w:tcW w:w="1093"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5"/>
                      <w:sz w:val="21"/>
                    </w:rPr>
                    <w:t>无组织</w:t>
                  </w:r>
                </w:p>
              </w:tc>
              <w:tc>
                <w:tcPr>
                  <w:tcW w:w="1096"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b/>
                      <w:bCs/>
                      <w:spacing w:val="6"/>
                      <w:sz w:val="21"/>
                    </w:rPr>
                    <w:t>全厂排放量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717" w:type="pct"/>
                  <w:vMerge w:val="restar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5"/>
                      <w:sz w:val="21"/>
                    </w:rPr>
                    <w:t>废气</w:t>
                  </w:r>
                </w:p>
              </w:tc>
              <w:tc>
                <w:tcPr>
                  <w:tcW w:w="998"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5"/>
                      <w:sz w:val="21"/>
                      <w:szCs w:val="20"/>
                    </w:rPr>
                    <w:t>VOCs</w:t>
                  </w:r>
                </w:p>
              </w:tc>
              <w:tc>
                <w:tcPr>
                  <w:tcW w:w="1093"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ascii="Times New Roman" w:hAnsi="Times New Roman" w:eastAsia="宋体" w:cs="Times New Roman"/>
                      <w:spacing w:val="3"/>
                      <w:sz w:val="21"/>
                      <w:szCs w:val="20"/>
                    </w:rPr>
                    <w:t>0.</w:t>
                  </w:r>
                  <w:r>
                    <w:rPr>
                      <w:rFonts w:hint="eastAsia" w:cs="Times New Roman"/>
                      <w:spacing w:val="3"/>
                      <w:sz w:val="21"/>
                      <w:szCs w:val="20"/>
                      <w:lang w:val="en-US" w:eastAsia="zh-CN"/>
                    </w:rPr>
                    <w:t>2118</w:t>
                  </w:r>
                </w:p>
              </w:tc>
              <w:tc>
                <w:tcPr>
                  <w:tcW w:w="1093"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sz w:val="21"/>
                      <w:szCs w:val="20"/>
                    </w:rPr>
                    <w:t>0.0941</w:t>
                  </w:r>
                </w:p>
              </w:tc>
              <w:tc>
                <w:tcPr>
                  <w:tcW w:w="1096"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0"/>
                      <w:lang w:val="en-US" w:eastAsia="zh-CN"/>
                    </w:rPr>
                  </w:pPr>
                  <w:r>
                    <w:rPr>
                      <w:rFonts w:ascii="Times New Roman" w:hAnsi="Times New Roman" w:eastAsia="宋体" w:cs="Times New Roman"/>
                      <w:spacing w:val="3"/>
                      <w:sz w:val="21"/>
                      <w:szCs w:val="20"/>
                    </w:rPr>
                    <w:t>0.</w:t>
                  </w:r>
                  <w:r>
                    <w:rPr>
                      <w:rFonts w:hint="eastAsia" w:cs="Times New Roman"/>
                      <w:spacing w:val="3"/>
                      <w:sz w:val="21"/>
                      <w:szCs w:val="20"/>
                      <w:lang w:val="en-US" w:eastAsia="zh-CN"/>
                    </w:rPr>
                    <w:t>3059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1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p>
              </w:tc>
              <w:tc>
                <w:tcPr>
                  <w:tcW w:w="998"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r>
                    <w:rPr>
                      <w:rFonts w:ascii="Times New Roman" w:hAnsi="Times New Roman" w:eastAsia="宋体"/>
                      <w:spacing w:val="7"/>
                      <w:sz w:val="21"/>
                    </w:rPr>
                    <w:t>颗粒物</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0.021</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0.0413</w:t>
                  </w:r>
                </w:p>
              </w:tc>
              <w:tc>
                <w:tcPr>
                  <w:tcW w:w="10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0.0623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6" w:hRule="atLeast"/>
              </w:trPr>
              <w:tc>
                <w:tcPr>
                  <w:tcW w:w="71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13"/>
                    </w:rPr>
                  </w:pPr>
                  <w:r>
                    <w:rPr>
                      <w:rFonts w:ascii="Times New Roman" w:hAnsi="Times New Roman" w:eastAsia="宋体" w:cs="Times New Roman"/>
                      <w:sz w:val="21"/>
                      <w:szCs w:val="20"/>
                    </w:rPr>
                    <w:t>SO</w:t>
                  </w:r>
                  <w:r>
                    <w:rPr>
                      <w:rFonts w:ascii="Times New Roman" w:hAnsi="Times New Roman" w:eastAsia="宋体" w:cs="Times New Roman"/>
                      <w:spacing w:val="1"/>
                      <w:sz w:val="21"/>
                      <w:szCs w:val="13"/>
                      <w:vertAlign w:val="subscript"/>
                    </w:rPr>
                    <w:t>2</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sz w:val="21"/>
                      <w:szCs w:val="20"/>
                    </w:rPr>
                    <w:t>0.0018</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sz w:val="21"/>
                      <w:szCs w:val="20"/>
                    </w:rPr>
                    <w:t>0.0002</w:t>
                  </w:r>
                </w:p>
              </w:tc>
              <w:tc>
                <w:tcPr>
                  <w:tcW w:w="10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2"/>
                      <w:sz w:val="21"/>
                      <w:szCs w:val="20"/>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71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rPr>
                  </w:pP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6"/>
                      <w:sz w:val="21"/>
                      <w:szCs w:val="20"/>
                    </w:rPr>
                    <w:t>NOx</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0.0168</w:t>
                  </w:r>
                </w:p>
              </w:tc>
              <w:tc>
                <w:tcPr>
                  <w:tcW w:w="10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0.0018</w:t>
                  </w:r>
                </w:p>
              </w:tc>
              <w:tc>
                <w:tcPr>
                  <w:tcW w:w="10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rPr>
                  </w:pPr>
                  <w:r>
                    <w:rPr>
                      <w:rFonts w:ascii="Times New Roman" w:hAnsi="Times New Roman" w:eastAsia="宋体" w:cs="Times New Roman"/>
                      <w:spacing w:val="3"/>
                      <w:position w:val="1"/>
                      <w:sz w:val="21"/>
                      <w:szCs w:val="20"/>
                    </w:rPr>
                    <w:t>0.0186</w:t>
                  </w:r>
                </w:p>
              </w:tc>
            </w:tr>
          </w:tbl>
          <w:p>
            <w:pPr>
              <w:pStyle w:val="44"/>
              <w:ind w:firstLine="48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根据上表可以看出，项目排放污染物总量控制指标为：VOCs0.</w:t>
            </w:r>
            <w:r>
              <w:rPr>
                <w:rFonts w:hint="eastAsia"/>
                <w:color w:val="000000" w:themeColor="text1"/>
                <w:highlight w:val="none"/>
                <w:lang w:val="en-US" w:eastAsia="zh-CN"/>
                <w14:textFill>
                  <w14:solidFill>
                    <w14:schemeClr w14:val="tx1"/>
                  </w14:solidFill>
                </w14:textFill>
              </w:rPr>
              <w:t>2118</w:t>
            </w:r>
            <w:r>
              <w:rPr>
                <w:rFonts w:hint="eastAsia" w:ascii="Times New Roman" w:hAnsi="Times New Roman" w:eastAsia="宋体"/>
                <w:color w:val="000000" w:themeColor="text1"/>
                <w:highlight w:val="none"/>
                <w:lang w:val="en-US" w:eastAsia="zh-CN"/>
                <w14:textFill>
                  <w14:solidFill>
                    <w14:schemeClr w14:val="tx1"/>
                  </w14:solidFill>
                </w14:textFill>
              </w:rPr>
              <w:t>t/a，颗粒物0.021t/a，SO</w:t>
            </w:r>
            <w:r>
              <w:rPr>
                <w:rFonts w:hint="eastAsia" w:ascii="Times New Roman" w:hAnsi="Times New Roman" w:eastAsia="宋体"/>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0.0018t/a，NOx0.0168t/a。拟按排放总量向</w:t>
            </w:r>
            <w:r>
              <w:rPr>
                <w:rFonts w:hint="eastAsia"/>
                <w:color w:val="000000" w:themeColor="text1"/>
                <w:highlight w:val="none"/>
                <w:lang w:val="en-US" w:eastAsia="zh-CN"/>
                <w14:textFill>
                  <w14:solidFill>
                    <w14:schemeClr w14:val="tx1"/>
                  </w14:solidFill>
                </w14:textFill>
              </w:rPr>
              <w:t>福州市福清生态环境局</w:t>
            </w:r>
            <w:r>
              <w:rPr>
                <w:rFonts w:hint="eastAsia" w:ascii="Times New Roman" w:hAnsi="Times New Roman" w:eastAsia="宋体"/>
                <w:color w:val="000000" w:themeColor="text1"/>
                <w:highlight w:val="none"/>
                <w:lang w:val="en-US" w:eastAsia="zh-CN"/>
                <w14:textFill>
                  <w14:solidFill>
                    <w14:schemeClr w14:val="tx1"/>
                  </w14:solidFill>
                </w14:textFill>
              </w:rPr>
              <w:t>进行总量调剂申请，企业承诺在项目投产前</w:t>
            </w:r>
            <w:r>
              <w:rPr>
                <w:rFonts w:hint="eastAsia"/>
                <w:color w:val="000000" w:themeColor="text1"/>
                <w:highlight w:val="none"/>
                <w:lang w:val="en-US" w:eastAsia="zh-CN"/>
                <w14:textFill>
                  <w14:solidFill>
                    <w14:schemeClr w14:val="tx1"/>
                  </w14:solidFill>
                </w14:textFill>
              </w:rPr>
              <w:t>申请</w:t>
            </w:r>
            <w:r>
              <w:rPr>
                <w:rFonts w:hint="eastAsia" w:ascii="Times New Roman" w:hAnsi="Times New Roman" w:eastAsia="宋体"/>
                <w:color w:val="000000" w:themeColor="text1"/>
                <w:highlight w:val="none"/>
                <w:lang w:val="en-US" w:eastAsia="zh-CN"/>
                <w14:textFill>
                  <w14:solidFill>
                    <w14:schemeClr w14:val="tx1"/>
                  </w14:solidFill>
                </w14:textFill>
              </w:rPr>
              <w:t>所需总量。</w:t>
            </w:r>
          </w:p>
        </w:tc>
      </w:tr>
    </w:tbl>
    <w:p>
      <w:pPr>
        <w:pStyle w:val="2"/>
        <w:keepNext/>
        <w:keepLines w:val="0"/>
        <w:pageBreakBefore w:val="0"/>
        <w:widowControl w:val="0"/>
        <w:numPr>
          <w:ilvl w:val="0"/>
          <w:numId w:val="0"/>
        </w:numPr>
        <w:tabs>
          <w:tab w:val="left" w:pos="0"/>
        </w:tabs>
        <w:kinsoku/>
        <w:wordWrap/>
        <w:overflowPunct w:val="0"/>
        <w:topLinePunct w:val="0"/>
        <w:autoSpaceDE/>
        <w:autoSpaceDN/>
        <w:bidi w:val="0"/>
        <w:adjustRightInd/>
        <w:snapToGrid w:val="0"/>
        <w:spacing w:before="157" w:beforeLines="50"/>
        <w:ind w:left="431" w:leftChars="0" w:hanging="431" w:firstLineChars="0"/>
        <w:textAlignment w:val="auto"/>
        <w:outlineLvl w:val="9"/>
        <w:rPr>
          <w:rFonts w:ascii="黑体" w:hAnsi="黑体"/>
          <w:snapToGrid w:val="0"/>
          <w:color w:val="000000" w:themeColor="text1"/>
          <w:sz w:val="36"/>
          <w:szCs w:val="36"/>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2"/>
        <w:numPr>
          <w:ilvl w:val="0"/>
          <w:numId w:val="1"/>
        </w:numPr>
        <w:bidi w:val="0"/>
        <w:ind w:left="432" w:leftChars="0" w:hanging="432" w:firstLineChars="0"/>
        <w:rPr>
          <w:rFonts w:hint="eastAsia"/>
          <w:color w:val="000000" w:themeColor="text1"/>
          <w:highlight w:val="none"/>
          <w14:textFill>
            <w14:solidFill>
              <w14:schemeClr w14:val="tx1"/>
            </w14:solidFill>
          </w14:textFill>
        </w:rPr>
      </w:pPr>
      <w:bookmarkStart w:id="41" w:name="_Toc8710"/>
      <w:bookmarkStart w:id="42" w:name="_Toc31594"/>
      <w:bookmarkStart w:id="43" w:name="_Toc13712"/>
      <w:bookmarkStart w:id="44" w:name="_Toc4295"/>
      <w:bookmarkStart w:id="45" w:name="_Toc3141"/>
      <w:r>
        <w:rPr>
          <w:rFonts w:hint="eastAsia"/>
          <w:color w:val="000000" w:themeColor="text1"/>
          <w:highlight w:val="none"/>
          <w14:textFill>
            <w14:solidFill>
              <w14:schemeClr w14:val="tx1"/>
            </w14:solidFill>
          </w14:textFill>
        </w:rPr>
        <w:t>主要环境影响和保护措施</w:t>
      </w:r>
      <w:bookmarkEnd w:id="41"/>
      <w:bookmarkEnd w:id="42"/>
      <w:bookmarkEnd w:id="43"/>
      <w:bookmarkEnd w:id="44"/>
      <w:bookmarkEnd w:id="45"/>
    </w:p>
    <w:p>
      <w:pPr>
        <w:rPr>
          <w:color w:val="000000" w:themeColor="text1"/>
          <w14:textFill>
            <w14:solidFill>
              <w14:schemeClr w14:val="tx1"/>
            </w14:solidFill>
          </w14:textFill>
        </w:rPr>
      </w:pPr>
    </w:p>
    <w:tbl>
      <w:tblPr>
        <w:tblStyle w:val="33"/>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9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240" w:type="dxa"/>
            <w:tcMar>
              <w:left w:w="28" w:type="dxa"/>
              <w:right w:w="28" w:type="dxa"/>
            </w:tcMar>
            <w:vAlign w:val="center"/>
          </w:tcPr>
          <w:p>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施工</w:t>
            </w:r>
          </w:p>
          <w:p>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期环</w:t>
            </w:r>
          </w:p>
          <w:p>
            <w:pPr>
              <w:pStyle w:val="30"/>
              <w:adjustRightInd w:val="0"/>
              <w:snapToGrid w:val="0"/>
              <w:spacing w:before="0" w:beforeAutospacing="0" w:after="0" w:afterAutospacing="0"/>
              <w:jc w:val="center"/>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境保</w:t>
            </w:r>
          </w:p>
          <w:p>
            <w:pPr>
              <w:pStyle w:val="30"/>
              <w:adjustRightInd w:val="0"/>
              <w:snapToGrid w:val="0"/>
              <w:spacing w:before="0" w:beforeAutospacing="0" w:after="0" w:afterAutospacing="0"/>
              <w:jc w:val="center"/>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护</w:t>
            </w:r>
            <w:r>
              <w:rPr>
                <w:rFonts w:hint="eastAsia" w:cs="宋体"/>
                <w:color w:val="000000" w:themeColor="text1"/>
                <w:kern w:val="2"/>
                <w:sz w:val="21"/>
                <w:szCs w:val="21"/>
                <w:highlight w:val="none"/>
                <w:lang w:val="en-US" w:eastAsia="zh-CN"/>
                <w14:textFill>
                  <w14:solidFill>
                    <w14:schemeClr w14:val="tx1"/>
                  </w14:solidFill>
                </w14:textFill>
              </w:rPr>
              <w:t>措施</w:t>
            </w:r>
          </w:p>
        </w:tc>
        <w:tc>
          <w:tcPr>
            <w:tcW w:w="8967" w:type="dxa"/>
            <w:vAlign w:val="center"/>
          </w:tcPr>
          <w:p>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施工期环境保护措施</w:t>
            </w:r>
          </w:p>
          <w:p>
            <w:pPr>
              <w:pStyle w:val="9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spacing w:val="-2"/>
                <w:sz w:val="24"/>
              </w:rPr>
              <w:t>本项目厂址位于</w:t>
            </w:r>
            <w:r>
              <w:rPr>
                <w:spacing w:val="-2"/>
                <w:sz w:val="24"/>
                <w:highlight w:val="none"/>
              </w:rPr>
              <w:t>福建省</w:t>
            </w:r>
            <w:r>
              <w:rPr>
                <w:rFonts w:hint="eastAsia"/>
                <w:spacing w:val="-2"/>
                <w:sz w:val="24"/>
                <w:highlight w:val="none"/>
                <w:lang w:eastAsia="zh-CN"/>
              </w:rPr>
              <w:t>福清市镜洋镇过洋39号</w:t>
            </w:r>
            <w:r>
              <w:rPr>
                <w:spacing w:val="-2"/>
                <w:sz w:val="24"/>
              </w:rPr>
              <w:t>，根据现场勘查，该厂房主体结构已经建成，因此不存在厂房等主体工程施工期环境影响。项目施工期主要为设备安装、调试阶段产生的环境问题，本项目设备安装、调试简单，且时间较</w:t>
            </w:r>
            <w:r>
              <w:rPr>
                <w:spacing w:val="-1"/>
                <w:sz w:val="24"/>
              </w:rPr>
              <w:t>短，因此，随着设备安装、调试完毕后，项目施工期也将结束，施工期环境影响也随着消失，不会对周边环境噪声影响。</w:t>
            </w:r>
            <w:r>
              <w:rPr>
                <w:rFonts w:hint="eastAsia" w:ascii="Times New Roman" w:hAnsi="Times New Roman"/>
                <w:color w:val="000000" w:themeColor="text1"/>
                <w:sz w:val="24"/>
                <w:szCs w:val="24"/>
                <w:highlight w:val="none"/>
                <w14:textFill>
                  <w14:solidFill>
                    <w14:schemeClr w14:val="tx1"/>
                  </w14:solidFill>
                </w14:textFill>
              </w:rPr>
              <w:t>本项目的施工活动主要为设备安装及调试等，施工期影响较小，因此本评价不再对施工期环境影响进行评价。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240" w:type="dxa"/>
            <w:tcMar>
              <w:left w:w="28" w:type="dxa"/>
              <w:right w:w="28" w:type="dxa"/>
            </w:tcMar>
            <w:vAlign w:val="center"/>
          </w:tcPr>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运营</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期环</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境影</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响和</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保护</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措施</w:t>
            </w:r>
          </w:p>
        </w:tc>
        <w:tc>
          <w:tcPr>
            <w:tcW w:w="8967" w:type="dxa"/>
            <w:vAlign w:val="center"/>
          </w:tcPr>
          <w:p>
            <w:pPr>
              <w:pStyle w:val="3"/>
              <w:numPr>
                <w:ilvl w:val="1"/>
                <w:numId w:val="1"/>
              </w:numPr>
              <w:bidi w:val="0"/>
              <w:ind w:left="0" w:leftChars="0" w:firstLine="0" w:firstLineChars="0"/>
              <w:rPr>
                <w:rFonts w:hint="eastAsia"/>
                <w:color w:val="000000" w:themeColor="text1"/>
                <w:highlight w:val="none"/>
                <w14:textFill>
                  <w14:solidFill>
                    <w14:schemeClr w14:val="tx1"/>
                  </w14:solidFill>
                </w14:textFill>
              </w:rPr>
            </w:pPr>
            <w:bookmarkStart w:id="46" w:name="_Toc17051"/>
            <w:r>
              <w:rPr>
                <w:rFonts w:hint="eastAsia"/>
                <w:color w:val="000000" w:themeColor="text1"/>
                <w:highlight w:val="none"/>
                <w:lang w:val="en-US" w:eastAsia="zh-CN"/>
                <w14:textFill>
                  <w14:solidFill>
                    <w14:schemeClr w14:val="tx1"/>
                  </w14:solidFill>
                </w14:textFill>
              </w:rPr>
              <w:t>运营期</w:t>
            </w:r>
            <w:r>
              <w:rPr>
                <w:rFonts w:hint="eastAsia"/>
                <w:color w:val="000000" w:themeColor="text1"/>
                <w:highlight w:val="none"/>
                <w14:textFill>
                  <w14:solidFill>
                    <w14:schemeClr w14:val="tx1"/>
                  </w14:solidFill>
                </w14:textFill>
              </w:rPr>
              <w:t>大气环境</w:t>
            </w:r>
            <w:r>
              <w:rPr>
                <w:rFonts w:hint="eastAsia"/>
                <w:color w:val="000000" w:themeColor="text1"/>
                <w:highlight w:val="none"/>
                <w:lang w:val="en-US" w:eastAsia="zh-CN"/>
                <w14:textFill>
                  <w14:solidFill>
                    <w14:schemeClr w14:val="tx1"/>
                  </w14:solidFill>
                </w14:textFill>
              </w:rPr>
              <w:t>影响</w:t>
            </w:r>
            <w:bookmarkEnd w:id="46"/>
          </w:p>
          <w:p>
            <w:pPr>
              <w:pStyle w:val="4"/>
              <w:numPr>
                <w:ilvl w:val="2"/>
                <w:numId w:val="14"/>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废气源强分析</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本项目营运期产生的废气包括电泳废气、固化废气、焊接废气、天然气燃烧废气、废水处理废气。</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（1）污染物源强分析</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①电泳废气、固化废气</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本项目电泳工序使用电泳涂料（包括电泳乳液、黑浆、助剂、中和剂）对工件进行电泳上漆以及后续固化，会产生有机废气（电泳废气、固化废气），根据电泳涂料成分分析，污染因子包括非甲烷总烃（NMHC）。</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根据《污染源源强核算技术指南汽车制造（HJ1097-2020）》附录E，电泳过程中电泳涂料中挥发性有机物的挥发比例为：电泳35%、烘干65%。项目电泳线运行时间约为</w:t>
            </w:r>
            <w:r>
              <w:rPr>
                <w:rFonts w:hint="eastAsia" w:ascii="Times New Roman" w:hAnsi="Times New Roman"/>
                <w:color w:val="000000" w:themeColor="text1"/>
                <w:highlight w:val="none"/>
                <w:shd w:val="clear"/>
                <w:lang w:val="en-US" w:eastAsia="zh-CN"/>
                <w14:textFill>
                  <w14:solidFill>
                    <w14:schemeClr w14:val="tx1"/>
                  </w14:solidFill>
                </w14:textFill>
              </w:rPr>
              <w:t>2400h/a，</w:t>
            </w:r>
            <w:r>
              <w:rPr>
                <w:rFonts w:hint="eastAsia" w:ascii="Times New Roman" w:hAnsi="Times New Roman"/>
                <w:color w:val="000000" w:themeColor="text1"/>
                <w:highlight w:val="none"/>
                <w:lang w:val="en-US" w:eastAsia="zh-CN"/>
                <w14:textFill>
                  <w14:solidFill>
                    <w14:schemeClr w14:val="tx1"/>
                  </w14:solidFill>
                </w14:textFill>
              </w:rPr>
              <w:t>根据物料平衡核算，则电泳废气、固化废气产生情况见下表。</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电泳废气、固化废气产生情况一览表</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Layout w:type="autofit"/>
              <w:tblCellMar>
                <w:top w:w="0" w:type="dxa"/>
                <w:left w:w="0" w:type="dxa"/>
                <w:bottom w:w="0" w:type="dxa"/>
                <w:right w:w="0" w:type="dxa"/>
              </w:tblCellMar>
            </w:tblPr>
            <w:tblGrid>
              <w:gridCol w:w="1509"/>
              <w:gridCol w:w="2111"/>
              <w:gridCol w:w="2339"/>
              <w:gridCol w:w="2763"/>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865"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工序</w:t>
                  </w:r>
                </w:p>
              </w:tc>
              <w:tc>
                <w:tcPr>
                  <w:tcW w:w="121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污染物</w:t>
                  </w:r>
                </w:p>
              </w:tc>
              <w:tc>
                <w:tcPr>
                  <w:tcW w:w="1340"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产生量（t/a）</w:t>
                  </w:r>
                </w:p>
              </w:tc>
              <w:tc>
                <w:tcPr>
                  <w:tcW w:w="1583" w:type="pct"/>
                  <w:tcBorders>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产生速率（kg/h）</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2" w:hRule="atLeast"/>
              </w:trPr>
              <w:tc>
                <w:tcPr>
                  <w:tcW w:w="865" w:type="pc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电泳</w:t>
                  </w:r>
                </w:p>
              </w:tc>
              <w:tc>
                <w:tcPr>
                  <w:tcW w:w="1210" w:type="pc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NMHC</w:t>
                  </w:r>
                </w:p>
              </w:tc>
              <w:tc>
                <w:tcPr>
                  <w:tcW w:w="1340" w:type="pc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0.32949</w:t>
                  </w:r>
                </w:p>
              </w:tc>
              <w:tc>
                <w:tcPr>
                  <w:tcW w:w="1583" w:type="pct"/>
                  <w:tcBorders>
                    <w:bottom w:val="single" w:color="000000" w:sz="4" w:space="0"/>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0.1372</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865"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烘干固化</w:t>
                  </w:r>
                </w:p>
              </w:tc>
              <w:tc>
                <w:tcPr>
                  <w:tcW w:w="1210"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spacing w:val="-7"/>
                      <w:sz w:val="21"/>
                      <w:lang w:val="en-US" w:eastAsia="zh-CN"/>
                    </w:rPr>
                  </w:pPr>
                  <w:r>
                    <w:rPr>
                      <w:rFonts w:hint="eastAsia" w:ascii="Times New Roman" w:hAnsi="Times New Roman" w:eastAsia="宋体" w:cs="宋体"/>
                      <w:spacing w:val="-7"/>
                      <w:sz w:val="21"/>
                      <w:lang w:val="en-US" w:eastAsia="zh-CN"/>
                    </w:rPr>
                    <w:t>NMHC</w:t>
                  </w:r>
                </w:p>
              </w:tc>
              <w:tc>
                <w:tcPr>
                  <w:tcW w:w="1340"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0.61191</w:t>
                  </w:r>
                </w:p>
              </w:tc>
              <w:tc>
                <w:tcPr>
                  <w:tcW w:w="1583" w:type="pct"/>
                  <w:tcBorders>
                    <w:top w:val="single" w:color="000000" w:sz="4" w:space="0"/>
                    <w:tl2br w:val="nil"/>
                    <w:tr2bl w:val="nil"/>
                  </w:tcBorders>
                  <w:vAlign w:val="center"/>
                </w:tcPr>
                <w:p>
                  <w:pPr>
                    <w:pStyle w:val="95"/>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0.255</w:t>
                  </w:r>
                </w:p>
              </w:tc>
            </w:tr>
          </w:tbl>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②天然气燃烧废气</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烘道利用天然气为能源进行直接加热，在烘道进出口设置集气罩收集尾气（收集效率90%）。根据《第二次全国污染源普查工业污染源产排污系数手册》（试用版）机械行业系数手册，天然气工业炉窑颗粒物产污系数为0.000286k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-原料；二氧化硫产污系数为0.000002Skg/m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-原料；氮氧化物产污系数为0.00187kg/m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-原料。该项目使用天然气量约为1万m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a，收到基硫份S取最大值100。则天然气燃烧废气颗粒物产生量为2.86kg/a，二氧化硫产生量为2kg/a，氮氧化物产生量为18.7kg/a。天然气燃烧废气与烘干固化废气一起经二级活性炭吸附装置进行处理后由一根23m高排气筒高空排放。天然气燃烧废气颗粒物有组织排放量为0.0026t/a，无组织排放量为0.0003t/a；二氧化硫有组织排放量为0.0018t/a，无组织排放量为0.0002t/a；氮氧化物有组织排放量为0.0168t/a，无组织排放量为0.0018t/a。</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③焊接废气</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项目营运期对工件拼装时焊接工序会产生焊接烟尘。根据建设单位提供资料，本项目使用的焊接设备主要为二氧化碳保护焊，焊丝用量为20t/a。</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根据《第二次全国污染源普查工业污染源产排污系数手册》（试用版）机械行业系数手册，药芯焊丝的CO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气体保护焊颗粒物产污系数为20.5kg/t-原料。则焊接工序产生的焊接烟尘量约为0.41t/a，设风机收集焊接烟尘（收集效率90%）并经脉冲滤筒除尘器（根据《三废处理工程技术手册》（化工出版社）第二篇第五章第四节中对脉冲滤筒除尘器的除尘效率一般在95%～99%，本项目处理效率</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取</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95%）处理后由一根20m高排气筒高空排放。焊接工序烟尘有组织排放量为0.018t/a，无组织排放量为0.041t/a。</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④废水处理废气</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本项目设有1座废水处理设施，处理工艺为“物化处理+气浮+A/O+沉淀”，废水处理过程中有废气产生。</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参考《城镇污水处理厂臭气处理技术规程》（CJJ/T243-2016），臭气浓度取NH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：2.5mg/m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S：5.0mg/m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，臭气浓度：1000。本工程建设完成后，计算得到NH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S的最终产生总量分别为0.06t/a、0.12t/a。恶臭气体无组织排放，满足《恶臭污染物排放标准》（GB14554-93）中的限值要求。</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（2）防治措施</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根据项目设计方案，针对本项目产生的废气，采取以下防治措施：</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①电泳废气、固化废气、天然气燃烧废气</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本项目电泳废气、固化废气分别收集后，经二级活性炭装置净化处理后，通过DA001排气筒排放（高度23m），风机风量为10000m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/h。天然气燃烧废气与烘干固化废气一起经二级活性炭吸附装置进行处理后达标排放。</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②焊接废气</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本项目焊接工位产生的焊接烟尘经集气罩收集后，经脉冲滤筒除尘器（处理效率为95%）处理后由一根20m高排气筒（DA002）高空排放，风机风量为50000m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w:t>
            </w:r>
          </w:p>
          <w:p>
            <w:pPr>
              <w:pStyle w:val="5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（3）项目污染物产生及排放情况</w:t>
            </w:r>
          </w:p>
          <w:p>
            <w:pPr>
              <w:pStyle w:val="51"/>
              <w:spacing w:line="360" w:lineRule="auto"/>
              <w:ind w:firstLine="480" w:firstLineChars="200"/>
              <w:jc w:val="both"/>
              <w:rPr>
                <w:rFonts w:hint="default"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由表4.2-2可知，DA001排气筒VOCs（以非甲烷总烃计）有组织排放量为0.2118t/a，排放速率为0.0883kg/h，排放浓度为8.82mg/m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，VOCs（以非甲烷总烃计）无组织排放量为0.0941t/a；颗粒物有组织排放量为0.0026t/a，排放速率为0.001kg/h，排放浓度为0.108mg/m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，颗粒物无组织排放量为0.0003t/a；SO2有组织排放量为0.0018t/a，排放速率为0.00074kg/h，排放浓度为0.075mg/m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，无组织排放量为0.0002t/a；NOx有组织排放量为0.0168t/a，排放速率为0.007kg/h，排放浓度为0.7mg/m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，无组织排放量为0.0018t/a；DA002排气筒颗粒物有组织排放量为0.0184t/a，排放速率为0.0076kg/h，排放浓度为0.152mg/m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，无组织排放量为0.041t/a。</w:t>
            </w:r>
          </w:p>
          <w:p>
            <w:pPr>
              <w:pStyle w:val="51"/>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DA001排气筒排放的非甲烷总烃能够满足《大气污染物综合排放标准》（GB 16297-1996）表2标准最高允许排放浓度和最高允许排放速率限值（非甲烷总烃最高允许排放浓度为120mg/m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，最高允许排放速率为27.8kg/h）；同时，无组织排放的有机废气需满足《挥发性有机物无组织排放控制标准》（GB37822-2019）表A.1特别排放限值；颗粒物、SO</w:t>
            </w:r>
            <w:r>
              <w:rPr>
                <w:rFonts w:hint="eastAsia" w:ascii="Times New Roman" w:hAnsi="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olor w:val="000000" w:themeColor="text1"/>
                <w:highlight w:val="none"/>
                <w:lang w:val="en-US" w:eastAsia="zh-CN"/>
                <w14:textFill>
                  <w14:solidFill>
                    <w14:schemeClr w14:val="tx1"/>
                  </w14:solidFill>
                </w14:textFill>
              </w:rPr>
              <w:t>、NOx能够满足《工业炉窑大气污染物排放标准》（GB9078-1996）表2中二级标准及《工业炉窑大气污染综合治理方案》中重点区域排放要求（颗粒物最高允许排放浓度为30mg/m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，SO2最高允许排放浓度为200mg/m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，NOx最高允许排放浓度为300mg/m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）；DA002排气筒排放的颗粒物能够满足《大气污染物综合排放标准》（GB 16297-1996）表2标准中最高允许排放浓度和最高允许排放速率限值（颗粒物最高允许排放浓度为120mg/m</w:t>
            </w:r>
            <w:r>
              <w:rPr>
                <w:rFonts w:hint="eastAsia" w:ascii="Times New Roman" w:hAnsi="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，最高允许排放速率为5.9kg/h）</w:t>
            </w:r>
          </w:p>
          <w:p>
            <w:pPr>
              <w:pStyle w:val="51"/>
              <w:spacing w:line="360" w:lineRule="auto"/>
              <w:ind w:firstLine="480" w:firstLineChars="20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项目废气污染源源强核算结果及相关参数一览表4.2-2。</w:t>
            </w:r>
          </w:p>
        </w:tc>
      </w:tr>
    </w:tbl>
    <w:p>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项目废气污染源源强核算结果及相关参数一览表</w:t>
      </w:r>
    </w:p>
    <w:tbl>
      <w:tblPr>
        <w:tblStyle w:val="84"/>
        <w:tblW w:w="140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477"/>
        <w:gridCol w:w="716"/>
        <w:gridCol w:w="344"/>
        <w:gridCol w:w="718"/>
        <w:gridCol w:w="915"/>
        <w:gridCol w:w="708"/>
        <w:gridCol w:w="657"/>
        <w:gridCol w:w="315"/>
        <w:gridCol w:w="647"/>
        <w:gridCol w:w="335"/>
        <w:gridCol w:w="500"/>
        <w:gridCol w:w="500"/>
        <w:gridCol w:w="612"/>
        <w:gridCol w:w="703"/>
        <w:gridCol w:w="708"/>
        <w:gridCol w:w="657"/>
        <w:gridCol w:w="1167"/>
        <w:gridCol w:w="1011"/>
        <w:gridCol w:w="1266"/>
        <w:gridCol w:w="5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产排污环节</w:t>
            </w:r>
          </w:p>
        </w:tc>
        <w:tc>
          <w:tcPr>
            <w:tcW w:w="477"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污染源</w:t>
            </w:r>
          </w:p>
        </w:tc>
        <w:tc>
          <w:tcPr>
            <w:tcW w:w="716"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污染物种类</w:t>
            </w:r>
          </w:p>
        </w:tc>
        <w:tc>
          <w:tcPr>
            <w:tcW w:w="3342" w:type="dxa"/>
            <w:gridSpan w:val="5"/>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污染源产生</w:t>
            </w:r>
          </w:p>
        </w:tc>
        <w:tc>
          <w:tcPr>
            <w:tcW w:w="315"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排放方式</w:t>
            </w:r>
          </w:p>
        </w:tc>
        <w:tc>
          <w:tcPr>
            <w:tcW w:w="1982" w:type="dxa"/>
            <w:gridSpan w:val="4"/>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治理措施</w:t>
            </w:r>
          </w:p>
        </w:tc>
        <w:tc>
          <w:tcPr>
            <w:tcW w:w="2680" w:type="dxa"/>
            <w:gridSpan w:val="4"/>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污染物排放</w:t>
            </w:r>
          </w:p>
        </w:tc>
        <w:tc>
          <w:tcPr>
            <w:tcW w:w="3444" w:type="dxa"/>
            <w:gridSpan w:val="3"/>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排放口基本信息</w:t>
            </w:r>
          </w:p>
        </w:tc>
        <w:tc>
          <w:tcPr>
            <w:tcW w:w="545"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排放时间h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28"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44"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核算方法</w:t>
            </w:r>
          </w:p>
        </w:tc>
        <w:tc>
          <w:tcPr>
            <w:tcW w:w="7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废气量/(m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/h)</w:t>
            </w:r>
          </w:p>
        </w:tc>
        <w:tc>
          <w:tcPr>
            <w:tcW w:w="91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产生浓度/(mg/m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产生速率/kg/h</w:t>
            </w:r>
          </w:p>
        </w:tc>
        <w:tc>
          <w:tcPr>
            <w:tcW w:w="65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产生量/t/a</w:t>
            </w:r>
          </w:p>
        </w:tc>
        <w:tc>
          <w:tcPr>
            <w:tcW w:w="31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4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处理能力及工艺</w:t>
            </w:r>
          </w:p>
        </w:tc>
        <w:tc>
          <w:tcPr>
            <w:tcW w:w="3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收集效率</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工艺去除率</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是否为可行技术</w:t>
            </w:r>
          </w:p>
        </w:tc>
        <w:tc>
          <w:tcPr>
            <w:tcW w:w="61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废气量/(m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/h)</w:t>
            </w:r>
          </w:p>
        </w:tc>
        <w:tc>
          <w:tcPr>
            <w:tcW w:w="703"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排放浓度/mg/m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70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排放速率/kg/h</w:t>
            </w:r>
          </w:p>
        </w:tc>
        <w:tc>
          <w:tcPr>
            <w:tcW w:w="65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排放量/t/a</w:t>
            </w:r>
          </w:p>
        </w:tc>
        <w:tc>
          <w:tcPr>
            <w:tcW w:w="116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排气筒内径、高度、温度</w:t>
            </w:r>
          </w:p>
        </w:tc>
        <w:tc>
          <w:tcPr>
            <w:tcW w:w="1011"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编号及名称、类型</w:t>
            </w:r>
          </w:p>
        </w:tc>
        <w:tc>
          <w:tcPr>
            <w:tcW w:w="1266"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54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528"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电泳、</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固化废气</w:t>
            </w:r>
          </w:p>
        </w:tc>
        <w:tc>
          <w:tcPr>
            <w:tcW w:w="477"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电泳、</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固化</w:t>
            </w:r>
          </w:p>
        </w:tc>
        <w:tc>
          <w:tcPr>
            <w:tcW w:w="71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NMHC</w:t>
            </w:r>
          </w:p>
        </w:tc>
        <w:tc>
          <w:tcPr>
            <w:tcW w:w="344"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物料衡算法</w:t>
            </w: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hint="eastAsia" w:eastAsia="宋体" w:cs="Times New Roman"/>
                <w:spacing w:val="-1"/>
                <w:position w:val="2"/>
                <w:sz w:val="20"/>
                <w:szCs w:val="20"/>
                <w:highlight w:val="none"/>
                <w:lang w:val="en-US" w:eastAsia="zh-CN"/>
              </w:rPr>
              <w:t>35.3</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w:t>
            </w:r>
            <w:r>
              <w:rPr>
                <w:rFonts w:hint="eastAsia" w:eastAsia="宋体" w:cs="Times New Roman"/>
                <w:spacing w:val="3"/>
                <w:position w:val="2"/>
                <w:sz w:val="20"/>
                <w:szCs w:val="20"/>
                <w:highlight w:val="none"/>
                <w:lang w:val="en-US" w:eastAsia="zh-CN"/>
              </w:rPr>
              <w:t>353</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0.8473</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二级活性炭吸附</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75</w:t>
            </w:r>
            <w:r>
              <w:rPr>
                <w:rFonts w:hint="eastAsia" w:ascii="Times New Roman" w:hAnsi="Times New Roman" w:eastAsia="宋体" w:cs="Times New Roman"/>
                <w:color w:val="auto"/>
                <w:sz w:val="21"/>
                <w:szCs w:val="21"/>
                <w:highlight w:val="none"/>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cs="Times New Roman"/>
                <w:spacing w:val="-2"/>
                <w:position w:val="2"/>
                <w:sz w:val="20"/>
                <w:szCs w:val="20"/>
                <w:highlight w:val="none"/>
                <w:lang w:val="en-US" w:eastAsia="zh-CN"/>
              </w:rPr>
              <w:t>8.82</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spacing w:val="3"/>
                <w:position w:val="2"/>
                <w:sz w:val="20"/>
                <w:szCs w:val="20"/>
                <w:highlight w:val="none"/>
                <w:lang w:val="en-US" w:eastAsia="zh-CN"/>
              </w:rPr>
              <w:t>0.0883</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spacing w:val="3"/>
                <w:position w:val="2"/>
                <w:sz w:val="20"/>
                <w:szCs w:val="20"/>
                <w:highlight w:val="none"/>
                <w:lang w:val="en-US" w:eastAsia="zh-CN"/>
              </w:rPr>
              <w:t>0.2118</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H=2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m、内径0.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14:textFill>
                  <w14:solidFill>
                    <w14:schemeClr w14:val="tx1"/>
                  </w14:solidFill>
                </w14:textFill>
              </w:rPr>
              <w:t>m、温度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DA001、一般排放口</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经度：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119.297454°</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纬度：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25.8035925°</w:t>
            </w:r>
          </w:p>
        </w:tc>
        <w:tc>
          <w:tcPr>
            <w:tcW w:w="545"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NMHC</w:t>
            </w: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w:t>
            </w:r>
            <w:r>
              <w:rPr>
                <w:rFonts w:hint="eastAsia" w:eastAsia="宋体" w:cs="Times New Roman"/>
                <w:spacing w:val="3"/>
                <w:position w:val="2"/>
                <w:sz w:val="20"/>
                <w:szCs w:val="20"/>
                <w:highlight w:val="none"/>
                <w:lang w:val="en-US" w:eastAsia="zh-CN"/>
              </w:rPr>
              <w:t>0392</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0.0941</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Times New Roman" w:cs="Times New Roman"/>
                <w:spacing w:val="3"/>
                <w:position w:val="2"/>
                <w:sz w:val="20"/>
                <w:szCs w:val="20"/>
                <w:highlight w:val="none"/>
              </w:rPr>
              <w:t>0.0</w:t>
            </w:r>
            <w:r>
              <w:rPr>
                <w:rFonts w:hint="eastAsia" w:eastAsia="宋体" w:cs="Times New Roman"/>
                <w:spacing w:val="3"/>
                <w:position w:val="2"/>
                <w:sz w:val="20"/>
                <w:szCs w:val="20"/>
                <w:highlight w:val="none"/>
                <w:lang w:val="en-US" w:eastAsia="zh-CN"/>
              </w:rPr>
              <w:t>392</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Times New Roman" w:cs="Times New Roman"/>
                <w:spacing w:val="3"/>
                <w:position w:val="2"/>
                <w:sz w:val="20"/>
                <w:szCs w:val="20"/>
                <w:highlight w:val="none"/>
              </w:rPr>
              <w:t>0.0941</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天然气</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燃烧废</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气</w:t>
            </w:r>
          </w:p>
        </w:tc>
        <w:tc>
          <w:tcPr>
            <w:tcW w:w="477"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天然气</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燃烧</w:t>
            </w:r>
          </w:p>
        </w:tc>
        <w:tc>
          <w:tcPr>
            <w:tcW w:w="716"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烟尘</w:t>
            </w:r>
          </w:p>
        </w:tc>
        <w:tc>
          <w:tcPr>
            <w:tcW w:w="344"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产污系数法</w:t>
            </w: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2"/>
                <w:position w:val="2"/>
                <w:sz w:val="20"/>
                <w:szCs w:val="20"/>
                <w:highlight w:val="none"/>
              </w:rPr>
              <w:t>0.</w:t>
            </w:r>
            <w:r>
              <w:rPr>
                <w:rFonts w:hint="eastAsia" w:eastAsia="宋体" w:cs="Times New Roman"/>
                <w:spacing w:val="2"/>
                <w:position w:val="2"/>
                <w:sz w:val="20"/>
                <w:szCs w:val="20"/>
                <w:highlight w:val="none"/>
                <w:lang w:val="en-US" w:eastAsia="zh-CN"/>
              </w:rPr>
              <w:t>108</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w:t>
            </w:r>
            <w:r>
              <w:rPr>
                <w:rFonts w:hint="eastAsia" w:eastAsia="宋体" w:cs="Times New Roman"/>
                <w:spacing w:val="3"/>
                <w:position w:val="2"/>
                <w:sz w:val="20"/>
                <w:szCs w:val="20"/>
                <w:highlight w:val="none"/>
                <w:lang w:val="en-US" w:eastAsia="zh-CN"/>
              </w:rPr>
              <w:t>1</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0.0026</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二级活性炭吸附</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rPr>
              <w:t>0%</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2"/>
                <w:position w:val="2"/>
                <w:sz w:val="20"/>
                <w:szCs w:val="20"/>
              </w:rPr>
              <w:t>0.</w:t>
            </w:r>
            <w:r>
              <w:rPr>
                <w:rFonts w:hint="eastAsia" w:eastAsia="宋体" w:cs="Times New Roman"/>
                <w:spacing w:val="2"/>
                <w:position w:val="2"/>
                <w:sz w:val="20"/>
                <w:szCs w:val="20"/>
                <w:lang w:val="en-US" w:eastAsia="zh-CN"/>
              </w:rPr>
              <w:t>108</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w:t>
            </w:r>
            <w:r>
              <w:rPr>
                <w:rFonts w:hint="eastAsia" w:eastAsia="宋体" w:cs="Times New Roman"/>
                <w:spacing w:val="3"/>
                <w:position w:val="2"/>
                <w:sz w:val="20"/>
                <w:szCs w:val="20"/>
                <w:lang w:val="en-US" w:eastAsia="zh-CN"/>
              </w:rPr>
              <w:t>1</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0.0026</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H=2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m、内径0.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14:textFill>
                  <w14:solidFill>
                    <w14:schemeClr w14:val="tx1"/>
                  </w14:solidFill>
                </w14:textFill>
              </w:rPr>
              <w:t>m、温度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DA001、一般排放口</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经度：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119.297454°</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纬度：</w:t>
            </w:r>
          </w:p>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25.8035925°</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w:t>
            </w:r>
            <w:r>
              <w:rPr>
                <w:rFonts w:hint="eastAsia" w:eastAsia="宋体" w:cs="Times New Roman"/>
                <w:spacing w:val="3"/>
                <w:position w:val="2"/>
                <w:sz w:val="20"/>
                <w:szCs w:val="20"/>
                <w:highlight w:val="none"/>
                <w:lang w:val="en-US" w:eastAsia="zh-CN"/>
              </w:rPr>
              <w:t>12</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0.0003</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rPr>
              <w:t>无组织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rPr>
              <w:t>/</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1"/>
                <w:sz w:val="20"/>
                <w:szCs w:val="20"/>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0.000</w:t>
            </w:r>
            <w:r>
              <w:rPr>
                <w:rFonts w:hint="eastAsia" w:eastAsia="宋体" w:cs="Times New Roman"/>
                <w:spacing w:val="3"/>
                <w:position w:val="2"/>
                <w:sz w:val="20"/>
                <w:szCs w:val="20"/>
                <w:lang w:val="en-US" w:eastAsia="zh-CN"/>
              </w:rPr>
              <w:t>12</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0.0003</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position w:val="1"/>
                <w:sz w:val="21"/>
                <w:szCs w:val="20"/>
                <w:highlight w:val="none"/>
              </w:rPr>
              <w:t>SO</w:t>
            </w:r>
            <w:r>
              <w:rPr>
                <w:rFonts w:ascii="Times New Roman" w:hAnsi="Times New Roman" w:eastAsia="宋体" w:cs="Times New Roman"/>
                <w:spacing w:val="3"/>
                <w:position w:val="1"/>
                <w:sz w:val="21"/>
                <w:szCs w:val="13"/>
                <w:highlight w:val="none"/>
                <w:vertAlign w:val="subscript"/>
              </w:rPr>
              <w:t>2</w:t>
            </w: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w:t>
            </w:r>
            <w:r>
              <w:rPr>
                <w:rFonts w:hint="eastAsia" w:eastAsia="宋体" w:cs="Times New Roman"/>
                <w:spacing w:val="3"/>
                <w:position w:val="2"/>
                <w:sz w:val="20"/>
                <w:szCs w:val="20"/>
                <w:highlight w:val="none"/>
                <w:lang w:val="en-US" w:eastAsia="zh-CN"/>
              </w:rPr>
              <w:t>75</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w:t>
            </w:r>
            <w:r>
              <w:rPr>
                <w:rFonts w:hint="eastAsia" w:eastAsia="宋体" w:cs="Times New Roman"/>
                <w:spacing w:val="3"/>
                <w:position w:val="2"/>
                <w:sz w:val="20"/>
                <w:szCs w:val="20"/>
                <w:highlight w:val="none"/>
                <w:lang w:val="en-US" w:eastAsia="zh-CN"/>
              </w:rPr>
              <w:t>74</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0.0018</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二级活性炭吸附</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rPr>
              <w:t>0%</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0.075</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0.000</w:t>
            </w:r>
            <w:r>
              <w:rPr>
                <w:rFonts w:hint="eastAsia" w:eastAsia="宋体" w:cs="Times New Roman"/>
                <w:spacing w:val="3"/>
                <w:position w:val="2"/>
                <w:sz w:val="20"/>
                <w:szCs w:val="20"/>
                <w:lang w:val="en-US" w:eastAsia="zh-CN"/>
              </w:rPr>
              <w:t>74</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0.0018</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H=2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m、内径0.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14:textFill>
                  <w14:solidFill>
                    <w14:schemeClr w14:val="tx1"/>
                  </w14:solidFill>
                </w14:textFill>
              </w:rPr>
              <w:t>m、温度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DA001、一般排放口</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经度：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119.297454°</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纬度：</w:t>
            </w:r>
          </w:p>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25.8035925°</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0.0000</w:t>
            </w:r>
            <w:r>
              <w:rPr>
                <w:rFonts w:hint="eastAsia" w:eastAsia="宋体" w:cs="Times New Roman"/>
                <w:spacing w:val="3"/>
                <w:position w:val="2"/>
                <w:sz w:val="20"/>
                <w:szCs w:val="20"/>
                <w:highlight w:val="none"/>
                <w:lang w:val="en-US" w:eastAsia="zh-CN"/>
              </w:rPr>
              <w:t>8</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0.0002</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1"/>
                <w:sz w:val="20"/>
                <w:szCs w:val="20"/>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0.0000</w:t>
            </w:r>
            <w:r>
              <w:rPr>
                <w:rFonts w:hint="eastAsia" w:eastAsia="宋体" w:cs="Times New Roman"/>
                <w:spacing w:val="3"/>
                <w:position w:val="2"/>
                <w:sz w:val="20"/>
                <w:szCs w:val="20"/>
                <w:lang w:val="en-US" w:eastAsia="zh-CN"/>
              </w:rPr>
              <w:t>8</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0.0002</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spacing w:val="6"/>
                <w:sz w:val="21"/>
                <w:szCs w:val="20"/>
                <w:highlight w:val="none"/>
              </w:rPr>
              <w:t>NOx</w:t>
            </w: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2"/>
                <w:position w:val="2"/>
                <w:sz w:val="20"/>
                <w:szCs w:val="20"/>
                <w:highlight w:val="none"/>
              </w:rPr>
              <w:t>0.</w:t>
            </w:r>
            <w:r>
              <w:rPr>
                <w:rFonts w:hint="eastAsia" w:eastAsia="宋体" w:cs="Times New Roman"/>
                <w:spacing w:val="2"/>
                <w:position w:val="2"/>
                <w:sz w:val="20"/>
                <w:szCs w:val="20"/>
                <w:highlight w:val="none"/>
                <w:lang w:val="en-US" w:eastAsia="zh-CN"/>
              </w:rPr>
              <w:t>7</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w:t>
            </w:r>
            <w:r>
              <w:rPr>
                <w:rFonts w:hint="eastAsia" w:eastAsia="宋体" w:cs="Times New Roman"/>
                <w:spacing w:val="3"/>
                <w:position w:val="2"/>
                <w:sz w:val="20"/>
                <w:szCs w:val="20"/>
                <w:highlight w:val="none"/>
                <w:lang w:val="en-US" w:eastAsia="zh-CN"/>
              </w:rPr>
              <w:t>7</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0.0168</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二级活性炭吸附</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rPr>
              <w:t>0%</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10000</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2"/>
                <w:position w:val="2"/>
                <w:sz w:val="20"/>
                <w:szCs w:val="20"/>
              </w:rPr>
              <w:t>0.</w:t>
            </w:r>
            <w:r>
              <w:rPr>
                <w:rFonts w:hint="eastAsia" w:eastAsia="宋体" w:cs="Times New Roman"/>
                <w:spacing w:val="2"/>
                <w:position w:val="2"/>
                <w:sz w:val="20"/>
                <w:szCs w:val="20"/>
                <w:lang w:val="en-US" w:eastAsia="zh-CN"/>
              </w:rPr>
              <w:t>7</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w:t>
            </w:r>
            <w:r>
              <w:rPr>
                <w:rFonts w:hint="eastAsia" w:eastAsia="宋体" w:cs="Times New Roman"/>
                <w:spacing w:val="3"/>
                <w:position w:val="2"/>
                <w:sz w:val="20"/>
                <w:szCs w:val="20"/>
                <w:lang w:val="en-US" w:eastAsia="zh-CN"/>
              </w:rPr>
              <w:t>07</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0.0168</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H=2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m、内径0.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highlight w:val="none"/>
                <w14:textFill>
                  <w14:solidFill>
                    <w14:schemeClr w14:val="tx1"/>
                  </w14:solidFill>
                </w14:textFill>
              </w:rPr>
              <w:t>m、温度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DA001、一般排放口</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经度：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119.297454°</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纬度：</w:t>
            </w:r>
          </w:p>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25.8035925°</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0.000</w:t>
            </w:r>
            <w:r>
              <w:rPr>
                <w:rFonts w:hint="eastAsia" w:eastAsia="宋体" w:cs="Times New Roman"/>
                <w:spacing w:val="3"/>
                <w:position w:val="2"/>
                <w:sz w:val="20"/>
                <w:szCs w:val="20"/>
                <w:highlight w:val="none"/>
                <w:lang w:val="en-US" w:eastAsia="zh-CN"/>
              </w:rPr>
              <w:t>6</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0.0018</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1"/>
                <w:sz w:val="20"/>
                <w:szCs w:val="20"/>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0.000</w:t>
            </w:r>
            <w:r>
              <w:rPr>
                <w:rFonts w:hint="eastAsia" w:eastAsia="宋体" w:cs="Times New Roman"/>
                <w:spacing w:val="3"/>
                <w:position w:val="2"/>
                <w:sz w:val="20"/>
                <w:szCs w:val="20"/>
                <w:lang w:val="en-US" w:eastAsia="zh-CN"/>
              </w:rPr>
              <w:t>6</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0.0018</w:t>
            </w:r>
          </w:p>
        </w:tc>
        <w:tc>
          <w:tcPr>
            <w:tcW w:w="116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528"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焊接废气</w:t>
            </w:r>
          </w:p>
        </w:tc>
        <w:tc>
          <w:tcPr>
            <w:tcW w:w="477"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焊接</w:t>
            </w:r>
          </w:p>
        </w:tc>
        <w:tc>
          <w:tcPr>
            <w:tcW w:w="716"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344"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产污系数法</w:t>
            </w:r>
          </w:p>
        </w:tc>
        <w:tc>
          <w:tcPr>
            <w:tcW w:w="718"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pacing w:val="-2"/>
                <w:sz w:val="21"/>
                <w:szCs w:val="24"/>
                <w:highlight w:val="none"/>
              </w:rPr>
              <w:t>50000</w:t>
            </w: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hint="eastAsia" w:eastAsia="宋体" w:cs="Times New Roman"/>
                <w:spacing w:val="-1"/>
                <w:position w:val="2"/>
                <w:sz w:val="20"/>
                <w:szCs w:val="20"/>
                <w:highlight w:val="none"/>
                <w:lang w:val="en-US" w:eastAsia="zh-CN"/>
              </w:rPr>
              <w:t>3.072</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w:t>
            </w:r>
            <w:r>
              <w:rPr>
                <w:rFonts w:hint="eastAsia" w:eastAsia="宋体" w:cs="Times New Roman"/>
                <w:spacing w:val="3"/>
                <w:position w:val="2"/>
                <w:sz w:val="20"/>
                <w:szCs w:val="20"/>
                <w:highlight w:val="none"/>
                <w:lang w:val="en-US" w:eastAsia="zh-CN"/>
              </w:rPr>
              <w:t>1536</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0.369</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有组织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Times New Roman" w:hAnsi="Times New Roman" w:eastAsia="宋体"/>
                <w:spacing w:val="9"/>
                <w:sz w:val="21"/>
                <w:szCs w:val="24"/>
                <w:highlight w:val="none"/>
              </w:rPr>
              <w:t>脉冲滤筒</w:t>
            </w:r>
            <w:r>
              <w:rPr>
                <w:rFonts w:ascii="Times New Roman" w:hAnsi="Times New Roman" w:eastAsia="宋体"/>
                <w:spacing w:val="2"/>
                <w:sz w:val="21"/>
                <w:szCs w:val="24"/>
                <w:highlight w:val="none"/>
              </w:rPr>
              <w:t>除尘器</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90%</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95</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snapToGrid w:val="0"/>
                <w:color w:val="000000" w:themeColor="text1"/>
                <w:spacing w:val="4"/>
                <w:sz w:val="21"/>
                <w:szCs w:val="21"/>
                <w:highlight w:val="none"/>
                <w:lang w:val="en-US" w:eastAsia="zh-CN" w:bidi="ar-SA"/>
                <w14:textFill>
                  <w14:solidFill>
                    <w14:schemeClr w14:val="tx1"/>
                  </w14:solidFill>
                </w14:textFill>
              </w:rPr>
            </w:pPr>
            <w:r>
              <w:rPr>
                <w:rFonts w:ascii="Times New Roman" w:hAnsi="Times New Roman" w:eastAsia="宋体" w:cs="Times New Roman"/>
                <w:spacing w:val="-2"/>
                <w:sz w:val="21"/>
                <w:szCs w:val="24"/>
                <w:highlight w:val="none"/>
              </w:rPr>
              <w:t>50000</w:t>
            </w: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2"/>
                <w:position w:val="2"/>
                <w:sz w:val="20"/>
                <w:szCs w:val="20"/>
              </w:rPr>
              <w:t>0.</w:t>
            </w:r>
            <w:r>
              <w:rPr>
                <w:rFonts w:hint="eastAsia" w:eastAsia="宋体" w:cs="Times New Roman"/>
                <w:spacing w:val="2"/>
                <w:position w:val="2"/>
                <w:sz w:val="20"/>
                <w:szCs w:val="20"/>
                <w:lang w:val="en-US" w:eastAsia="zh-CN"/>
              </w:rPr>
              <w:t>152</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0.00</w:t>
            </w:r>
            <w:r>
              <w:rPr>
                <w:rFonts w:hint="eastAsia" w:eastAsia="宋体" w:cs="Times New Roman"/>
                <w:spacing w:val="3"/>
                <w:position w:val="2"/>
                <w:sz w:val="20"/>
                <w:szCs w:val="20"/>
                <w:lang w:val="en-US" w:eastAsia="zh-CN"/>
              </w:rPr>
              <w:t>76</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0.0184</w:t>
            </w:r>
          </w:p>
        </w:tc>
        <w:tc>
          <w:tcPr>
            <w:tcW w:w="1167"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H=25m、内径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1.05</w:t>
            </w:r>
            <w:r>
              <w:rPr>
                <w:rFonts w:hint="eastAsia" w:ascii="Times New Roman" w:hAnsi="Times New Roman" w:eastAsia="宋体" w:cs="Times New Roman"/>
                <w:color w:val="000000" w:themeColor="text1"/>
                <w:sz w:val="21"/>
                <w:szCs w:val="21"/>
                <w:highlight w:val="none"/>
                <w14:textFill>
                  <w14:solidFill>
                    <w14:schemeClr w14:val="tx1"/>
                  </w14:solidFill>
                </w14:textFill>
              </w:rPr>
              <w:t>m、温度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DA002一般排放口</w:t>
            </w:r>
          </w:p>
        </w:tc>
        <w:tc>
          <w:tcPr>
            <w:tcW w:w="1266" w:type="dxa"/>
            <w:vMerge w:val="restar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经度：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lang w:val="en-US" w:eastAsia="zh-CN"/>
                <w14:textFill>
                  <w14:solidFill>
                    <w14:schemeClr w14:val="tx1"/>
                  </w14:solidFill>
                </w14:textFill>
              </w:rPr>
              <w:t>119.298060</w:t>
            </w: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纬度：</w:t>
            </w:r>
          </w:p>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lang w:val="en-US" w:eastAsia="zh-CN"/>
                <w14:textFill>
                  <w14:solidFill>
                    <w14:schemeClr w14:val="tx1"/>
                  </w14:solidFill>
                </w14:textFill>
              </w:rPr>
              <w:t>25.8038171</w:t>
            </w:r>
            <w:r>
              <w:rPr>
                <w:rFonts w:hint="eastAsia" w:ascii="Times New Roman" w:hAnsi="Times New Roman" w:eastAsia="宋体" w:cs="Times New Roman"/>
                <w:color w:val="000000" w:themeColor="text1"/>
                <w:sz w:val="21"/>
                <w:szCs w:val="21"/>
                <w:highlight w:val="none"/>
                <w:shd w:val="clear"/>
                <w14:textFill>
                  <w14:solidFill>
                    <w14:schemeClr w14:val="tx1"/>
                  </w14:solidFill>
                </w14:textFill>
              </w:rPr>
              <w:t>°</w:t>
            </w: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52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44"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2"/>
                <w:position w:val="1"/>
                <w:sz w:val="20"/>
                <w:szCs w:val="20"/>
                <w:highlight w:val="none"/>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w:t>
            </w:r>
            <w:r>
              <w:rPr>
                <w:rFonts w:hint="eastAsia" w:eastAsia="宋体" w:cs="Times New Roman"/>
                <w:spacing w:val="3"/>
                <w:position w:val="2"/>
                <w:sz w:val="20"/>
                <w:szCs w:val="20"/>
                <w:highlight w:val="none"/>
                <w:lang w:val="en-US" w:eastAsia="zh-CN"/>
              </w:rPr>
              <w:t>17</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highlight w:val="none"/>
                <w:lang w:val="en-US" w:eastAsia="zh-CN" w:bidi="ar-SA"/>
              </w:rPr>
            </w:pPr>
            <w:r>
              <w:rPr>
                <w:rFonts w:ascii="Times New Roman" w:hAnsi="Times New Roman" w:eastAsia="Times New Roman" w:cs="Times New Roman"/>
                <w:spacing w:val="3"/>
                <w:position w:val="2"/>
                <w:sz w:val="20"/>
                <w:szCs w:val="20"/>
                <w:highlight w:val="none"/>
              </w:rPr>
              <w:t>0.041</w:t>
            </w:r>
          </w:p>
        </w:tc>
        <w:tc>
          <w:tcPr>
            <w:tcW w:w="31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rPr>
              <w:t>无组织</w:t>
            </w:r>
          </w:p>
        </w:tc>
        <w:tc>
          <w:tcPr>
            <w:tcW w:w="647"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35"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0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1"/>
                <w:sz w:val="20"/>
                <w:szCs w:val="20"/>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w:t>
            </w:r>
            <w:r>
              <w:rPr>
                <w:rFonts w:hint="eastAsia" w:eastAsia="宋体" w:cs="Times New Roman"/>
                <w:spacing w:val="3"/>
                <w:position w:val="2"/>
                <w:sz w:val="20"/>
                <w:szCs w:val="20"/>
                <w:lang w:val="en-US" w:eastAsia="zh-CN"/>
              </w:rPr>
              <w:t>17</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2"/>
                <w:sz w:val="20"/>
                <w:szCs w:val="20"/>
              </w:rPr>
              <w:t>0.041</w:t>
            </w:r>
          </w:p>
        </w:tc>
        <w:tc>
          <w:tcPr>
            <w:tcW w:w="1167"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1011"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1266"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545" w:type="dxa"/>
            <w:vMerge w:val="continue"/>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28" w:type="dxa"/>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pacing w:val="7"/>
                <w:sz w:val="21"/>
              </w:rPr>
              <w:t>废水处</w:t>
            </w:r>
            <w:r>
              <w:rPr>
                <w:rFonts w:ascii="Times New Roman" w:hAnsi="Times New Roman" w:eastAsia="宋体"/>
                <w:spacing w:val="6"/>
                <w:sz w:val="21"/>
              </w:rPr>
              <w:t>理废气</w:t>
            </w:r>
          </w:p>
        </w:tc>
        <w:tc>
          <w:tcPr>
            <w:tcW w:w="477" w:type="dxa"/>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pacing w:val="7"/>
                <w:sz w:val="21"/>
              </w:rPr>
              <w:t>废水处</w:t>
            </w:r>
            <w:r>
              <w:rPr>
                <w:rFonts w:ascii="Times New Roman" w:hAnsi="Times New Roman" w:eastAsia="宋体"/>
                <w:spacing w:val="6"/>
                <w:sz w:val="21"/>
              </w:rPr>
              <w:t>理</w:t>
            </w:r>
          </w:p>
        </w:tc>
        <w:tc>
          <w:tcPr>
            <w:tcW w:w="716"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z w:val="21"/>
              </w:rPr>
              <w:t>氨</w:t>
            </w:r>
          </w:p>
        </w:tc>
        <w:tc>
          <w:tcPr>
            <w:tcW w:w="344"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91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0.025</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2"/>
                <w:sz w:val="20"/>
                <w:szCs w:val="20"/>
              </w:rPr>
              <w:t>0.06</w:t>
            </w:r>
          </w:p>
        </w:tc>
        <w:tc>
          <w:tcPr>
            <w:tcW w:w="315"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无组织</w:t>
            </w:r>
          </w:p>
        </w:tc>
        <w:tc>
          <w:tcPr>
            <w:tcW w:w="647"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1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3"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0.025</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2"/>
                <w:sz w:val="20"/>
                <w:szCs w:val="20"/>
              </w:rPr>
              <w:t>0.06</w:t>
            </w:r>
          </w:p>
        </w:tc>
        <w:tc>
          <w:tcPr>
            <w:tcW w:w="116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28"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77"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6"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pacing w:val="7"/>
                <w:sz w:val="21"/>
              </w:rPr>
              <w:t>硫化氢</w:t>
            </w:r>
          </w:p>
        </w:tc>
        <w:tc>
          <w:tcPr>
            <w:tcW w:w="344"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7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91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kern w:val="2"/>
                <w:sz w:val="20"/>
                <w:szCs w:val="20"/>
                <w:lang w:val="en-US" w:eastAsia="zh-CN" w:bidi="ar-SA"/>
              </w:rPr>
            </w:pPr>
            <w:r>
              <w:rPr>
                <w:rFonts w:ascii="Times New Roman" w:hAnsi="Times New Roman" w:eastAsia="Times New Roman" w:cs="Times New Roman"/>
                <w:spacing w:val="3"/>
                <w:position w:val="2"/>
                <w:sz w:val="20"/>
                <w:szCs w:val="20"/>
              </w:rPr>
              <w:t>0.0</w:t>
            </w:r>
            <w:r>
              <w:rPr>
                <w:rFonts w:hint="eastAsia" w:eastAsia="宋体" w:cs="Times New Roman"/>
                <w:spacing w:val="3"/>
                <w:position w:val="2"/>
                <w:sz w:val="20"/>
                <w:szCs w:val="20"/>
                <w:lang w:val="en-US" w:eastAsia="zh-CN"/>
              </w:rPr>
              <w:t>5</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2"/>
                <w:sz w:val="20"/>
                <w:szCs w:val="20"/>
              </w:rPr>
              <w:t>0.12</w:t>
            </w:r>
          </w:p>
        </w:tc>
        <w:tc>
          <w:tcPr>
            <w:tcW w:w="31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47"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3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0"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1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3"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position w:val="2"/>
                <w:sz w:val="20"/>
                <w:szCs w:val="20"/>
              </w:rPr>
              <w:t>0.05</w:t>
            </w:r>
          </w:p>
        </w:tc>
        <w:tc>
          <w:tcPr>
            <w:tcW w:w="65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position w:val="2"/>
                <w:sz w:val="20"/>
                <w:szCs w:val="20"/>
              </w:rPr>
              <w:t>0.12</w:t>
            </w:r>
          </w:p>
        </w:tc>
        <w:tc>
          <w:tcPr>
            <w:tcW w:w="116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11"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266" w:type="dxa"/>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4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bl>
    <w:p>
      <w:pPr>
        <w:adjustRightInd w:val="0"/>
        <w:snapToGrid w:val="0"/>
        <w:spacing w:line="360" w:lineRule="auto"/>
        <w:jc w:val="center"/>
        <w:rPr>
          <w:rFonts w:ascii="宋体" w:cs="宋体"/>
          <w:b/>
          <w:color w:val="000000" w:themeColor="text1"/>
          <w:kern w:val="0"/>
          <w:sz w:val="28"/>
          <w:szCs w:val="28"/>
          <w:highlight w:val="none"/>
          <w14:textFill>
            <w14:solidFill>
              <w14:schemeClr w14:val="tx1"/>
            </w14:solidFill>
          </w14:textFill>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3"/>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
        <w:gridCol w:w="91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240" w:type="dxa"/>
            <w:shd w:val="clear" w:color="auto" w:fill="auto"/>
            <w:tcMar>
              <w:left w:w="28" w:type="dxa"/>
              <w:right w:w="28" w:type="dxa"/>
            </w:tcMar>
            <w:vAlign w:val="center"/>
          </w:tcPr>
          <w:p>
            <w:pPr>
              <w:pStyle w:val="44"/>
              <w:ind w:left="0" w:leftChars="0" w:firstLine="0" w:firstLineChars="0"/>
              <w:rPr>
                <w:rFonts w:hint="eastAsia" w:ascii="宋体" w:hAnsi="宋体" w:cs="宋体"/>
                <w:bCs/>
                <w:color w:val="000000" w:themeColor="text1"/>
                <w:szCs w:val="21"/>
                <w:highlight w:val="none"/>
                <w14:textFill>
                  <w14:solidFill>
                    <w14:schemeClr w14:val="tx1"/>
                  </w14:solidFill>
                </w14:textFill>
              </w:rPr>
            </w:pPr>
          </w:p>
        </w:tc>
        <w:tc>
          <w:tcPr>
            <w:tcW w:w="8967" w:type="dxa"/>
            <w:shd w:val="clear" w:color="auto" w:fill="auto"/>
            <w:vAlign w:val="center"/>
          </w:tcPr>
          <w:p>
            <w:pPr>
              <w:pStyle w:val="4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（6）非正常工况源强核算</w:t>
            </w:r>
          </w:p>
          <w:p>
            <w:pPr>
              <w:pStyle w:val="4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本项目涉及多套废气处理设施，非正常排放情况考虑有组织废气净化设施发生故障，废气未经处理就直接排放的情景，污染物的去除效率为0，在此工况下，污染物排放</w:t>
            </w:r>
            <w:r>
              <w:rPr>
                <w:rFonts w:hint="eastAsia" w:cs="宋体"/>
                <w:color w:val="000000" w:themeColor="text1"/>
                <w:highlight w:val="none"/>
                <w:lang w:val="en-US" w:eastAsia="zh-CN"/>
                <w14:textFill>
                  <w14:solidFill>
                    <w14:schemeClr w14:val="tx1"/>
                  </w14:solidFill>
                </w14:textFill>
              </w:rPr>
              <w:t>源强</w:t>
            </w:r>
            <w:r>
              <w:rPr>
                <w:rFonts w:hint="eastAsia" w:ascii="Times New Roman" w:hAnsi="Times New Roman" w:eastAsia="宋体" w:cs="宋体"/>
                <w:color w:val="000000" w:themeColor="text1"/>
                <w:highlight w:val="none"/>
                <w:lang w:val="en-US" w:eastAsia="zh-CN"/>
                <w14:textFill>
                  <w14:solidFill>
                    <w14:schemeClr w14:val="tx1"/>
                  </w14:solidFill>
                </w14:textFill>
              </w:rPr>
              <w:t>见表</w:t>
            </w:r>
            <w:r>
              <w:rPr>
                <w:rFonts w:hint="eastAsia" w:cs="宋体"/>
                <w:color w:val="000000" w:themeColor="text1"/>
                <w:highlight w:val="none"/>
                <w:lang w:val="en-US" w:eastAsia="zh-CN"/>
                <w14:textFill>
                  <w14:solidFill>
                    <w14:schemeClr w14:val="tx1"/>
                  </w14:solidFill>
                </w14:textFill>
              </w:rPr>
              <w:t>4.2-3。</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非正常工况下污染物排放源一览表</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1"/>
              <w:gridCol w:w="875"/>
              <w:gridCol w:w="1195"/>
              <w:gridCol w:w="777"/>
              <w:gridCol w:w="943"/>
              <w:gridCol w:w="898"/>
              <w:gridCol w:w="913"/>
              <w:gridCol w:w="738"/>
              <w:gridCol w:w="854"/>
              <w:gridCol w:w="663"/>
              <w:gridCol w:w="6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42" w:type="pct"/>
                  <w:vMerge w:val="restart"/>
                  <w:tcBorders>
                    <w:tl2br w:val="nil"/>
                    <w:tr2bl w:val="nil"/>
                  </w:tcBorders>
                  <w:textDirection w:val="tbRlV"/>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序号</w:t>
                  </w:r>
                </w:p>
              </w:tc>
              <w:tc>
                <w:tcPr>
                  <w:tcW w:w="490"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污染源</w:t>
                  </w:r>
                </w:p>
              </w:tc>
              <w:tc>
                <w:tcPr>
                  <w:tcW w:w="669"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非正常排放原因</w:t>
                  </w:r>
                </w:p>
              </w:tc>
              <w:tc>
                <w:tcPr>
                  <w:tcW w:w="435"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污染物</w:t>
                  </w:r>
                </w:p>
              </w:tc>
              <w:tc>
                <w:tcPr>
                  <w:tcW w:w="1955" w:type="pct"/>
                  <w:gridSpan w:val="4"/>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非正常排放状况</w:t>
                  </w:r>
                </w:p>
              </w:tc>
              <w:tc>
                <w:tcPr>
                  <w:tcW w:w="849" w:type="pct"/>
                  <w:gridSpan w:val="2"/>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排放标准</w:t>
                  </w:r>
                </w:p>
              </w:tc>
              <w:tc>
                <w:tcPr>
                  <w:tcW w:w="357"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达标</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242" w:type="pct"/>
                  <w:vMerge w:val="continue"/>
                  <w:tcBorders>
                    <w:tl2br w:val="nil"/>
                    <w:tr2bl w:val="nil"/>
                  </w:tcBorders>
                  <w:textDirection w:val="tbRlV"/>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90"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6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浓度</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速率</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(kg/h)</w:t>
                  </w:r>
                </w:p>
              </w:tc>
              <w:tc>
                <w:tcPr>
                  <w:tcW w:w="51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频次及</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持续时</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间</w:t>
                  </w: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排放量</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(kg/a)</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浓度</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速率(kg/h</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5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42"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w:t>
                  </w:r>
                </w:p>
              </w:tc>
              <w:tc>
                <w:tcPr>
                  <w:tcW w:w="490"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排气筒DA001</w:t>
                  </w:r>
                </w:p>
              </w:tc>
              <w:tc>
                <w:tcPr>
                  <w:tcW w:w="669"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废气处理设施或风机故障</w:t>
                  </w:r>
                </w:p>
              </w:tc>
              <w:tc>
                <w:tcPr>
                  <w:tcW w:w="435"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35.3</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353</w:t>
                  </w:r>
                </w:p>
              </w:tc>
              <w:tc>
                <w:tcPr>
                  <w:tcW w:w="511"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1次/a，30min/次</w:t>
                  </w: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0.0882</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120</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27.8</w:t>
                  </w:r>
                </w:p>
              </w:tc>
              <w:tc>
                <w:tcPr>
                  <w:tcW w:w="357"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242"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90"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6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108</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511"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0.0002</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30</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5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42"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90"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6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SO2</w:t>
                  </w: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0.075</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74</w:t>
                  </w:r>
                </w:p>
              </w:tc>
              <w:tc>
                <w:tcPr>
                  <w:tcW w:w="511"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0.0001</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8</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200</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5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42"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90"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66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NOx</w:t>
                  </w: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511"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0.0017</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300</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35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242"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w:t>
                  </w:r>
                </w:p>
              </w:tc>
              <w:tc>
                <w:tcPr>
                  <w:tcW w:w="49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排气筒DA002</w:t>
                  </w:r>
                </w:p>
              </w:tc>
              <w:tc>
                <w:tcPr>
                  <w:tcW w:w="66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废气处理设施或风机故障</w:t>
                  </w:r>
                </w:p>
              </w:tc>
              <w:tc>
                <w:tcPr>
                  <w:tcW w:w="435"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52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3.072</w:t>
                  </w:r>
                </w:p>
              </w:tc>
              <w:tc>
                <w:tcPr>
                  <w:tcW w:w="503"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1536</w:t>
                  </w:r>
                </w:p>
              </w:tc>
              <w:tc>
                <w:tcPr>
                  <w:tcW w:w="51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1次/a，30min/次</w:t>
                  </w:r>
                </w:p>
              </w:tc>
              <w:tc>
                <w:tcPr>
                  <w:tcW w:w="41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0.0384</w:t>
                  </w:r>
                </w:p>
              </w:tc>
              <w:tc>
                <w:tcPr>
                  <w:tcW w:w="4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120</w:t>
                  </w:r>
                </w:p>
              </w:tc>
              <w:tc>
                <w:tcPr>
                  <w:tcW w:w="37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5.9</w:t>
                  </w:r>
                </w:p>
              </w:tc>
              <w:tc>
                <w:tcPr>
                  <w:tcW w:w="35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达标</w:t>
                  </w:r>
                </w:p>
              </w:tc>
            </w:tr>
          </w:tbl>
          <w:p>
            <w:pPr>
              <w:pStyle w:val="44"/>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上表可知，非正常工况下，DA001、DA002排气筒污染物排放浓度、排放速率均达标。为防止生产废气非正常工况排放，企业必须加强废气处理设施的管理，定期检修，确保废气处理设施正常运行，在废气处理设备停止运行或出现故障时，产生废气的各工序也必须相应停止生产。</w:t>
            </w:r>
          </w:p>
          <w:p>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有组织废气防治措施</w:t>
            </w:r>
          </w:p>
          <w:p>
            <w:pPr>
              <w:pStyle w:val="113"/>
              <w:spacing w:before="142" w:line="219" w:lineRule="auto"/>
              <w:ind w:left="591"/>
              <w:rPr>
                <w:sz w:val="24"/>
                <w:szCs w:val="24"/>
                <w:highlight w:val="none"/>
              </w:rPr>
            </w:pPr>
            <w:r>
              <w:rPr>
                <w:spacing w:val="-1"/>
                <w:sz w:val="24"/>
                <w:szCs w:val="24"/>
                <w:highlight w:val="none"/>
              </w:rPr>
              <w:t>项目活性炭吸附装置理论计算更换周期见下表。</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活性炭装置更换周期计算表</w:t>
            </w:r>
          </w:p>
          <w:p>
            <w:pPr>
              <w:spacing w:line="144" w:lineRule="exact"/>
              <w:rPr>
                <w:highlight w:val="none"/>
              </w:rPr>
            </w:pPr>
          </w:p>
          <w:tbl>
            <w:tblPr>
              <w:tblStyle w:val="8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03"/>
              <w:gridCol w:w="718"/>
              <w:gridCol w:w="1358"/>
              <w:gridCol w:w="1578"/>
              <w:gridCol w:w="1292"/>
              <w:gridCol w:w="1503"/>
              <w:gridCol w:w="11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730"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排气筒</w:t>
                  </w:r>
                </w:p>
              </w:tc>
              <w:tc>
                <w:tcPr>
                  <w:tcW w:w="402"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数量</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cs="Times New Roman"/>
                      <w:b/>
                      <w:bCs/>
                      <w:spacing w:val="2"/>
                      <w:sz w:val="21"/>
                      <w:highlight w:val="none"/>
                    </w:rPr>
                    <w:t>(</w:t>
                  </w:r>
                  <w:r>
                    <w:rPr>
                      <w:rFonts w:ascii="Times New Roman" w:hAnsi="Times New Roman" w:eastAsia="宋体"/>
                      <w:b/>
                      <w:bCs/>
                      <w:spacing w:val="2"/>
                      <w:sz w:val="21"/>
                      <w:highlight w:val="none"/>
                    </w:rPr>
                    <w:t>套</w:t>
                  </w:r>
                  <w:r>
                    <w:rPr>
                      <w:rFonts w:ascii="Times New Roman" w:hAnsi="Times New Roman" w:eastAsia="宋体" w:cs="Times New Roman"/>
                      <w:b/>
                      <w:bCs/>
                      <w:spacing w:val="2"/>
                      <w:sz w:val="21"/>
                      <w:highlight w:val="none"/>
                    </w:rPr>
                    <w:t>)</w:t>
                  </w:r>
                </w:p>
              </w:tc>
              <w:tc>
                <w:tcPr>
                  <w:tcW w:w="761"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活性炭</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装填量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z w:val="21"/>
                      <w:szCs w:val="20"/>
                      <w:highlight w:val="none"/>
                    </w:rPr>
                    <w:t>(t)</w:t>
                  </w:r>
                </w:p>
              </w:tc>
              <w:tc>
                <w:tcPr>
                  <w:tcW w:w="88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废气理论吸</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附量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pacing w:val="1"/>
                      <w:sz w:val="21"/>
                      <w:szCs w:val="20"/>
                      <w:highlight w:val="none"/>
                    </w:rPr>
                    <w:t>(t/a)</w:t>
                  </w:r>
                </w:p>
              </w:tc>
              <w:tc>
                <w:tcPr>
                  <w:tcW w:w="72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position w:val="-1"/>
                      <w:sz w:val="21"/>
                      <w:highlight w:val="none"/>
                    </w:rPr>
                    <w:t>活性炭</w:t>
                  </w:r>
                  <w:r>
                    <w:rPr>
                      <w:rFonts w:ascii="Times New Roman" w:hAnsi="Times New Roman" w:eastAsia="宋体" w:cs="Times New Roman"/>
                      <w:b/>
                      <w:bCs/>
                      <w:spacing w:val="3"/>
                      <w:position w:val="5"/>
                      <w:sz w:val="21"/>
                      <w:szCs w:val="13"/>
                      <w:highlight w:val="none"/>
                      <w:vertAlign w:val="superscript"/>
                    </w:rPr>
                    <w:t>[1]</w:t>
                  </w:r>
                  <w:r>
                    <w:rPr>
                      <w:rFonts w:ascii="Times New Roman" w:hAnsi="Times New Roman" w:eastAsia="宋体"/>
                      <w:b/>
                      <w:bCs/>
                      <w:spacing w:val="5"/>
                      <w:sz w:val="21"/>
                      <w:highlight w:val="none"/>
                    </w:rPr>
                    <w:t>理论更换</w:t>
                  </w:r>
                  <w:r>
                    <w:rPr>
                      <w:rFonts w:ascii="Times New Roman" w:hAnsi="Times New Roman" w:eastAsia="宋体"/>
                      <w:b/>
                      <w:bCs/>
                      <w:spacing w:val="-2"/>
                      <w:sz w:val="21"/>
                      <w:highlight w:val="none"/>
                    </w:rPr>
                    <w:t>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pacing w:val="1"/>
                      <w:sz w:val="21"/>
                      <w:szCs w:val="20"/>
                      <w:highlight w:val="none"/>
                    </w:rPr>
                    <w:t>(t/a)</w:t>
                  </w:r>
                </w:p>
              </w:tc>
              <w:tc>
                <w:tcPr>
                  <w:tcW w:w="842"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position w:val="-1"/>
                      <w:sz w:val="21"/>
                      <w:highlight w:val="none"/>
                    </w:rPr>
                    <w:t>废活性炭</w:t>
                  </w:r>
                  <w:r>
                    <w:rPr>
                      <w:rFonts w:ascii="Times New Roman" w:hAnsi="Times New Roman" w:eastAsia="宋体" w:cs="Times New Roman"/>
                      <w:b/>
                      <w:bCs/>
                      <w:spacing w:val="5"/>
                      <w:position w:val="5"/>
                      <w:sz w:val="21"/>
                      <w:szCs w:val="13"/>
                      <w:highlight w:val="none"/>
                      <w:vertAlign w:val="superscript"/>
                    </w:rPr>
                    <w:t>[2]</w:t>
                  </w:r>
                  <w:r>
                    <w:rPr>
                      <w:rFonts w:ascii="Times New Roman" w:hAnsi="Times New Roman" w:eastAsia="宋体"/>
                      <w:b/>
                      <w:bCs/>
                      <w:spacing w:val="6"/>
                      <w:sz w:val="21"/>
                      <w:highlight w:val="none"/>
                    </w:rPr>
                    <w:t>理论产生量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pacing w:val="1"/>
                      <w:sz w:val="21"/>
                      <w:szCs w:val="20"/>
                      <w:highlight w:val="none"/>
                    </w:rPr>
                    <w:t>(t/a)</w:t>
                  </w:r>
                </w:p>
              </w:tc>
              <w:tc>
                <w:tcPr>
                  <w:tcW w:w="65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活性炭</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建议更</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换周期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30"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z w:val="21"/>
                      <w:highlight w:val="none"/>
                    </w:rPr>
                    <w:t>DA</w:t>
                  </w:r>
                  <w:r>
                    <w:rPr>
                      <w:rFonts w:ascii="Times New Roman" w:hAnsi="Times New Roman" w:eastAsia="宋体" w:cs="Times New Roman"/>
                      <w:spacing w:val="6"/>
                      <w:sz w:val="21"/>
                      <w:highlight w:val="none"/>
                    </w:rPr>
                    <w:t>001</w:t>
                  </w:r>
                  <w:r>
                    <w:rPr>
                      <w:rFonts w:ascii="Times New Roman" w:hAnsi="Times New Roman" w:eastAsia="宋体"/>
                      <w:spacing w:val="6"/>
                      <w:sz w:val="21"/>
                      <w:highlight w:val="none"/>
                    </w:rPr>
                    <w:t>排</w:t>
                  </w:r>
                  <w:r>
                    <w:rPr>
                      <w:rFonts w:ascii="Times New Roman" w:hAnsi="Times New Roman" w:eastAsia="宋体"/>
                      <w:spacing w:val="7"/>
                      <w:sz w:val="21"/>
                      <w:highlight w:val="none"/>
                    </w:rPr>
                    <w:t>气筒配套</w:t>
                  </w:r>
                  <w:r>
                    <w:rPr>
                      <w:rFonts w:ascii="Times New Roman" w:hAnsi="Times New Roman" w:eastAsia="宋体"/>
                      <w:spacing w:val="6"/>
                      <w:sz w:val="21"/>
                      <w:highlight w:val="none"/>
                    </w:rPr>
                    <w:t>活性炭装</w:t>
                  </w:r>
                  <w:r>
                    <w:rPr>
                      <w:rFonts w:ascii="Times New Roman" w:hAnsi="Times New Roman" w:eastAsia="宋体"/>
                      <w:spacing w:val="2"/>
                      <w:sz w:val="21"/>
                      <w:highlight w:val="none"/>
                    </w:rPr>
                    <w:t>置</w:t>
                  </w:r>
                </w:p>
              </w:tc>
              <w:tc>
                <w:tcPr>
                  <w:tcW w:w="402"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1</w:t>
                  </w:r>
                </w:p>
              </w:tc>
              <w:tc>
                <w:tcPr>
                  <w:tcW w:w="761"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3.0</w:t>
                  </w:r>
                </w:p>
              </w:tc>
              <w:tc>
                <w:tcPr>
                  <w:tcW w:w="884"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0"/>
                      <w:highlight w:val="none"/>
                      <w:lang w:val="en-US" w:eastAsia="zh-CN"/>
                    </w:rPr>
                  </w:pPr>
                  <w:r>
                    <w:rPr>
                      <w:rFonts w:ascii="Times New Roman" w:hAnsi="Times New Roman" w:eastAsia="宋体" w:cs="Times New Roman"/>
                      <w:spacing w:val="3"/>
                      <w:position w:val="2"/>
                      <w:sz w:val="21"/>
                      <w:szCs w:val="20"/>
                      <w:highlight w:val="none"/>
                    </w:rPr>
                    <w:t>0.</w:t>
                  </w:r>
                  <w:r>
                    <w:rPr>
                      <w:rFonts w:hint="eastAsia" w:cs="Times New Roman"/>
                      <w:spacing w:val="3"/>
                      <w:position w:val="2"/>
                      <w:sz w:val="21"/>
                      <w:szCs w:val="20"/>
                      <w:highlight w:val="none"/>
                      <w:lang w:val="en-US" w:eastAsia="zh-CN"/>
                    </w:rPr>
                    <w:t>6355</w:t>
                  </w:r>
                </w:p>
              </w:tc>
              <w:tc>
                <w:tcPr>
                  <w:tcW w:w="724"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0"/>
                      <w:highlight w:val="none"/>
                      <w:lang w:val="en-US" w:eastAsia="zh-CN"/>
                    </w:rPr>
                  </w:pPr>
                  <w:r>
                    <w:rPr>
                      <w:rFonts w:ascii="Times New Roman" w:hAnsi="Times New Roman" w:eastAsia="宋体" w:cs="Times New Roman"/>
                      <w:spacing w:val="3"/>
                      <w:position w:val="2"/>
                      <w:sz w:val="21"/>
                      <w:szCs w:val="20"/>
                      <w:highlight w:val="none"/>
                    </w:rPr>
                    <w:t>2.</w:t>
                  </w:r>
                  <w:r>
                    <w:rPr>
                      <w:rFonts w:hint="eastAsia" w:cs="Times New Roman"/>
                      <w:spacing w:val="3"/>
                      <w:position w:val="2"/>
                      <w:sz w:val="21"/>
                      <w:szCs w:val="20"/>
                      <w:highlight w:val="none"/>
                      <w:lang w:val="en-US" w:eastAsia="zh-CN"/>
                    </w:rPr>
                    <w:t>1183</w:t>
                  </w:r>
                </w:p>
              </w:tc>
              <w:tc>
                <w:tcPr>
                  <w:tcW w:w="842"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0"/>
                      <w:highlight w:val="none"/>
                      <w:lang w:val="en-US" w:eastAsia="zh-CN"/>
                    </w:rPr>
                  </w:pPr>
                  <w:r>
                    <w:rPr>
                      <w:rFonts w:hint="eastAsia" w:cs="Times New Roman"/>
                      <w:spacing w:val="3"/>
                      <w:position w:val="2"/>
                      <w:sz w:val="21"/>
                      <w:szCs w:val="20"/>
                      <w:highlight w:val="none"/>
                      <w:lang w:val="en-US" w:eastAsia="zh-CN"/>
                    </w:rPr>
                    <w:t>3.6355</w:t>
                  </w:r>
                </w:p>
              </w:tc>
              <w:tc>
                <w:tcPr>
                  <w:tcW w:w="654"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每年更</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position w:val="1"/>
                      <w:sz w:val="21"/>
                      <w:highlight w:val="none"/>
                    </w:rPr>
                    <w:t>换</w:t>
                  </w:r>
                  <w:r>
                    <w:rPr>
                      <w:rFonts w:ascii="Times New Roman" w:hAnsi="Times New Roman" w:eastAsia="宋体" w:cs="Times New Roman"/>
                      <w:spacing w:val="-7"/>
                      <w:position w:val="1"/>
                      <w:sz w:val="21"/>
                      <w:highlight w:val="none"/>
                    </w:rPr>
                    <w:t>1</w:t>
                  </w:r>
                  <w:r>
                    <w:rPr>
                      <w:rFonts w:ascii="Times New Roman" w:hAnsi="Times New Roman" w:eastAsia="宋体"/>
                      <w:spacing w:val="-7"/>
                      <w:position w:val="1"/>
                      <w:sz w:val="21"/>
                      <w:highlight w:val="none"/>
                    </w:rPr>
                    <w:t>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5000" w:type="pct"/>
                  <w:gridSpan w:val="7"/>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sz w:val="21"/>
                      <w:highlight w:val="none"/>
                    </w:rPr>
                  </w:pPr>
                  <w:r>
                    <w:rPr>
                      <w:rFonts w:ascii="Times New Roman" w:hAnsi="Times New Roman" w:eastAsia="宋体"/>
                      <w:spacing w:val="10"/>
                      <w:sz w:val="21"/>
                      <w:highlight w:val="none"/>
                    </w:rPr>
                    <w:t>注：</w:t>
                  </w:r>
                  <w:r>
                    <w:rPr>
                      <w:rFonts w:ascii="Times New Roman" w:hAnsi="Times New Roman" w:eastAsia="宋体" w:cs="Times New Roman"/>
                      <w:spacing w:val="10"/>
                      <w:sz w:val="21"/>
                      <w:highlight w:val="none"/>
                    </w:rPr>
                    <w:t>[1]</w:t>
                  </w:r>
                  <w:r>
                    <w:rPr>
                      <w:rFonts w:ascii="Times New Roman" w:hAnsi="Times New Roman" w:eastAsia="宋体"/>
                      <w:spacing w:val="10"/>
                      <w:sz w:val="21"/>
                      <w:highlight w:val="none"/>
                    </w:rPr>
                    <w:t>活性炭对有机废气的吸附比例取</w:t>
                  </w:r>
                  <w:r>
                    <w:rPr>
                      <w:rFonts w:ascii="Times New Roman" w:hAnsi="Times New Roman" w:eastAsia="宋体" w:cs="Times New Roman"/>
                      <w:spacing w:val="10"/>
                      <w:sz w:val="21"/>
                      <w:highlight w:val="none"/>
                    </w:rPr>
                    <w:t>3</w:t>
                  </w:r>
                  <w:r>
                    <w:rPr>
                      <w:rFonts w:ascii="Times New Roman" w:hAnsi="Times New Roman" w:eastAsia="宋体" w:cs="Times New Roman"/>
                      <w:spacing w:val="9"/>
                      <w:sz w:val="21"/>
                      <w:highlight w:val="none"/>
                    </w:rPr>
                    <w:t>0%</w:t>
                  </w:r>
                  <w:r>
                    <w:rPr>
                      <w:rFonts w:ascii="Times New Roman" w:hAnsi="Times New Roman" w:eastAsia="宋体"/>
                      <w:spacing w:val="9"/>
                      <w:sz w:val="21"/>
                      <w:highlight w:val="none"/>
                    </w:rPr>
                    <w:t>，则活性炭理论更换量</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废气理论吸附量</w:t>
                  </w:r>
                  <w:r>
                    <w:rPr>
                      <w:rFonts w:ascii="Times New Roman" w:hAnsi="Times New Roman" w:eastAsia="宋体" w:cs="Times New Roman"/>
                      <w:spacing w:val="2"/>
                      <w:sz w:val="21"/>
                      <w:highlight w:val="none"/>
                    </w:rPr>
                    <w:t>/0.3</w:t>
                  </w:r>
                  <w:r>
                    <w:rPr>
                      <w:rFonts w:ascii="Times New Roman" w:hAnsi="Times New Roman" w:eastAsia="宋体"/>
                      <w:spacing w:val="2"/>
                      <w:sz w:val="21"/>
                      <w:highlight w:val="none"/>
                    </w:rPr>
                    <w:t>。</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sz w:val="21"/>
                      <w:highlight w:val="none"/>
                    </w:rPr>
                  </w:pPr>
                  <w:r>
                    <w:rPr>
                      <w:rFonts w:ascii="Times New Roman" w:hAnsi="Times New Roman" w:eastAsia="宋体" w:cs="Times New Roman"/>
                      <w:spacing w:val="8"/>
                      <w:position w:val="2"/>
                      <w:sz w:val="21"/>
                      <w:highlight w:val="none"/>
                    </w:rPr>
                    <w:t>[2]</w:t>
                  </w:r>
                  <w:r>
                    <w:rPr>
                      <w:rFonts w:ascii="Times New Roman" w:hAnsi="Times New Roman" w:eastAsia="宋体"/>
                      <w:spacing w:val="8"/>
                      <w:position w:val="2"/>
                      <w:sz w:val="21"/>
                      <w:highlight w:val="none"/>
                    </w:rPr>
                    <w:t>废活性炭理论产生量</w:t>
                  </w:r>
                  <w:r>
                    <w:rPr>
                      <w:rFonts w:ascii="Times New Roman" w:hAnsi="Times New Roman" w:eastAsia="宋体" w:cs="Times New Roman"/>
                      <w:spacing w:val="8"/>
                      <w:position w:val="2"/>
                      <w:sz w:val="21"/>
                      <w:highlight w:val="none"/>
                    </w:rPr>
                    <w:t>=</w:t>
                  </w:r>
                  <w:r>
                    <w:rPr>
                      <w:rFonts w:ascii="Times New Roman" w:hAnsi="Times New Roman" w:eastAsia="宋体"/>
                      <w:spacing w:val="8"/>
                      <w:position w:val="2"/>
                      <w:sz w:val="21"/>
                      <w:highlight w:val="none"/>
                    </w:rPr>
                    <w:t>有机废气理论吸附量</w:t>
                  </w:r>
                  <w:r>
                    <w:rPr>
                      <w:rFonts w:ascii="Times New Roman" w:hAnsi="Times New Roman" w:eastAsia="宋体" w:cs="Times New Roman"/>
                      <w:spacing w:val="8"/>
                      <w:position w:val="2"/>
                      <w:sz w:val="21"/>
                      <w:highlight w:val="none"/>
                    </w:rPr>
                    <w:t>+</w:t>
                  </w:r>
                  <w:r>
                    <w:rPr>
                      <w:rFonts w:ascii="Times New Roman" w:hAnsi="Times New Roman" w:eastAsia="宋体"/>
                      <w:spacing w:val="8"/>
                      <w:position w:val="2"/>
                      <w:sz w:val="21"/>
                      <w:highlight w:val="none"/>
                    </w:rPr>
                    <w:t>活性炭填充量</w:t>
                  </w:r>
                  <w:r>
                    <w:rPr>
                      <w:rFonts w:ascii="Times New Roman" w:hAnsi="Times New Roman" w:eastAsia="宋体" w:cs="Times New Roman"/>
                      <w:spacing w:val="8"/>
                      <w:position w:val="2"/>
                      <w:sz w:val="21"/>
                      <w:highlight w:val="none"/>
                    </w:rPr>
                    <w:t>*</w:t>
                  </w:r>
                  <w:r>
                    <w:rPr>
                      <w:rFonts w:ascii="Times New Roman" w:hAnsi="Times New Roman" w:eastAsia="宋体"/>
                      <w:spacing w:val="8"/>
                      <w:position w:val="2"/>
                      <w:sz w:val="21"/>
                      <w:highlight w:val="none"/>
                    </w:rPr>
                    <w:t>每年更换次数。</w:t>
                  </w:r>
                </w:p>
              </w:tc>
            </w:tr>
          </w:tbl>
          <w:p>
            <w:pPr>
              <w:pStyle w:val="113"/>
              <w:spacing w:before="78" w:line="220" w:lineRule="auto"/>
              <w:ind w:left="1268"/>
              <w:rPr>
                <w:b/>
                <w:bCs/>
                <w:spacing w:val="-1"/>
                <w:sz w:val="24"/>
                <w:szCs w:val="24"/>
                <w:highlight w:val="none"/>
              </w:rPr>
            </w:pPr>
          </w:p>
          <w:p>
            <w:pPr>
              <w:pStyle w:val="113"/>
              <w:spacing w:before="78" w:line="220" w:lineRule="auto"/>
              <w:ind w:left="1268"/>
              <w:rPr>
                <w:b/>
                <w:bCs/>
                <w:spacing w:val="-1"/>
                <w:sz w:val="24"/>
                <w:szCs w:val="24"/>
                <w:highlight w:val="none"/>
              </w:rPr>
            </w:pP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项目活性炭装置与HJ 2026-2013相符性分析</w:t>
            </w:r>
          </w:p>
          <w:p>
            <w:pPr>
              <w:spacing w:line="146" w:lineRule="exact"/>
              <w:rPr>
                <w:highlight w:val="none"/>
              </w:rPr>
            </w:pPr>
          </w:p>
          <w:tbl>
            <w:tblPr>
              <w:tblStyle w:val="8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73"/>
              <w:gridCol w:w="3814"/>
              <w:gridCol w:w="2713"/>
              <w:gridCol w:w="15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48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序号</w:t>
                  </w:r>
                </w:p>
              </w:tc>
              <w:tc>
                <w:tcPr>
                  <w:tcW w:w="2136"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b/>
                      <w:bCs/>
                      <w:sz w:val="21"/>
                      <w:highlight w:val="none"/>
                    </w:rPr>
                    <w:t>HJ</w:t>
                  </w:r>
                  <w:r>
                    <w:rPr>
                      <w:rFonts w:ascii="Times New Roman" w:hAnsi="Times New Roman" w:eastAsia="宋体" w:cs="Times New Roman"/>
                      <w:b/>
                      <w:bCs/>
                      <w:spacing w:val="5"/>
                      <w:sz w:val="21"/>
                      <w:highlight w:val="none"/>
                    </w:rPr>
                    <w:t xml:space="preserve"> 2026-2013</w:t>
                  </w:r>
                  <w:r>
                    <w:rPr>
                      <w:rFonts w:ascii="Times New Roman" w:hAnsi="Times New Roman" w:eastAsia="宋体"/>
                      <w:b/>
                      <w:bCs/>
                      <w:spacing w:val="5"/>
                      <w:sz w:val="21"/>
                      <w:highlight w:val="none"/>
                    </w:rPr>
                    <w:t>要求</w:t>
                  </w:r>
                </w:p>
              </w:tc>
              <w:tc>
                <w:tcPr>
                  <w:tcW w:w="151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本项目情况</w:t>
                  </w:r>
                </w:p>
              </w:tc>
              <w:tc>
                <w:tcPr>
                  <w:tcW w:w="85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489"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1</w:t>
                  </w:r>
                </w:p>
              </w:tc>
              <w:tc>
                <w:tcPr>
                  <w:tcW w:w="2136"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13"/>
                      <w:highlight w:val="none"/>
                      <w:lang w:val="en-US" w:eastAsia="zh-CN"/>
                    </w:rPr>
                  </w:pPr>
                  <w:r>
                    <w:rPr>
                      <w:rFonts w:ascii="Times New Roman" w:hAnsi="Times New Roman" w:eastAsia="宋体"/>
                      <w:spacing w:val="9"/>
                      <w:sz w:val="21"/>
                      <w:highlight w:val="none"/>
                    </w:rPr>
                    <w:t>进入吸附装置的颗粒物含量宜低于</w:t>
                  </w:r>
                  <w:r>
                    <w:rPr>
                      <w:rFonts w:ascii="Times New Roman" w:hAnsi="Times New Roman" w:eastAsia="宋体" w:cs="Times New Roman"/>
                      <w:spacing w:val="1"/>
                      <w:position w:val="3"/>
                      <w:sz w:val="21"/>
                      <w:szCs w:val="20"/>
                      <w:highlight w:val="none"/>
                    </w:rPr>
                    <w:t>1</w:t>
                  </w:r>
                  <w:r>
                    <w:rPr>
                      <w:rFonts w:ascii="Times New Roman" w:hAnsi="Times New Roman" w:eastAsia="宋体" w:cs="Times New Roman"/>
                      <w:position w:val="3"/>
                      <w:sz w:val="21"/>
                      <w:szCs w:val="20"/>
                      <w:highlight w:val="none"/>
                    </w:rPr>
                    <w:t>mg</w:t>
                  </w:r>
                  <w:r>
                    <w:rPr>
                      <w:rFonts w:ascii="Times New Roman" w:hAnsi="Times New Roman" w:eastAsia="宋体" w:cs="Times New Roman"/>
                      <w:spacing w:val="1"/>
                      <w:position w:val="3"/>
                      <w:sz w:val="21"/>
                      <w:szCs w:val="20"/>
                      <w:highlight w:val="none"/>
                    </w:rPr>
                    <w:t>/m</w:t>
                  </w:r>
                  <w:r>
                    <w:rPr>
                      <w:rFonts w:hint="eastAsia" w:ascii="Times New Roman" w:hAnsi="Times New Roman" w:eastAsia="宋体" w:cs="Times New Roman"/>
                      <w:spacing w:val="1"/>
                      <w:position w:val="3"/>
                      <w:sz w:val="21"/>
                      <w:szCs w:val="20"/>
                      <w:highlight w:val="none"/>
                      <w:vertAlign w:val="superscript"/>
                      <w:lang w:val="en-US" w:eastAsia="zh-CN"/>
                    </w:rPr>
                    <w:t>3</w:t>
                  </w:r>
                </w:p>
              </w:tc>
              <w:tc>
                <w:tcPr>
                  <w:tcW w:w="1519"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9"/>
                      <w:sz w:val="21"/>
                      <w:highlight w:val="none"/>
                    </w:rPr>
                    <w:t>本项目进入活性炭装置的废气颗粒物浓度低于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13"/>
                      <w:highlight w:val="none"/>
                    </w:rPr>
                  </w:pPr>
                  <w:r>
                    <w:rPr>
                      <w:rFonts w:ascii="Times New Roman" w:hAnsi="Times New Roman" w:eastAsia="宋体" w:cs="Times New Roman"/>
                      <w:spacing w:val="1"/>
                      <w:position w:val="3"/>
                      <w:sz w:val="21"/>
                      <w:szCs w:val="20"/>
                      <w:highlight w:val="none"/>
                    </w:rPr>
                    <w:t>1</w:t>
                  </w:r>
                  <w:r>
                    <w:rPr>
                      <w:rFonts w:ascii="Times New Roman" w:hAnsi="Times New Roman" w:eastAsia="宋体" w:cs="Times New Roman"/>
                      <w:position w:val="3"/>
                      <w:sz w:val="21"/>
                      <w:szCs w:val="20"/>
                      <w:highlight w:val="none"/>
                    </w:rPr>
                    <w:t>mg</w:t>
                  </w:r>
                  <w:r>
                    <w:rPr>
                      <w:rFonts w:ascii="Times New Roman" w:hAnsi="Times New Roman" w:eastAsia="宋体" w:cs="Times New Roman"/>
                      <w:spacing w:val="1"/>
                      <w:position w:val="3"/>
                      <w:sz w:val="21"/>
                      <w:szCs w:val="20"/>
                      <w:highlight w:val="none"/>
                    </w:rPr>
                    <w:t>/m</w:t>
                  </w:r>
                  <w:r>
                    <w:rPr>
                      <w:rFonts w:hint="eastAsia" w:ascii="Times New Roman" w:hAnsi="Times New Roman" w:eastAsia="宋体" w:cs="Times New Roman"/>
                      <w:spacing w:val="1"/>
                      <w:position w:val="3"/>
                      <w:sz w:val="21"/>
                      <w:szCs w:val="20"/>
                      <w:highlight w:val="none"/>
                      <w:vertAlign w:val="superscript"/>
                      <w:lang w:val="en-US" w:eastAsia="zh-CN"/>
                    </w:rPr>
                    <w:t>3</w:t>
                  </w:r>
                </w:p>
              </w:tc>
              <w:tc>
                <w:tcPr>
                  <w:tcW w:w="854"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2</w:t>
                  </w:r>
                </w:p>
              </w:tc>
              <w:tc>
                <w:tcPr>
                  <w:tcW w:w="2136"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9"/>
                      <w:sz w:val="21"/>
                      <w:highlight w:val="none"/>
                    </w:rPr>
                    <w:t>进入吸附装置的废气温度宜低于</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pacing w:val="5"/>
                      <w:position w:val="1"/>
                      <w:sz w:val="21"/>
                      <w:highlight w:val="none"/>
                    </w:rPr>
                    <w:t>40</w:t>
                  </w:r>
                  <w:r>
                    <w:rPr>
                      <w:rFonts w:ascii="Times New Roman" w:hAnsi="Times New Roman" w:eastAsia="宋体"/>
                      <w:spacing w:val="5"/>
                      <w:position w:val="1"/>
                      <w:sz w:val="21"/>
                      <w:highlight w:val="none"/>
                    </w:rPr>
                    <w:t>℃</w:t>
                  </w:r>
                </w:p>
              </w:tc>
              <w:tc>
                <w:tcPr>
                  <w:tcW w:w="151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9"/>
                      <w:sz w:val="21"/>
                      <w:highlight w:val="none"/>
                    </w:rPr>
                    <w:t>本项目进入活性炭装置的</w:t>
                  </w:r>
                  <w:r>
                    <w:rPr>
                      <w:rFonts w:ascii="Times New Roman" w:hAnsi="Times New Roman" w:eastAsia="宋体"/>
                      <w:spacing w:val="13"/>
                      <w:sz w:val="21"/>
                      <w:highlight w:val="none"/>
                    </w:rPr>
                    <w:t>废气温度均低于</w:t>
                  </w:r>
                  <w:r>
                    <w:rPr>
                      <w:rFonts w:ascii="Times New Roman" w:hAnsi="Times New Roman" w:eastAsia="宋体" w:cs="Times New Roman"/>
                      <w:spacing w:val="13"/>
                      <w:sz w:val="21"/>
                      <w:highlight w:val="none"/>
                    </w:rPr>
                    <w:t>40</w:t>
                  </w:r>
                  <w:r>
                    <w:rPr>
                      <w:rFonts w:ascii="Times New Roman" w:hAnsi="Times New Roman" w:eastAsia="宋体"/>
                      <w:spacing w:val="13"/>
                      <w:sz w:val="21"/>
                      <w:highlight w:val="none"/>
                    </w:rPr>
                    <w:t>℃</w:t>
                  </w:r>
                </w:p>
              </w:tc>
              <w:tc>
                <w:tcPr>
                  <w:tcW w:w="854"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4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3</w:t>
                  </w:r>
                </w:p>
              </w:tc>
              <w:tc>
                <w:tcPr>
                  <w:tcW w:w="2136"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固定床吸附装置吸附层的气体流速</w:t>
                  </w:r>
                  <w:r>
                    <w:rPr>
                      <w:rFonts w:ascii="Times New Roman" w:hAnsi="Times New Roman" w:eastAsia="宋体"/>
                      <w:spacing w:val="5"/>
                      <w:sz w:val="21"/>
                      <w:highlight w:val="none"/>
                    </w:rPr>
                    <w:t>应根据吸附剂的形态确定。采用颗粒</w:t>
                  </w:r>
                  <w:r>
                    <w:rPr>
                      <w:rFonts w:ascii="Times New Roman" w:hAnsi="Times New Roman" w:eastAsia="宋体"/>
                      <w:spacing w:val="9"/>
                      <w:sz w:val="21"/>
                      <w:highlight w:val="none"/>
                    </w:rPr>
                    <w:t>状吸附剂时，气体流速宜低于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0.6m/s</w:t>
                  </w:r>
                </w:p>
              </w:tc>
              <w:tc>
                <w:tcPr>
                  <w:tcW w:w="151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spacing w:val="9"/>
                      <w:sz w:val="21"/>
                      <w:highlight w:val="none"/>
                    </w:rPr>
                    <w:t>本项目活性炭装置气体流</w:t>
                  </w:r>
                  <w:r>
                    <w:rPr>
                      <w:rFonts w:ascii="Times New Roman" w:hAnsi="Times New Roman" w:eastAsia="宋体"/>
                      <w:spacing w:val="4"/>
                      <w:sz w:val="21"/>
                      <w:highlight w:val="none"/>
                    </w:rPr>
                    <w:t>速低于</w:t>
                  </w:r>
                  <w:r>
                    <w:rPr>
                      <w:rFonts w:ascii="Times New Roman" w:hAnsi="Times New Roman" w:eastAsia="宋体" w:cs="Times New Roman"/>
                      <w:spacing w:val="4"/>
                      <w:sz w:val="21"/>
                      <w:highlight w:val="none"/>
                    </w:rPr>
                    <w:t>0.6m/s</w:t>
                  </w:r>
                </w:p>
              </w:tc>
              <w:tc>
                <w:tcPr>
                  <w:tcW w:w="854"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符合</w:t>
                  </w:r>
                </w:p>
              </w:tc>
            </w:tr>
          </w:tbl>
          <w:p>
            <w:pPr>
              <w:pStyle w:val="4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由上表可见，本项目活性炭装置与《吸附法工业有机废气治理工程技术规范》（HJ 2026-2013）中的要求相符。此外，吸附法VOCs治理技术属于《汽车工业污染防治可行技术指南（HJ 1181-2021）》中列出的可行技术，处理措施可行。</w:t>
            </w:r>
          </w:p>
          <w:p>
            <w:pPr>
              <w:pStyle w:val="4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根据《排污许可证申请与核发技术规范汽车制造业》（HJ971-2018）中表25汽车制造业废气污染治理推荐可行技术清单，本项目焊接工序产生的废气采用“脉冲滤筒除尘器”处理属于推荐可行技术。</w:t>
            </w:r>
          </w:p>
          <w:p>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无组织废气防治措施</w:t>
            </w:r>
          </w:p>
          <w:p>
            <w:pPr>
              <w:pStyle w:val="44"/>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建设项目无组织排放的废气主要是未捕集的含尘废气、有机废气等。建设单位拟采取如下措施，以减少无组织挥发量与排放浓度：</w:t>
            </w:r>
          </w:p>
          <w:p>
            <w:pPr>
              <w:pStyle w:val="44"/>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（1）在装卸过程中应轻装轻卸，在允许的条件下可在室内进行装卸，加强车间吸尘范围及设备吸尘效率，使物料装卸及项目生产运营过程中产生的无组织废气挥发量降到最低</w:t>
            </w:r>
            <w:r>
              <w:rPr>
                <w:rFonts w:hint="eastAsia"/>
                <w:color w:val="000000" w:themeColor="text1"/>
                <w:highlight w:val="none"/>
                <w:lang w:eastAsia="zh-CN"/>
                <w14:textFill>
                  <w14:solidFill>
                    <w14:schemeClr w14:val="tx1"/>
                  </w14:solidFill>
                </w14:textFill>
              </w:rPr>
              <w:t>；</w:t>
            </w:r>
          </w:p>
          <w:p>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）合理布置车间，加强设备管理，将产生无组织废气的产生源布置在远离厂界的地方，以减少无组织废气对厂界周围环境的影响；</w:t>
            </w:r>
          </w:p>
          <w:p>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）加强对操作工的培训和管理，确保废气的捕捉率，以减少人为造成的废气无组织排放；</w:t>
            </w:r>
          </w:p>
          <w:p>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）除尘器卸灰口应采取遮挡等抑尘措施，除尘灰不得直接卸落到地面。除尘灰采取袋装、罐装等密闭措施收集、存放和运输；</w:t>
            </w:r>
          </w:p>
          <w:p>
            <w:pPr>
              <w:pStyle w:val="44"/>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废气产生量大的工序如：电泳、焊接等</w:t>
            </w:r>
            <w:r>
              <w:rPr>
                <w:rFonts w:hint="eastAsia"/>
                <w:color w:val="000000" w:themeColor="text1"/>
                <w:highlight w:val="none"/>
                <w:lang w:eastAsia="zh-CN"/>
                <w14:textFill>
                  <w14:solidFill>
                    <w14:schemeClr w14:val="tx1"/>
                  </w14:solidFill>
                </w14:textFill>
              </w:rPr>
              <w:t>工序应在封闭空间内操作，废气收集至除尘设施；未在封闭空间内操作，应采用固定式、移动式集气设备，并配备除尘设施。</w:t>
            </w:r>
          </w:p>
          <w:p>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通过以上措施，可减少无组织废气的排放，无组织排放废气能够满足相应的排放标准要求，对周围大气环境的影响较小。</w:t>
            </w:r>
          </w:p>
          <w:p>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非正常排放</w:t>
            </w:r>
            <w:r>
              <w:rPr>
                <w:rFonts w:hint="default" w:ascii="Times New Roman" w:hAnsi="Times New Roman" w:eastAsia="宋体" w:cs="Times New Roman"/>
                <w:color w:val="000000" w:themeColor="text1"/>
                <w:highlight w:val="none"/>
                <w:lang w:val="en-US" w:eastAsia="zh-CN"/>
                <w14:textFill>
                  <w14:solidFill>
                    <w14:schemeClr w14:val="tx1"/>
                  </w14:solidFill>
                </w14:textFill>
              </w:rPr>
              <w:t>防治措施</w:t>
            </w:r>
          </w:p>
          <w:p>
            <w:pPr>
              <w:pStyle w:val="44"/>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防止废气非正常工况排放，企业必须加强环保设施运行管理，定期检修，确保设备效率正常运行，在设备停止运行或出现故障时，产生废气的工序也必须相应停止运行。为严防废气非正常排放，应采取以下措施确保废气达标排放：</w:t>
            </w:r>
          </w:p>
          <w:p>
            <w:pPr>
              <w:pStyle w:val="44"/>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①安排专人负责设备的日常维护和管理，每隔固定时间检查、汇报情况，及时发现废气处理设备的隐患，确保设备处理效率正常运行；</w:t>
            </w:r>
          </w:p>
          <w:p>
            <w:pPr>
              <w:pStyle w:val="44"/>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②建立健全的环保管理机构，对环保管理人员和技术人员进行岗位培训，委托具有专业资质的环境检测单位对项目排放的污染物进行定期检测；</w:t>
            </w:r>
          </w:p>
          <w:p>
            <w:pPr>
              <w:pStyle w:val="44"/>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③应定期维护、检修环保设施运行装置，以保持设备的净化能力和净化容量。</w:t>
            </w:r>
          </w:p>
          <w:p>
            <w:pPr>
              <w:pStyle w:val="44"/>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综上，项目在采取上述非正常排放防范措施后，非正常排放发生频率较低，非正常工况可及时得到处理，因此本项目废气非正常排放对周边大气环境影响较小。当非正常排放时，废气将超标排放，因此建设单位须加强管理，并采取必要的防范措施，杜绝此类事件发生。</w:t>
            </w:r>
          </w:p>
          <w:p>
            <w:pPr>
              <w:pStyle w:val="4"/>
              <w:numPr>
                <w:ilvl w:val="2"/>
                <w:numId w:val="14"/>
              </w:numPr>
              <w:tabs>
                <w:tab w:val="left" w:pos="0"/>
              </w:tabs>
              <w:bidi w:val="0"/>
              <w:ind w:left="720" w:leftChars="0" w:hanging="720" w:firstLineChars="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废气自行监测计划</w:t>
            </w:r>
          </w:p>
          <w:p>
            <w:pPr>
              <w:pStyle w:val="44"/>
              <w:bidi w:val="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根据《排污单位自行监测技术指南涂装》（HJ1086-2020）中表2、表3中监测要求，项目自行监测计划见下表。</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项目废气监测要求一览表</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2"/>
              <w:gridCol w:w="1356"/>
              <w:gridCol w:w="1367"/>
              <w:gridCol w:w="1581"/>
              <w:gridCol w:w="1340"/>
              <w:gridCol w:w="19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57"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排气筒编号</w:t>
                  </w:r>
                </w:p>
              </w:tc>
              <w:tc>
                <w:tcPr>
                  <w:tcW w:w="759"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生产工序</w:t>
                  </w:r>
                </w:p>
              </w:tc>
              <w:tc>
                <w:tcPr>
                  <w:tcW w:w="765"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监测点位</w:t>
                  </w:r>
                </w:p>
              </w:tc>
              <w:tc>
                <w:tcPr>
                  <w:tcW w:w="885"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监测指标</w:t>
                  </w:r>
                </w:p>
              </w:tc>
              <w:tc>
                <w:tcPr>
                  <w:tcW w:w="75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监测频次</w:t>
                  </w:r>
                </w:p>
              </w:tc>
              <w:tc>
                <w:tcPr>
                  <w:tcW w:w="1080"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75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7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8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75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一般排放口</w:t>
                  </w:r>
                </w:p>
              </w:tc>
              <w:tc>
                <w:tcPr>
                  <w:tcW w:w="10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093" w:hRule="atLeast"/>
              </w:trPr>
              <w:tc>
                <w:tcPr>
                  <w:tcW w:w="75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DA</w:t>
                  </w:r>
                  <w:r>
                    <w:rPr>
                      <w:rFonts w:ascii="Times New Roman" w:hAnsi="Times New Roman" w:eastAsia="宋体" w:cs="Times New Roman"/>
                      <w:spacing w:val="8"/>
                      <w:position w:val="2"/>
                      <w:sz w:val="21"/>
                      <w:szCs w:val="20"/>
                      <w:highlight w:val="none"/>
                    </w:rPr>
                    <w:t>001</w:t>
                  </w:r>
                </w:p>
              </w:tc>
              <w:tc>
                <w:tcPr>
                  <w:tcW w:w="75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电泳、固化</w:t>
                  </w:r>
                </w:p>
              </w:tc>
              <w:tc>
                <w:tcPr>
                  <w:tcW w:w="7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DA</w:t>
                  </w:r>
                  <w:r>
                    <w:rPr>
                      <w:rFonts w:ascii="Times New Roman" w:hAnsi="Times New Roman" w:eastAsia="宋体" w:cs="Times New Roman"/>
                      <w:spacing w:val="8"/>
                      <w:position w:val="2"/>
                      <w:sz w:val="21"/>
                      <w:szCs w:val="20"/>
                      <w:highlight w:val="none"/>
                    </w:rPr>
                    <w:t>001</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废气排放口</w:t>
                  </w:r>
                </w:p>
              </w:tc>
              <w:tc>
                <w:tcPr>
                  <w:tcW w:w="88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非甲烷总烃</w:t>
                  </w:r>
                </w:p>
              </w:tc>
              <w:tc>
                <w:tcPr>
                  <w:tcW w:w="750" w:type="pct"/>
                  <w:vMerge w:val="restar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cs="Times New Roman"/>
                      <w:spacing w:val="-4"/>
                      <w:position w:val="1"/>
                      <w:sz w:val="21"/>
                      <w:highlight w:val="none"/>
                    </w:rPr>
                    <w:t>1</w:t>
                  </w:r>
                  <w:r>
                    <w:rPr>
                      <w:rFonts w:ascii="Times New Roman" w:hAnsi="Times New Roman" w:eastAsia="宋体"/>
                      <w:spacing w:val="-4"/>
                      <w:position w:val="1"/>
                      <w:sz w:val="21"/>
                      <w:highlight w:val="none"/>
                    </w:rPr>
                    <w:t>次</w:t>
                  </w:r>
                  <w:r>
                    <w:rPr>
                      <w:rFonts w:ascii="Times New Roman" w:hAnsi="Times New Roman" w:eastAsia="宋体" w:cs="Times New Roman"/>
                      <w:spacing w:val="-4"/>
                      <w:position w:val="1"/>
                      <w:sz w:val="21"/>
                      <w:highlight w:val="none"/>
                    </w:rPr>
                    <w:t>/</w:t>
                  </w:r>
                  <w:r>
                    <w:rPr>
                      <w:rFonts w:ascii="Times New Roman" w:hAnsi="Times New Roman" w:eastAsia="宋体"/>
                      <w:spacing w:val="-4"/>
                      <w:position w:val="1"/>
                      <w:sz w:val="21"/>
                      <w:highlight w:val="none"/>
                    </w:rPr>
                    <w:t>年</w:t>
                  </w:r>
                </w:p>
              </w:tc>
              <w:tc>
                <w:tcPr>
                  <w:tcW w:w="108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《大气污染物综</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合排放标准》</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5"/>
                      <w:position w:val="1"/>
                      <w:sz w:val="21"/>
                      <w:highlight w:val="none"/>
                    </w:rPr>
                    <w:t>（</w:t>
                  </w:r>
                  <w:r>
                    <w:rPr>
                      <w:rFonts w:ascii="Times New Roman" w:hAnsi="Times New Roman" w:eastAsia="宋体" w:cs="Times New Roman"/>
                      <w:position w:val="1"/>
                      <w:sz w:val="21"/>
                      <w:highlight w:val="none"/>
                    </w:rPr>
                    <w:t>GB</w:t>
                  </w:r>
                  <w:r>
                    <w:rPr>
                      <w:rFonts w:ascii="Times New Roman" w:hAnsi="Times New Roman" w:eastAsia="宋体" w:cs="Times New Roman"/>
                      <w:spacing w:val="5"/>
                      <w:position w:val="1"/>
                      <w:sz w:val="21"/>
                      <w:highlight w:val="none"/>
                    </w:rPr>
                    <w:t>16297-1996</w:t>
                  </w:r>
                  <w:r>
                    <w:rPr>
                      <w:rFonts w:ascii="Times New Roman" w:hAnsi="Times New Roman" w:eastAsia="宋体"/>
                      <w:spacing w:val="-6"/>
                      <w:position w:val="1"/>
                      <w:sz w:val="21"/>
                      <w:highlight w:val="none"/>
                    </w:rPr>
                    <w:t>)表</w:t>
                  </w:r>
                  <w:r>
                    <w:rPr>
                      <w:rFonts w:ascii="Times New Roman" w:hAnsi="Times New Roman" w:eastAsia="宋体" w:cs="Times New Roman"/>
                      <w:spacing w:val="-6"/>
                      <w:position w:val="1"/>
                      <w:sz w:val="21"/>
                      <w:highlight w:val="none"/>
                    </w:rPr>
                    <w:t>2</w:t>
                  </w:r>
                  <w:r>
                    <w:rPr>
                      <w:rFonts w:ascii="Times New Roman" w:hAnsi="Times New Roman" w:eastAsia="宋体"/>
                      <w:spacing w:val="-6"/>
                      <w:position w:val="1"/>
                      <w:sz w:val="21"/>
                      <w:highlight w:val="none"/>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53" w:hRule="atLeast"/>
              </w:trPr>
              <w:tc>
                <w:tcPr>
                  <w:tcW w:w="75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75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天然气燃烧</w:t>
                  </w:r>
                </w:p>
              </w:tc>
              <w:tc>
                <w:tcPr>
                  <w:tcW w:w="7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DA</w:t>
                  </w:r>
                  <w:r>
                    <w:rPr>
                      <w:rFonts w:ascii="Times New Roman" w:hAnsi="Times New Roman" w:eastAsia="宋体" w:cs="Times New Roman"/>
                      <w:spacing w:val="8"/>
                      <w:position w:val="2"/>
                      <w:sz w:val="21"/>
                      <w:szCs w:val="20"/>
                      <w:highlight w:val="none"/>
                    </w:rPr>
                    <w:t>001</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废气排放口</w:t>
                  </w:r>
                </w:p>
              </w:tc>
              <w:tc>
                <w:tcPr>
                  <w:tcW w:w="88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position w:val="1"/>
                      <w:sz w:val="21"/>
                      <w:highlight w:val="none"/>
                    </w:rPr>
                    <w:t>颗粒物、</w:t>
                  </w:r>
                  <w:r>
                    <w:rPr>
                      <w:rFonts w:ascii="Times New Roman" w:hAnsi="Times New Roman" w:eastAsia="宋体" w:cs="Times New Roman"/>
                      <w:spacing w:val="-7"/>
                      <w:position w:val="1"/>
                      <w:sz w:val="21"/>
                      <w:highlight w:val="none"/>
                    </w:rPr>
                    <w:t>SO</w:t>
                  </w:r>
                  <w:r>
                    <w:rPr>
                      <w:rFonts w:ascii="Times New Roman" w:hAnsi="Times New Roman" w:eastAsia="宋体" w:cs="Times New Roman"/>
                      <w:spacing w:val="-7"/>
                      <w:sz w:val="21"/>
                      <w:szCs w:val="13"/>
                      <w:highlight w:val="none"/>
                      <w:vertAlign w:val="subscript"/>
                    </w:rPr>
                    <w:t>2</w:t>
                  </w:r>
                  <w:r>
                    <w:rPr>
                      <w:rFonts w:ascii="Times New Roman" w:hAnsi="Times New Roman" w:eastAsia="宋体"/>
                      <w:spacing w:val="-7"/>
                      <w:position w:val="1"/>
                      <w:sz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6"/>
                      <w:sz w:val="21"/>
                      <w:szCs w:val="20"/>
                      <w:highlight w:val="none"/>
                    </w:rPr>
                    <w:t>NOx</w:t>
                  </w:r>
                </w:p>
              </w:tc>
              <w:tc>
                <w:tcPr>
                  <w:tcW w:w="7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p>
              </w:tc>
              <w:tc>
                <w:tcPr>
                  <w:tcW w:w="108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《工业炉窑大气</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污染物排放标</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1"/>
                      <w:sz w:val="21"/>
                      <w:highlight w:val="none"/>
                    </w:rPr>
                    <w:t>准》</w:t>
                  </w:r>
                  <w:r>
                    <w:rPr>
                      <w:rFonts w:ascii="Times New Roman" w:hAnsi="Times New Roman" w:eastAsia="宋体"/>
                      <w:spacing w:val="-3"/>
                      <w:position w:val="1"/>
                      <w:sz w:val="21"/>
                      <w:highlight w:val="none"/>
                    </w:rPr>
                    <w:t>（</w:t>
                  </w:r>
                  <w:r>
                    <w:rPr>
                      <w:rFonts w:ascii="Times New Roman" w:hAnsi="Times New Roman" w:eastAsia="宋体" w:cs="Times New Roman"/>
                      <w:spacing w:val="-3"/>
                      <w:position w:val="1"/>
                      <w:sz w:val="21"/>
                      <w:highlight w:val="none"/>
                    </w:rPr>
                    <w:t>GB9078-1996</w:t>
                  </w:r>
                  <w:r>
                    <w:rPr>
                      <w:rFonts w:ascii="Times New Roman" w:hAnsi="Times New Roman" w:eastAsia="宋体"/>
                      <w:spacing w:val="-3"/>
                      <w:position w:val="1"/>
                      <w:sz w:val="21"/>
                      <w:highlight w:val="none"/>
                    </w:rPr>
                    <w:t>）</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3"/>
                      <w:position w:val="1"/>
                      <w:sz w:val="21"/>
                      <w:highlight w:val="none"/>
                    </w:rPr>
                    <w:t>表</w:t>
                  </w:r>
                  <w:r>
                    <w:rPr>
                      <w:rFonts w:ascii="Times New Roman" w:hAnsi="Times New Roman" w:eastAsia="宋体" w:cs="Times New Roman"/>
                      <w:spacing w:val="3"/>
                      <w:position w:val="1"/>
                      <w:sz w:val="21"/>
                      <w:highlight w:val="none"/>
                    </w:rPr>
                    <w:t>2</w:t>
                  </w:r>
                  <w:r>
                    <w:rPr>
                      <w:rFonts w:ascii="Times New Roman" w:hAnsi="Times New Roman" w:eastAsia="宋体"/>
                      <w:spacing w:val="3"/>
                      <w:position w:val="1"/>
                      <w:sz w:val="21"/>
                      <w:highlight w:val="none"/>
                    </w:rPr>
                    <w:t>中二级标准</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及《工业炉窑大</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气污染综合治理</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方案》中重点区</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域排放要求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098" w:hRule="atLeast"/>
              </w:trPr>
              <w:tc>
                <w:tcPr>
                  <w:tcW w:w="7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DA</w:t>
                  </w:r>
                  <w:r>
                    <w:rPr>
                      <w:rFonts w:ascii="Times New Roman" w:hAnsi="Times New Roman" w:eastAsia="宋体" w:cs="Times New Roman"/>
                      <w:spacing w:val="8"/>
                      <w:position w:val="2"/>
                      <w:sz w:val="21"/>
                      <w:szCs w:val="20"/>
                      <w:highlight w:val="none"/>
                    </w:rPr>
                    <w:t>002</w:t>
                  </w:r>
                </w:p>
              </w:tc>
              <w:tc>
                <w:tcPr>
                  <w:tcW w:w="75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焊接</w:t>
                  </w:r>
                </w:p>
              </w:tc>
              <w:tc>
                <w:tcPr>
                  <w:tcW w:w="7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DA</w:t>
                  </w:r>
                  <w:r>
                    <w:rPr>
                      <w:rFonts w:ascii="Times New Roman" w:hAnsi="Times New Roman" w:eastAsia="宋体" w:cs="Times New Roman"/>
                      <w:spacing w:val="8"/>
                      <w:position w:val="2"/>
                      <w:sz w:val="21"/>
                      <w:szCs w:val="20"/>
                      <w:highlight w:val="none"/>
                    </w:rPr>
                    <w:t>002</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废气排放口</w:t>
                  </w:r>
                </w:p>
              </w:tc>
              <w:tc>
                <w:tcPr>
                  <w:tcW w:w="88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颗粒物</w:t>
                  </w:r>
                </w:p>
              </w:tc>
              <w:tc>
                <w:tcPr>
                  <w:tcW w:w="75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cs="Times New Roman"/>
                      <w:spacing w:val="-4"/>
                      <w:position w:val="1"/>
                      <w:sz w:val="21"/>
                      <w:highlight w:val="none"/>
                    </w:rPr>
                    <w:t>1</w:t>
                  </w:r>
                  <w:r>
                    <w:rPr>
                      <w:rFonts w:ascii="Times New Roman" w:hAnsi="Times New Roman" w:eastAsia="宋体"/>
                      <w:spacing w:val="-4"/>
                      <w:position w:val="1"/>
                      <w:sz w:val="21"/>
                      <w:highlight w:val="none"/>
                    </w:rPr>
                    <w:t>次</w:t>
                  </w:r>
                  <w:r>
                    <w:rPr>
                      <w:rFonts w:ascii="Times New Roman" w:hAnsi="Times New Roman" w:eastAsia="宋体" w:cs="Times New Roman"/>
                      <w:spacing w:val="-4"/>
                      <w:position w:val="1"/>
                      <w:sz w:val="21"/>
                      <w:highlight w:val="none"/>
                    </w:rPr>
                    <w:t>/</w:t>
                  </w:r>
                  <w:r>
                    <w:rPr>
                      <w:rFonts w:ascii="Times New Roman" w:hAnsi="Times New Roman" w:eastAsia="宋体"/>
                      <w:spacing w:val="-4"/>
                      <w:position w:val="1"/>
                      <w:sz w:val="21"/>
                      <w:highlight w:val="none"/>
                    </w:rPr>
                    <w:t>年</w:t>
                  </w:r>
                </w:p>
              </w:tc>
              <w:tc>
                <w:tcPr>
                  <w:tcW w:w="108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《大气污染物综</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合排放标准》</w:t>
                  </w:r>
                </w:p>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5"/>
                      <w:position w:val="1"/>
                      <w:sz w:val="21"/>
                      <w:highlight w:val="none"/>
                    </w:rPr>
                    <w:t>（</w:t>
                  </w:r>
                  <w:r>
                    <w:rPr>
                      <w:rFonts w:ascii="Times New Roman" w:hAnsi="Times New Roman" w:eastAsia="宋体" w:cs="Times New Roman"/>
                      <w:position w:val="1"/>
                      <w:sz w:val="21"/>
                      <w:highlight w:val="none"/>
                    </w:rPr>
                    <w:t>GB</w:t>
                  </w:r>
                  <w:r>
                    <w:rPr>
                      <w:rFonts w:ascii="Times New Roman" w:hAnsi="Times New Roman" w:eastAsia="宋体" w:cs="Times New Roman"/>
                      <w:spacing w:val="5"/>
                      <w:position w:val="1"/>
                      <w:sz w:val="21"/>
                      <w:highlight w:val="none"/>
                    </w:rPr>
                    <w:t>16297-1996</w:t>
                  </w:r>
                  <w:r>
                    <w:rPr>
                      <w:rFonts w:ascii="Times New Roman" w:hAnsi="Times New Roman" w:eastAsia="宋体"/>
                      <w:spacing w:val="-6"/>
                      <w:position w:val="1"/>
                      <w:sz w:val="21"/>
                      <w:highlight w:val="none"/>
                    </w:rPr>
                    <w:t>)表</w:t>
                  </w:r>
                  <w:r>
                    <w:rPr>
                      <w:rFonts w:ascii="Times New Roman" w:hAnsi="Times New Roman" w:eastAsia="宋体" w:cs="Times New Roman"/>
                      <w:spacing w:val="-6"/>
                      <w:position w:val="1"/>
                      <w:sz w:val="21"/>
                      <w:highlight w:val="none"/>
                    </w:rPr>
                    <w:t>2</w:t>
                  </w:r>
                  <w:r>
                    <w:rPr>
                      <w:rFonts w:ascii="Times New Roman" w:hAnsi="Times New Roman" w:eastAsia="宋体"/>
                      <w:spacing w:val="-6"/>
                      <w:position w:val="1"/>
                      <w:sz w:val="21"/>
                      <w:highlight w:val="none"/>
                    </w:rPr>
                    <w:t>标准</w:t>
                  </w:r>
                </w:p>
              </w:tc>
            </w:tr>
          </w:tbl>
          <w:p>
            <w:pPr>
              <w:pStyle w:val="46"/>
              <w:rPr>
                <w:rFonts w:hint="eastAsia"/>
                <w:highlight w:val="none"/>
                <w:lang w:val="en-US" w:eastAsia="zh-CN"/>
              </w:rPr>
            </w:pPr>
          </w:p>
          <w:p>
            <w:pPr>
              <w:pStyle w:val="3"/>
              <w:numPr>
                <w:ilvl w:val="1"/>
                <w:numId w:val="1"/>
              </w:numPr>
              <w:bidi w:val="0"/>
              <w:ind w:left="0" w:leftChars="0" w:firstLine="0" w:firstLineChars="0"/>
              <w:rPr>
                <w:color w:val="000000" w:themeColor="text1"/>
                <w:highlight w:val="none"/>
                <w14:textFill>
                  <w14:solidFill>
                    <w14:schemeClr w14:val="tx1"/>
                  </w14:solidFill>
                </w14:textFill>
              </w:rPr>
            </w:pPr>
            <w:bookmarkStart w:id="47" w:name="_Toc20164"/>
            <w:r>
              <w:rPr>
                <w:rFonts w:hint="eastAsia"/>
                <w:color w:val="000000" w:themeColor="text1"/>
                <w:highlight w:val="none"/>
                <w:lang w:val="en-US" w:eastAsia="zh-CN"/>
                <w14:textFill>
                  <w14:solidFill>
                    <w14:schemeClr w14:val="tx1"/>
                  </w14:solidFill>
                </w14:textFill>
              </w:rPr>
              <w:t>运营期</w:t>
            </w:r>
            <w:r>
              <w:rPr>
                <w:color w:val="000000" w:themeColor="text1"/>
                <w:highlight w:val="none"/>
                <w14:textFill>
                  <w14:solidFill>
                    <w14:schemeClr w14:val="tx1"/>
                  </w14:solidFill>
                </w14:textFill>
              </w:rPr>
              <w:t>水环境</w:t>
            </w:r>
            <w:r>
              <w:rPr>
                <w:rFonts w:hint="eastAsia"/>
                <w:color w:val="000000" w:themeColor="text1"/>
                <w:highlight w:val="none"/>
                <w:lang w:val="en-US" w:eastAsia="zh-CN"/>
                <w14:textFill>
                  <w14:solidFill>
                    <w14:schemeClr w14:val="tx1"/>
                  </w14:solidFill>
                </w14:textFill>
              </w:rPr>
              <w:t>影响分析</w:t>
            </w:r>
            <w:bookmarkEnd w:id="47"/>
          </w:p>
          <w:p>
            <w:pPr>
              <w:pStyle w:val="4"/>
              <w:numPr>
                <w:ilvl w:val="2"/>
                <w:numId w:val="1"/>
              </w:numPr>
              <w:bidi w:val="0"/>
              <w:ind w:left="720" w:leftChars="0" w:hanging="720" w:firstLineChars="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废水污染源强分析</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本项目外排废水主要为生活污水。项目废水治理设施、废水污染物排放口、排放口基本情况详见下表。</w:t>
            </w:r>
            <w:bookmarkStart w:id="48" w:name="_Ref24577"/>
          </w:p>
          <w:p>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项目废水治理设施一览表</w:t>
            </w:r>
            <w:bookmarkEnd w:id="48"/>
          </w:p>
          <w:tbl>
            <w:tblPr>
              <w:tblStyle w:val="84"/>
              <w:tblW w:w="8562" w:type="dxa"/>
              <w:tblInd w:w="24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2"/>
              <w:gridCol w:w="746"/>
              <w:gridCol w:w="922"/>
              <w:gridCol w:w="955"/>
              <w:gridCol w:w="597"/>
              <w:gridCol w:w="818"/>
              <w:gridCol w:w="947"/>
              <w:gridCol w:w="835"/>
              <w:gridCol w:w="1000"/>
              <w:gridCol w:w="14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342" w:type="dxa"/>
                  <w:vMerge w:val="restart"/>
                  <w:tcBorders>
                    <w:tl2br w:val="nil"/>
                    <w:tr2bl w:val="nil"/>
                  </w:tcBorders>
                  <w:textDirection w:val="tbRlV"/>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序号</w:t>
                  </w:r>
                </w:p>
              </w:tc>
              <w:tc>
                <w:tcPr>
                  <w:tcW w:w="746"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废水</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类别</w:t>
                  </w:r>
                </w:p>
              </w:tc>
              <w:tc>
                <w:tcPr>
                  <w:tcW w:w="922"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污染物种类</w:t>
                  </w:r>
                </w:p>
              </w:tc>
              <w:tc>
                <w:tcPr>
                  <w:tcW w:w="955"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排放去向</w:t>
                  </w:r>
                </w:p>
              </w:tc>
              <w:tc>
                <w:tcPr>
                  <w:tcW w:w="597"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规律</w:t>
                  </w:r>
                </w:p>
              </w:tc>
              <w:tc>
                <w:tcPr>
                  <w:tcW w:w="2600" w:type="dxa"/>
                  <w:gridSpan w:val="3"/>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污染治理设施</w:t>
                  </w:r>
                </w:p>
              </w:tc>
              <w:tc>
                <w:tcPr>
                  <w:tcW w:w="1000"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口编号</w:t>
                  </w:r>
                </w:p>
              </w:tc>
              <w:tc>
                <w:tcPr>
                  <w:tcW w:w="1400"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排放口</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设置是</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否符合要求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342" w:type="dxa"/>
                  <w:vMerge w:val="continue"/>
                  <w:tcBorders>
                    <w:tl2br w:val="nil"/>
                    <w:tr2bl w:val="nil"/>
                  </w:tcBorders>
                  <w:textDirection w:val="tbRlV"/>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746"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922"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95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597"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8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污染治</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理设施名称</w:t>
                  </w:r>
                </w:p>
              </w:tc>
              <w:tc>
                <w:tcPr>
                  <w:tcW w:w="94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污染治理</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设施工艺</w:t>
                  </w:r>
                </w:p>
              </w:tc>
              <w:tc>
                <w:tcPr>
                  <w:tcW w:w="8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是否</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为可</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行技术</w:t>
                  </w:r>
                </w:p>
              </w:tc>
              <w:tc>
                <w:tcPr>
                  <w:tcW w:w="1000"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400"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9" w:hRule="atLeast"/>
              </w:trPr>
              <w:tc>
                <w:tcPr>
                  <w:tcW w:w="34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w:t>
                  </w:r>
                </w:p>
              </w:tc>
              <w:tc>
                <w:tcPr>
                  <w:tcW w:w="746"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生产废</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水</w:t>
                  </w:r>
                </w:p>
              </w:tc>
              <w:tc>
                <w:tcPr>
                  <w:tcW w:w="92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COD、</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SS、</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NH</w:t>
                  </w:r>
                  <w:r>
                    <w:rPr>
                      <w:rFonts w:ascii="Times New Roman" w:hAnsi="Times New Roman" w:eastAsia="宋体" w:cs="Times New Roman"/>
                      <w:color w:val="000000" w:themeColor="text1"/>
                      <w:sz w:val="21"/>
                      <w:highlight w:val="none"/>
                      <w:vertAlign w:val="subscript"/>
                      <w14:textFill>
                        <w14:solidFill>
                          <w14:schemeClr w14:val="tx1"/>
                        </w14:solidFill>
                      </w14:textFill>
                    </w:rPr>
                    <w:t>3</w:t>
                  </w:r>
                  <w:r>
                    <w:rPr>
                      <w:rFonts w:ascii="Times New Roman" w:hAnsi="Times New Roman" w:eastAsia="宋体" w:cs="Times New Roman"/>
                      <w:color w:val="000000" w:themeColor="text1"/>
                      <w:sz w:val="21"/>
                      <w:highlight w:val="none"/>
                      <w14:textFill>
                        <w14:solidFill>
                          <w14:schemeClr w14:val="tx1"/>
                        </w14:solidFill>
                      </w14:textFill>
                    </w:rPr>
                    <w:t>-N、</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BOD</w:t>
                  </w:r>
                  <w:r>
                    <w:rPr>
                      <w:rFonts w:ascii="Times New Roman" w:hAnsi="Times New Roman" w:eastAsia="宋体" w:cs="Times New Roman"/>
                      <w:color w:val="000000" w:themeColor="text1"/>
                      <w:sz w:val="21"/>
                      <w:highlight w:val="none"/>
                      <w:vertAlign w:val="subscript"/>
                      <w14:textFill>
                        <w14:solidFill>
                          <w14:schemeClr w14:val="tx1"/>
                        </w14:solidFill>
                      </w14:textFill>
                    </w:rPr>
                    <w:t>5</w:t>
                  </w:r>
                  <w:r>
                    <w:rPr>
                      <w:rFonts w:ascii="Times New Roman" w:hAnsi="Times New Roman" w:eastAsia="宋体" w:cs="Times New Roman"/>
                      <w:color w:val="000000" w:themeColor="text1"/>
                      <w:sz w:val="21"/>
                      <w:highlight w:val="none"/>
                      <w14:textFill>
                        <w14:solidFill>
                          <w14:schemeClr w14:val="tx1"/>
                        </w14:solidFill>
                      </w14:textFill>
                    </w:rPr>
                    <w:t>、石</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油类、</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LAS、氟</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化物</w:t>
                  </w:r>
                </w:p>
              </w:tc>
              <w:tc>
                <w:tcPr>
                  <w:tcW w:w="955"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福清市第二污水处理厂</w:t>
                  </w:r>
                </w:p>
              </w:tc>
              <w:tc>
                <w:tcPr>
                  <w:tcW w:w="59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间歇</w:t>
                  </w:r>
                </w:p>
              </w:tc>
              <w:tc>
                <w:tcPr>
                  <w:tcW w:w="8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“物化</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反应+气浮+A/O+沉淀”</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处理设施</w:t>
                  </w:r>
                </w:p>
              </w:tc>
              <w:tc>
                <w:tcPr>
                  <w:tcW w:w="94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物化反应</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+气浮</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+A/O+沉</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淀</w:t>
                  </w:r>
                </w:p>
              </w:tc>
              <w:tc>
                <w:tcPr>
                  <w:tcW w:w="8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是</w:t>
                  </w:r>
                </w:p>
              </w:tc>
              <w:tc>
                <w:tcPr>
                  <w:tcW w:w="1000"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DW001</w:t>
                  </w:r>
                </w:p>
              </w:tc>
              <w:tc>
                <w:tcPr>
                  <w:tcW w:w="1400" w:type="dxa"/>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1" w:hRule="atLeast"/>
              </w:trPr>
              <w:tc>
                <w:tcPr>
                  <w:tcW w:w="34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w:t>
                  </w:r>
                </w:p>
              </w:tc>
              <w:tc>
                <w:tcPr>
                  <w:tcW w:w="746"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生活污</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水</w:t>
                  </w:r>
                </w:p>
              </w:tc>
              <w:tc>
                <w:tcPr>
                  <w:tcW w:w="922"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COD</w:t>
                  </w:r>
                  <w:r>
                    <w:rPr>
                      <w:rFonts w:ascii="Times New Roman" w:hAnsi="Times New Roman" w:eastAsia="宋体" w:cs="Times New Roman"/>
                      <w:color w:val="000000" w:themeColor="text1"/>
                      <w:sz w:val="21"/>
                      <w:highlight w:val="none"/>
                      <w:vertAlign w:val="subscript"/>
                      <w14:textFill>
                        <w14:solidFill>
                          <w14:schemeClr w14:val="tx1"/>
                        </w14:solidFill>
                      </w14:textFill>
                    </w:rPr>
                    <w:t>Cr</w:t>
                  </w:r>
                  <w:r>
                    <w:rPr>
                      <w:rFonts w:ascii="Times New Roman" w:hAnsi="Times New Roman" w:eastAsia="宋体" w:cs="Times New Roman"/>
                      <w:color w:val="000000" w:themeColor="text1"/>
                      <w:sz w:val="21"/>
                      <w:highlight w:val="none"/>
                      <w14:textFill>
                        <w14:solidFill>
                          <w14:schemeClr w14:val="tx1"/>
                        </w14:solidFill>
                      </w14:textFill>
                    </w:rPr>
                    <w:t>、</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BOD</w:t>
                  </w:r>
                  <w:r>
                    <w:rPr>
                      <w:rFonts w:ascii="Times New Roman" w:hAnsi="Times New Roman" w:eastAsia="宋体" w:cs="Times New Roman"/>
                      <w:color w:val="000000" w:themeColor="text1"/>
                      <w:sz w:val="21"/>
                      <w:highlight w:val="none"/>
                      <w:vertAlign w:val="subscript"/>
                      <w14:textFill>
                        <w14:solidFill>
                          <w14:schemeClr w14:val="tx1"/>
                        </w14:solidFill>
                      </w14:textFill>
                    </w:rPr>
                    <w:t>5</w:t>
                  </w:r>
                  <w:r>
                    <w:rPr>
                      <w:rFonts w:ascii="Times New Roman" w:hAnsi="Times New Roman" w:eastAsia="宋体" w:cs="Times New Roman"/>
                      <w:color w:val="000000" w:themeColor="text1"/>
                      <w:sz w:val="21"/>
                      <w:highlight w:val="none"/>
                      <w14:textFill>
                        <w14:solidFill>
                          <w14:schemeClr w14:val="tx1"/>
                        </w14:solidFill>
                      </w14:textFill>
                    </w:rPr>
                    <w:t>、</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SS、</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NH</w:t>
                  </w:r>
                  <w:r>
                    <w:rPr>
                      <w:rFonts w:ascii="Times New Roman" w:hAnsi="Times New Roman" w:eastAsia="宋体" w:cs="Times New Roman"/>
                      <w:color w:val="000000" w:themeColor="text1"/>
                      <w:sz w:val="21"/>
                      <w:highlight w:val="none"/>
                      <w:vertAlign w:val="subscript"/>
                      <w14:textFill>
                        <w14:solidFill>
                          <w14:schemeClr w14:val="tx1"/>
                        </w14:solidFill>
                      </w14:textFill>
                    </w:rPr>
                    <w:t>3</w:t>
                  </w:r>
                  <w:r>
                    <w:rPr>
                      <w:rFonts w:ascii="Times New Roman" w:hAnsi="Times New Roman" w:eastAsia="宋体" w:cs="Times New Roman"/>
                      <w:color w:val="000000" w:themeColor="text1"/>
                      <w:sz w:val="21"/>
                      <w:highlight w:val="none"/>
                      <w14:textFill>
                        <w14:solidFill>
                          <w14:schemeClr w14:val="tx1"/>
                        </w14:solidFill>
                      </w14:textFill>
                    </w:rPr>
                    <w:t>-N</w:t>
                  </w:r>
                </w:p>
              </w:tc>
              <w:tc>
                <w:tcPr>
                  <w:tcW w:w="955"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597" w:type="dxa"/>
                  <w:tcBorders>
                    <w:tl2br w:val="nil"/>
                    <w:tr2bl w:val="nil"/>
                  </w:tcBorders>
                  <w:textDirection w:val="tbRlV"/>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间歇</w:t>
                  </w:r>
                </w:p>
              </w:tc>
              <w:tc>
                <w:tcPr>
                  <w:tcW w:w="818"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化粪池</w:t>
                  </w:r>
                </w:p>
              </w:tc>
              <w:tc>
                <w:tcPr>
                  <w:tcW w:w="947"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沉淀</w:t>
                  </w:r>
                </w:p>
              </w:tc>
              <w:tc>
                <w:tcPr>
                  <w:tcW w:w="835" w:type="dxa"/>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是</w:t>
                  </w:r>
                </w:p>
              </w:tc>
              <w:tc>
                <w:tcPr>
                  <w:tcW w:w="1000"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400" w:type="dxa"/>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r>
          </w:tbl>
          <w:p>
            <w:pPr>
              <w:rPr>
                <w:rFonts w:hint="eastAsia"/>
                <w:highlight w:val="none"/>
                <w:lang w:val="en-US" w:eastAsia="zh-CN"/>
              </w:rPr>
            </w:pPr>
          </w:p>
          <w:p>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49" w:name="_Ref27296"/>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项目废水源核算一览表</w:t>
            </w:r>
            <w:bookmarkEnd w:id="49"/>
          </w:p>
          <w:tbl>
            <w:tblPr>
              <w:tblStyle w:val="33"/>
              <w:tblW w:w="49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80"/>
              <w:gridCol w:w="1184"/>
              <w:gridCol w:w="853"/>
              <w:gridCol w:w="814"/>
              <w:gridCol w:w="619"/>
              <w:gridCol w:w="839"/>
              <w:gridCol w:w="768"/>
              <w:gridCol w:w="394"/>
              <w:gridCol w:w="2157"/>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19"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类别</w:t>
                  </w:r>
                </w:p>
              </w:tc>
              <w:tc>
                <w:tcPr>
                  <w:tcW w:w="678"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污染物种类</w:t>
                  </w:r>
                </w:p>
              </w:tc>
              <w:tc>
                <w:tcPr>
                  <w:tcW w:w="956" w:type="pct"/>
                  <w:gridSpan w:val="2"/>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污染物产生情况</w:t>
                  </w:r>
                </w:p>
              </w:tc>
              <w:tc>
                <w:tcPr>
                  <w:tcW w:w="335"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净化</w:t>
                  </w:r>
                </w:p>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效率</w:t>
                  </w:r>
                </w:p>
              </w:tc>
              <w:tc>
                <w:tcPr>
                  <w:tcW w:w="922" w:type="pct"/>
                  <w:gridSpan w:val="2"/>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污染物排放情况</w:t>
                  </w:r>
                </w:p>
              </w:tc>
              <w:tc>
                <w:tcPr>
                  <w:tcW w:w="227"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排放方式</w:t>
                  </w:r>
                </w:p>
              </w:tc>
              <w:tc>
                <w:tcPr>
                  <w:tcW w:w="1233"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排放去向</w:t>
                  </w:r>
                </w:p>
              </w:tc>
              <w:tc>
                <w:tcPr>
                  <w:tcW w:w="428"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排放标准mg/</w:t>
                  </w:r>
                  <w:r>
                    <w:rPr>
                      <w:rFonts w:hint="eastAsia" w:ascii="Times New Roman" w:hAnsi="Times New Roman" w:eastAsia="宋体" w:cs="Times New Roman"/>
                      <w:color w:val="000000" w:themeColor="text1"/>
                      <w:sz w:val="21"/>
                      <w:highlight w:val="none"/>
                      <w14:textFill>
                        <w14:solidFill>
                          <w14:schemeClr w14:val="tx1"/>
                        </w14:solidFill>
                      </w14:textFill>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产生浓度mg/</w:t>
                  </w:r>
                  <w:r>
                    <w:rPr>
                      <w:rFonts w:hint="eastAsia" w:ascii="Times New Roman" w:hAnsi="Times New Roman" w:eastAsia="宋体" w:cs="Times New Roman"/>
                      <w:color w:val="000000" w:themeColor="text1"/>
                      <w:sz w:val="21"/>
                      <w:highlight w:val="none"/>
                      <w14:textFill>
                        <w14:solidFill>
                          <w14:schemeClr w14:val="tx1"/>
                        </w14:solidFill>
                      </w14:textFill>
                    </w:rPr>
                    <w:t>L</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产生量t/a</w:t>
                  </w:r>
                </w:p>
              </w:tc>
              <w:tc>
                <w:tcPr>
                  <w:tcW w:w="335"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排放浓度mg/</w:t>
                  </w:r>
                  <w:r>
                    <w:rPr>
                      <w:rFonts w:hint="eastAsia" w:ascii="Times New Roman" w:hAnsi="Times New Roman" w:eastAsia="宋体" w:cs="Times New Roman"/>
                      <w:color w:val="000000" w:themeColor="text1"/>
                      <w:sz w:val="21"/>
                      <w:highlight w:val="none"/>
                      <w14:textFill>
                        <w14:solidFill>
                          <w14:schemeClr w14:val="tx1"/>
                        </w14:solidFill>
                      </w14:textFill>
                    </w:rPr>
                    <w:t>L</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排放量t/a</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生活污水</w:t>
                  </w: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废水量</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360</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360</w:t>
                  </w:r>
                </w:p>
              </w:tc>
              <w:tc>
                <w:tcPr>
                  <w:tcW w:w="227"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间接排放</w:t>
                  </w:r>
                </w:p>
              </w:tc>
              <w:tc>
                <w:tcPr>
                  <w:tcW w:w="1233"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eastAsia="zh-CN"/>
                      <w14:textFill>
                        <w14:solidFill>
                          <w14:schemeClr w14:val="tx1"/>
                        </w14:solidFill>
                      </w14:textFill>
                    </w:rPr>
                    <w:t>经处理达标后通过厂区污水总排放口排入市政污水管网，送往福清市第二污水处理厂集中处理</w:t>
                  </w: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pH(无量纲)</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CODcr</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300</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0.108</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6.7%</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280</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0.1</w:t>
                  </w:r>
                  <w:r>
                    <w:rPr>
                      <w:rFonts w:hint="eastAsia" w:ascii="Times New Roman" w:hAnsi="Times New Roman" w:cs="Times New Roman"/>
                      <w:color w:val="000000" w:themeColor="text1"/>
                      <w:sz w:val="21"/>
                      <w:highlight w:val="none"/>
                      <w:lang w:val="en-US" w:eastAsia="zh-CN"/>
                      <w14:textFill>
                        <w14:solidFill>
                          <w14:schemeClr w14:val="tx1"/>
                        </w14:solidFill>
                      </w14:textFill>
                    </w:rPr>
                    <w:t>008</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BOD5</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150</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0.054</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6.7%</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140</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0.5038</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NH3-N</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25</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0.009</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4%</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24</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0.00864</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SS</w:t>
                  </w:r>
                </w:p>
              </w:tc>
              <w:tc>
                <w:tcPr>
                  <w:tcW w:w="489"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200</w:t>
                  </w:r>
                </w:p>
              </w:tc>
              <w:tc>
                <w:tcPr>
                  <w:tcW w:w="467"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0.072</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25%</w:t>
                  </w:r>
                </w:p>
              </w:tc>
              <w:tc>
                <w:tcPr>
                  <w:tcW w:w="481"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150</w:t>
                  </w:r>
                </w:p>
              </w:tc>
              <w:tc>
                <w:tcPr>
                  <w:tcW w:w="440"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0.054</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TN</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40</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0.0144</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12.5%</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35</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0.0126</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2" w:hRule="exact"/>
                <w:jc w:val="center"/>
              </w:trPr>
              <w:tc>
                <w:tcPr>
                  <w:tcW w:w="219" w:type="pct"/>
                  <w:vMerge w:val="restart"/>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生产废水</w:t>
                  </w: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en-US"/>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废水量</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510</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510</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11"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en-US"/>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pH(无量纲)</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CODcr</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857.84</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0.4375</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65%</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300.2</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0.1531</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BOD5</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334.11</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0.1704</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65%</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116.9</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0.0596</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SS</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509.41</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0.2598</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203.7</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0.1039</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en-US"/>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石油类</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75.29</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0.0894</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90%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17.5</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0.0089</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LAS</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4.92</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0.0025</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50%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2.46</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0.0012</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NH3-N</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10.06</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0.0051</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40%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6.03</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0.0031</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en-US"/>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氟化物</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50.29</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0.0256</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70%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15.08</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0.0076</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9"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67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TN</w:t>
                  </w:r>
                </w:p>
              </w:tc>
              <w:tc>
                <w:tcPr>
                  <w:tcW w:w="489"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16.67</w:t>
                  </w:r>
                </w:p>
              </w:tc>
              <w:tc>
                <w:tcPr>
                  <w:tcW w:w="467"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0.0085</w:t>
                  </w:r>
                </w:p>
              </w:tc>
              <w:tc>
                <w:tcPr>
                  <w:tcW w:w="335"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40%</w:t>
                  </w:r>
                </w:p>
              </w:tc>
              <w:tc>
                <w:tcPr>
                  <w:tcW w:w="481"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10.0</w:t>
                  </w:r>
                </w:p>
              </w:tc>
              <w:tc>
                <w:tcPr>
                  <w:tcW w:w="440"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highlight w:val="none"/>
                      <w14:textFill>
                        <w14:solidFill>
                          <w14:schemeClr w14:val="tx1"/>
                        </w14:solidFill>
                      </w14:textFill>
                    </w:rPr>
                    <w:t>0.0051</w:t>
                  </w:r>
                </w:p>
              </w:tc>
              <w:tc>
                <w:tcPr>
                  <w:tcW w:w="227"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1233" w:type="pct"/>
                  <w:vMerge w:val="continue"/>
                  <w:tcBorders>
                    <w:tl2br w:val="nil"/>
                    <w:tr2bl w:val="nil"/>
                  </w:tcBorders>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000000" w:themeColor="text1"/>
                      <w:sz w:val="21"/>
                      <w:highlight w:val="none"/>
                      <w14:textFill>
                        <w14:solidFill>
                          <w14:schemeClr w14:val="tx1"/>
                        </w14:solidFill>
                      </w14:textFill>
                    </w:rPr>
                  </w:pPr>
                </w:p>
              </w:tc>
              <w:tc>
                <w:tcPr>
                  <w:tcW w:w="428" w:type="pct"/>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5000" w:type="pct"/>
                  <w:gridSpan w:val="10"/>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firstLine="0"/>
                    <w:jc w:val="both"/>
                    <w:rPr>
                      <w:rFonts w:ascii="Times New Roman" w:hAnsi="Times New Roman" w:eastAsia="宋体" w:cs="Times New Roman"/>
                      <w:spacing w:val="2"/>
                      <w:position w:val="1"/>
                      <w:sz w:val="21"/>
                      <w:szCs w:val="20"/>
                      <w:highlight w:val="none"/>
                    </w:rPr>
                  </w:pPr>
                  <w:r>
                    <w:rPr>
                      <w:rFonts w:ascii="Times New Roman" w:hAnsi="Times New Roman" w:eastAsia="宋体" w:cs="Times New Roman"/>
                      <w:spacing w:val="2"/>
                      <w:position w:val="1"/>
                      <w:sz w:val="21"/>
                      <w:szCs w:val="20"/>
                      <w:highlight w:val="none"/>
                    </w:rPr>
                    <w:t>注：废水净化效率取值依据为《污染源源强核算技术指南汽车制造》（HJ 1097-2020）、《废水污染控制技术手册》（化学工业出版社）。</w:t>
                  </w:r>
                </w:p>
              </w:tc>
            </w:tr>
          </w:tbl>
          <w:p>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项目排放口基本情况及监测计划一览表</w:t>
            </w:r>
          </w:p>
          <w:tbl>
            <w:tblPr>
              <w:tblStyle w:val="34"/>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667"/>
              <w:gridCol w:w="661"/>
              <w:gridCol w:w="1731"/>
              <w:gridCol w:w="1634"/>
              <w:gridCol w:w="636"/>
              <w:gridCol w:w="1633"/>
              <w:gridCol w:w="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41"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721"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716"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类型</w:t>
                  </w:r>
                </w:p>
              </w:tc>
              <w:tc>
                <w:tcPr>
                  <w:tcW w:w="2959" w:type="dxa"/>
                  <w:gridSpan w:val="2"/>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685"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排放规律</w:t>
                  </w:r>
                </w:p>
              </w:tc>
              <w:tc>
                <w:tcPr>
                  <w:tcW w:w="1776"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监测因子</w:t>
                  </w:r>
                </w:p>
              </w:tc>
              <w:tc>
                <w:tcPr>
                  <w:tcW w:w="928" w:type="dxa"/>
                  <w:vMerge w:val="restart"/>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41"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c>
                <w:tcPr>
                  <w:tcW w:w="721"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c>
                <w:tcPr>
                  <w:tcW w:w="716"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c>
                <w:tcPr>
                  <w:tcW w:w="1545"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E</w:t>
                  </w:r>
                </w:p>
              </w:tc>
              <w:tc>
                <w:tcPr>
                  <w:tcW w:w="1414"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w:t>
                  </w:r>
                </w:p>
              </w:tc>
              <w:tc>
                <w:tcPr>
                  <w:tcW w:w="685"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c>
                <w:tcPr>
                  <w:tcW w:w="1776"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c>
                <w:tcPr>
                  <w:tcW w:w="928" w:type="dxa"/>
                  <w:vMerge w:val="continue"/>
                  <w:tcBorders>
                    <w:tl2br w:val="nil"/>
                    <w:tr2bl w:val="nil"/>
                  </w:tcBorders>
                  <w:vAlign w:val="center"/>
                </w:tcPr>
                <w:p>
                  <w:pPr>
                    <w:jc w:val="center"/>
                    <w:rPr>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41" w:type="dxa"/>
                  <w:tcBorders>
                    <w:tl2br w:val="nil"/>
                    <w:tr2bl w:val="nil"/>
                  </w:tcBorders>
                  <w:vAlign w:val="center"/>
                </w:tcPr>
                <w:p>
                  <w:pPr>
                    <w:pStyle w:val="21"/>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ascii="Times New Roman" w:hAnsi="Times New Roman"/>
                      <w:color w:val="000000" w:themeColor="text1"/>
                      <w:szCs w:val="21"/>
                      <w:highlight w:val="none"/>
                      <w:lang w:val="en-US" w:eastAsia="zh-CN"/>
                      <w14:textFill>
                        <w14:solidFill>
                          <w14:schemeClr w14:val="tx1"/>
                        </w14:solidFill>
                      </w14:textFill>
                    </w:rPr>
                    <w:t>1</w:t>
                  </w:r>
                </w:p>
              </w:tc>
              <w:tc>
                <w:tcPr>
                  <w:tcW w:w="721" w:type="dxa"/>
                  <w:tcBorders>
                    <w:tl2br w:val="nil"/>
                    <w:tr2bl w:val="nil"/>
                  </w:tcBorders>
                  <w:vAlign w:val="center"/>
                </w:tcPr>
                <w:p>
                  <w:pPr>
                    <w:pStyle w:val="96"/>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活污水排放</w:t>
                  </w:r>
                  <w:r>
                    <w:rPr>
                      <w:rFonts w:hint="eastAsia" w:ascii="Times New Roman" w:hAnsi="Times New Roman" w:cs="Times New Roman"/>
                      <w:color w:val="000000" w:themeColor="text1"/>
                      <w:sz w:val="21"/>
                      <w:highlight w:val="none"/>
                      <w:lang w:val="en-US" w:eastAsia="zh-CN"/>
                      <w14:textFill>
                        <w14:solidFill>
                          <w14:schemeClr w14:val="tx1"/>
                        </w14:solidFill>
                      </w14:textFill>
                    </w:rPr>
                    <w:t>口</w:t>
                  </w:r>
                </w:p>
              </w:tc>
              <w:tc>
                <w:tcPr>
                  <w:tcW w:w="716" w:type="dxa"/>
                  <w:tcBorders>
                    <w:tl2br w:val="nil"/>
                    <w:tr2bl w:val="nil"/>
                  </w:tcBorders>
                  <w:vAlign w:val="center"/>
                </w:tcPr>
                <w:p>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545" w:type="dxa"/>
                  <w:tcBorders>
                    <w:tl2br w:val="nil"/>
                    <w:tr2bl w:val="nil"/>
                  </w:tcBorders>
                  <w:vAlign w:val="center"/>
                </w:tcPr>
                <w:p>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119.299428332°</w:t>
                  </w:r>
                </w:p>
              </w:tc>
              <w:tc>
                <w:tcPr>
                  <w:tcW w:w="1414" w:type="dxa"/>
                  <w:tcBorders>
                    <w:tl2br w:val="nil"/>
                    <w:tr2bl w:val="nil"/>
                  </w:tcBorders>
                  <w:vAlign w:val="center"/>
                </w:tcPr>
                <w:p>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25.803894392°</w:t>
                  </w:r>
                </w:p>
              </w:tc>
              <w:tc>
                <w:tcPr>
                  <w:tcW w:w="685"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776" w:type="dxa"/>
                  <w:tcBorders>
                    <w:tl2br w:val="nil"/>
                    <w:tr2bl w:val="nil"/>
                  </w:tcBorders>
                  <w:vAlign w:val="center"/>
                </w:tcPr>
                <w:p>
                  <w:pPr>
                    <w:pStyle w:val="99"/>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p>
              </w:tc>
              <w:tc>
                <w:tcPr>
                  <w:tcW w:w="928" w:type="dxa"/>
                  <w:tcBorders>
                    <w:tl2br w:val="nil"/>
                    <w:tr2bl w:val="nil"/>
                  </w:tcBorders>
                  <w:vAlign w:val="center"/>
                </w:tcPr>
                <w:p>
                  <w:pPr>
                    <w:pStyle w:val="99"/>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1次/年</w:t>
                  </w:r>
                </w:p>
              </w:tc>
            </w:tr>
          </w:tbl>
          <w:p>
            <w:pPr>
              <w:pStyle w:val="5"/>
              <w:numPr>
                <w:ilvl w:val="3"/>
                <w:numId w:val="13"/>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生活污水</w:t>
            </w:r>
          </w:p>
          <w:p>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本项目生活污水产生量为生活用水的80%，则生活污水产生量为</w:t>
            </w:r>
            <w:r>
              <w:rPr>
                <w:rFonts w:hint="eastAsia"/>
                <w:color w:val="000000" w:themeColor="text1"/>
                <w:highlight w:val="none"/>
                <w:lang w:val="en-US" w:eastAsia="zh-CN"/>
                <w14:textFill>
                  <w14:solidFill>
                    <w14:schemeClr w14:val="tx1"/>
                  </w14:solidFill>
                </w14:textFill>
              </w:rPr>
              <w:t>420</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1.4</w:t>
            </w:r>
            <w:r>
              <w:rPr>
                <w:color w:val="000000" w:themeColor="text1"/>
                <w:highlight w:val="none"/>
                <w14:textFill>
                  <w14:solidFill>
                    <w14:schemeClr w14:val="tx1"/>
                  </w14:solidFill>
                </w14:textFill>
              </w:rPr>
              <w:t>t/d)，</w:t>
            </w:r>
            <w:r>
              <w:rPr>
                <w:rFonts w:hint="eastAsia"/>
                <w:color w:val="000000" w:themeColor="text1"/>
                <w:highlight w:val="none"/>
                <w14:textFill>
                  <w14:solidFill>
                    <w14:schemeClr w14:val="tx1"/>
                  </w14:solidFill>
                </w14:textFill>
              </w:rPr>
              <w:t>参考</w:t>
            </w:r>
            <w:r>
              <w:rPr>
                <w:color w:val="000000" w:themeColor="text1"/>
                <w:highlight w:val="none"/>
                <w14:textFill>
                  <w14:solidFill>
                    <w14:schemeClr w14:val="tx1"/>
                  </w14:solidFill>
                </w14:textFill>
              </w:rPr>
              <w:t>根据《给排水设计手册》(第五册城镇排水)典型生活污水水质示例，本环评项目生活污水中主要污染指标浓度取值为COD400mg/L、BOD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200mg/L、SS</w:t>
            </w:r>
            <w:r>
              <w:rPr>
                <w:rFonts w:hint="eastAsia"/>
                <w:color w:val="000000" w:themeColor="text1"/>
                <w:highlight w:val="none"/>
                <w:lang w:eastAsia="zh-CN"/>
                <w14:textFill>
                  <w14:solidFill>
                    <w14:schemeClr w14:val="tx1"/>
                  </w14:solidFill>
                </w14:textFill>
              </w:rPr>
              <w:t>200m</w:t>
            </w:r>
            <w:r>
              <w:rPr>
                <w:color w:val="000000" w:themeColor="text1"/>
                <w:highlight w:val="none"/>
                <w14:textFill>
                  <w14:solidFill>
                    <w14:schemeClr w14:val="tx1"/>
                  </w14:solidFill>
                </w14:textFill>
              </w:rPr>
              <w:t>g/L、氨氮35mg/L，生活污水经化粪池处理</w:t>
            </w:r>
            <w:r>
              <w:rPr>
                <w:rFonts w:hint="eastAsia"/>
                <w:color w:val="000000" w:themeColor="text1"/>
                <w:highlight w:val="none"/>
                <w:lang w:eastAsia="zh-CN"/>
                <w14:textFill>
                  <w14:solidFill>
                    <w14:schemeClr w14:val="tx1"/>
                  </w14:solidFill>
                </w14:textFill>
              </w:rPr>
              <w:t>达到</w:t>
            </w:r>
            <w:r>
              <w:rPr>
                <w:color w:val="000000" w:themeColor="text1"/>
                <w:highlight w:val="none"/>
                <w14:textFill>
                  <w14:solidFill>
                    <w14:schemeClr w14:val="tx1"/>
                  </w14:solidFill>
                </w14:textFill>
              </w:rPr>
              <w:t>《污水综合排放标准》（GB8978-1996）表4中三级标准（其中氨氮执行《污水排入城镇下水道水质标准》（GBT31962-2015）表1的B等级标准）后接入</w:t>
            </w:r>
            <w:r>
              <w:rPr>
                <w:rFonts w:hint="eastAsia"/>
                <w:color w:val="000000" w:themeColor="text1"/>
                <w:highlight w:val="none"/>
                <w14:textFill>
                  <w14:solidFill>
                    <w14:schemeClr w14:val="tx1"/>
                  </w14:solidFill>
                </w14:textFill>
              </w:rPr>
              <w:t>市</w:t>
            </w:r>
            <w:r>
              <w:rPr>
                <w:color w:val="000000" w:themeColor="text1"/>
                <w:highlight w:val="none"/>
                <w14:textFill>
                  <w14:solidFill>
                    <w14:schemeClr w14:val="tx1"/>
                  </w14:solidFill>
                </w14:textFill>
              </w:rPr>
              <w:t>政污水管网，排入福清市第二污水处理厂处理；废水净化效率取值依据为《污染源源强核算技术指南汽车制造》（HJ 1097-2020）、《废水污染控制技术手册》（化学工业出版社）</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则生活污水产生量及排放量见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4.3-1、</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4.3-2</w:t>
            </w:r>
            <w:r>
              <w:rPr>
                <w:color w:val="000000" w:themeColor="text1"/>
                <w:highlight w:val="none"/>
                <w14:textFill>
                  <w14:solidFill>
                    <w14:schemeClr w14:val="tx1"/>
                  </w14:solidFill>
                </w14:textFill>
              </w:rPr>
              <w:t>。</w:t>
            </w:r>
          </w:p>
          <w:p>
            <w:pPr>
              <w:pStyle w:val="5"/>
              <w:numPr>
                <w:ilvl w:val="3"/>
                <w:numId w:val="13"/>
              </w:numPr>
              <w:tabs>
                <w:tab w:val="left" w:pos="0"/>
              </w:tabs>
              <w:bidi w:val="0"/>
              <w:ind w:left="864" w:leftChars="0" w:hanging="864" w:firstLineChars="0"/>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生产废水</w:t>
            </w:r>
          </w:p>
          <w:p>
            <w:pPr>
              <w:pStyle w:val="44"/>
              <w:ind w:firstLine="48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项目废水主要为水洗废水、脱脂废水、脱脂后水洗废水、硅烷后水洗废水、纯水制备尾水</w:t>
            </w:r>
            <w:r>
              <w:rPr>
                <w:rFonts w:hint="eastAsia"/>
                <w:color w:val="000000" w:themeColor="text1"/>
                <w:highlight w:val="none"/>
                <w:lang w:val="en-US" w:eastAsia="zh-CN"/>
                <w14:textFill>
                  <w14:solidFill>
                    <w14:schemeClr w14:val="tx1"/>
                  </w14:solidFill>
                </w14:textFill>
              </w:rPr>
              <w:t>。</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（1）源强核算</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①水洗废水W1：项目水洗槽清洗水循环使用，定期更换（约1周更换一次（2.565m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/次）），产生水洗废水W1，产生量为111m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/a。主要污染物为pH、CODcr、BOD5、SS、石油类。</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②脱脂废水W2：项目脱脂槽液循环使用，定期更换（约6个月更换一次（33.9m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/次）），产生脱脂废水W2，产生量为57m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/a。主要污染物为pH、CODcr、BOD5、SS、石油类、LAS。</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③脱脂后水洗废水W3、W4：项目脱脂后需要进行水洗，包括2道水洗，每个水洗槽每周需要排水一次（2m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/次）。经核算，脱脂后水洗废水产生量为171m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/a。主要污染物为pH、CODcr、BOD5、SS、石油类、LAS。</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④硅烷后水洗废水W5、W6：项目硅烷后需要进行水洗，包括1道水洗，1道纯水洗，每个水洗槽每周需要排水一次（2m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/次）。经核算，硅烷后水洗废水产生量为171m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/a。主要污染物为pH、CODcr、BOD5、NH3-N、SS、TN、氟化物、总锰。</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⑤纯水制备尾水W7：本项目纯水制备过程会有纯水制备尾水产生。根据项目设计方案，项目纯水用量为30m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/a，纯水制备率约40%，则纯水制备尾水的产生量为18m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/a，主要污染物为pH、CODcr、SS。纯水制备尾水回用于硅烷后水洗3工序。</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生活污水W8：项目劳动定员30人，年生产300天，采用单班工作制。根据《建筑给水排水设计标准》（GB50015-2019），办公用水定额为日均25~40L/人•班，办公用水量取30L/人•班，由此得出项目员工生活用水总量为1.5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/d（450m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/a）。生活污水产生量按照用水量的80%计算，则生活污水产生量为1.2m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/d，即360m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/a。主要污染物为CODcr、BOD5、SS、NH3-N、TN等。</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本项目废水源强类比同类企业（延锋安道拓座椅有限公司，该企业主要从事汽车零部件制造，生产工艺与本项目类似，具有较好的可类比性）。</w:t>
            </w:r>
          </w:p>
          <w:p>
            <w:pPr>
              <w:pStyle w:val="44"/>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本项目废水产生情况见下表。</w:t>
            </w:r>
          </w:p>
          <w:p>
            <w:pPr>
              <w:pStyle w:val="42"/>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本项目主要水污染物产生情况一览表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3"/>
              <w:gridCol w:w="1453"/>
              <w:gridCol w:w="1470"/>
              <w:gridCol w:w="1457"/>
              <w:gridCol w:w="14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b/>
                      <w:bCs/>
                      <w:spacing w:val="4"/>
                      <w:sz w:val="21"/>
                      <w:highlight w:val="none"/>
                    </w:rPr>
                    <w:t>代号</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b/>
                      <w:bCs/>
                      <w:spacing w:val="4"/>
                      <w:sz w:val="21"/>
                      <w:highlight w:val="none"/>
                    </w:rPr>
                    <w:t>源名</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废水量</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b/>
                      <w:bCs/>
                      <w:spacing w:val="2"/>
                      <w:sz w:val="21"/>
                      <w:szCs w:val="20"/>
                      <w:highlight w:val="none"/>
                    </w:rPr>
                    <w:t>(m</w:t>
                  </w:r>
                  <w:r>
                    <w:rPr>
                      <w:rFonts w:ascii="Times New Roman" w:hAnsi="Times New Roman" w:eastAsia="宋体" w:cs="Times New Roman"/>
                      <w:b/>
                      <w:bCs/>
                      <w:spacing w:val="2"/>
                      <w:position w:val="6"/>
                      <w:sz w:val="21"/>
                      <w:szCs w:val="13"/>
                      <w:highlight w:val="none"/>
                    </w:rPr>
                    <w:t>3</w:t>
                  </w:r>
                  <w:r>
                    <w:rPr>
                      <w:rFonts w:ascii="Times New Roman" w:hAnsi="Times New Roman" w:eastAsia="宋体" w:cs="Times New Roman"/>
                      <w:b/>
                      <w:bCs/>
                      <w:spacing w:val="2"/>
                      <w:sz w:val="21"/>
                      <w:szCs w:val="20"/>
                      <w:highlight w:val="none"/>
                    </w:rPr>
                    <w:t>/a)</w:t>
                  </w:r>
                </w:p>
              </w:tc>
              <w:tc>
                <w:tcPr>
                  <w:tcW w:w="4383" w:type="dxa"/>
                  <w:gridSpan w:val="3"/>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b/>
                      <w:bCs/>
                      <w:spacing w:val="6"/>
                      <w:sz w:val="21"/>
                      <w:highlight w:val="none"/>
                    </w:rPr>
                    <w:t>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b/>
                      <w:bCs/>
                      <w:spacing w:val="5"/>
                      <w:sz w:val="21"/>
                      <w:highlight w:val="none"/>
                    </w:rPr>
                    <w:t>污染物</w:t>
                  </w:r>
                </w:p>
              </w:tc>
              <w:tc>
                <w:tcPr>
                  <w:tcW w:w="1457"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产生浓度</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b/>
                      <w:bCs/>
                      <w:spacing w:val="4"/>
                      <w:sz w:val="21"/>
                      <w:szCs w:val="20"/>
                      <w:highlight w:val="none"/>
                    </w:rPr>
                    <w:t>(</w:t>
                  </w:r>
                  <w:r>
                    <w:rPr>
                      <w:rFonts w:ascii="Times New Roman" w:hAnsi="Times New Roman" w:eastAsia="宋体" w:cs="Times New Roman"/>
                      <w:b/>
                      <w:bCs/>
                      <w:sz w:val="21"/>
                      <w:szCs w:val="20"/>
                      <w:highlight w:val="none"/>
                    </w:rPr>
                    <w:t>mg</w:t>
                  </w:r>
                  <w:r>
                    <w:rPr>
                      <w:rFonts w:ascii="Times New Roman" w:hAnsi="Times New Roman" w:eastAsia="宋体" w:cs="Times New Roman"/>
                      <w:b/>
                      <w:bCs/>
                      <w:spacing w:val="4"/>
                      <w:sz w:val="21"/>
                      <w:szCs w:val="20"/>
                      <w:highlight w:val="none"/>
                    </w:rPr>
                    <w:t>/L)</w:t>
                  </w:r>
                </w:p>
              </w:tc>
              <w:tc>
                <w:tcPr>
                  <w:tcW w:w="1456"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产生量</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b/>
                      <w:bCs/>
                      <w:spacing w:val="1"/>
                      <w:sz w:val="21"/>
                      <w:szCs w:val="20"/>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14"/>
                      <w:position w:val="2"/>
                      <w:sz w:val="21"/>
                      <w:szCs w:val="20"/>
                      <w:highlight w:val="none"/>
                    </w:rPr>
                    <w:t>W</w:t>
                  </w:r>
                  <w:r>
                    <w:rPr>
                      <w:rFonts w:hint="eastAsia" w:ascii="Times New Roman" w:hAnsi="Times New Roman" w:eastAsia="宋体" w:cs="Times New Roman"/>
                      <w:spacing w:val="14"/>
                      <w:position w:val="2"/>
                      <w:sz w:val="21"/>
                      <w:szCs w:val="20"/>
                      <w:highlight w:val="none"/>
                      <w:lang w:val="en-US" w:eastAsia="zh-CN"/>
                    </w:rPr>
                    <w:t>6</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hint="eastAsia" w:ascii="Times New Roman" w:hAnsi="Times New Roman" w:eastAsia="宋体"/>
                      <w:spacing w:val="6"/>
                      <w:sz w:val="21"/>
                      <w:highlight w:val="none"/>
                      <w:lang w:val="en-US" w:eastAsia="zh-CN"/>
                    </w:rPr>
                    <w:t>纯</w:t>
                  </w:r>
                  <w:r>
                    <w:rPr>
                      <w:rFonts w:ascii="Times New Roman" w:hAnsi="Times New Roman" w:eastAsia="宋体"/>
                      <w:spacing w:val="6"/>
                      <w:sz w:val="21"/>
                      <w:highlight w:val="none"/>
                    </w:rPr>
                    <w:t>水洗废水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7"/>
                      <w:position w:val="1"/>
                      <w:sz w:val="21"/>
                      <w:szCs w:val="20"/>
                      <w:highlight w:val="none"/>
                    </w:rPr>
                    <w:t>111</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1"/>
                      <w:sz w:val="21"/>
                      <w:szCs w:val="20"/>
                      <w:highlight w:val="none"/>
                    </w:rPr>
                    <w:t>6~9</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2"/>
                      <w:sz w:val="21"/>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3"/>
                      <w:sz w:val="21"/>
                      <w:szCs w:val="20"/>
                      <w:highlight w:val="none"/>
                    </w:rPr>
                    <w:t>COD</w:t>
                  </w:r>
                  <w:r>
                    <w:rPr>
                      <w:rFonts w:ascii="Times New Roman" w:hAnsi="Times New Roman" w:eastAsia="宋体" w:cs="Times New Roman"/>
                      <w:spacing w:val="3"/>
                      <w:position w:val="-1"/>
                      <w:sz w:val="21"/>
                      <w:szCs w:val="13"/>
                      <w:highlight w:val="none"/>
                    </w:rPr>
                    <w:t>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sz w:val="21"/>
                      <w:szCs w:val="20"/>
                      <w:highlight w:val="none"/>
                    </w:rPr>
                    <w:t>450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0.0499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5"/>
                      <w:sz w:val="21"/>
                      <w:szCs w:val="20"/>
                      <w:highlight w:val="none"/>
                    </w:rPr>
                    <w:t>BOD</w:t>
                  </w:r>
                  <w:r>
                    <w:rPr>
                      <w:rFonts w:ascii="Times New Roman" w:hAnsi="Times New Roman" w:eastAsia="宋体" w:cs="Times New Roman"/>
                      <w:spacing w:val="5"/>
                      <w:position w:val="-1"/>
                      <w:sz w:val="21"/>
                      <w:szCs w:val="13"/>
                      <w:highlight w:val="none"/>
                    </w:rPr>
                    <w:t>5</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sz w:val="21"/>
                      <w:szCs w:val="20"/>
                      <w:highlight w:val="none"/>
                    </w:rPr>
                    <w:t>200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0.0222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position w:val="1"/>
                      <w:sz w:val="21"/>
                      <w:szCs w:val="20"/>
                      <w:highlight w:val="none"/>
                    </w:rPr>
                    <w:t>800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0.0888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spacing w:val="6"/>
                      <w:sz w:val="21"/>
                      <w:highlight w:val="none"/>
                    </w:rPr>
                    <w:t>石油类</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180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0.0199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4"/>
                      <w:position w:val="2"/>
                      <w:sz w:val="21"/>
                      <w:szCs w:val="20"/>
                      <w:highlight w:val="none"/>
                    </w:rPr>
                    <w:t>W</w:t>
                  </w:r>
                  <w:r>
                    <w:rPr>
                      <w:rFonts w:hint="eastAsia" w:ascii="Times New Roman" w:hAnsi="Times New Roman" w:eastAsia="宋体" w:cs="Times New Roman"/>
                      <w:spacing w:val="4"/>
                      <w:position w:val="2"/>
                      <w:sz w:val="21"/>
                      <w:szCs w:val="20"/>
                      <w:highlight w:val="none"/>
                      <w:lang w:val="en-US" w:eastAsia="zh-CN"/>
                    </w:rPr>
                    <w:t>1</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spacing w:val="7"/>
                      <w:sz w:val="21"/>
                      <w:highlight w:val="none"/>
                    </w:rPr>
                    <w:t>脱脂废水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57</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5"/>
                      <w:position w:val="1"/>
                      <w:sz w:val="21"/>
                      <w:szCs w:val="20"/>
                      <w:highlight w:val="none"/>
                    </w:rPr>
                    <w:t>8~10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2"/>
                      <w:sz w:val="21"/>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3"/>
                      <w:sz w:val="21"/>
                      <w:szCs w:val="20"/>
                      <w:highlight w:val="none"/>
                    </w:rPr>
                    <w:t>COD</w:t>
                  </w:r>
                  <w:r>
                    <w:rPr>
                      <w:rFonts w:ascii="Times New Roman" w:hAnsi="Times New Roman" w:eastAsia="宋体" w:cs="Times New Roman"/>
                      <w:spacing w:val="3"/>
                      <w:position w:val="-1"/>
                      <w:sz w:val="21"/>
                      <w:szCs w:val="13"/>
                      <w:highlight w:val="none"/>
                    </w:rPr>
                    <w:t>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sz w:val="21"/>
                      <w:szCs w:val="20"/>
                      <w:highlight w:val="none"/>
                    </w:rPr>
                    <w:t>2000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sz w:val="21"/>
                      <w:szCs w:val="20"/>
                      <w:highlight w:val="none"/>
                    </w:rPr>
                    <w:t>0.114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5"/>
                      <w:sz w:val="21"/>
                      <w:szCs w:val="20"/>
                      <w:highlight w:val="none"/>
                    </w:rPr>
                    <w:t>BOD</w:t>
                  </w:r>
                  <w:r>
                    <w:rPr>
                      <w:rFonts w:ascii="Times New Roman" w:hAnsi="Times New Roman" w:eastAsia="宋体" w:cs="Times New Roman"/>
                      <w:spacing w:val="5"/>
                      <w:position w:val="-1"/>
                      <w:sz w:val="21"/>
                      <w:szCs w:val="13"/>
                      <w:highlight w:val="none"/>
                    </w:rPr>
                    <w:t>5</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position w:val="1"/>
                      <w:sz w:val="21"/>
                      <w:szCs w:val="20"/>
                      <w:highlight w:val="none"/>
                    </w:rPr>
                    <w:t>800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sz w:val="21"/>
                      <w:szCs w:val="20"/>
                      <w:highlight w:val="none"/>
                    </w:rPr>
                    <w:t>600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spacing w:val="6"/>
                      <w:sz w:val="21"/>
                      <w:highlight w:val="none"/>
                    </w:rPr>
                    <w:t>石油类</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position w:val="1"/>
                      <w:sz w:val="21"/>
                      <w:szCs w:val="20"/>
                      <w:highlight w:val="none"/>
                    </w:rPr>
                    <w:t>800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sz w:val="21"/>
                      <w:szCs w:val="20"/>
                      <w:highlight w:val="none"/>
                    </w:rPr>
                    <w:t>LAS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position w:val="1"/>
                      <w:sz w:val="21"/>
                      <w:szCs w:val="20"/>
                      <w:highlight w:val="none"/>
                    </w:rPr>
                    <w:t>30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7"/>
                      <w:position w:val="2"/>
                      <w:sz w:val="21"/>
                      <w:highlight w:val="none"/>
                    </w:rPr>
                    <w:t>W</w:t>
                  </w:r>
                  <w:r>
                    <w:rPr>
                      <w:rFonts w:hint="eastAsia" w:ascii="Times New Roman" w:hAnsi="Times New Roman" w:eastAsia="宋体" w:cs="Times New Roman"/>
                      <w:spacing w:val="-7"/>
                      <w:position w:val="2"/>
                      <w:sz w:val="21"/>
                      <w:highlight w:val="none"/>
                      <w:lang w:val="en-US" w:eastAsia="zh-CN"/>
                    </w:rPr>
                    <w:t>2</w:t>
                  </w:r>
                  <w:r>
                    <w:rPr>
                      <w:rFonts w:ascii="Times New Roman" w:hAnsi="Times New Roman" w:eastAsia="宋体"/>
                      <w:spacing w:val="-7"/>
                      <w:position w:val="2"/>
                      <w:sz w:val="21"/>
                      <w:highlight w:val="none"/>
                    </w:rPr>
                    <w:t>、</w:t>
                  </w:r>
                  <w:r>
                    <w:rPr>
                      <w:rFonts w:ascii="Times New Roman" w:hAnsi="Times New Roman" w:eastAsia="宋体" w:cs="Times New Roman"/>
                      <w:spacing w:val="-7"/>
                      <w:position w:val="2"/>
                      <w:sz w:val="21"/>
                      <w:highlight w:val="none"/>
                    </w:rPr>
                    <w:t>W</w:t>
                  </w:r>
                  <w:r>
                    <w:rPr>
                      <w:rFonts w:hint="eastAsia" w:ascii="Times New Roman" w:hAnsi="Times New Roman" w:eastAsia="宋体" w:cs="Times New Roman"/>
                      <w:spacing w:val="-7"/>
                      <w:position w:val="2"/>
                      <w:sz w:val="21"/>
                      <w:highlight w:val="none"/>
                      <w:lang w:val="en-US" w:eastAsia="zh-CN"/>
                    </w:rPr>
                    <w:t>3</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脱脂后水洗废</w:t>
                  </w:r>
                </w:p>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sz w:val="21"/>
                      <w:highlight w:val="none"/>
                    </w:rPr>
                    <w:t>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2"/>
                      <w:sz w:val="21"/>
                      <w:szCs w:val="20"/>
                      <w:highlight w:val="none"/>
                    </w:rPr>
                    <w:t>171</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position w:val="1"/>
                      <w:sz w:val="21"/>
                      <w:szCs w:val="20"/>
                      <w:highlight w:val="none"/>
                    </w:rPr>
                    <w:t>7~9</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2"/>
                      <w:sz w:val="21"/>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3"/>
                      <w:sz w:val="21"/>
                      <w:szCs w:val="20"/>
                      <w:highlight w:val="none"/>
                    </w:rPr>
                    <w:t>COD</w:t>
                  </w:r>
                  <w:r>
                    <w:rPr>
                      <w:rFonts w:ascii="Times New Roman" w:hAnsi="Times New Roman" w:eastAsia="宋体" w:cs="Times New Roman"/>
                      <w:spacing w:val="3"/>
                      <w:position w:val="-1"/>
                      <w:sz w:val="21"/>
                      <w:szCs w:val="13"/>
                      <w:highlight w:val="none"/>
                    </w:rPr>
                    <w:t>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800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0.1368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5"/>
                      <w:sz w:val="21"/>
                      <w:szCs w:val="20"/>
                      <w:highlight w:val="none"/>
                    </w:rPr>
                    <w:t>BOD</w:t>
                  </w:r>
                  <w:r>
                    <w:rPr>
                      <w:rFonts w:ascii="Times New Roman" w:hAnsi="Times New Roman" w:eastAsia="宋体" w:cs="Times New Roman"/>
                      <w:spacing w:val="5"/>
                      <w:position w:val="-1"/>
                      <w:sz w:val="21"/>
                      <w:szCs w:val="13"/>
                      <w:highlight w:val="none"/>
                    </w:rPr>
                    <w:t>5</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sz w:val="21"/>
                      <w:szCs w:val="20"/>
                      <w:highlight w:val="none"/>
                    </w:rPr>
                    <w:t>300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position w:val="1"/>
                      <w:sz w:val="21"/>
                      <w:szCs w:val="20"/>
                      <w:highlight w:val="none"/>
                    </w:rPr>
                    <w:t>400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0.0684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spacing w:val="6"/>
                      <w:sz w:val="21"/>
                      <w:highlight w:val="none"/>
                    </w:rPr>
                    <w:t>石油类</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140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sz w:val="21"/>
                      <w:szCs w:val="20"/>
                      <w:highlight w:val="none"/>
                    </w:rPr>
                    <w:t>LAS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5</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7"/>
                      <w:position w:val="2"/>
                      <w:sz w:val="21"/>
                      <w:highlight w:val="none"/>
                    </w:rPr>
                    <w:t>W</w:t>
                  </w:r>
                  <w:r>
                    <w:rPr>
                      <w:rFonts w:hint="eastAsia" w:ascii="Times New Roman" w:hAnsi="Times New Roman" w:eastAsia="宋体" w:cs="Times New Roman"/>
                      <w:spacing w:val="-7"/>
                      <w:position w:val="2"/>
                      <w:sz w:val="21"/>
                      <w:highlight w:val="none"/>
                      <w:lang w:val="en-US" w:eastAsia="zh-CN"/>
                    </w:rPr>
                    <w:t>4</w:t>
                  </w:r>
                  <w:r>
                    <w:rPr>
                      <w:rFonts w:ascii="Times New Roman" w:hAnsi="Times New Roman" w:eastAsia="宋体"/>
                      <w:spacing w:val="-7"/>
                      <w:position w:val="2"/>
                      <w:sz w:val="21"/>
                      <w:highlight w:val="none"/>
                    </w:rPr>
                    <w:t>、</w:t>
                  </w:r>
                  <w:r>
                    <w:rPr>
                      <w:rFonts w:ascii="Times New Roman" w:hAnsi="Times New Roman" w:eastAsia="宋体" w:cs="Times New Roman"/>
                      <w:spacing w:val="-7"/>
                      <w:position w:val="2"/>
                      <w:sz w:val="21"/>
                      <w:highlight w:val="none"/>
                    </w:rPr>
                    <w:t>W</w:t>
                  </w:r>
                  <w:r>
                    <w:rPr>
                      <w:rFonts w:hint="eastAsia" w:ascii="Times New Roman" w:hAnsi="Times New Roman" w:eastAsia="宋体" w:cs="Times New Roman"/>
                      <w:spacing w:val="-7"/>
                      <w:position w:val="2"/>
                      <w:sz w:val="21"/>
                      <w:highlight w:val="none"/>
                      <w:lang w:val="en-US" w:eastAsia="zh-CN"/>
                    </w:rPr>
                    <w:t>5</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硅烷后水洗废</w:t>
                  </w:r>
                </w:p>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sz w:val="21"/>
                      <w:highlight w:val="none"/>
                    </w:rPr>
                    <w:t>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2"/>
                      <w:sz w:val="21"/>
                      <w:szCs w:val="20"/>
                      <w:highlight w:val="none"/>
                    </w:rPr>
                    <w:t>171</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1"/>
                      <w:sz w:val="21"/>
                      <w:szCs w:val="20"/>
                      <w:highlight w:val="none"/>
                    </w:rPr>
                    <w:t>6~7</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2"/>
                      <w:sz w:val="21"/>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3"/>
                      <w:sz w:val="21"/>
                      <w:szCs w:val="20"/>
                      <w:highlight w:val="none"/>
                    </w:rPr>
                    <w:t>COD</w:t>
                  </w:r>
                  <w:r>
                    <w:rPr>
                      <w:rFonts w:ascii="Times New Roman" w:hAnsi="Times New Roman" w:eastAsia="宋体" w:cs="Times New Roman"/>
                      <w:spacing w:val="3"/>
                      <w:position w:val="-1"/>
                      <w:sz w:val="21"/>
                      <w:szCs w:val="13"/>
                      <w:highlight w:val="none"/>
                    </w:rPr>
                    <w:t>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800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0.1368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5"/>
                      <w:sz w:val="21"/>
                      <w:szCs w:val="20"/>
                      <w:highlight w:val="none"/>
                    </w:rPr>
                    <w:t>BOD</w:t>
                  </w:r>
                  <w:r>
                    <w:rPr>
                      <w:rFonts w:ascii="Times New Roman" w:hAnsi="Times New Roman" w:eastAsia="宋体" w:cs="Times New Roman"/>
                      <w:spacing w:val="5"/>
                      <w:position w:val="-1"/>
                      <w:sz w:val="21"/>
                      <w:szCs w:val="13"/>
                      <w:highlight w:val="none"/>
                    </w:rPr>
                    <w:t>5</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sz w:val="21"/>
                      <w:szCs w:val="20"/>
                      <w:highlight w:val="none"/>
                    </w:rPr>
                    <w:t>300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NH</w:t>
                  </w:r>
                  <w:r>
                    <w:rPr>
                      <w:rFonts w:ascii="Times New Roman" w:hAnsi="Times New Roman" w:eastAsia="宋体" w:cs="Times New Roman"/>
                      <w:spacing w:val="9"/>
                      <w:sz w:val="21"/>
                      <w:szCs w:val="13"/>
                      <w:highlight w:val="none"/>
                    </w:rPr>
                    <w:t>3</w:t>
                  </w:r>
                  <w:r>
                    <w:rPr>
                      <w:rFonts w:ascii="Times New Roman" w:hAnsi="Times New Roman" w:eastAsia="宋体" w:cs="Times New Roman"/>
                      <w:spacing w:val="9"/>
                      <w:sz w:val="21"/>
                      <w:szCs w:val="20"/>
                      <w:highlight w:val="none"/>
                    </w:rPr>
                    <w:t>-N</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30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0.00513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400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0.0684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sz w:val="21"/>
                      <w:szCs w:val="20"/>
                      <w:highlight w:val="none"/>
                    </w:rPr>
                    <w:t>TN</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50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kern w:val="2"/>
                      <w:sz w:val="21"/>
                      <w:szCs w:val="24"/>
                      <w:highlight w:val="none"/>
                      <w:lang w:val="en-US" w:eastAsia="zh-CN" w:bidi="ar-SA"/>
                    </w:rPr>
                  </w:pPr>
                  <w:r>
                    <w:rPr>
                      <w:rFonts w:ascii="Times New Roman" w:hAnsi="Times New Roman" w:eastAsia="宋体"/>
                      <w:spacing w:val="6"/>
                      <w:sz w:val="21"/>
                      <w:highlight w:val="none"/>
                    </w:rPr>
                    <w:t>氟化物</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150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6"/>
                      <w:sz w:val="21"/>
                      <w:szCs w:val="20"/>
                      <w:highlight w:val="none"/>
                    </w:rPr>
                    <w:t>W7</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spacing w:val="7"/>
                      <w:sz w:val="21"/>
                      <w:highlight w:val="none"/>
                    </w:rPr>
                    <w:t>纯水制备尾水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8"/>
                      <w:position w:val="2"/>
                      <w:sz w:val="21"/>
                      <w:szCs w:val="20"/>
                      <w:highlight w:val="none"/>
                    </w:rPr>
                    <w:t>18</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1"/>
                      <w:sz w:val="21"/>
                      <w:szCs w:val="20"/>
                      <w:highlight w:val="none"/>
                    </w:rPr>
                    <w:t>6~9</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2"/>
                      <w:sz w:val="21"/>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3"/>
                      <w:sz w:val="21"/>
                      <w:szCs w:val="20"/>
                      <w:highlight w:val="none"/>
                    </w:rPr>
                    <w:t>COD</w:t>
                  </w:r>
                  <w:r>
                    <w:rPr>
                      <w:rFonts w:ascii="Times New Roman" w:hAnsi="Times New Roman" w:eastAsia="宋体" w:cs="Times New Roman"/>
                      <w:spacing w:val="3"/>
                      <w:position w:val="-1"/>
                      <w:sz w:val="21"/>
                      <w:szCs w:val="13"/>
                      <w:highlight w:val="none"/>
                    </w:rPr>
                    <w:t>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150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100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position w:val="1"/>
                      <w:sz w:val="21"/>
                      <w:szCs w:val="20"/>
                      <w:highlight w:val="none"/>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cs="Times New Roman"/>
                      <w:spacing w:val="4"/>
                      <w:position w:val="2"/>
                      <w:sz w:val="21"/>
                      <w:szCs w:val="20"/>
                      <w:highlight w:val="none"/>
                    </w:rPr>
                    <w:t>W8</w:t>
                  </w:r>
                </w:p>
              </w:tc>
              <w:tc>
                <w:tcPr>
                  <w:tcW w:w="1453" w:type="dxa"/>
                  <w:vMerge w:val="restart"/>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ascii="Times New Roman" w:hAnsi="Times New Roman" w:eastAsia="宋体"/>
                      <w:spacing w:val="6"/>
                      <w:sz w:val="21"/>
                      <w:highlight w:val="none"/>
                    </w:rPr>
                    <w:t>生活污水</w:t>
                  </w:r>
                </w:p>
              </w:tc>
              <w:tc>
                <w:tcPr>
                  <w:tcW w:w="1453"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olor w:val="000000" w:themeColor="text1"/>
                      <w:sz w:val="21"/>
                      <w:highlight w:val="none"/>
                      <w:vertAlign w:val="baseline"/>
                      <w:lang w:val="en-US" w:eastAsia="zh-CN"/>
                      <w14:textFill>
                        <w14:solidFill>
                          <w14:schemeClr w14:val="tx1"/>
                        </w14:solidFill>
                      </w14:textFill>
                    </w:rPr>
                  </w:pPr>
                  <w:r>
                    <w:rPr>
                      <w:rFonts w:hint="eastAsia" w:ascii="Times New Roman" w:hAnsi="Times New Roman" w:eastAsia="宋体" w:cs="Times New Roman"/>
                      <w:spacing w:val="1"/>
                      <w:position w:val="2"/>
                      <w:sz w:val="21"/>
                      <w:szCs w:val="20"/>
                      <w:highlight w:val="none"/>
                      <w:lang w:val="en-US" w:eastAsia="zh-CN"/>
                    </w:rPr>
                    <w:t>360</w:t>
                  </w:r>
                </w:p>
              </w:tc>
              <w:tc>
                <w:tcPr>
                  <w:tcW w:w="1470" w:type="dxa"/>
                  <w:tcBorders>
                    <w:tl2br w:val="nil"/>
                    <w:tr2bl w:val="nil"/>
                  </w:tcBorders>
                  <w:shd w:val="clear" w:color="auto" w:fill="auto"/>
                  <w:vAlign w:val="center"/>
                </w:tcPr>
                <w:p>
                  <w:pPr>
                    <w:pStyle w:val="113"/>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Times New Roman"/>
                      <w:sz w:val="21"/>
                      <w:highlight w:val="none"/>
                    </w:rPr>
                    <w:t>pH</w:t>
                  </w:r>
                  <w:r>
                    <w:rPr>
                      <w:rFonts w:ascii="Times New Roman" w:hAnsi="Times New Roman" w:eastAsia="宋体" w:cs="Times New Roman"/>
                      <w:spacing w:val="9"/>
                      <w:sz w:val="21"/>
                      <w:highlight w:val="none"/>
                    </w:rPr>
                    <w:t>(</w:t>
                  </w:r>
                  <w:r>
                    <w:rPr>
                      <w:rFonts w:ascii="Times New Roman" w:hAnsi="Times New Roman" w:eastAsia="宋体"/>
                      <w:spacing w:val="9"/>
                      <w:sz w:val="21"/>
                      <w:highlight w:val="none"/>
                    </w:rPr>
                    <w:t>无量纲</w:t>
                  </w:r>
                  <w:r>
                    <w:rPr>
                      <w:rFonts w:ascii="Times New Roman" w:hAnsi="Times New Roman" w:eastAsia="宋体" w:cs="Times New Roman"/>
                      <w:spacing w:val="9"/>
                      <w:sz w:val="21"/>
                      <w:highlight w:val="none"/>
                    </w:rPr>
                    <w:t>)</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1"/>
                      <w:sz w:val="21"/>
                      <w:szCs w:val="20"/>
                      <w:highlight w:val="none"/>
                    </w:rPr>
                    <w:t>6~9</w:t>
                  </w:r>
                </w:p>
              </w:tc>
              <w:tc>
                <w:tcPr>
                  <w:tcW w:w="145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color w:val="000000" w:themeColor="text1"/>
                      <w:sz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sz w:val="21"/>
                      <w:szCs w:val="20"/>
                      <w:highlight w:val="none"/>
                    </w:rPr>
                    <w:t>CODcr</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position w:val="2"/>
                      <w:sz w:val="21"/>
                      <w:szCs w:val="20"/>
                      <w:highlight w:val="none"/>
                    </w:rPr>
                    <w:t>300</w:t>
                  </w:r>
                </w:p>
              </w:tc>
              <w:tc>
                <w:tcPr>
                  <w:tcW w:w="145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13"/>
                      <w:highlight w:val="none"/>
                      <w:lang w:val="en-US" w:eastAsia="zh-CN" w:bidi="ar-SA"/>
                    </w:rPr>
                  </w:pPr>
                  <w:r>
                    <w:rPr>
                      <w:rFonts w:ascii="Times New Roman" w:hAnsi="Times New Roman" w:eastAsia="宋体" w:cs="Times New Roman"/>
                      <w:spacing w:val="5"/>
                      <w:sz w:val="21"/>
                      <w:szCs w:val="20"/>
                      <w:highlight w:val="none"/>
                    </w:rPr>
                    <w:t>BOD</w:t>
                  </w:r>
                  <w:r>
                    <w:rPr>
                      <w:rFonts w:ascii="Times New Roman" w:hAnsi="Times New Roman" w:eastAsia="宋体" w:cs="Times New Roman"/>
                      <w:spacing w:val="5"/>
                      <w:position w:val="-1"/>
                      <w:sz w:val="21"/>
                      <w:szCs w:val="13"/>
                      <w:highlight w:val="none"/>
                    </w:rPr>
                    <w:t>5</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4"/>
                      <w:position w:val="1"/>
                      <w:sz w:val="21"/>
                      <w:szCs w:val="20"/>
                      <w:highlight w:val="none"/>
                    </w:rPr>
                    <w:t>150</w:t>
                  </w:r>
                </w:p>
              </w:tc>
              <w:tc>
                <w:tcPr>
                  <w:tcW w:w="145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z w:val="21"/>
                      <w:szCs w:val="20"/>
                      <w:highlight w:val="none"/>
                    </w:rPr>
                    <w:t>NH</w:t>
                  </w:r>
                  <w:r>
                    <w:rPr>
                      <w:rFonts w:ascii="Times New Roman" w:hAnsi="Times New Roman" w:eastAsia="宋体" w:cs="Times New Roman"/>
                      <w:spacing w:val="9"/>
                      <w:sz w:val="21"/>
                      <w:szCs w:val="13"/>
                      <w:highlight w:val="none"/>
                    </w:rPr>
                    <w:t>3</w:t>
                  </w:r>
                  <w:r>
                    <w:rPr>
                      <w:rFonts w:ascii="Times New Roman" w:hAnsi="Times New Roman" w:eastAsia="宋体" w:cs="Times New Roman"/>
                      <w:spacing w:val="9"/>
                      <w:sz w:val="21"/>
                      <w:szCs w:val="20"/>
                      <w:highlight w:val="none"/>
                    </w:rPr>
                    <w:t>-N</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1"/>
                      <w:position w:val="1"/>
                      <w:sz w:val="21"/>
                      <w:szCs w:val="20"/>
                      <w:highlight w:val="none"/>
                    </w:rPr>
                    <w:t>25</w:t>
                  </w:r>
                </w:p>
              </w:tc>
              <w:tc>
                <w:tcPr>
                  <w:tcW w:w="145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3"/>
                      <w:sz w:val="21"/>
                      <w:szCs w:val="20"/>
                      <w:highlight w:val="none"/>
                    </w:rPr>
                    <w:t>SS</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position w:val="1"/>
                      <w:sz w:val="21"/>
                      <w:szCs w:val="20"/>
                      <w:highlight w:val="none"/>
                    </w:rPr>
                    <w:t>200</w:t>
                  </w:r>
                </w:p>
              </w:tc>
              <w:tc>
                <w:tcPr>
                  <w:tcW w:w="1456" w:type="dxa"/>
                  <w:tcBorders>
                    <w:tl2br w:val="nil"/>
                    <w:tr2bl w:val="nil"/>
                  </w:tcBorders>
                  <w:shd w:val="clear" w:color="auto" w:fill="auto"/>
                  <w:vAlign w:val="center"/>
                </w:tcPr>
                <w:p>
                  <w:pPr>
                    <w:pStyle w:val="9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cs="Times New Roman"/>
                      <w:color w:val="000000" w:themeColor="text1"/>
                      <w:sz w:val="21"/>
                      <w:highlight w:val="none"/>
                      <w:lang w:val="en-US" w:eastAsia="zh-CN"/>
                      <w14:textFill>
                        <w14:solidFill>
                          <w14:schemeClr w14:val="tx1"/>
                        </w14:solidFill>
                      </w14:textFill>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53" w:type="dxa"/>
                  <w:vMerge w:val="continue"/>
                  <w:tcBorders>
                    <w:tl2br w:val="nil"/>
                    <w:tr2bl w:val="nil"/>
                  </w:tcBorders>
                  <w:vAlign w:val="center"/>
                </w:tcPr>
                <w:p>
                  <w:pPr>
                    <w:pStyle w:val="44"/>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000000" w:themeColor="text1"/>
                      <w:sz w:val="21"/>
                      <w:highlight w:val="none"/>
                      <w:vertAlign w:val="baseline"/>
                      <w:lang w:val="en-US" w:eastAsia="zh-CN"/>
                      <w14:textFill>
                        <w14:solidFill>
                          <w14:schemeClr w14:val="tx1"/>
                        </w14:solidFill>
                      </w14:textFill>
                    </w:rPr>
                  </w:pPr>
                </w:p>
              </w:tc>
              <w:tc>
                <w:tcPr>
                  <w:tcW w:w="1470"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sz w:val="21"/>
                      <w:szCs w:val="20"/>
                      <w:highlight w:val="none"/>
                    </w:rPr>
                    <w:t>TN</w:t>
                  </w:r>
                </w:p>
              </w:tc>
              <w:tc>
                <w:tcPr>
                  <w:tcW w:w="1457"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0"/>
                      <w:highlight w:val="none"/>
                      <w:lang w:val="en-US" w:eastAsia="zh-CN" w:bidi="ar-SA"/>
                    </w:rPr>
                  </w:pPr>
                  <w:r>
                    <w:rPr>
                      <w:rFonts w:ascii="Times New Roman" w:hAnsi="Times New Roman" w:eastAsia="宋体" w:cs="Times New Roman"/>
                      <w:spacing w:val="2"/>
                      <w:position w:val="1"/>
                      <w:sz w:val="21"/>
                      <w:szCs w:val="20"/>
                      <w:highlight w:val="none"/>
                    </w:rPr>
                    <w:t>40</w:t>
                  </w:r>
                </w:p>
              </w:tc>
              <w:tc>
                <w:tcPr>
                  <w:tcW w:w="1456"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spacing w:val="3"/>
                      <w:position w:val="1"/>
                      <w:sz w:val="21"/>
                      <w:szCs w:val="20"/>
                      <w:highlight w:val="none"/>
                      <w:lang w:val="en-US" w:eastAsia="zh-CN"/>
                    </w:rPr>
                    <w:t>0.0144</w:t>
                  </w:r>
                </w:p>
              </w:tc>
            </w:tr>
          </w:tbl>
          <w:p>
            <w:pPr>
              <w:pStyle w:val="44"/>
              <w:ind w:firstLine="480"/>
              <w:rPr>
                <w:rFonts w:hint="eastAsia"/>
                <w:color w:val="000000" w:themeColor="text1"/>
                <w:highlight w:val="none"/>
                <w:lang w:val="en-US" w:eastAsia="zh-CN"/>
                <w14:textFill>
                  <w14:solidFill>
                    <w14:schemeClr w14:val="tx1"/>
                  </w14:solidFill>
                </w14:textFill>
              </w:rPr>
            </w:pPr>
          </w:p>
          <w:p>
            <w:pPr>
              <w:pStyle w:val="44"/>
              <w:numPr>
                <w:ilvl w:val="0"/>
                <w:numId w:val="15"/>
              </w:numP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防治措施</w:t>
            </w:r>
          </w:p>
          <w:p>
            <w:pPr>
              <w:pStyle w:val="44"/>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本项目将配套建设1座污水处理设施（处理工艺为“物化反应+气浮+A/O+沉淀”，设计处理能力为2m</w:t>
            </w:r>
            <w:r>
              <w:rPr>
                <w:rFonts w:hint="eastAsia" w:ascii="Times New Roman" w:hAnsi="Times New Roman" w:eastAsia="宋体" w:cs="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/d）。</w:t>
            </w:r>
          </w:p>
          <w:p>
            <w:pPr>
              <w:pStyle w:val="44"/>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本项目水洗废水、脱脂废水、脱脂后水洗废水、硅烷后水洗废水经收集后进入污水处理设施净化处理后，出水进入厂区污水管道；生活污水单独进入厂区污水管道；项目废水最终纳入市政污水管网，进入</w:t>
            </w:r>
            <w:r>
              <w:rPr>
                <w:rFonts w:hint="eastAsia" w:cs="宋体"/>
                <w:color w:val="000000" w:themeColor="text1"/>
                <w:highlight w:val="none"/>
                <w:lang w:val="en-US" w:eastAsia="zh-CN"/>
                <w14:textFill>
                  <w14:solidFill>
                    <w14:schemeClr w14:val="tx1"/>
                  </w14:solidFill>
                </w14:textFill>
              </w:rPr>
              <w:t>福清市第二污水处理厂</w:t>
            </w:r>
            <w:r>
              <w:rPr>
                <w:rFonts w:hint="eastAsia" w:ascii="Times New Roman" w:hAnsi="Times New Roman" w:eastAsia="宋体" w:cs="宋体"/>
                <w:color w:val="000000" w:themeColor="text1"/>
                <w:highlight w:val="none"/>
                <w:lang w:val="en-US" w:eastAsia="zh-CN"/>
                <w14:textFill>
                  <w14:solidFill>
                    <w14:schemeClr w14:val="tx1"/>
                  </w14:solidFill>
                </w14:textFill>
              </w:rPr>
              <w:t>集中处理。</w:t>
            </w:r>
          </w:p>
          <w:p>
            <w:pPr>
              <w:pStyle w:val="44"/>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废水处理工艺如下：</w:t>
            </w:r>
          </w:p>
          <w:p>
            <w:pPr>
              <w:pStyle w:val="44"/>
              <w:numPr>
                <w:ilvl w:val="0"/>
                <w:numId w:val="0"/>
              </w:numPr>
              <w:jc w:val="center"/>
              <w:rPr>
                <w:rFonts w:hint="eastAsia"/>
                <w:color w:val="000000" w:themeColor="text1"/>
                <w:highlight w:val="none"/>
                <w:lang w:val="en-US" w:eastAsia="zh-CN"/>
                <w14:textFill>
                  <w14:solidFill>
                    <w14:schemeClr w14:val="tx1"/>
                  </w14:solidFill>
                </w14:textFill>
              </w:rPr>
            </w:pPr>
            <w:r>
              <w:rPr>
                <w:highlight w:val="none"/>
              </w:rPr>
              <w:drawing>
                <wp:inline distT="0" distB="0" distL="114300" distR="114300">
                  <wp:extent cx="5064125" cy="2882900"/>
                  <wp:effectExtent l="0" t="0" r="317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064125" cy="28829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图4.3-1废水处理站废水处理工艺流程图</w:t>
            </w:r>
          </w:p>
          <w:p>
            <w:pPr>
              <w:pStyle w:val="44"/>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14:textFill>
                  <w14:solidFill>
                    <w14:schemeClr w14:val="tx1"/>
                  </w14:solidFill>
                </w14:textFill>
              </w:rPr>
              <w:t>废水处理工艺说明：</w:t>
            </w:r>
          </w:p>
          <w:p>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洗废水、脱脂废水、脱脂后水洗废水、硅烷后水洗废水分别收集后进入调节池，经调匀水质、水量后，进入一体化物化系统，即破乳、混合反应、沉淀一体设备。然后废水进入气浮系统，可以将水中溶解的COD/BOD以及少量的N/P等离子，形成悬浮物，经过纳米级气泡，将产生的悬浮物浮于水面，从而去除水中的溶解的杂质，可以有效去除水中的油类杂质，从而降低废水中的COD，以减轻后续A/O系统负担。</w:t>
            </w:r>
          </w:p>
          <w:p>
            <w:pPr>
              <w:pStyle w:val="113"/>
              <w:spacing w:before="42" w:line="355" w:lineRule="auto"/>
              <w:ind w:left="107" w:right="39" w:firstLine="502"/>
              <w:jc w:val="both"/>
              <w:rPr>
                <w:sz w:val="24"/>
                <w:szCs w:val="24"/>
                <w:highlight w:val="none"/>
              </w:rPr>
            </w:pPr>
            <w:r>
              <w:rPr>
                <w:sz w:val="24"/>
                <w:szCs w:val="24"/>
                <w:highlight w:val="none"/>
              </w:rPr>
              <w:t>中间池内废水经泵提升去厌氧池，在厌氧池内利用异养</w:t>
            </w:r>
            <w:r>
              <w:rPr>
                <w:spacing w:val="-1"/>
                <w:sz w:val="24"/>
                <w:szCs w:val="24"/>
                <w:highlight w:val="none"/>
              </w:rPr>
              <w:t>型兼性细菌和厌</w:t>
            </w:r>
            <w:r>
              <w:rPr>
                <w:sz w:val="24"/>
                <w:szCs w:val="24"/>
                <w:highlight w:val="none"/>
              </w:rPr>
              <w:t>氧菌将废水中难降解的大分子有机物转化为易降解的小分子有机物，将复杂的有机物转变成简单的有机物，提高废水的可生化性。出厌氧池废水自流入好氧池，在充分曝气的环境下，通过活性污泥的作用，充分降解有机物，同</w:t>
            </w:r>
            <w:r>
              <w:rPr>
                <w:spacing w:val="-5"/>
                <w:sz w:val="24"/>
                <w:szCs w:val="24"/>
                <w:highlight w:val="none"/>
              </w:rPr>
              <w:t>时将氨氮向硝态氮转化。好氧池出水自流入二沉池，生化污泥在此沉淀分离，</w:t>
            </w:r>
            <w:r>
              <w:rPr>
                <w:sz w:val="24"/>
                <w:szCs w:val="24"/>
                <w:highlight w:val="none"/>
              </w:rPr>
              <w:t>污泥回流</w:t>
            </w:r>
            <w:r>
              <w:rPr>
                <w:rFonts w:hint="eastAsia"/>
                <w:sz w:val="24"/>
                <w:szCs w:val="24"/>
                <w:highlight w:val="none"/>
                <w:lang w:eastAsia="zh-CN"/>
              </w:rPr>
              <w:t>至好</w:t>
            </w:r>
            <w:r>
              <w:rPr>
                <w:sz w:val="24"/>
                <w:szCs w:val="24"/>
                <w:highlight w:val="none"/>
              </w:rPr>
              <w:t>氧池，上清液自流入管网。二沉池的剩余污泥排入污泥池。污</w:t>
            </w:r>
            <w:r>
              <w:rPr>
                <w:spacing w:val="-1"/>
                <w:sz w:val="24"/>
                <w:szCs w:val="24"/>
                <w:highlight w:val="none"/>
              </w:rPr>
              <w:t>泥池内污泥经压泥机压成泥饼委外处置，滤液回流入调节池内。</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依托污水处理厂的可行性分析</w:t>
            </w:r>
          </w:p>
          <w:p>
            <w:pPr>
              <w:pStyle w:val="44"/>
              <w:ind w:firstLine="480"/>
              <w:rPr>
                <w:rFonts w:hint="eastAsia" w:ascii="Times New Roman" w:hAnsi="Times New Roman" w:eastAsia="宋体" w:cs="宋体"/>
                <w:color w:val="000000" w:themeColor="text1"/>
                <w:szCs w:val="20"/>
                <w:highlight w:val="none"/>
                <w:lang w:val="en-US" w:eastAsia="en-US" w:bidi="ar"/>
                <w14:textFill>
                  <w14:solidFill>
                    <w14:schemeClr w14:val="tx1"/>
                  </w14:solidFill>
                </w14:textFill>
              </w:rPr>
            </w:pPr>
            <w:r>
              <w:rPr>
                <w:rFonts w:hint="eastAsia" w:ascii="Times New Roman" w:hAnsi="Times New Roman" w:eastAsia="宋体" w:cs="宋体"/>
                <w:color w:val="000000" w:themeColor="text1"/>
                <w:szCs w:val="20"/>
                <w:highlight w:val="none"/>
                <w:lang w:val="en-US" w:eastAsia="en-US" w:bidi="ar"/>
                <w14:textFill>
                  <w14:solidFill>
                    <w14:schemeClr w14:val="tx1"/>
                  </w14:solidFill>
                </w14:textFill>
              </w:rPr>
              <w:t>项目生活污水经处理达标后汇合通过厂区污水总排放口排入市政污水管网，送往福清市第二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pPr>
              <w:pStyle w:val="44"/>
              <w:ind w:firstLine="480"/>
              <w:rPr>
                <w:rFonts w:hint="eastAsia"/>
                <w:color w:val="000000" w:themeColor="text1"/>
                <w:highlight w:val="none"/>
                <w14:textFill>
                  <w14:solidFill>
                    <w14:schemeClr w14:val="tx1"/>
                  </w14:solidFill>
                </w14:textFill>
              </w:rPr>
            </w:pPr>
            <w:bookmarkStart w:id="50" w:name="_Ref12541"/>
            <w:r>
              <w:rPr>
                <w:rFonts w:hint="eastAsia"/>
                <w:color w:val="000000" w:themeColor="text1"/>
                <w:highlight w:val="none"/>
                <w14:textFill>
                  <w14:solidFill>
                    <w14:schemeClr w14:val="tx1"/>
                  </w14:solidFill>
                </w14:textFill>
              </w:rPr>
              <w:t>(1)福清市第二污水处理厂基本情况</w:t>
            </w:r>
          </w:p>
          <w:p>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福清市第二污水处理厂现由福建省融海环境科技有限公司运营，福清市第二污水处理厂是一座具有现代化水准的花园式地下污水处理厂，位于福清市宏路街道大浦村和溪下村境内，为福建省首家国家一级A排放标准的地下污水处理厂。</w:t>
            </w:r>
            <w:r>
              <w:rPr>
                <w:rFonts w:hint="eastAsia"/>
                <w:color w:val="000000" w:themeColor="text1"/>
                <w:highlight w:val="none"/>
                <w:lang w:eastAsia="zh-CN"/>
                <w14:textFill>
                  <w14:solidFill>
                    <w14:schemeClr w14:val="tx1"/>
                  </w14:solidFill>
                </w14:textFill>
              </w:rPr>
              <w:t>污水处理厂</w:t>
            </w:r>
            <w:r>
              <w:rPr>
                <w:rFonts w:hint="eastAsia"/>
                <w:color w:val="000000" w:themeColor="text1"/>
                <w:highlight w:val="none"/>
                <w14:textFill>
                  <w14:solidFill>
                    <w14:schemeClr w14:val="tx1"/>
                  </w14:solidFill>
                </w14:textFill>
              </w:rPr>
              <w:t>采用“曝气沉砂池+水解酸化AO+高效沉淀池+转盘滤池”工艺，并建设地面休闲公园，规划绿化率高达70%。</w:t>
            </w:r>
          </w:p>
          <w:p>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设计处理污水规模近期为6万m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/d,远期为12万m³/d,占地面积为80278平方米。</w:t>
            </w:r>
            <w:r>
              <w:rPr>
                <w:rFonts w:hint="eastAsia"/>
                <w:color w:val="000000" w:themeColor="text1"/>
                <w:highlight w:val="none"/>
                <w:lang w:eastAsia="zh-CN"/>
                <w14:textFill>
                  <w14:solidFill>
                    <w14:schemeClr w14:val="tx1"/>
                  </w14:solidFill>
                </w14:textFill>
              </w:rPr>
              <w:t>污水处理厂</w:t>
            </w:r>
            <w:r>
              <w:rPr>
                <w:rFonts w:hint="eastAsia"/>
                <w:color w:val="000000" w:themeColor="text1"/>
                <w:highlight w:val="none"/>
                <w14:textFill>
                  <w14:solidFill>
                    <w14:schemeClr w14:val="tx1"/>
                  </w14:solidFill>
                </w14:textFill>
              </w:rPr>
              <w:t>一期6万m³/d于2015年7月开工建设，于2015年12月局部通水试运行，2016年9月进行污泥培养，2016年12月6日正式投产。</w:t>
            </w:r>
          </w:p>
          <w:p>
            <w:pPr>
              <w:pStyle w:val="44"/>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该污水处理厂承担融侨西片区、南片区以及东张镇、镜洋镇的工业废水和生活污水处理任务，服务面积19.47km²,服务人口约为20万人。处理后的尾水执行《城镇污水处理厂污染物排放标准》(GB18918-2002)及其修改单中的一级A标准，尾水排放龙江。</w:t>
            </w:r>
          </w:p>
          <w:p>
            <w:pPr>
              <w:pStyle w:val="44"/>
              <w:ind w:firstLine="480"/>
              <w:rPr>
                <w:rFonts w:hint="eastAsia" w:ascii="Times New Roman" w:hAnsi="Times New Roman" w:eastAsia="宋体" w:cs="宋体"/>
                <w:color w:val="000000" w:themeColor="text1"/>
                <w:highlight w:val="none"/>
                <w:lang w:val="zh-CN" w:eastAsia="zh-CN"/>
                <w14:textFill>
                  <w14:solidFill>
                    <w14:schemeClr w14:val="tx1"/>
                  </w14:solidFill>
                </w14:textFill>
              </w:rPr>
            </w:pPr>
            <w:r>
              <w:rPr>
                <w:rFonts w:hint="eastAsia" w:ascii="Times New Roman" w:hAnsi="Times New Roman" w:eastAsia="宋体" w:cs="宋体"/>
                <w:color w:val="000000" w:themeColor="text1"/>
                <w:highlight w:val="none"/>
                <w:lang w:val="zh-CN" w:eastAsia="zh-CN"/>
                <w14:textFill>
                  <w14:solidFill>
                    <w14:schemeClr w14:val="tx1"/>
                  </w14:solidFill>
                </w14:textFill>
              </w:rPr>
              <w:t>①设计进出水水质</w:t>
            </w:r>
          </w:p>
          <w:p>
            <w:pPr>
              <w:pStyle w:val="44"/>
              <w:ind w:firstLine="480"/>
              <w:rPr>
                <w:rFonts w:hint="eastAsia" w:ascii="Times New Roman" w:hAnsi="Times New Roman" w:eastAsia="宋体" w:cs="宋体"/>
                <w:color w:val="000000" w:themeColor="text1"/>
                <w:highlight w:val="none"/>
                <w:lang w:val="zh-CN" w:eastAsia="zh-CN"/>
                <w14:textFill>
                  <w14:solidFill>
                    <w14:schemeClr w14:val="tx1"/>
                  </w14:solidFill>
                </w14:textFill>
              </w:rPr>
            </w:pPr>
            <w:r>
              <w:rPr>
                <w:rFonts w:hint="eastAsia" w:ascii="Times New Roman" w:hAnsi="Times New Roman" w:eastAsia="宋体" w:cs="宋体"/>
                <w:color w:val="000000" w:themeColor="text1"/>
                <w:highlight w:val="none"/>
                <w:lang w:val="zh-CN" w:eastAsia="zh-CN"/>
                <w14:textFill>
                  <w14:solidFill>
                    <w14:schemeClr w14:val="tx1"/>
                  </w14:solidFill>
                </w14:textFill>
              </w:rPr>
              <w:t>根据《福清桑德水务有限公司福清市第二污水处理厂工程(一期)环境影响报告书(报批本)》可知，福清市第二污水处理厂进出水水质见表4.</w:t>
            </w:r>
            <w:r>
              <w:rPr>
                <w:rFonts w:hint="eastAsia" w:ascii="Times New Roman" w:hAnsi="Times New Roman" w:eastAsia="宋体" w:cs="宋体"/>
                <w:color w:val="000000" w:themeColor="text1"/>
                <w:highlight w:val="none"/>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zh-CN"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5</w:t>
            </w:r>
            <w:r>
              <w:rPr>
                <w:rFonts w:hint="eastAsia" w:ascii="Times New Roman" w:hAnsi="Times New Roman" w:eastAsia="宋体" w:cs="宋体"/>
                <w:color w:val="000000" w:themeColor="text1"/>
                <w:highlight w:val="none"/>
                <w:lang w:val="zh-CN" w:eastAsia="zh-CN"/>
                <w14:textFill>
                  <w14:solidFill>
                    <w14:schemeClr w14:val="tx1"/>
                  </w14:solidFill>
                </w14:textFill>
              </w:rPr>
              <w:t>。</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zh-CN"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cs="Times New Roman"/>
                <w:color w:val="000000" w:themeColor="text1"/>
                <w:highlight w:val="none"/>
                <w:lang w:val="en-US" w:eastAsia="zh-CN"/>
                <w14:textFill>
                  <w14:solidFill>
                    <w14:schemeClr w14:val="tx1"/>
                  </w14:solidFill>
                </w14:textFill>
              </w:rPr>
              <w:t>污水处理厂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进出水水质标准(mg/L pH除外)</w:t>
            </w:r>
          </w:p>
          <w:tbl>
            <w:tblPr>
              <w:tblStyle w:val="3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094"/>
              <w:gridCol w:w="1094"/>
              <w:gridCol w:w="1094"/>
              <w:gridCol w:w="1094"/>
              <w:gridCol w:w="1094"/>
              <w:gridCol w:w="1094"/>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水质指标</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pH</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COD</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Calibri"/>
                      <w:kern w:val="2"/>
                      <w:sz w:val="21"/>
                      <w:szCs w:val="24"/>
                      <w:highlight w:val="none"/>
                      <w:lang w:val="zh-CN" w:eastAsia="zh-CN" w:bidi="ar-SA"/>
                    </w:rPr>
                  </w:pPr>
                  <w:r>
                    <w:rPr>
                      <w:rFonts w:ascii="Times New Roman" w:hAnsi="Times New Roman" w:eastAsia="宋体"/>
                      <w:spacing w:val="-1"/>
                      <w:sz w:val="21"/>
                      <w:szCs w:val="24"/>
                      <w:highlight w:val="none"/>
                    </w:rPr>
                    <w:t>BOD</w:t>
                  </w:r>
                  <w:r>
                    <w:rPr>
                      <w:rFonts w:ascii="Times New Roman" w:hAnsi="Times New Roman" w:eastAsia="宋体" w:cs="Calibri"/>
                      <w:spacing w:val="-1"/>
                      <w:sz w:val="21"/>
                      <w:szCs w:val="24"/>
                      <w:highlight w:val="none"/>
                    </w:rPr>
                    <w:t>₃</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3"/>
                      <w:sz w:val="21"/>
                      <w:szCs w:val="24"/>
                      <w:highlight w:val="none"/>
                    </w:rPr>
                    <w:t>SS</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1"/>
                      <w:sz w:val="21"/>
                      <w:szCs w:val="24"/>
                      <w:highlight w:val="none"/>
                    </w:rPr>
                    <w:t>NH</w:t>
                  </w:r>
                  <w:r>
                    <w:rPr>
                      <w:rFonts w:ascii="Times New Roman" w:hAnsi="Times New Roman" w:eastAsia="宋体" w:cs="Calibri"/>
                      <w:spacing w:val="-1"/>
                      <w:sz w:val="21"/>
                      <w:szCs w:val="24"/>
                      <w:highlight w:val="none"/>
                    </w:rPr>
                    <w:t>₃</w:t>
                  </w:r>
                  <w:r>
                    <w:rPr>
                      <w:rFonts w:ascii="Times New Roman" w:hAnsi="Times New Roman" w:eastAsia="宋体"/>
                      <w:spacing w:val="-1"/>
                      <w:sz w:val="21"/>
                      <w:szCs w:val="24"/>
                      <w:highlight w:val="none"/>
                    </w:rPr>
                    <w:t>-N</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TN</w:t>
                  </w:r>
                </w:p>
              </w:tc>
              <w:tc>
                <w:tcPr>
                  <w:tcW w:w="1094" w:type="dxa"/>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6"/>
                      <w:sz w:val="21"/>
                      <w:szCs w:val="24"/>
                      <w:highlight w:val="none"/>
                    </w:rPr>
                    <w:t>进水水质</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9"/>
                      <w:sz w:val="21"/>
                      <w:szCs w:val="24"/>
                      <w:highlight w:val="none"/>
                    </w:rPr>
                    <w:t>6~9(无量纲)</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6"/>
                      <w:sz w:val="21"/>
                      <w:szCs w:val="24"/>
                      <w:highlight w:val="none"/>
                    </w:rPr>
                    <w:t>≤400</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≤20</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6"/>
                      <w:sz w:val="21"/>
                      <w:szCs w:val="24"/>
                      <w:highlight w:val="none"/>
                    </w:rPr>
                    <w:t>≤280</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4"/>
                      <w:sz w:val="21"/>
                      <w:szCs w:val="24"/>
                      <w:highlight w:val="none"/>
                    </w:rPr>
                    <w:t>337</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≤54</w:t>
                  </w:r>
                </w:p>
              </w:tc>
              <w:tc>
                <w:tcPr>
                  <w:tcW w:w="1094" w:type="dxa"/>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9"/>
                      <w:sz w:val="21"/>
                      <w:szCs w:val="24"/>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2"/>
                      <w:sz w:val="21"/>
                      <w:szCs w:val="24"/>
                      <w:highlight w:val="none"/>
                    </w:rPr>
                    <w:t>出水标准</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9"/>
                      <w:sz w:val="21"/>
                      <w:szCs w:val="24"/>
                      <w:highlight w:val="none"/>
                    </w:rPr>
                    <w:t>6~9(无量纲)</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≤50</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≤10</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≤10</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9"/>
                      <w:sz w:val="21"/>
                      <w:szCs w:val="24"/>
                      <w:highlight w:val="none"/>
                    </w:rPr>
                    <w:t>≤5</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≤15</w:t>
                  </w:r>
                </w:p>
              </w:tc>
              <w:tc>
                <w:tcPr>
                  <w:tcW w:w="1094"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4"/>
                      <w:highlight w:val="none"/>
                      <w:lang w:val="zh-CN" w:eastAsia="zh-CN" w:bidi="ar-SA"/>
                    </w:rPr>
                  </w:pPr>
                  <w:r>
                    <w:rPr>
                      <w:rFonts w:ascii="Times New Roman" w:hAnsi="Times New Roman" w:eastAsia="宋体"/>
                      <w:spacing w:val="-7"/>
                      <w:sz w:val="21"/>
                      <w:szCs w:val="24"/>
                      <w:highlight w:val="none"/>
                    </w:rPr>
                    <w:t>≤0.5</w:t>
                  </w:r>
                </w:p>
              </w:tc>
            </w:tr>
          </w:tbl>
          <w:p>
            <w:pPr>
              <w:rPr>
                <w:rFonts w:hint="eastAsia"/>
                <w:highlight w:val="none"/>
                <w:lang w:val="zh-CN" w:eastAsia="zh-CN"/>
              </w:rPr>
            </w:pPr>
          </w:p>
          <w:p>
            <w:pPr>
              <w:pStyle w:val="44"/>
              <w:ind w:firstLine="48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②处理工艺</w:t>
            </w:r>
          </w:p>
          <w:p>
            <w:pPr>
              <w:pStyle w:val="44"/>
              <w:ind w:firstLine="48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污水处理工艺流程详见图4.</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p>
          <w:p>
            <w:pPr>
              <w:pStyle w:val="44"/>
              <w:keepNext w:val="0"/>
              <w:keepLines w:val="0"/>
              <w:pageBreakBefore w:val="0"/>
              <w:widowControl w:val="0"/>
              <w:kinsoku/>
              <w:wordWrap/>
              <w:overflowPunct/>
              <w:topLinePunct w:val="0"/>
              <w:autoSpaceDE w:val="0"/>
              <w:autoSpaceDN w:val="0"/>
              <w:bidi w:val="0"/>
              <w:adjustRightInd/>
              <w:snapToGrid/>
              <w:ind w:firstLine="0" w:firstLineChars="0"/>
              <w:textAlignment w:val="auto"/>
              <w:rPr>
                <w:highlight w:val="none"/>
              </w:rPr>
            </w:pPr>
            <w:r>
              <w:rPr>
                <w:highlight w:val="none"/>
              </w:rPr>
              <w:drawing>
                <wp:inline distT="0" distB="0" distL="114300" distR="114300">
                  <wp:extent cx="5664200" cy="3925570"/>
                  <wp:effectExtent l="0" t="0" r="12700" b="177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5664200" cy="39255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图4.3-2  福清市第二污水处理厂污水处理流程图</w:t>
            </w:r>
          </w:p>
          <w:p>
            <w:pPr>
              <w:pStyle w:val="113"/>
              <w:keepNext w:val="0"/>
              <w:keepLines w:val="0"/>
              <w:pageBreakBefore w:val="0"/>
              <w:widowControl w:val="0"/>
              <w:kinsoku/>
              <w:wordWrap/>
              <w:overflowPunct/>
              <w:topLinePunct w:val="0"/>
              <w:bidi w:val="0"/>
              <w:adjustRightInd/>
              <w:snapToGrid/>
              <w:spacing w:line="360" w:lineRule="auto"/>
              <w:ind w:left="0" w:firstLine="500" w:firstLineChars="200"/>
              <w:textAlignment w:val="auto"/>
              <w:rPr>
                <w:sz w:val="25"/>
                <w:szCs w:val="25"/>
                <w:highlight w:val="none"/>
              </w:rPr>
            </w:pPr>
            <w:r>
              <w:rPr>
                <w:sz w:val="25"/>
                <w:szCs w:val="25"/>
                <w:highlight w:val="none"/>
              </w:rPr>
              <w:t>(2)依托可行性分析</w:t>
            </w:r>
          </w:p>
          <w:p>
            <w:pPr>
              <w:pStyle w:val="44"/>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①接管可行性</w:t>
            </w:r>
          </w:p>
          <w:p>
            <w:pPr>
              <w:pStyle w:val="44"/>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福清市第二污水处理厂服务范围是融侨西片区、融侨南片区、东张镇和镜洋镇的生活污水和工业废水；本项目所在区域位于镜洋镇镜</w:t>
            </w:r>
            <w:r>
              <w:rPr>
                <w:rFonts w:hint="eastAsia" w:cs="宋体"/>
                <w:color w:val="000000" w:themeColor="text1"/>
                <w:highlight w:val="none"/>
                <w:lang w:val="en-US" w:eastAsia="zh-CN"/>
                <w14:textFill>
                  <w14:solidFill>
                    <w14:schemeClr w14:val="tx1"/>
                  </w14:solidFill>
                </w14:textFill>
              </w:rPr>
              <w:t>过洋39号</w:t>
            </w:r>
            <w:r>
              <w:rPr>
                <w:rFonts w:hint="eastAsia" w:ascii="Times New Roman" w:hAnsi="Times New Roman" w:eastAsia="宋体" w:cs="宋体"/>
                <w:color w:val="000000" w:themeColor="text1"/>
                <w:highlight w:val="none"/>
                <w14:textFill>
                  <w14:solidFill>
                    <w14:schemeClr w14:val="tx1"/>
                  </w14:solidFill>
                </w14:textFill>
              </w:rPr>
              <w:t>，属于福清市第二污水处理厂设计纳污范围内。</w:t>
            </w:r>
          </w:p>
          <w:p>
            <w:pPr>
              <w:pStyle w:val="44"/>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根据现场踏勘可知，本项目所在厂区已将厂区生活污水管网接入镜洋镇国道东侧市政排污总管，可引至福清市第二污水处理厂处理。</w:t>
            </w:r>
          </w:p>
          <w:p>
            <w:pPr>
              <w:pStyle w:val="44"/>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②水质负荷</w:t>
            </w:r>
          </w:p>
          <w:p>
            <w:pPr>
              <w:pStyle w:val="44"/>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项目生活污水经处理达标后通过厂区污水总排放口排入市政污水管网，送往福清市第二污水处理厂集中处理，根据工程分析预测可知，项目生活污水排入市政污水管网内污染物排放浓度情况表4.</w:t>
            </w:r>
            <w:r>
              <w:rPr>
                <w:rFonts w:hint="eastAsia" w:ascii="Times New Roman" w:hAnsi="Times New Roman" w:eastAsia="宋体" w:cs="宋体"/>
                <w:color w:val="000000" w:themeColor="text1"/>
                <w:highlight w:val="none"/>
                <w:lang w:val="en-US" w:eastAsia="zh-CN"/>
                <w14:textFill>
                  <w14:solidFill>
                    <w14:schemeClr w14:val="tx1"/>
                  </w14:solidFill>
                </w14:textFill>
              </w:rPr>
              <w:t>3</w:t>
            </w:r>
            <w:r>
              <w:rPr>
                <w:rFonts w:hint="eastAsia"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6</w:t>
            </w:r>
            <w:r>
              <w:rPr>
                <w:rFonts w:hint="eastAsia" w:ascii="Times New Roman" w:hAnsi="Times New Roman" w:eastAsia="宋体" w:cs="宋体"/>
                <w:color w:val="000000" w:themeColor="text1"/>
                <w:highlight w:val="none"/>
                <w14:textFill>
                  <w14:solidFill>
                    <w14:schemeClr w14:val="tx1"/>
                  </w14:solidFill>
                </w14:textFill>
              </w:rPr>
              <w:t>。</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本项目厂区污水总排放口生活污水排放情况一览表</w:t>
            </w:r>
          </w:p>
          <w:tbl>
            <w:tblPr>
              <w:tblStyle w:val="34"/>
              <w:tblW w:w="89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1786"/>
              <w:gridCol w:w="1786"/>
              <w:gridCol w:w="1786"/>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污染物种类</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szCs w:val="25"/>
                      <w:highlight w:val="none"/>
                    </w:rPr>
                  </w:pPr>
                  <w:r>
                    <w:rPr>
                      <w:rFonts w:ascii="Times New Roman" w:hAnsi="Times New Roman" w:eastAsia="宋体"/>
                      <w:spacing w:val="3"/>
                      <w:sz w:val="21"/>
                      <w:szCs w:val="25"/>
                      <w:highlight w:val="none"/>
                    </w:rPr>
                    <w:t>排放浓度</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8"/>
                      <w:sz w:val="21"/>
                      <w:szCs w:val="25"/>
                      <w:highlight w:val="none"/>
                    </w:rPr>
                    <w:t>(mg/L)</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szCs w:val="25"/>
                      <w:highlight w:val="none"/>
                    </w:rPr>
                  </w:pPr>
                  <w:r>
                    <w:rPr>
                      <w:rFonts w:ascii="Times New Roman" w:hAnsi="Times New Roman" w:eastAsia="宋体"/>
                      <w:spacing w:val="1"/>
                      <w:sz w:val="21"/>
                      <w:szCs w:val="25"/>
                      <w:highlight w:val="none"/>
                    </w:rPr>
                    <w:t>允许排放标准</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8"/>
                      <w:sz w:val="21"/>
                      <w:szCs w:val="25"/>
                      <w:highlight w:val="none"/>
                    </w:rPr>
                    <w:t>(mg/L)</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kern w:val="2"/>
                      <w:sz w:val="21"/>
                      <w:szCs w:val="25"/>
                      <w:highlight w:val="none"/>
                      <w:lang w:val="en-US" w:eastAsia="zh-CN" w:bidi="ar-SA"/>
                    </w:rPr>
                  </w:pPr>
                  <w:r>
                    <w:rPr>
                      <w:rFonts w:hint="eastAsia" w:ascii="Times New Roman" w:hAnsi="Times New Roman"/>
                      <w:spacing w:val="1"/>
                      <w:sz w:val="21"/>
                      <w:szCs w:val="25"/>
                      <w:highlight w:val="none"/>
                      <w:lang w:eastAsia="zh-CN"/>
                    </w:rPr>
                    <w:t>污水处理厂</w:t>
                  </w:r>
                  <w:r>
                    <w:rPr>
                      <w:rFonts w:ascii="Times New Roman" w:hAnsi="Times New Roman" w:eastAsia="宋体"/>
                      <w:spacing w:val="1"/>
                      <w:sz w:val="21"/>
                      <w:szCs w:val="25"/>
                      <w:highlight w:val="none"/>
                    </w:rPr>
                    <w:t>进水水</w:t>
                  </w:r>
                  <w:r>
                    <w:rPr>
                      <w:rFonts w:ascii="Times New Roman" w:hAnsi="Times New Roman" w:eastAsia="宋体"/>
                      <w:spacing w:val="19"/>
                      <w:sz w:val="21"/>
                      <w:szCs w:val="25"/>
                      <w:highlight w:val="none"/>
                    </w:rPr>
                    <w:t>质(</w:t>
                  </w:r>
                  <w:r>
                    <w:rPr>
                      <w:rFonts w:ascii="Times New Roman" w:hAnsi="Times New Roman" w:eastAsia="宋体"/>
                      <w:sz w:val="21"/>
                      <w:szCs w:val="25"/>
                      <w:highlight w:val="none"/>
                    </w:rPr>
                    <w:t>mg</w:t>
                  </w:r>
                  <w:r>
                    <w:rPr>
                      <w:rFonts w:hint="eastAsia" w:ascii="Times New Roman" w:hAnsi="Times New Roman"/>
                      <w:sz w:val="21"/>
                      <w:szCs w:val="25"/>
                      <w:highlight w:val="none"/>
                      <w:lang w:val="en-US" w:eastAsia="zh-CN"/>
                    </w:rPr>
                    <w:t>/</w:t>
                  </w:r>
                  <w:r>
                    <w:rPr>
                      <w:rFonts w:ascii="Times New Roman" w:hAnsi="Times New Roman" w:eastAsia="宋体"/>
                      <w:sz w:val="21"/>
                      <w:szCs w:val="25"/>
                      <w:highlight w:val="none"/>
                    </w:rPr>
                    <w:t>L</w:t>
                  </w:r>
                  <w:r>
                    <w:rPr>
                      <w:rFonts w:ascii="Times New Roman" w:hAnsi="Times New Roman" w:eastAsia="宋体"/>
                      <w:spacing w:val="19"/>
                      <w:sz w:val="21"/>
                      <w:szCs w:val="25"/>
                      <w:highlight w:val="none"/>
                    </w:rPr>
                    <w:t>)</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pH</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4"/>
                      <w:sz w:val="21"/>
                      <w:szCs w:val="25"/>
                      <w:highlight w:val="none"/>
                    </w:rPr>
                    <w:t>6-9</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6"/>
                      <w:sz w:val="21"/>
                      <w:szCs w:val="25"/>
                      <w:highlight w:val="none"/>
                    </w:rPr>
                    <w:t>6-9(无量纲)</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7"/>
                      <w:sz w:val="21"/>
                      <w:szCs w:val="25"/>
                      <w:highlight w:val="none"/>
                    </w:rPr>
                    <w:t>6-9(无量纲)</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CODcr</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240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4"/>
                      <w:sz w:val="21"/>
                      <w:szCs w:val="25"/>
                      <w:highlight w:val="none"/>
                    </w:rPr>
                    <w:t>500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400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Calibri"/>
                      <w:kern w:val="2"/>
                      <w:sz w:val="21"/>
                      <w:szCs w:val="25"/>
                      <w:highlight w:val="none"/>
                      <w:lang w:val="en-US" w:eastAsia="zh-CN" w:bidi="ar-SA"/>
                    </w:rPr>
                  </w:pPr>
                  <w:r>
                    <w:rPr>
                      <w:rFonts w:ascii="Times New Roman" w:hAnsi="Times New Roman" w:eastAsia="宋体"/>
                      <w:spacing w:val="-1"/>
                      <w:position w:val="-1"/>
                      <w:sz w:val="21"/>
                      <w:szCs w:val="25"/>
                      <w:highlight w:val="none"/>
                    </w:rPr>
                    <w:t>BOD</w:t>
                  </w:r>
                  <w:r>
                    <w:rPr>
                      <w:rFonts w:ascii="Times New Roman" w:hAnsi="Times New Roman" w:eastAsia="宋体" w:cs="Calibri"/>
                      <w:spacing w:val="-1"/>
                      <w:position w:val="-1"/>
                      <w:sz w:val="21"/>
                      <w:szCs w:val="25"/>
                      <w:highlight w:val="none"/>
                    </w:rPr>
                    <w:t>₅</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7"/>
                      <w:sz w:val="21"/>
                      <w:szCs w:val="25"/>
                      <w:highlight w:val="none"/>
                    </w:rPr>
                    <w:t>156</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4"/>
                      <w:sz w:val="21"/>
                      <w:szCs w:val="25"/>
                      <w:highlight w:val="none"/>
                    </w:rPr>
                    <w:t>300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220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position w:val="-2"/>
                      <w:sz w:val="21"/>
                      <w:szCs w:val="25"/>
                      <w:highlight w:val="none"/>
                    </w:rPr>
                    <w:t>SS</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88</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2"/>
                      <w:sz w:val="21"/>
                      <w:szCs w:val="25"/>
                      <w:highlight w:val="none"/>
                    </w:rPr>
                    <w:t>400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280</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85"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1"/>
                      <w:sz w:val="21"/>
                      <w:szCs w:val="25"/>
                      <w:highlight w:val="none"/>
                    </w:rPr>
                    <w:t>NH</w:t>
                  </w:r>
                  <w:r>
                    <w:rPr>
                      <w:rFonts w:ascii="Times New Roman" w:hAnsi="Times New Roman" w:eastAsia="宋体" w:cs="Calibri"/>
                      <w:spacing w:val="-1"/>
                      <w:sz w:val="21"/>
                      <w:szCs w:val="25"/>
                      <w:highlight w:val="none"/>
                    </w:rPr>
                    <w:t>₃</w:t>
                  </w:r>
                  <w:r>
                    <w:rPr>
                      <w:rFonts w:ascii="Times New Roman" w:hAnsi="Times New Roman" w:eastAsia="宋体"/>
                      <w:spacing w:val="-1"/>
                      <w:sz w:val="21"/>
                      <w:szCs w:val="25"/>
                      <w:highlight w:val="none"/>
                    </w:rPr>
                    <w:t>-N</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31.5</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45</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4"/>
                      <w:sz w:val="21"/>
                      <w:szCs w:val="25"/>
                      <w:highlight w:val="none"/>
                    </w:rPr>
                    <w:t>37</w:t>
                  </w:r>
                </w:p>
              </w:tc>
              <w:tc>
                <w:tcPr>
                  <w:tcW w:w="1786" w:type="dxa"/>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kern w:val="2"/>
                      <w:sz w:val="21"/>
                      <w:szCs w:val="25"/>
                      <w:highlight w:val="none"/>
                      <w:lang w:val="en-US" w:eastAsia="zh-CN" w:bidi="ar-SA"/>
                    </w:rPr>
                  </w:pPr>
                  <w:r>
                    <w:rPr>
                      <w:rFonts w:ascii="Times New Roman" w:hAnsi="Times New Roman" w:eastAsia="宋体"/>
                      <w:spacing w:val="-3"/>
                      <w:sz w:val="21"/>
                      <w:szCs w:val="25"/>
                      <w:highlight w:val="none"/>
                    </w:rPr>
                    <w:t>达标</w:t>
                  </w:r>
                </w:p>
              </w:tc>
            </w:tr>
          </w:tbl>
          <w:p>
            <w:pPr>
              <w:pStyle w:val="44"/>
              <w:ind w:firstLine="480"/>
              <w:rPr>
                <w:rFonts w:hint="eastAsia" w:ascii="Times New Roman" w:hAnsi="Times New Roman" w:eastAsia="宋体" w:cs="宋体"/>
                <w:color w:val="000000" w:themeColor="text1"/>
                <w:szCs w:val="20"/>
                <w:highlight w:val="none"/>
                <w:lang w:bidi="ar"/>
                <w14:textFill>
                  <w14:solidFill>
                    <w14:schemeClr w14:val="tx1"/>
                  </w14:solidFill>
                </w14:textFill>
              </w:rPr>
            </w:pPr>
            <w:r>
              <w:rPr>
                <w:rFonts w:hint="eastAsia" w:ascii="Times New Roman" w:hAnsi="Times New Roman" w:eastAsia="宋体" w:cs="宋体"/>
                <w:color w:val="000000" w:themeColor="text1"/>
                <w:szCs w:val="20"/>
                <w:highlight w:val="none"/>
                <w:lang w:bidi="ar"/>
                <w14:textFill>
                  <w14:solidFill>
                    <w14:schemeClr w14:val="tx1"/>
                  </w14:solidFill>
                </w14:textFill>
              </w:rPr>
              <w:t>根据上表所列数据，本项目生活污水主要污染物排放浓度均能满足《污水综合排放标准XGB8978-1996)表4三级标准(即COD≤500mgL,BOD₃≤300mgL,SS≤400mg/L)及《污水排入城镇下水道水质标准》(GBT 31962-2015)表1中B级标准限值(即NH₃-N≤45mg/L),也可以符合</w:t>
            </w:r>
            <w:r>
              <w:rPr>
                <w:rFonts w:hint="eastAsia" w:cs="宋体"/>
                <w:color w:val="000000" w:themeColor="text1"/>
                <w:szCs w:val="20"/>
                <w:highlight w:val="none"/>
                <w:lang w:eastAsia="zh-CN" w:bidi="ar"/>
                <w14:textFill>
                  <w14:solidFill>
                    <w14:schemeClr w14:val="tx1"/>
                  </w14:solidFill>
                </w14:textFill>
              </w:rPr>
              <w:t>污水处理厂</w:t>
            </w:r>
            <w:r>
              <w:rPr>
                <w:rFonts w:hint="eastAsia" w:ascii="Times New Roman" w:hAnsi="Times New Roman" w:eastAsia="宋体" w:cs="宋体"/>
                <w:color w:val="000000" w:themeColor="text1"/>
                <w:szCs w:val="20"/>
                <w:highlight w:val="none"/>
                <w:lang w:bidi="ar"/>
                <w14:textFill>
                  <w14:solidFill>
                    <w14:schemeClr w14:val="tx1"/>
                  </w14:solidFill>
                </w14:textFill>
              </w:rPr>
              <w:t>进水水质要求。</w:t>
            </w:r>
          </w:p>
          <w:p>
            <w:pPr>
              <w:pStyle w:val="44"/>
              <w:ind w:firstLine="480"/>
              <w:rPr>
                <w:rFonts w:hint="eastAsia" w:ascii="Times New Roman" w:hAnsi="Times New Roman" w:eastAsia="宋体" w:cs="宋体"/>
                <w:color w:val="000000" w:themeColor="text1"/>
                <w:szCs w:val="20"/>
                <w:highlight w:val="none"/>
                <w:lang w:bidi="ar"/>
                <w14:textFill>
                  <w14:solidFill>
                    <w14:schemeClr w14:val="tx1"/>
                  </w14:solidFill>
                </w14:textFill>
              </w:rPr>
            </w:pPr>
            <w:r>
              <w:rPr>
                <w:rFonts w:hint="eastAsia" w:ascii="Times New Roman" w:hAnsi="Times New Roman" w:eastAsia="宋体" w:cs="宋体"/>
                <w:color w:val="000000" w:themeColor="text1"/>
                <w:szCs w:val="20"/>
                <w:highlight w:val="none"/>
                <w:lang w:bidi="ar"/>
                <w14:textFill>
                  <w14:solidFill>
                    <w14:schemeClr w14:val="tx1"/>
                  </w14:solidFill>
                </w14:textFill>
              </w:rPr>
              <w:t>项目生活污水不涉及有毒有害污染物，不涉及持久性、重金属，也不含有腐蚀成分，因此，从水质方面分析，福清市第二污水处理厂可接纳项目生活污水，不会对</w:t>
            </w:r>
            <w:r>
              <w:rPr>
                <w:rFonts w:hint="eastAsia" w:cs="宋体"/>
                <w:color w:val="000000" w:themeColor="text1"/>
                <w:szCs w:val="20"/>
                <w:highlight w:val="none"/>
                <w:lang w:eastAsia="zh-CN" w:bidi="ar"/>
                <w14:textFill>
                  <w14:solidFill>
                    <w14:schemeClr w14:val="tx1"/>
                  </w14:solidFill>
                </w14:textFill>
              </w:rPr>
              <w:t>污水处理厂</w:t>
            </w:r>
            <w:r>
              <w:rPr>
                <w:rFonts w:hint="eastAsia" w:ascii="Times New Roman" w:hAnsi="Times New Roman" w:eastAsia="宋体" w:cs="宋体"/>
                <w:color w:val="000000" w:themeColor="text1"/>
                <w:szCs w:val="20"/>
                <w:highlight w:val="none"/>
                <w:lang w:bidi="ar"/>
                <w14:textFill>
                  <w14:solidFill>
                    <w14:schemeClr w14:val="tx1"/>
                  </w14:solidFill>
                </w14:textFill>
              </w:rPr>
              <w:t>水质负荷造成冲击。</w:t>
            </w:r>
          </w:p>
          <w:p>
            <w:pPr>
              <w:pStyle w:val="44"/>
              <w:ind w:firstLine="480"/>
              <w:rPr>
                <w:rFonts w:hint="eastAsia" w:ascii="Times New Roman" w:hAnsi="Times New Roman" w:eastAsia="宋体" w:cs="宋体"/>
                <w:color w:val="000000" w:themeColor="text1"/>
                <w:szCs w:val="20"/>
                <w:highlight w:val="none"/>
                <w:lang w:bidi="ar"/>
                <w14:textFill>
                  <w14:solidFill>
                    <w14:schemeClr w14:val="tx1"/>
                  </w14:solidFill>
                </w14:textFill>
              </w:rPr>
            </w:pPr>
            <w:r>
              <w:rPr>
                <w:rFonts w:hint="eastAsia" w:ascii="Times New Roman" w:hAnsi="Times New Roman" w:eastAsia="宋体" w:cs="宋体"/>
                <w:color w:val="000000" w:themeColor="text1"/>
                <w:szCs w:val="20"/>
                <w:highlight w:val="none"/>
                <w:lang w:bidi="ar"/>
                <w14:textFill>
                  <w14:solidFill>
                    <w14:schemeClr w14:val="tx1"/>
                  </w14:solidFill>
                </w14:textFill>
              </w:rPr>
              <w:t>③水量负荷</w:t>
            </w:r>
          </w:p>
          <w:p>
            <w:pPr>
              <w:pStyle w:val="44"/>
              <w:ind w:firstLine="480"/>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0"/>
                <w:highlight w:val="none"/>
                <w:lang w:bidi="ar"/>
                <w14:textFill>
                  <w14:solidFill>
                    <w14:schemeClr w14:val="tx1"/>
                  </w14:solidFill>
                </w14:textFill>
              </w:rPr>
              <w:t>福清市第二污水处理厂一期处理规模6万m</w:t>
            </w:r>
            <w:r>
              <w:rPr>
                <w:rFonts w:hint="eastAsia" w:ascii="Times New Roman" w:hAnsi="Times New Roman" w:eastAsia="宋体" w:cs="宋体"/>
                <w:color w:val="000000" w:themeColor="text1"/>
                <w:szCs w:val="20"/>
                <w:highlight w:val="none"/>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szCs w:val="20"/>
                <w:highlight w:val="none"/>
                <w:lang w:bidi="ar"/>
                <w14:textFill>
                  <w14:solidFill>
                    <w14:schemeClr w14:val="tx1"/>
                  </w14:solidFill>
                </w14:textFill>
              </w:rPr>
              <w:t>/d,依据福建省生态环境厅</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公布的福建省污染源监督性监测情况，福清市第二污水处理厂2023年全年污水处理量为17542058m</w:t>
            </w:r>
            <w:r>
              <w:rPr>
                <w:rFonts w:hint="eastAsia" w:ascii="Times New Roman" w:hAnsi="Times New Roman" w:eastAsia="宋体" w:cs="宋体"/>
                <w:color w:val="000000" w:themeColor="text1"/>
                <w:szCs w:val="20"/>
                <w:highlight w:val="none"/>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,日处理规模为48060.43m</w:t>
            </w:r>
            <w:r>
              <w:rPr>
                <w:rFonts w:hint="eastAsia" w:ascii="Times New Roman" w:hAnsi="Times New Roman" w:eastAsia="宋体" w:cs="宋体"/>
                <w:color w:val="000000" w:themeColor="text1"/>
                <w:szCs w:val="20"/>
                <w:highlight w:val="none"/>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/d,处理规模余量约1.2万m</w:t>
            </w:r>
            <w:r>
              <w:rPr>
                <w:rFonts w:hint="eastAsia" w:ascii="Times New Roman" w:hAnsi="Times New Roman" w:eastAsia="宋体" w:cs="宋体"/>
                <w:color w:val="000000" w:themeColor="text1"/>
                <w:szCs w:val="20"/>
                <w:highlight w:val="none"/>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/d,由此可见，福清市第二污水处理厂有足够余量接纳本项目新增废水排放量。本项目污水排放量</w:t>
            </w:r>
            <w:r>
              <w:rPr>
                <w:rFonts w:hint="eastAsia" w:cs="宋体"/>
                <w:color w:val="000000" w:themeColor="text1"/>
                <w:szCs w:val="20"/>
                <w:highlight w:val="none"/>
                <w:lang w:val="en-US" w:eastAsia="zh-CN" w:bidi="ar"/>
                <w14:textFill>
                  <w14:solidFill>
                    <w14:schemeClr w14:val="tx1"/>
                  </w14:solidFill>
                </w14:textFill>
              </w:rPr>
              <w:t>2.9</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t/d,仅占福清市第二污水处理厂剩余处理规模的0.02417%,污水处理厂采用“曝气沉砂池+水解酸化AO+高效沉淀池+转盘滤池”工艺，属于城镇污水处理厂通用工艺，因此，从处理能力及处理工艺分析，福清市第二污水处理厂可接纳项目废水排放量，不会对</w:t>
            </w:r>
            <w:r>
              <w:rPr>
                <w:rFonts w:hint="eastAsia" w:cs="宋体"/>
                <w:color w:val="000000" w:themeColor="text1"/>
                <w:szCs w:val="20"/>
                <w:highlight w:val="none"/>
                <w:lang w:val="en-US" w:eastAsia="zh-CN" w:bidi="ar"/>
                <w14:textFill>
                  <w14:solidFill>
                    <w14:schemeClr w14:val="tx1"/>
                  </w14:solidFill>
                </w14:textFill>
              </w:rPr>
              <w:t>污水处理厂</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水量负荷造成冲击。</w:t>
            </w:r>
          </w:p>
          <w:p>
            <w:pPr>
              <w:pStyle w:val="44"/>
              <w:ind w:firstLine="480"/>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根据上述分析，项目生活污水经化粪池预处理后可以满足《污水综合排放标准》(GB8978-1996)表4三级标准(即COD≤500mg/L,BOD</w:t>
            </w:r>
            <w:r>
              <w:rPr>
                <w:rFonts w:hint="eastAsia" w:cs="宋体"/>
                <w:color w:val="000000" w:themeColor="text1"/>
                <w:szCs w:val="20"/>
                <w:highlight w:val="none"/>
                <w:vertAlign w:val="subscript"/>
                <w:lang w:val="en-US" w:eastAsia="zh-CN" w:bidi="ar"/>
                <w14:textFill>
                  <w14:solidFill>
                    <w14:schemeClr w14:val="tx1"/>
                  </w14:solidFill>
                </w14:textFill>
              </w:rPr>
              <w:t>5</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≤300mg</w:t>
            </w:r>
            <w:r>
              <w:rPr>
                <w:rFonts w:hint="eastAsia" w:cs="宋体"/>
                <w:color w:val="000000" w:themeColor="text1"/>
                <w:szCs w:val="20"/>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L,SS≤400mg/L)及《污水排入城镇下水道水质标准》(GBT 31962-2015)表1中B级标准限值(即NH</w:t>
            </w:r>
            <w:r>
              <w:rPr>
                <w:rFonts w:hint="eastAsia" w:cs="宋体"/>
                <w:color w:val="000000" w:themeColor="text1"/>
                <w:szCs w:val="20"/>
                <w:highlight w:val="none"/>
                <w:vertAlign w:val="subscript"/>
                <w:lang w:val="en-US" w:eastAsia="zh-CN" w:bidi="ar"/>
                <w14:textFill>
                  <w14:solidFill>
                    <w14:schemeClr w14:val="tx1"/>
                  </w14:solidFill>
                </w14:textFill>
              </w:rPr>
              <w:t>3</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-N≤45mg/L),也可以符合</w:t>
            </w:r>
            <w:r>
              <w:rPr>
                <w:rFonts w:hint="eastAsia" w:cs="宋体"/>
                <w:color w:val="000000" w:themeColor="text1"/>
                <w:szCs w:val="20"/>
                <w:highlight w:val="none"/>
                <w:lang w:val="en-US" w:eastAsia="zh-CN" w:bidi="ar"/>
                <w14:textFill>
                  <w14:solidFill>
                    <w14:schemeClr w14:val="tx1"/>
                  </w14:solidFill>
                </w14:textFill>
              </w:rPr>
              <w:t>污水处理厂</w:t>
            </w:r>
            <w:r>
              <w:rPr>
                <w:rFonts w:hint="eastAsia" w:ascii="Times New Roman" w:hAnsi="Times New Roman" w:eastAsia="宋体" w:cs="宋体"/>
                <w:color w:val="000000" w:themeColor="text1"/>
                <w:szCs w:val="20"/>
                <w:highlight w:val="none"/>
                <w:lang w:val="en-US" w:eastAsia="zh-CN" w:bidi="ar"/>
                <w14:textFill>
                  <w14:solidFill>
                    <w14:schemeClr w14:val="tx1"/>
                  </w14:solidFill>
                </w14:textFill>
              </w:rPr>
              <w:t>进水水质要求，生活污水通过厂区污水总排放口排入市政污水管网，最终送往福清市第二污水处理厂集中处理，项目废水水质、水量不会对污水处理厂造成负荷冲击，项目污水不直接排入地表水体，因此几乎不会对区域地表水环境产生直接不利影响。</w:t>
            </w:r>
          </w:p>
          <w:bookmarkEnd w:id="50"/>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厂区</w:t>
            </w:r>
            <w:r>
              <w:rPr>
                <w:rFonts w:hint="eastAsia"/>
                <w:color w:val="000000" w:themeColor="text1"/>
                <w:highlight w:val="none"/>
                <w:lang w:val="en-US" w:eastAsia="zh-CN"/>
                <w14:textFill>
                  <w14:solidFill>
                    <w14:schemeClr w14:val="tx1"/>
                  </w14:solidFill>
                </w14:textFill>
              </w:rPr>
              <w:t>污水</w:t>
            </w:r>
            <w:r>
              <w:rPr>
                <w:rFonts w:hint="eastAsia" w:eastAsia="宋体"/>
                <w:color w:val="000000" w:themeColor="text1"/>
                <w:highlight w:val="none"/>
                <w14:textFill>
                  <w14:solidFill>
                    <w14:schemeClr w14:val="tx1"/>
                  </w14:solidFill>
                </w14:textFill>
              </w:rPr>
              <w:t>管网建设</w:t>
            </w:r>
          </w:p>
          <w:p>
            <w:pPr>
              <w:pStyle w:val="44"/>
              <w:ind w:firstLine="480"/>
              <w:rPr>
                <w:rFonts w:hint="eastAsia" w:eastAsia="宋体" w:cs="宋体"/>
                <w:color w:val="000000" w:themeColor="text1"/>
                <w:sz w:val="24"/>
                <w:szCs w:val="20"/>
                <w:highlight w:val="none"/>
                <w:lang w:eastAsia="zh-CN" w:bidi="ar"/>
                <w14:textFill>
                  <w14:solidFill>
                    <w14:schemeClr w14:val="tx1"/>
                  </w14:solidFill>
                </w14:textFill>
              </w:rPr>
            </w:pPr>
            <w:r>
              <w:rPr>
                <w:rFonts w:hint="eastAsia" w:cs="宋体"/>
                <w:color w:val="000000" w:themeColor="text1"/>
                <w:szCs w:val="20"/>
                <w:highlight w:val="none"/>
                <w:lang w:bidi="ar"/>
                <w14:textFill>
                  <w14:solidFill>
                    <w14:schemeClr w14:val="tx1"/>
                  </w14:solidFill>
                </w14:textFill>
              </w:rPr>
              <w:t>本</w:t>
            </w:r>
            <w:r>
              <w:rPr>
                <w:rFonts w:hint="eastAsia" w:cs="宋体"/>
                <w:color w:val="000000" w:themeColor="text1"/>
                <w:sz w:val="24"/>
                <w:szCs w:val="20"/>
                <w:highlight w:val="none"/>
                <w:lang w:bidi="ar"/>
                <w14:textFill>
                  <w14:solidFill>
                    <w14:schemeClr w14:val="tx1"/>
                  </w14:solidFill>
                </w14:textFill>
              </w:rPr>
              <w:t>项目污水分质分流由明管或通过管沟敷设方式接入相应设施；</w:t>
            </w:r>
            <w:r>
              <w:rPr>
                <w:rFonts w:hint="eastAsia"/>
                <w:color w:val="000000" w:themeColor="text1"/>
                <w:highlight w:val="none"/>
                <w14:textFill>
                  <w14:solidFill>
                    <w14:schemeClr w14:val="tx1"/>
                  </w14:solidFill>
                </w14:textFill>
              </w:rPr>
              <w:t>管道采用防渗材料，</w:t>
            </w:r>
            <w:r>
              <w:rPr>
                <w:rFonts w:hint="eastAsia" w:cs="宋体"/>
                <w:color w:val="000000" w:themeColor="text1"/>
                <w:sz w:val="24"/>
                <w:szCs w:val="20"/>
                <w:highlight w:val="none"/>
                <w:lang w:bidi="ar"/>
                <w14:textFill>
                  <w14:solidFill>
                    <w14:schemeClr w14:val="tx1"/>
                  </w14:solidFill>
                </w14:textFill>
              </w:rPr>
              <w:t>管沟进行防渗处理，避免发生泄漏时对地下水和土壤污染，同时建设单位定期组织巡查，排查泄漏隐患</w:t>
            </w:r>
            <w:r>
              <w:rPr>
                <w:rFonts w:hint="eastAsia" w:cs="宋体"/>
                <w:color w:val="000000" w:themeColor="text1"/>
                <w:sz w:val="24"/>
                <w:szCs w:val="20"/>
                <w:highlight w:val="none"/>
                <w:lang w:eastAsia="zh-CN" w:bidi="ar"/>
                <w14:textFill>
                  <w14:solidFill>
                    <w14:schemeClr w14:val="tx1"/>
                  </w14:solidFill>
                </w14:textFill>
              </w:rPr>
              <w:t>。</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自行监测计划</w:t>
            </w:r>
          </w:p>
          <w:p>
            <w:pPr>
              <w:pStyle w:val="44"/>
              <w:ind w:firstLine="480"/>
              <w:rPr>
                <w:rFonts w:hint="eastAsia" w:cs="宋体"/>
                <w:color w:val="000000" w:themeColor="text1"/>
                <w:sz w:val="24"/>
                <w:szCs w:val="20"/>
                <w:highlight w:val="none"/>
                <w:lang w:bidi="ar"/>
                <w14:textFill>
                  <w14:solidFill>
                    <w14:schemeClr w14:val="tx1"/>
                  </w14:solidFill>
                </w14:textFill>
              </w:rPr>
            </w:pPr>
            <w:r>
              <w:rPr>
                <w:rFonts w:hint="eastAsia" w:cs="宋体"/>
                <w:color w:val="000000" w:themeColor="text1"/>
                <w:sz w:val="24"/>
                <w:szCs w:val="20"/>
                <w:highlight w:val="none"/>
                <w:lang w:bidi="ar"/>
                <w14:textFill>
                  <w14:solidFill>
                    <w14:schemeClr w14:val="tx1"/>
                  </w14:solidFill>
                </w14:textFill>
              </w:rPr>
              <w:t>本评价</w:t>
            </w:r>
            <w:r>
              <w:rPr>
                <w:rFonts w:hint="eastAsia" w:cs="宋体"/>
                <w:color w:val="000000" w:themeColor="text1"/>
                <w:sz w:val="24"/>
                <w:szCs w:val="20"/>
                <w:highlight w:val="none"/>
                <w:lang w:val="en-US" w:eastAsia="zh-CN" w:bidi="ar"/>
                <w14:textFill>
                  <w14:solidFill>
                    <w14:schemeClr w14:val="tx1"/>
                  </w14:solidFill>
                </w14:textFill>
              </w:rPr>
              <w:t>根据</w:t>
            </w:r>
            <w:r>
              <w:rPr>
                <w:rFonts w:hint="eastAsia" w:cs="宋体"/>
                <w:color w:val="000000" w:themeColor="text1"/>
                <w:sz w:val="24"/>
                <w:szCs w:val="20"/>
                <w:highlight w:val="none"/>
                <w:lang w:bidi="ar"/>
                <w14:textFill>
                  <w14:solidFill>
                    <w14:schemeClr w14:val="tx1"/>
                  </w14:solidFill>
                </w14:textFill>
              </w:rPr>
              <w:t>《排污单位自行监测技术指南总则》(HJ819-2017)、《排污单位自行监测技术指南</w:t>
            </w:r>
            <w:r>
              <w:rPr>
                <w:rFonts w:hint="eastAsia" w:cs="宋体"/>
                <w:color w:val="000000" w:themeColor="text1"/>
                <w:sz w:val="24"/>
                <w:szCs w:val="20"/>
                <w:highlight w:val="none"/>
                <w:lang w:val="en-US" w:eastAsia="zh-CN" w:bidi="ar"/>
                <w14:textFill>
                  <w14:solidFill>
                    <w14:schemeClr w14:val="tx1"/>
                  </w14:solidFill>
                </w14:textFill>
              </w:rPr>
              <w:t xml:space="preserve"> </w:t>
            </w:r>
            <w:r>
              <w:rPr>
                <w:rFonts w:hint="eastAsia" w:cs="宋体"/>
                <w:color w:val="000000" w:themeColor="text1"/>
                <w:sz w:val="24"/>
                <w:szCs w:val="20"/>
                <w:highlight w:val="none"/>
                <w:lang w:bidi="ar"/>
                <w14:textFill>
                  <w14:solidFill>
                    <w14:schemeClr w14:val="tx1"/>
                  </w14:solidFill>
                </w14:textFill>
              </w:rPr>
              <w:t>涂装》(HJ1086-2020)等要求，提出项目运营期废水自行监测计划，具体情况详见表4.3-</w:t>
            </w:r>
            <w:r>
              <w:rPr>
                <w:rFonts w:hint="eastAsia" w:cs="宋体"/>
                <w:color w:val="000000" w:themeColor="text1"/>
                <w:sz w:val="24"/>
                <w:szCs w:val="20"/>
                <w:highlight w:val="none"/>
                <w:lang w:val="en-US" w:eastAsia="zh-CN" w:bidi="ar"/>
                <w14:textFill>
                  <w14:solidFill>
                    <w14:schemeClr w14:val="tx1"/>
                  </w14:solidFill>
                </w14:textFill>
              </w:rPr>
              <w:t>7</w:t>
            </w:r>
            <w:r>
              <w:rPr>
                <w:rFonts w:hint="eastAsia" w:cs="宋体"/>
                <w:color w:val="000000" w:themeColor="text1"/>
                <w:sz w:val="24"/>
                <w:szCs w:val="20"/>
                <w:highlight w:val="none"/>
                <w:lang w:bidi="ar"/>
                <w14:textFill>
                  <w14:solidFill>
                    <w14:schemeClr w14:val="tx1"/>
                  </w14:solidFill>
                </w14:textFill>
              </w:rPr>
              <w:t>。</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项目废水自行监测计划</w:t>
            </w:r>
          </w:p>
          <w:tbl>
            <w:tblPr>
              <w:tblStyle w:val="84"/>
              <w:tblW w:w="4997" w:type="pct"/>
              <w:tblInd w:w="5"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0" w:type="dxa"/>
                <w:bottom w:w="0" w:type="dxa"/>
                <w:right w:w="0" w:type="dxa"/>
              </w:tblCellMar>
            </w:tblPr>
            <w:tblGrid>
              <w:gridCol w:w="833"/>
              <w:gridCol w:w="2291"/>
              <w:gridCol w:w="3250"/>
              <w:gridCol w:w="2550"/>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489" w:hRule="atLeast"/>
              </w:trPr>
              <w:tc>
                <w:tcPr>
                  <w:tcW w:w="467"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序号</w:t>
                  </w:r>
                </w:p>
              </w:tc>
              <w:tc>
                <w:tcPr>
                  <w:tcW w:w="1283"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监测点位</w:t>
                  </w:r>
                </w:p>
              </w:tc>
              <w:tc>
                <w:tcPr>
                  <w:tcW w:w="1820"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监测因子</w:t>
                  </w:r>
                </w:p>
              </w:tc>
              <w:tc>
                <w:tcPr>
                  <w:tcW w:w="1428"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监测频次</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884" w:hRule="atLeast"/>
              </w:trPr>
              <w:tc>
                <w:tcPr>
                  <w:tcW w:w="467"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1</w:t>
                  </w:r>
                </w:p>
              </w:tc>
              <w:tc>
                <w:tcPr>
                  <w:tcW w:w="1283"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厂区污水总排口</w:t>
                  </w:r>
                </w:p>
              </w:tc>
              <w:tc>
                <w:tcPr>
                  <w:tcW w:w="1820"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pH、COD、BOD</w:t>
                  </w:r>
                  <w:r>
                    <w:rPr>
                      <w:rFonts w:hint="eastAsia" w:cs="宋体"/>
                      <w:iCs/>
                      <w:snapToGrid/>
                      <w:color w:val="000000" w:themeColor="text1"/>
                      <w:kern w:val="2"/>
                      <w:sz w:val="21"/>
                      <w:szCs w:val="21"/>
                      <w:highlight w:val="none"/>
                      <w:vertAlign w:val="subscript"/>
                      <w:lang w:val="en-US" w:eastAsia="zh-CN" w:bidi="ar"/>
                      <w14:textFill>
                        <w14:solidFill>
                          <w14:schemeClr w14:val="tx1"/>
                        </w14:solidFill>
                      </w14:textFill>
                    </w:rPr>
                    <w:t>5</w:t>
                  </w: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、SS、</w:t>
                  </w:r>
                  <w:r>
                    <w:rPr>
                      <w:rFonts w:hint="eastAsia"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t>NH</w:t>
                  </w:r>
                  <w:r>
                    <w:rPr>
                      <w:rFonts w:hint="eastAsia" w:ascii="Times New Roman" w:hAnsi="Times New Roman" w:eastAsia="宋体" w:cs="宋体"/>
                      <w:iCs/>
                      <w:snapToGrid/>
                      <w:color w:val="000000" w:themeColor="text1"/>
                      <w:kern w:val="2"/>
                      <w:sz w:val="21"/>
                      <w:szCs w:val="21"/>
                      <w:highlight w:val="none"/>
                      <w:vertAlign w:val="subscript"/>
                      <w:lang w:val="en-US" w:eastAsia="zh-CN" w:bidi="ar"/>
                      <w14:textFill>
                        <w14:solidFill>
                          <w14:schemeClr w14:val="tx1"/>
                        </w14:solidFill>
                      </w14:textFill>
                    </w:rPr>
                    <w:t>3</w:t>
                  </w:r>
                  <w:r>
                    <w:rPr>
                      <w:rFonts w:hint="eastAsia" w:ascii="Times New Roman" w:hAnsi="Times New Roman" w:eastAsia="宋体" w:cs="宋体"/>
                      <w:iCs/>
                      <w:snapToGrid/>
                      <w:color w:val="000000" w:themeColor="text1"/>
                      <w:kern w:val="2"/>
                      <w:sz w:val="21"/>
                      <w:szCs w:val="21"/>
                      <w:highlight w:val="none"/>
                      <w:lang w:val="en-US" w:eastAsia="zh-CN" w:bidi="ar"/>
                      <w14:textFill>
                        <w14:solidFill>
                          <w14:schemeClr w14:val="tx1"/>
                        </w14:solidFill>
                      </w14:textFill>
                    </w:rPr>
                    <w:t>-N</w:t>
                  </w:r>
                </w:p>
              </w:tc>
              <w:tc>
                <w:tcPr>
                  <w:tcW w:w="1428" w:type="pct"/>
                  <w:tcBorders>
                    <w:tl2br w:val="nil"/>
                    <w:tr2bl w:val="nil"/>
                  </w:tcBorders>
                  <w:vAlign w:val="center"/>
                </w:tcPr>
                <w:p>
                  <w:pPr>
                    <w:pStyle w:val="30"/>
                    <w:widowControl w:val="0"/>
                    <w:kinsoku/>
                    <w:autoSpaceDE/>
                    <w:autoSpaceDN/>
                    <w:adjustRightInd/>
                    <w:snapToGrid/>
                    <w:spacing w:before="0" w:beforeAutospacing="0" w:after="0" w:afterAutospacing="0" w:line="240" w:lineRule="auto"/>
                    <w:jc w:val="center"/>
                    <w:textAlignment w:val="auto"/>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pPr>
                  <w:r>
                    <w:rPr>
                      <w:rFonts w:hint="eastAsia" w:ascii="Times New Roman" w:hAnsi="Times New Roman" w:eastAsia="宋体" w:cs="宋体"/>
                      <w:iCs/>
                      <w:snapToGrid/>
                      <w:color w:val="000000" w:themeColor="text1"/>
                      <w:kern w:val="2"/>
                      <w:sz w:val="21"/>
                      <w:szCs w:val="21"/>
                      <w:highlight w:val="none"/>
                      <w:lang w:bidi="ar"/>
                      <w14:textFill>
                        <w14:solidFill>
                          <w14:schemeClr w14:val="tx1"/>
                        </w14:solidFill>
                      </w14:textFill>
                    </w:rPr>
                    <w:t>1天/年、4次/天</w:t>
                  </w:r>
                </w:p>
              </w:tc>
            </w:tr>
          </w:tbl>
          <w:p>
            <w:pPr>
              <w:pStyle w:val="3"/>
              <w:numPr>
                <w:ilvl w:val="1"/>
                <w:numId w:val="1"/>
              </w:numPr>
              <w:bidi w:val="0"/>
              <w:ind w:left="0" w:leftChars="0" w:firstLine="0" w:firstLineChars="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运营期声环境影响分析</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噪声污染源分析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color w:val="000000" w:themeColor="text1"/>
                <w:kern w:val="0"/>
                <w:sz w:val="24"/>
                <w:szCs w:val="20"/>
                <w:highlight w:val="none"/>
                <w:lang w:val="zh-CN" w:eastAsia="zh-CN" w:bidi="ar"/>
                <w14:textFill>
                  <w14:solidFill>
                    <w14:schemeClr w14:val="tx1"/>
                  </w14:solidFill>
                </w14:textFill>
              </w:rPr>
            </w:pPr>
            <w:r>
              <w:rPr>
                <w:rFonts w:hint="eastAsia" w:ascii="Times New Roman" w:hAnsi="Times New Roman" w:eastAsia="宋体" w:cs="宋体"/>
                <w:color w:val="000000" w:themeColor="text1"/>
                <w:kern w:val="0"/>
                <w:sz w:val="24"/>
                <w:szCs w:val="20"/>
                <w:highlight w:val="none"/>
                <w:lang w:val="zh-CN" w:eastAsia="zh-CN" w:bidi="ar"/>
                <w14:textFill>
                  <w14:solidFill>
                    <w14:schemeClr w14:val="tx1"/>
                  </w14:solidFill>
                </w14:textFill>
              </w:rPr>
              <w:t>本项目噪声源主要为焊接设备、废气处理风机、水泵等设备运行产生的噪声，其噪声值在65～80dB(A)之间。</w:t>
            </w:r>
          </w:p>
          <w:p>
            <w:pPr>
              <w:pStyle w:val="44"/>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pP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t>本项目主要设备噪声源见</w:t>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fldChar w:fldCharType="begin"/>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instrText xml:space="preserve"> REF _Ref9211 \n \h </w:instrText>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fldChar w:fldCharType="separate"/>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t>表4.4-1</w:t>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fldChar w:fldCharType="end"/>
            </w:r>
            <w:r>
              <w:rPr>
                <w:rFonts w:hint="default" w:ascii="Times New Roman" w:hAnsi="Times New Roman" w:eastAsia="宋体" w:cs="宋体"/>
                <w:color w:val="000000" w:themeColor="text1"/>
                <w:kern w:val="0"/>
                <w:sz w:val="24"/>
                <w:szCs w:val="20"/>
                <w:highlight w:val="none"/>
                <w:lang w:val="zh-CN" w:eastAsia="zh-CN" w:bidi="ar"/>
                <w14:textFill>
                  <w14:solidFill>
                    <w14:schemeClr w14:val="tx1"/>
                  </w14:solidFill>
                </w14:textFill>
              </w:rPr>
              <w:t>。</w:t>
            </w:r>
          </w:p>
          <w:p>
            <w:pPr>
              <w:pStyle w:val="42"/>
              <w:keepNext w:val="0"/>
              <w:keepLines w:val="0"/>
              <w:pageBreakBefore w:val="0"/>
              <w:widowControl w:val="0"/>
              <w:tabs>
                <w:tab w:val="left" w:pos="0"/>
                <w:tab w:val="clear" w:pos="420"/>
              </w:tabs>
              <w:kinsoku/>
              <w:wordWrap/>
              <w:overflowPunct/>
              <w:topLinePunct w:val="0"/>
              <w:autoSpaceDE w:val="0"/>
              <w:autoSpaceDN w:val="0"/>
              <w:bidi w:val="0"/>
              <w:adjustRightInd/>
              <w:snapToGrid/>
              <w:spacing w:before="157" w:beforeLines="50"/>
              <w:ind w:left="210" w:leftChars="0" w:firstLineChars="0"/>
              <w:textAlignment w:val="auto"/>
              <w:rPr>
                <w:rFonts w:hint="eastAsia" w:eastAsia="宋体"/>
                <w:color w:val="000000" w:themeColor="text1"/>
                <w:highlight w:val="none"/>
                <w14:textFill>
                  <w14:solidFill>
                    <w14:schemeClr w14:val="tx1"/>
                  </w14:solidFill>
                </w14:textFill>
              </w:rPr>
            </w:pPr>
            <w:bookmarkStart w:id="51" w:name="_Toc21104"/>
            <w:bookmarkStart w:id="52" w:name="_Toc2598"/>
            <w:bookmarkStart w:id="53" w:name="_Toc15502"/>
            <w:r>
              <w:rPr>
                <w:rFonts w:ascii="宋体" w:hAnsi="宋体" w:eastAsia="宋体" w:cs="宋体"/>
                <w:sz w:val="24"/>
                <w:szCs w:val="24"/>
                <w:highlight w:val="none"/>
              </w:rPr>
              <w:t>项目主要设备噪声一览表</w:t>
            </w:r>
          </w:p>
          <w:tbl>
            <w:tblPr>
              <w:tblStyle w:val="3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32"/>
              <w:gridCol w:w="450"/>
              <w:gridCol w:w="1077"/>
              <w:gridCol w:w="675"/>
              <w:gridCol w:w="654"/>
              <w:gridCol w:w="674"/>
              <w:gridCol w:w="1261"/>
              <w:gridCol w:w="960"/>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序</w:t>
                  </w:r>
                  <w:r>
                    <w:rPr>
                      <w:rFonts w:ascii="Times New Roman" w:hAnsi="Times New Roman" w:eastAsia="宋体" w:cs="宋体"/>
                      <w:color w:val="auto"/>
                      <w:sz w:val="21"/>
                      <w:szCs w:val="21"/>
                      <w:highlight w:val="none"/>
                    </w:rPr>
                    <w:t>号</w:t>
                  </w:r>
                </w:p>
              </w:tc>
              <w:tc>
                <w:tcPr>
                  <w:tcW w:w="12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设备名称</w:t>
                  </w:r>
                </w:p>
              </w:tc>
              <w:tc>
                <w:tcPr>
                  <w:tcW w:w="4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数量</w:t>
                  </w:r>
                </w:p>
              </w:tc>
              <w:tc>
                <w:tcPr>
                  <w:tcW w:w="107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治理前声级</w:t>
                  </w:r>
                </w:p>
              </w:tc>
              <w:tc>
                <w:tcPr>
                  <w:tcW w:w="200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空间相对位置/m</w:t>
                  </w:r>
                </w:p>
              </w:tc>
              <w:tc>
                <w:tcPr>
                  <w:tcW w:w="12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噪声属性及性质</w:t>
                  </w:r>
                </w:p>
              </w:tc>
              <w:tc>
                <w:tcPr>
                  <w:tcW w:w="9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治理措施</w:t>
                  </w:r>
                </w:p>
              </w:tc>
              <w:tc>
                <w:tcPr>
                  <w:tcW w:w="13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治理后</w:t>
                  </w:r>
                  <w:r>
                    <w:rPr>
                      <w:rFonts w:hint="eastAsia" w:ascii="Times New Roman" w:hAnsi="Times New Roman" w:eastAsia="宋体" w:cs="宋体"/>
                      <w:color w:val="auto"/>
                      <w:sz w:val="21"/>
                      <w:szCs w:val="21"/>
                      <w:highlight w:val="none"/>
                      <w:lang w:val="en-US" w:eastAsia="zh-CN"/>
                    </w:rPr>
                    <w:t>声</w:t>
                  </w:r>
                  <w:r>
                    <w:rPr>
                      <w:rFonts w:ascii="Times New Roman" w:hAnsi="Times New Roman" w:eastAsia="宋体" w:cs="宋体"/>
                      <w:color w:val="auto"/>
                      <w:sz w:val="21"/>
                      <w:szCs w:val="21"/>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2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4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0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x</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y</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z</w:t>
                  </w:r>
                </w:p>
              </w:tc>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9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1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p&gt;:#"/>
                      <w:kern w:val="0"/>
                      <w:sz w:val="21"/>
                      <w:szCs w:val="24"/>
                      <w:highlight w:val="none"/>
                    </w:rPr>
                    <w:t>焊机</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w:t>
                  </w:r>
                  <w:r>
                    <w:rPr>
                      <w:rFonts w:ascii="Times New Roman" w:hAnsi="Times New Roman" w:eastAsia="宋体" w:cs="宋体"/>
                      <w:color w:val="auto"/>
                      <w:sz w:val="21"/>
                      <w:szCs w:val="21"/>
                      <w:highlight w:val="none"/>
                    </w:rPr>
                    <w:t>12.0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0.8</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高噪声设备基础安装减振，进行装消声器等降噪措施</w:t>
                  </w:r>
                </w:p>
              </w:tc>
              <w:tc>
                <w:tcPr>
                  <w:tcW w:w="1337"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2</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ascii="Times New Roman" w:hAnsi="Times New Roman" w:eastAsia="宋体" w:cs="p&gt;:#"/>
                      <w:kern w:val="0"/>
                      <w:sz w:val="21"/>
                      <w:szCs w:val="24"/>
                      <w:highlight w:val="none"/>
                    </w:rPr>
                    <w:t>纯水制备</w:t>
                  </w:r>
                  <w:r>
                    <w:rPr>
                      <w:rFonts w:hint="eastAsia" w:ascii="Times New Roman" w:hAnsi="Times New Roman" w:eastAsia="宋体" w:cs="p&gt;:#"/>
                      <w:kern w:val="0"/>
                      <w:sz w:val="21"/>
                      <w:szCs w:val="24"/>
                      <w:highlight w:val="none"/>
                      <w:lang w:eastAsia="zh-CN"/>
                    </w:rPr>
                    <w:t>系统</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2"/>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8.0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9</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3</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sz w:val="21"/>
                      <w:szCs w:val="24"/>
                      <w:highlight w:val="none"/>
                    </w:rPr>
                    <w:t>预脱脂</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4</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sz w:val="21"/>
                      <w:szCs w:val="24"/>
                      <w:highlight w:val="none"/>
                    </w:rPr>
                    <w:t>主脱脂</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2</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5</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sz w:val="21"/>
                      <w:szCs w:val="24"/>
                      <w:highlight w:val="none"/>
                    </w:rPr>
                    <w:t>水洗1</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6</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2"/>
                      <w:kern w:val="2"/>
                      <w:position w:val="1"/>
                      <w:sz w:val="21"/>
                      <w:szCs w:val="24"/>
                      <w:highlight w:val="none"/>
                      <w:lang w:val="en-US" w:eastAsia="zh-CN" w:bidi="ar-SA"/>
                    </w:rPr>
                  </w:pPr>
                  <w:r>
                    <w:rPr>
                      <w:rFonts w:hint="eastAsia" w:ascii="Times New Roman" w:hAnsi="Times New Roman" w:eastAsia="宋体"/>
                      <w:sz w:val="21"/>
                      <w:szCs w:val="24"/>
                      <w:highlight w:val="none"/>
                    </w:rPr>
                    <w:t>水洗2</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-20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7</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sz w:val="21"/>
                      <w:szCs w:val="24"/>
                      <w:highlight w:val="none"/>
                    </w:rPr>
                    <w:t>硅烷</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.6</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8</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sz w:val="21"/>
                      <w:szCs w:val="24"/>
                      <w:highlight w:val="none"/>
                    </w:rPr>
                    <w:t>水洗3</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-26.0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9</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7"/>
                      <w:kern w:val="2"/>
                      <w:sz w:val="21"/>
                      <w:szCs w:val="24"/>
                      <w:highlight w:val="none"/>
                      <w:lang w:val="en-US" w:eastAsia="zh-CN" w:bidi="ar-SA"/>
                    </w:rPr>
                  </w:pPr>
                  <w:r>
                    <w:rPr>
                      <w:rFonts w:hint="eastAsia" w:ascii="Times New Roman" w:hAnsi="Times New Roman" w:eastAsia="宋体"/>
                      <w:sz w:val="21"/>
                      <w:szCs w:val="24"/>
                      <w:highlight w:val="none"/>
                    </w:rPr>
                    <w:t>纯水洗1</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10</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2"/>
                      <w:kern w:val="2"/>
                      <w:position w:val="1"/>
                      <w:sz w:val="21"/>
                      <w:szCs w:val="24"/>
                      <w:highlight w:val="none"/>
                      <w:lang w:val="en-US" w:eastAsia="zh-CN" w:bidi="ar-SA"/>
                    </w:rPr>
                  </w:pPr>
                  <w:r>
                    <w:rPr>
                      <w:rFonts w:hint="eastAsia" w:ascii="Times New Roman" w:hAnsi="Times New Roman" w:eastAsia="宋体"/>
                      <w:sz w:val="21"/>
                      <w:szCs w:val="24"/>
                      <w:highlight w:val="none"/>
                    </w:rPr>
                    <w:t>电泳</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11</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6"/>
                      <w:kern w:val="2"/>
                      <w:sz w:val="21"/>
                      <w:szCs w:val="24"/>
                      <w:highlight w:val="none"/>
                      <w:lang w:val="en-US" w:eastAsia="zh-CN" w:bidi="ar-SA"/>
                    </w:rPr>
                  </w:pPr>
                  <w:r>
                    <w:rPr>
                      <w:rFonts w:hint="eastAsia" w:ascii="Times New Roman" w:hAnsi="Times New Roman" w:eastAsia="宋体"/>
                      <w:sz w:val="21"/>
                      <w:szCs w:val="24"/>
                      <w:highlight w:val="none"/>
                    </w:rPr>
                    <w:t>UF0洗</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ascii="Times New Roman" w:hAnsi="Times New Roman" w:eastAsia="宋体" w:cs="宋体"/>
                      <w:color w:val="auto"/>
                      <w:sz w:val="21"/>
                      <w:szCs w:val="21"/>
                      <w:highlight w:val="none"/>
                    </w:rPr>
                    <w:t>2.0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12</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2"/>
                      <w:kern w:val="2"/>
                      <w:position w:val="1"/>
                      <w:sz w:val="21"/>
                      <w:szCs w:val="24"/>
                      <w:highlight w:val="none"/>
                      <w:lang w:val="en-US" w:eastAsia="zh-CN" w:bidi="ar-SA"/>
                    </w:rPr>
                  </w:pPr>
                  <w:r>
                    <w:rPr>
                      <w:rFonts w:hint="eastAsia" w:ascii="Times New Roman" w:hAnsi="Times New Roman" w:eastAsia="宋体"/>
                      <w:sz w:val="21"/>
                      <w:szCs w:val="24"/>
                      <w:highlight w:val="none"/>
                    </w:rPr>
                    <w:t>UF1洗</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8</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1.6</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13</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2"/>
                      <w:kern w:val="2"/>
                      <w:position w:val="1"/>
                      <w:sz w:val="21"/>
                      <w:szCs w:val="24"/>
                      <w:highlight w:val="none"/>
                      <w:lang w:val="en-US" w:eastAsia="zh-CN" w:bidi="ar-SA"/>
                    </w:rPr>
                  </w:pPr>
                  <w:r>
                    <w:rPr>
                      <w:rFonts w:hint="eastAsia" w:ascii="Times New Roman" w:hAnsi="Times New Roman" w:eastAsia="宋体"/>
                      <w:sz w:val="21"/>
                      <w:szCs w:val="24"/>
                      <w:highlight w:val="none"/>
                    </w:rPr>
                    <w:t>UF2洗</w:t>
                  </w:r>
                  <w:r>
                    <w:rPr>
                      <w:rFonts w:hint="eastAsia" w:ascii="Times New Roman" w:hAnsi="Times New Roman" w:eastAsia="宋体"/>
                      <w:sz w:val="21"/>
                      <w:szCs w:val="24"/>
                      <w:highlight w:val="none"/>
                      <w:lang w:eastAsia="zh-CN"/>
                    </w:rPr>
                    <w:t>槽</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z w:val="21"/>
                      <w:szCs w:val="21"/>
                      <w:highlight w:val="none"/>
                    </w:rPr>
                    <w:t>2</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5.0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hint="eastAsia" w:ascii="Times New Roman" w:hAnsi="Times New Roman" w:eastAsia="宋体" w:cs="宋体"/>
                      <w:color w:val="auto"/>
                      <w:sz w:val="21"/>
                      <w:szCs w:val="21"/>
                      <w:highlight w:val="none"/>
                      <w:lang w:val="en-US" w:eastAsia="zh-CN"/>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14</w:t>
                  </w:r>
                </w:p>
              </w:tc>
              <w:tc>
                <w:tcPr>
                  <w:tcW w:w="1232" w:type="dxa"/>
                  <w:tcBorders>
                    <w:tl2br w:val="nil"/>
                    <w:tr2bl w:val="nil"/>
                  </w:tcBorders>
                  <w:shd w:val="clear" w:color="auto" w:fill="auto"/>
                  <w:vAlign w:val="center"/>
                </w:tcPr>
                <w:p>
                  <w:pPr>
                    <w:pStyle w:val="113"/>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pacing w:val="2"/>
                      <w:kern w:val="2"/>
                      <w:position w:val="1"/>
                      <w:sz w:val="21"/>
                      <w:szCs w:val="24"/>
                      <w:highlight w:val="none"/>
                      <w:lang w:val="en-US" w:eastAsia="zh-CN" w:bidi="ar-SA"/>
                    </w:rPr>
                  </w:pPr>
                  <w:r>
                    <w:rPr>
                      <w:rFonts w:hint="eastAsia" w:ascii="Times New Roman" w:hAnsi="Times New Roman" w:eastAsia="宋体"/>
                      <w:sz w:val="21"/>
                      <w:szCs w:val="24"/>
                      <w:highlight w:val="none"/>
                      <w:lang w:val="de-DE"/>
                    </w:rPr>
                    <w:t>泳漆烘干炉</w:t>
                  </w:r>
                </w:p>
              </w:tc>
              <w:tc>
                <w:tcPr>
                  <w:tcW w:w="45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4</w:t>
                  </w:r>
                </w:p>
              </w:tc>
              <w:tc>
                <w:tcPr>
                  <w:tcW w:w="1077"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bl>
          <w:p>
            <w:pPr>
              <w:pStyle w:val="46"/>
              <w:jc w:val="left"/>
              <w:rPr>
                <w:rFonts w:hint="default" w:eastAsia="宋体"/>
                <w:highlight w:val="none"/>
                <w:lang w:val="en-US" w:eastAsia="zh-CN"/>
              </w:rPr>
            </w:pPr>
            <w:r>
              <w:rPr>
                <w:rFonts w:hint="eastAsia"/>
                <w:highlight w:val="none"/>
                <w:lang w:val="en-US" w:eastAsia="zh-CN"/>
              </w:rPr>
              <w:t>注：以厂区中心为原点；生产运行期间稳定声源，一天运行8h,夜间不生产。</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运营期</w:t>
            </w:r>
            <w:bookmarkEnd w:id="51"/>
            <w:bookmarkEnd w:id="52"/>
            <w:bookmarkEnd w:id="53"/>
            <w:r>
              <w:rPr>
                <w:rFonts w:hint="eastAsia" w:eastAsia="宋体"/>
                <w:color w:val="000000" w:themeColor="text1"/>
                <w:highlight w:val="none"/>
                <w14:textFill>
                  <w14:solidFill>
                    <w14:schemeClr w14:val="tx1"/>
                  </w14:solidFill>
                </w14:textFill>
              </w:rPr>
              <w:t>噪声预测模式</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 声环境》（HJ2.4-20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highlight w:val="none"/>
                <w14:textFill>
                  <w14:solidFill>
                    <w14:schemeClr w14:val="tx1"/>
                  </w14:solidFill>
                </w14:textFill>
              </w:rPr>
              <w:t>）的技术要求，本次评价采取导则推荐模式。</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室内声源计算公式</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①计算出某个室内靠近围护结构处的倍频带声压级：</w:t>
            </w:r>
          </w:p>
          <w:p>
            <w:pPr>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position w:val="-28"/>
                <w:sz w:val="24"/>
                <w:highlight w:val="none"/>
                <w14:textFill>
                  <w14:solidFill>
                    <w14:schemeClr w14:val="tx1"/>
                  </w14:solidFill>
                </w14:textFill>
              </w:rPr>
              <w:object>
                <v:shape id="_x0000_i1025" o:spt="75" type="#_x0000_t75" style="height:34pt;width:132.95pt;" o:ole="t" filled="f" o:preferrelative="t" stroked="f" coordsize="21600,21600">
                  <v:path/>
                  <v:fill on="f" focussize="0,0"/>
                  <v:stroke on="f"/>
                  <v:imagedata r:id="rId20" o:title=""/>
                  <o:lock v:ext="edit" aspectratio="t"/>
                  <w10:wrap type="none"/>
                  <w10:anchorlock/>
                </v:shape>
                <o:OLEObject Type="Embed" ProgID="Equation.3" ShapeID="_x0000_i1025" DrawAspect="Content" ObjectID="_1468075725" r:id="rId19">
                  <o:LockedField>false</o:LockedField>
                </o:OLEObject>
              </w:objec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p1</w:t>
            </w:r>
            <w:r>
              <w:rPr>
                <w:rFonts w:hint="default" w:ascii="Times New Roman" w:hAnsi="Times New Roman" w:eastAsia="宋体" w:cs="Times New Roman"/>
                <w:color w:val="000000" w:themeColor="text1"/>
                <w:sz w:val="24"/>
                <w:highlight w:val="none"/>
                <w14:textFill>
                  <w14:solidFill>
                    <w14:schemeClr w14:val="tx1"/>
                  </w14:solidFill>
                </w14:textFill>
              </w:rPr>
              <w:t>——某个室内声源在靠近围护结构处产生的倍频带声压级；</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highlight w:val="none"/>
                <w14:textFill>
                  <w14:solidFill>
                    <w14:schemeClr w14:val="tx1"/>
                  </w14:solidFill>
                </w14:textFill>
              </w:rPr>
              <w:t>——某个声源的倍频带声功率级；</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——室内某个声源与靠近围护结构处的距离；</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房间常数</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指向性因素</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②计算出所有室内声源在靠近围护结构处产生的总倍频带声压级：</w:t>
            </w:r>
          </w:p>
          <w:p>
            <w:pPr>
              <w:bidi w:val="0"/>
              <w:ind w:left="0" w:leftChars="0" w:firstLine="0" w:firstLineChars="0"/>
              <w:jc w:val="center"/>
              <w:rPr>
                <w:rFonts w:hint="default" w:ascii="Times New Roman" w:hAnsi="Times New Roman" w:cs="Times New Roman"/>
                <w:color w:val="000000" w:themeColor="text1"/>
                <w:position w:val="-32"/>
                <w:sz w:val="24"/>
                <w:highlight w:val="none"/>
                <w14:textFill>
                  <w14:solidFill>
                    <w14:schemeClr w14:val="tx1"/>
                  </w14:solidFill>
                </w14:textFill>
              </w:rPr>
            </w:pPr>
            <w:r>
              <w:rPr>
                <w:rFonts w:hint="default" w:ascii="Times New Roman" w:hAnsi="Times New Roman" w:cs="Times New Roman"/>
                <w:color w:val="000000" w:themeColor="text1"/>
                <w:position w:val="-32"/>
                <w:sz w:val="24"/>
                <w:highlight w:val="none"/>
                <w14:textFill>
                  <w14:solidFill>
                    <w14:schemeClr w14:val="tx1"/>
                  </w14:solidFill>
                </w14:textFill>
              </w:rPr>
              <w:object>
                <v:shape id="_x0000_i1026" o:spt="75" type="#_x0000_t75" style="height:38pt;width:131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26" r:id="rId21">
                  <o:LockedField>false</o:LockedField>
                </o:OLEObject>
              </w:objec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——靠近维护结构处室内N个声源i倍频带的叠加声压级，dB；</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ij</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——室内j声源i倍频带的声压级，dB；</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N——室内声源总数。</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室外声源传播衰减公式</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计算某个声源在预测点的倍频带声压级：</w:t>
            </w:r>
          </w:p>
          <w:p>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7" o:spt="75" type="#_x0000_t75" style="height:38pt;width:153pt;" o:ole="t" filled="f" o:preferrelative="t" stroked="f" coordsize="21600,21600">
                  <v:path/>
                  <v:fill on="f" focussize="0,0"/>
                  <v:stroke on="f"/>
                  <v:imagedata r:id="rId24" o:title=""/>
                  <o:lock v:ext="edit" aspectratio="t"/>
                  <w10:wrap type="none"/>
                  <w10:anchorlock/>
                </v:shape>
                <o:OLEObject Type="Embed" ProgID="Equation.3" ShapeID="_x0000_i1027" DrawAspect="Content" ObjectID="_1468075727" r:id="rId23">
                  <o:LockedField>false</o:LockedField>
                </o:OLEObject>
              </w:objec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——点声源在预测点产生的倍频带声压级；</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（r0）</w:t>
            </w:r>
            <w:r>
              <w:rPr>
                <w:rFonts w:hint="default" w:ascii="Times New Roman" w:hAnsi="Times New Roman" w:eastAsia="宋体" w:cs="Times New Roman"/>
                <w:color w:val="000000" w:themeColor="text1"/>
                <w:sz w:val="24"/>
                <w:highlight w:val="none"/>
                <w14:textFill>
                  <w14:solidFill>
                    <w14:schemeClr w14:val="tx1"/>
                  </w14:solidFill>
                </w14:textFill>
              </w:rPr>
              <w:t>——参考位置r0处的倍频带声压级；</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14:textFill>
                  <w14:solidFill>
                    <w14:schemeClr w14:val="tx1"/>
                  </w14:solidFill>
                </w14:textFill>
              </w:rPr>
              <w:t>——预测点距声源的距离，m；</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参考位置距声源的距离，m</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ΔL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各种因素引起的衰减量</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声源叠加贡献值公式</w:t>
            </w:r>
          </w:p>
          <w:p>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object>
                <v:shape id="_x0000_i1028" o:spt="75" type="#_x0000_t75" style="height:38pt;width:132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28" r:id="rId25">
                  <o:LockedField>false</o:LockedField>
                </o:OLEObject>
              </w:objec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式中：Leq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——建设项目声源在预测点的等声级贡献值，dB（A）；</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Ai</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——i声源在预测点产生的A声级，dB（A）；</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——预测计算的时间段，</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ti——i声源在T时段内的运行时间，s</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预测值公式</w:t>
            </w:r>
          </w:p>
          <w:p>
            <w:pPr>
              <w:keepNext w:val="0"/>
              <w:bidi w:val="0"/>
              <w:adjustRightInd/>
              <w:snapToGrid/>
              <w:spacing w:line="360" w:lineRule="auto"/>
              <w:ind w:firstLine="480" w:firstLineChars="200"/>
              <w:jc w:val="center"/>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object>
                <v:shape id="_x0000_i1029" o:spt="75" type="#_x0000_t75" style="height:21pt;width:135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p>
          <w:p>
            <w:pPr>
              <w:keepNex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式中：Leq——</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预测点的总声压级</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，dB（A）；</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eqg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——建设项目声源在预测点的等效声级贡献值，dB（A）；</w:t>
            </w:r>
          </w:p>
          <w:p>
            <w:pPr>
              <w:keepNex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eqb</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——预测点的背景值，dB（A）。</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噪声预测及影响评价</w:t>
            </w:r>
          </w:p>
          <w:p>
            <w:pPr>
              <w:pStyle w:val="4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噪声预测结果</w:t>
            </w:r>
            <w:r>
              <w:rPr>
                <w:color w:val="000000" w:themeColor="text1"/>
                <w:highlight w:val="none"/>
                <w14:textFill>
                  <w14:solidFill>
                    <w14:schemeClr w14:val="tx1"/>
                  </w14:solidFill>
                </w14:textFill>
              </w:rPr>
              <w:t>详见表</w:t>
            </w:r>
            <w:r>
              <w:rPr>
                <w:rFonts w:hint="eastAsia"/>
                <w:color w:val="000000" w:themeColor="text1"/>
                <w:highlight w:val="none"/>
                <w:lang w:val="en-US" w:eastAsia="zh-CN"/>
                <w14:textFill>
                  <w14:solidFill>
                    <w14:schemeClr w14:val="tx1"/>
                  </w14:solidFill>
                </w14:textFill>
              </w:rPr>
              <w:t>4.4-2</w:t>
            </w:r>
            <w:r>
              <w:rPr>
                <w:color w:val="000000" w:themeColor="text1"/>
                <w:highlight w:val="none"/>
                <w14:textFill>
                  <w14:solidFill>
                    <w14:schemeClr w14:val="tx1"/>
                  </w14:solidFill>
                </w14:textFill>
              </w:rPr>
              <w:t>。</w:t>
            </w:r>
          </w:p>
          <w:p>
            <w:pPr>
              <w:pStyle w:val="42"/>
              <w:tabs>
                <w:tab w:val="left" w:pos="0"/>
                <w:tab w:val="clear" w:pos="420"/>
              </w:tabs>
              <w:bidi w:val="0"/>
              <w:ind w:left="210" w:leftChars="0" w:firstLineChars="0"/>
              <w:rPr>
                <w:color w:val="000000" w:themeColor="text1"/>
                <w:highlight w:val="none"/>
                <w:lang w:eastAsia="zh-CN"/>
                <w14:textFill>
                  <w14:solidFill>
                    <w14:schemeClr w14:val="tx1"/>
                  </w14:solidFill>
                </w14:textFill>
              </w:rPr>
            </w:pPr>
            <w:bookmarkStart w:id="54" w:name="_Ref31583"/>
            <w:r>
              <w:rPr>
                <w:color w:val="000000" w:themeColor="text1"/>
                <w:highlight w:val="none"/>
                <w:lang w:eastAsia="zh-CN"/>
                <w14:textFill>
                  <w14:solidFill>
                    <w14:schemeClr w14:val="tx1"/>
                  </w14:solidFill>
                </w14:textFill>
              </w:rPr>
              <w:t>厂界噪声预测结果与达标分析表</w:t>
            </w:r>
            <w:bookmarkEnd w:id="54"/>
          </w:p>
          <w:tbl>
            <w:tblPr>
              <w:tblStyle w:val="3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361"/>
              <w:gridCol w:w="1333"/>
              <w:gridCol w:w="1415"/>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107"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b/>
                      <w:bCs/>
                      <w:spacing w:val="5"/>
                      <w:sz w:val="21"/>
                      <w:highlight w:val="none"/>
                    </w:rPr>
                    <w:t>预测点</w:t>
                  </w:r>
                </w:p>
              </w:tc>
              <w:tc>
                <w:tcPr>
                  <w:tcW w:w="1323"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b/>
                      <w:bCs/>
                      <w:spacing w:val="4"/>
                      <w:sz w:val="21"/>
                      <w:highlight w:val="none"/>
                    </w:rPr>
                    <w:t>贡献值</w:t>
                  </w:r>
                </w:p>
              </w:tc>
              <w:tc>
                <w:tcPr>
                  <w:tcW w:w="747"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b/>
                      <w:bCs/>
                      <w:spacing w:val="6"/>
                      <w:sz w:val="21"/>
                      <w:highlight w:val="none"/>
                      <w:lang w:val="en-US" w:eastAsia="zh-CN"/>
                    </w:rPr>
                  </w:pPr>
                  <w:r>
                    <w:rPr>
                      <w:rFonts w:hint="eastAsia" w:ascii="Times New Roman" w:hAnsi="Times New Roman" w:eastAsia="宋体"/>
                      <w:b/>
                      <w:bCs/>
                      <w:spacing w:val="6"/>
                      <w:sz w:val="21"/>
                      <w:highlight w:val="none"/>
                      <w:lang w:val="en-US" w:eastAsia="zh-CN"/>
                    </w:rPr>
                    <w:t>标准值</w:t>
                  </w:r>
                </w:p>
              </w:tc>
              <w:tc>
                <w:tcPr>
                  <w:tcW w:w="793"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spacing w:val="6"/>
                      <w:sz w:val="21"/>
                      <w:highlight w:val="none"/>
                      <w:lang w:val="en-US" w:eastAsia="zh-CN"/>
                    </w:rPr>
                  </w:pPr>
                  <w:r>
                    <w:rPr>
                      <w:rFonts w:hint="eastAsia" w:ascii="Times New Roman" w:hAnsi="Times New Roman" w:eastAsia="宋体"/>
                      <w:b/>
                      <w:bCs/>
                      <w:spacing w:val="6"/>
                      <w:sz w:val="21"/>
                      <w:highlight w:val="none"/>
                      <w:lang w:val="en-US" w:eastAsia="zh-CN"/>
                    </w:rPr>
                    <w:t>时段</w:t>
                  </w:r>
                </w:p>
              </w:tc>
              <w:tc>
                <w:tcPr>
                  <w:tcW w:w="1029" w:type="pct"/>
                  <w:tcBorders>
                    <w:bottom w:val="single" w:color="auto" w:sz="12" w:space="0"/>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spacing w:val="6"/>
                      <w:sz w:val="21"/>
                      <w:highlight w:val="none"/>
                      <w:lang w:val="en-US" w:eastAsia="zh-CN"/>
                    </w:rPr>
                  </w:pPr>
                  <w:r>
                    <w:rPr>
                      <w:rFonts w:hint="eastAsia" w:ascii="Times New Roman" w:hAnsi="Times New Roman" w:eastAsia="宋体"/>
                      <w:b/>
                      <w:bCs/>
                      <w:spacing w:val="6"/>
                      <w:sz w:val="21"/>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7" w:type="pct"/>
                  <w:tcBorders>
                    <w:top w:val="single" w:color="auto" w:sz="12"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spacing w:val="4"/>
                      <w:sz w:val="21"/>
                      <w:highlight w:val="none"/>
                    </w:rPr>
                    <w:t>东厂界</w:t>
                  </w:r>
                </w:p>
              </w:tc>
              <w:tc>
                <w:tcPr>
                  <w:tcW w:w="1323" w:type="pc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spacing w:val="4"/>
                      <w:position w:val="2"/>
                      <w:sz w:val="21"/>
                      <w:szCs w:val="20"/>
                      <w:highlight w:val="none"/>
                      <w:lang w:val="en-US" w:eastAsia="zh-CN"/>
                    </w:rPr>
                    <w:t>5</w:t>
                  </w:r>
                  <w:r>
                    <w:rPr>
                      <w:rFonts w:ascii="Times New Roman" w:hAnsi="Times New Roman" w:eastAsia="宋体" w:cs="Times New Roman"/>
                      <w:spacing w:val="4"/>
                      <w:position w:val="2"/>
                      <w:sz w:val="21"/>
                      <w:szCs w:val="20"/>
                      <w:highlight w:val="none"/>
                    </w:rPr>
                    <w:t>3.30</w:t>
                  </w:r>
                </w:p>
              </w:tc>
              <w:tc>
                <w:tcPr>
                  <w:tcW w:w="747" w:type="pct"/>
                  <w:vMerge w:val="restar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position w:val="2"/>
                      <w:sz w:val="21"/>
                      <w:szCs w:val="20"/>
                      <w:highlight w:val="none"/>
                    </w:rPr>
                  </w:pPr>
                  <w:r>
                    <w:rPr>
                      <w:rFonts w:ascii="Times New Roman" w:hAnsi="Times New Roman" w:eastAsia="宋体" w:cs="Times New Roman"/>
                      <w:position w:val="2"/>
                      <w:sz w:val="21"/>
                      <w:szCs w:val="20"/>
                      <w:highlight w:val="none"/>
                    </w:rPr>
                    <w:t>65</w:t>
                  </w:r>
                </w:p>
              </w:tc>
              <w:tc>
                <w:tcPr>
                  <w:tcW w:w="793" w:type="pct"/>
                  <w:vMerge w:val="restar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position w:val="2"/>
                      <w:sz w:val="21"/>
                      <w:szCs w:val="20"/>
                      <w:highlight w:val="none"/>
                      <w:lang w:val="en-US" w:eastAsia="zh-CN"/>
                    </w:rPr>
                  </w:pPr>
                  <w:r>
                    <w:rPr>
                      <w:rFonts w:hint="eastAsia" w:ascii="Times New Roman" w:hAnsi="Times New Roman" w:eastAsia="宋体" w:cs="Times New Roman"/>
                      <w:position w:val="2"/>
                      <w:sz w:val="21"/>
                      <w:szCs w:val="20"/>
                      <w:highlight w:val="none"/>
                      <w:lang w:val="en-US" w:eastAsia="zh-CN"/>
                    </w:rPr>
                    <w:t>昼间</w:t>
                  </w:r>
                </w:p>
              </w:tc>
              <w:tc>
                <w:tcPr>
                  <w:tcW w:w="1029" w:type="pct"/>
                  <w:vMerge w:val="restart"/>
                  <w:tcBorders>
                    <w:top w:val="single" w:color="auto" w:sz="12"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position w:val="2"/>
                      <w:sz w:val="21"/>
                      <w:szCs w:val="20"/>
                      <w:highlight w:val="none"/>
                      <w:lang w:val="en-US" w:eastAsia="zh-CN"/>
                    </w:rPr>
                  </w:pPr>
                  <w:r>
                    <w:rPr>
                      <w:rFonts w:hint="eastAsia" w:ascii="Times New Roman" w:hAnsi="Times New Roman" w:eastAsia="宋体" w:cs="Times New Roman"/>
                      <w:position w:val="2"/>
                      <w:sz w:val="21"/>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7"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spacing w:val="5"/>
                      <w:sz w:val="21"/>
                      <w:highlight w:val="none"/>
                    </w:rPr>
                    <w:t>西厂界</w:t>
                  </w:r>
                </w:p>
              </w:tc>
              <w:tc>
                <w:tcPr>
                  <w:tcW w:w="132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spacing w:val="4"/>
                      <w:position w:val="2"/>
                      <w:sz w:val="21"/>
                      <w:szCs w:val="20"/>
                      <w:highlight w:val="none"/>
                      <w:lang w:val="en-US" w:eastAsia="zh-CN"/>
                    </w:rPr>
                    <w:t>5</w:t>
                  </w:r>
                  <w:r>
                    <w:rPr>
                      <w:rFonts w:ascii="Times New Roman" w:hAnsi="Times New Roman" w:eastAsia="宋体" w:cs="Times New Roman"/>
                      <w:spacing w:val="4"/>
                      <w:position w:val="2"/>
                      <w:sz w:val="21"/>
                      <w:szCs w:val="20"/>
                      <w:highlight w:val="none"/>
                    </w:rPr>
                    <w:t>8.93</w:t>
                  </w:r>
                </w:p>
              </w:tc>
              <w:tc>
                <w:tcPr>
                  <w:tcW w:w="7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07"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spacing w:val="6"/>
                      <w:sz w:val="21"/>
                      <w:highlight w:val="none"/>
                    </w:rPr>
                    <w:t>南厂界</w:t>
                  </w:r>
                </w:p>
              </w:tc>
              <w:tc>
                <w:tcPr>
                  <w:tcW w:w="132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spacing w:val="3"/>
                      <w:position w:val="2"/>
                      <w:sz w:val="21"/>
                      <w:szCs w:val="20"/>
                      <w:highlight w:val="none"/>
                      <w:lang w:val="en-US" w:eastAsia="zh-CN"/>
                    </w:rPr>
                    <w:t>5</w:t>
                  </w:r>
                  <w:r>
                    <w:rPr>
                      <w:rFonts w:ascii="Times New Roman" w:hAnsi="Times New Roman" w:eastAsia="宋体" w:cs="Times New Roman"/>
                      <w:spacing w:val="3"/>
                      <w:position w:val="2"/>
                      <w:sz w:val="21"/>
                      <w:szCs w:val="20"/>
                      <w:highlight w:val="none"/>
                    </w:rPr>
                    <w:t>2.44</w:t>
                  </w:r>
                </w:p>
              </w:tc>
              <w:tc>
                <w:tcPr>
                  <w:tcW w:w="7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7"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kern w:val="2"/>
                      <w:sz w:val="21"/>
                      <w:szCs w:val="24"/>
                      <w:highlight w:val="none"/>
                      <w:lang w:val="en-US" w:eastAsia="en-US" w:bidi="ar-SA"/>
                    </w:rPr>
                  </w:pPr>
                  <w:r>
                    <w:rPr>
                      <w:rFonts w:ascii="Times New Roman" w:hAnsi="Times New Roman" w:eastAsia="宋体"/>
                      <w:spacing w:val="5"/>
                      <w:sz w:val="21"/>
                      <w:highlight w:val="none"/>
                    </w:rPr>
                    <w:t>北厂界</w:t>
                  </w:r>
                </w:p>
              </w:tc>
              <w:tc>
                <w:tcPr>
                  <w:tcW w:w="132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spacing w:val="3"/>
                      <w:position w:val="2"/>
                      <w:sz w:val="21"/>
                      <w:szCs w:val="20"/>
                      <w:highlight w:val="none"/>
                      <w:lang w:val="en-US" w:eastAsia="zh-CN"/>
                    </w:rPr>
                    <w:t>5</w:t>
                  </w:r>
                  <w:r>
                    <w:rPr>
                      <w:rFonts w:ascii="Times New Roman" w:hAnsi="Times New Roman" w:eastAsia="宋体" w:cs="Times New Roman"/>
                      <w:spacing w:val="3"/>
                      <w:position w:val="2"/>
                      <w:sz w:val="21"/>
                      <w:szCs w:val="20"/>
                      <w:highlight w:val="none"/>
                    </w:rPr>
                    <w:t>4.76</w:t>
                  </w:r>
                </w:p>
              </w:tc>
              <w:tc>
                <w:tcPr>
                  <w:tcW w:w="7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kern w:val="2"/>
                      <w:sz w:val="21"/>
                      <w:szCs w:val="20"/>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注：本项目实行单班工作制度，夜间不安排生产活动。</w:t>
                  </w:r>
                </w:p>
              </w:tc>
            </w:tr>
          </w:tbl>
          <w:p>
            <w:pPr>
              <w:pStyle w:val="101"/>
              <w:widowControl/>
              <w:autoSpaceDE w:val="0"/>
              <w:autoSpaceDN w:val="0"/>
              <w:spacing w:before="120" w:beforeLines="50" w:line="360" w:lineRule="auto"/>
              <w:ind w:firstLine="482"/>
              <w:jc w:val="both"/>
              <w:rPr>
                <w:rFonts w:hint="eastAsia" w:eastAsia="宋体" w:cs="宋体"/>
                <w:color w:val="000000" w:themeColor="text1"/>
                <w:highlight w:val="none"/>
                <w:lang w:eastAsia="zh-CN"/>
                <w14:textFill>
                  <w14:solidFill>
                    <w14:schemeClr w14:val="tx1"/>
                  </w14:solidFill>
                </w14:textFill>
              </w:rPr>
            </w:pPr>
            <w:r>
              <w:rPr>
                <w:spacing w:val="-1"/>
                <w:sz w:val="24"/>
                <w:szCs w:val="24"/>
                <w:highlight w:val="none"/>
              </w:rPr>
              <w:t>由上表可见，本项目昼间四至厂界噪声贡献值可分别达到《工业企业厂界环境噪声排放标准》（</w:t>
            </w:r>
            <w:r>
              <w:rPr>
                <w:rFonts w:ascii="Times New Roman" w:hAnsi="Times New Roman" w:eastAsia="Times New Roman" w:cs="Times New Roman"/>
                <w:spacing w:val="-1"/>
                <w:sz w:val="24"/>
                <w:szCs w:val="24"/>
                <w:highlight w:val="none"/>
              </w:rPr>
              <w:t>GB12348-2008</w:t>
            </w:r>
            <w:r>
              <w:rPr>
                <w:spacing w:val="-1"/>
                <w:sz w:val="24"/>
                <w:szCs w:val="24"/>
                <w:highlight w:val="none"/>
              </w:rPr>
              <w:t>）中的</w:t>
            </w:r>
            <w:r>
              <w:rPr>
                <w:rFonts w:ascii="Times New Roman" w:hAnsi="Times New Roman" w:eastAsia="Times New Roman" w:cs="Times New Roman"/>
                <w:spacing w:val="-1"/>
                <w:sz w:val="24"/>
                <w:szCs w:val="24"/>
                <w:highlight w:val="none"/>
              </w:rPr>
              <w:t>3</w:t>
            </w:r>
            <w:r>
              <w:rPr>
                <w:spacing w:val="-1"/>
                <w:sz w:val="24"/>
                <w:szCs w:val="24"/>
                <w:highlight w:val="none"/>
              </w:rPr>
              <w:t>类标准</w:t>
            </w:r>
            <w:r>
              <w:rPr>
                <w:spacing w:val="-2"/>
                <w:sz w:val="24"/>
                <w:szCs w:val="24"/>
                <w:highlight w:val="none"/>
              </w:rPr>
              <w:t>限值要求。因</w:t>
            </w:r>
            <w:r>
              <w:rPr>
                <w:sz w:val="24"/>
                <w:szCs w:val="24"/>
                <w:highlight w:val="none"/>
              </w:rPr>
              <w:t>此，项目运营期间，在采取相应降噪措施后，</w:t>
            </w:r>
            <w:r>
              <w:rPr>
                <w:spacing w:val="-1"/>
                <w:sz w:val="24"/>
                <w:szCs w:val="24"/>
                <w:highlight w:val="none"/>
              </w:rPr>
              <w:t>对区域声环境的影响较小。</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噪声环境监测要求</w:t>
            </w:r>
          </w:p>
          <w:p>
            <w:pPr>
              <w:pStyle w:val="44"/>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项目噪声监测计划见下表</w:t>
            </w:r>
            <w:r>
              <w:rPr>
                <w:rFonts w:hint="eastAsia"/>
                <w:color w:val="000000" w:themeColor="text1"/>
                <w:highlight w:val="none"/>
                <w:lang w:eastAsia="zh-CN"/>
                <w14:textFill>
                  <w14:solidFill>
                    <w14:schemeClr w14:val="tx1"/>
                  </w14:solidFill>
                </w14:textFill>
              </w:rPr>
              <w:t>。</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噪声监测计划</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180"/>
              <w:gridCol w:w="1355"/>
              <w:gridCol w:w="4280"/>
              <w:gridCol w:w="2109"/>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57" w:hRule="atLeast"/>
              </w:trPr>
              <w:tc>
                <w:tcPr>
                  <w:tcW w:w="661" w:type="pct"/>
                  <w:tcBorders>
                    <w:tl2br w:val="nil"/>
                    <w:tr2bl w:val="nil"/>
                  </w:tcBorders>
                  <w:vAlign w:val="center"/>
                </w:tcPr>
                <w:p>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监测点位</w:t>
                  </w:r>
                </w:p>
              </w:tc>
              <w:tc>
                <w:tcPr>
                  <w:tcW w:w="759" w:type="pct"/>
                  <w:tcBorders>
                    <w:tl2br w:val="nil"/>
                    <w:tr2bl w:val="nil"/>
                  </w:tcBorders>
                  <w:vAlign w:val="center"/>
                </w:tcPr>
                <w:p>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w:t>
                  </w:r>
                </w:p>
              </w:tc>
              <w:tc>
                <w:tcPr>
                  <w:tcW w:w="2397" w:type="pct"/>
                  <w:tcBorders>
                    <w:tl2br w:val="nil"/>
                    <w:tr2bl w:val="nil"/>
                  </w:tcBorders>
                  <w:vAlign w:val="center"/>
                </w:tcPr>
                <w:p>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执行标准</w:t>
                  </w:r>
                </w:p>
              </w:tc>
              <w:tc>
                <w:tcPr>
                  <w:tcW w:w="1181" w:type="pct"/>
                  <w:tcBorders>
                    <w:tl2br w:val="nil"/>
                    <w:tr2bl w:val="nil"/>
                  </w:tcBorders>
                  <w:vAlign w:val="center"/>
                </w:tcPr>
                <w:p>
                  <w:pPr>
                    <w:pStyle w:val="46"/>
                    <w:tabs>
                      <w:tab w:val="left" w:pos="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666" w:hRule="atLeast"/>
              </w:trPr>
              <w:tc>
                <w:tcPr>
                  <w:tcW w:w="661" w:type="pct"/>
                  <w:tcBorders>
                    <w:tl2br w:val="nil"/>
                    <w:tr2bl w:val="nil"/>
                  </w:tcBorders>
                  <w:vAlign w:val="center"/>
                </w:tcPr>
                <w:p>
                  <w:pPr>
                    <w:pStyle w:val="46"/>
                    <w:tabs>
                      <w:tab w:val="left" w:pos="0"/>
                    </w:tabs>
                    <w:ind w:left="0" w:leftChars="0" w:firstLine="0" w:firstLineChars="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厂界</w:t>
                  </w:r>
                </w:p>
              </w:tc>
              <w:tc>
                <w:tcPr>
                  <w:tcW w:w="759" w:type="pct"/>
                  <w:tcBorders>
                    <w:tl2br w:val="nil"/>
                    <w:tr2bl w:val="nil"/>
                  </w:tcBorders>
                  <w:vAlign w:val="center"/>
                </w:tcPr>
                <w:p>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Leq(A)</w:t>
                  </w:r>
                </w:p>
              </w:tc>
              <w:tc>
                <w:tcPr>
                  <w:tcW w:w="2397" w:type="pct"/>
                  <w:tcBorders>
                    <w:tl2br w:val="nil"/>
                    <w:tr2bl w:val="nil"/>
                  </w:tcBorders>
                  <w:vAlign w:val="center"/>
                </w:tcPr>
                <w:p>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《工业企业厂界环境噪声排放标准》(GB12348-2008)的</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类</w:t>
                  </w:r>
                </w:p>
              </w:tc>
              <w:tc>
                <w:tcPr>
                  <w:tcW w:w="1181" w:type="pct"/>
                  <w:tcBorders>
                    <w:tl2br w:val="nil"/>
                    <w:tr2bl w:val="nil"/>
                  </w:tcBorders>
                  <w:vAlign w:val="center"/>
                </w:tcPr>
                <w:p>
                  <w:pPr>
                    <w:pStyle w:val="46"/>
                    <w:tabs>
                      <w:tab w:val="left" w:pos="0"/>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1次/季</w:t>
                  </w:r>
                </w:p>
              </w:tc>
            </w:tr>
          </w:tbl>
          <w:p>
            <w:pPr>
              <w:pStyle w:val="3"/>
              <w:numPr>
                <w:ilvl w:val="1"/>
                <w:numId w:val="1"/>
              </w:numPr>
              <w:bidi w:val="0"/>
              <w:ind w:left="0" w:leftChars="0" w:firstLine="0" w:firstLineChars="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固体废物</w:t>
            </w:r>
          </w:p>
          <w:p>
            <w:pPr>
              <w:pStyle w:val="4"/>
              <w:numPr>
                <w:ilvl w:val="2"/>
                <w:numId w:val="1"/>
              </w:numPr>
              <w:bidi w:val="0"/>
              <w:ind w:left="720" w:leftChars="0" w:hanging="720" w:firstLineChars="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固废污染源分析</w:t>
            </w:r>
          </w:p>
          <w:p>
            <w:pPr>
              <w:pStyle w:val="44"/>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1、生活垃圾</w:t>
            </w:r>
          </w:p>
          <w:p>
            <w:pPr>
              <w:pStyle w:val="44"/>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本项目职工定员为</w:t>
            </w:r>
            <w:r>
              <w:rPr>
                <w:rFonts w:hint="eastAsia" w:cs="宋体"/>
                <w:color w:val="000000" w:themeColor="text1"/>
                <w:highlight w:val="none"/>
                <w:lang w:val="en-US" w:eastAsia="zh-CN"/>
                <w14:textFill>
                  <w14:solidFill>
                    <w14:schemeClr w14:val="tx1"/>
                  </w14:solidFill>
                </w14:textFill>
              </w:rPr>
              <w:t>30</w:t>
            </w:r>
            <w:r>
              <w:rPr>
                <w:rFonts w:hint="eastAsia" w:ascii="Times New Roman" w:hAnsi="Times New Roman" w:eastAsia="宋体" w:cs="宋体"/>
                <w:color w:val="000000" w:themeColor="text1"/>
                <w:highlight w:val="none"/>
                <w:lang w:val="en-US" w:eastAsia="zh-CN"/>
                <w14:textFill>
                  <w14:solidFill>
                    <w14:schemeClr w14:val="tx1"/>
                  </w14:solidFill>
                </w14:textFill>
              </w:rPr>
              <w:t>人</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均不住厂，</w:t>
            </w:r>
            <w:r>
              <w:rPr>
                <w:rFonts w:hint="default" w:ascii="Times New Roman" w:hAnsi="Times New Roman" w:eastAsia="宋体" w:cs="宋体"/>
                <w:color w:val="000000" w:themeColor="text1"/>
                <w:highlight w:val="none"/>
                <w:lang w:val="en-US" w:eastAsia="zh-CN"/>
                <w14:textFill>
                  <w14:solidFill>
                    <w14:schemeClr w14:val="tx1"/>
                  </w14:solidFill>
                </w14:textFill>
              </w:rPr>
              <w:t>年工作日为</w:t>
            </w:r>
            <w:r>
              <w:rPr>
                <w:rFonts w:hint="eastAsia" w:cs="宋体"/>
                <w:color w:val="000000" w:themeColor="text1"/>
                <w:highlight w:val="none"/>
                <w:lang w:val="en-US" w:eastAsia="zh-CN"/>
                <w14:textFill>
                  <w14:solidFill>
                    <w14:schemeClr w14:val="tx1"/>
                  </w14:solidFill>
                </w14:textFill>
              </w:rPr>
              <w:t>300</w:t>
            </w:r>
            <w:r>
              <w:rPr>
                <w:rFonts w:hint="default" w:ascii="Times New Roman" w:hAnsi="Times New Roman" w:eastAsia="宋体" w:cs="宋体"/>
                <w:color w:val="000000" w:themeColor="text1"/>
                <w:highlight w:val="none"/>
                <w:lang w:val="en-US" w:eastAsia="zh-CN"/>
                <w14:textFill>
                  <w14:solidFill>
                    <w14:schemeClr w14:val="tx1"/>
                  </w14:solidFill>
                </w14:textFill>
              </w:rPr>
              <w:t>天。不住厂职工生活垃圾系数取0.</w:t>
            </w:r>
            <w:r>
              <w:rPr>
                <w:rFonts w:hint="eastAsia" w:ascii="Times New Roman" w:hAnsi="Times New Roman" w:eastAsia="宋体" w:cs="宋体"/>
                <w:color w:val="000000" w:themeColor="text1"/>
                <w:highlight w:val="none"/>
                <w:lang w:val="en-US" w:eastAsia="zh-CN"/>
                <w14:textFill>
                  <w14:solidFill>
                    <w14:schemeClr w14:val="tx1"/>
                  </w14:solidFill>
                </w14:textFill>
              </w:rPr>
              <w:t>6</w:t>
            </w:r>
            <w:r>
              <w:rPr>
                <w:rFonts w:hint="default" w:ascii="Times New Roman" w:hAnsi="Times New Roman" w:eastAsia="宋体" w:cs="宋体"/>
                <w:color w:val="000000" w:themeColor="text1"/>
                <w:highlight w:val="none"/>
                <w:lang w:val="en-US" w:eastAsia="zh-CN"/>
                <w14:textFill>
                  <w14:solidFill>
                    <w14:schemeClr w14:val="tx1"/>
                  </w14:solidFill>
                </w14:textFill>
              </w:rPr>
              <w:t>kg/人</w:t>
            </w:r>
            <w:r>
              <w:rPr>
                <w:rFonts w:hint="eastAsia" w:ascii="Times New Roman" w:hAnsi="Times New Roman" w:eastAsia="宋体" w:cs="宋体"/>
                <w:color w:val="000000" w:themeColor="text1"/>
                <w:highlight w:val="none"/>
                <w:lang w:val="en-US" w:eastAsia="zh-CN"/>
                <w14:textFill>
                  <w14:solidFill>
                    <w14:schemeClr w14:val="tx1"/>
                  </w14:solidFill>
                </w14:textFill>
              </w:rPr>
              <w:t>·</w:t>
            </w:r>
            <w:r>
              <w:rPr>
                <w:rFonts w:hint="default" w:ascii="Times New Roman" w:hAnsi="Times New Roman" w:eastAsia="宋体" w:cs="宋体"/>
                <w:color w:val="000000" w:themeColor="text1"/>
                <w:highlight w:val="none"/>
                <w:lang w:val="en-US" w:eastAsia="zh-CN"/>
                <w14:textFill>
                  <w14:solidFill>
                    <w14:schemeClr w14:val="tx1"/>
                  </w14:solidFill>
                </w14:textFill>
              </w:rPr>
              <w:t>日，则项目职工生活垃圾产生量为</w:t>
            </w:r>
            <w:r>
              <w:rPr>
                <w:rFonts w:hint="eastAsia" w:cs="宋体"/>
                <w:color w:val="000000" w:themeColor="text1"/>
                <w:highlight w:val="none"/>
                <w:lang w:val="en-US" w:eastAsia="zh-CN"/>
                <w14:textFill>
                  <w14:solidFill>
                    <w14:schemeClr w14:val="tx1"/>
                  </w14:solidFill>
                </w14:textFill>
              </w:rPr>
              <w:t>18</w:t>
            </w:r>
            <w:r>
              <w:rPr>
                <w:rFonts w:hint="default" w:ascii="Times New Roman" w:hAnsi="Times New Roman" w:eastAsia="宋体" w:cs="宋体"/>
                <w:color w:val="000000" w:themeColor="text1"/>
                <w:highlight w:val="none"/>
                <w:lang w:val="en-US" w:eastAsia="zh-CN"/>
                <w14:textFill>
                  <w14:solidFill>
                    <w14:schemeClr w14:val="tx1"/>
                  </w14:solidFill>
                </w14:textFill>
              </w:rPr>
              <w:t>kg/d，年产生量为</w:t>
            </w:r>
            <w:r>
              <w:rPr>
                <w:rFonts w:hint="eastAsia" w:cs="宋体"/>
                <w:color w:val="000000" w:themeColor="text1"/>
                <w:highlight w:val="none"/>
                <w:lang w:val="en-US" w:eastAsia="zh-CN"/>
                <w14:textFill>
                  <w14:solidFill>
                    <w14:schemeClr w14:val="tx1"/>
                  </w14:solidFill>
                </w14:textFill>
              </w:rPr>
              <w:t>5.4</w:t>
            </w:r>
            <w:r>
              <w:rPr>
                <w:rFonts w:hint="default" w:ascii="Times New Roman" w:hAnsi="Times New Roman" w:eastAsia="宋体" w:cs="宋体"/>
                <w:color w:val="000000" w:themeColor="text1"/>
                <w:highlight w:val="none"/>
                <w:lang w:val="en-US" w:eastAsia="zh-CN"/>
                <w14:textFill>
                  <w14:solidFill>
                    <w14:schemeClr w14:val="tx1"/>
                  </w14:solidFill>
                </w14:textFill>
              </w:rPr>
              <w:t>t。项目生活垃圾由环卫部门定期统一清运处理</w:t>
            </w:r>
            <w:r>
              <w:rPr>
                <w:rFonts w:hint="eastAsia" w:ascii="Times New Roman" w:hAnsi="Times New Roman" w:eastAsia="宋体" w:cs="宋体"/>
                <w:color w:val="000000" w:themeColor="text1"/>
                <w:highlight w:val="none"/>
                <w:lang w:val="en-US" w:eastAsia="zh-CN"/>
                <w14:textFill>
                  <w14:solidFill>
                    <w14:schemeClr w14:val="tx1"/>
                  </w14:solidFill>
                </w14:textFill>
              </w:rPr>
              <w:t>。</w:t>
            </w:r>
          </w:p>
          <w:p>
            <w:pPr>
              <w:pStyle w:val="116"/>
              <w:spacing w:line="360" w:lineRule="auto"/>
              <w:jc w:val="both"/>
              <w:rPr>
                <w:rFonts w:hint="eastAsia"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2、一般工业固体废物</w:t>
            </w:r>
          </w:p>
          <w:p>
            <w:pPr>
              <w:pStyle w:val="116"/>
              <w:spacing w:line="360" w:lineRule="auto"/>
              <w:jc w:val="both"/>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①废一般包装材料</w:t>
            </w:r>
          </w:p>
          <w:p>
            <w:pPr>
              <w:pStyle w:val="116"/>
              <w:spacing w:line="360" w:lineRule="auto"/>
              <w:jc w:val="both"/>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项目原料、产品包装会产生少量的废包装材料，根据企业提供资料可知，废包装材料产生量约0.9t/a。废包装材料属于一般固废，外售处置。</w:t>
            </w:r>
          </w:p>
          <w:p>
            <w:pPr>
              <w:pStyle w:val="116"/>
              <w:spacing w:line="360" w:lineRule="auto"/>
              <w:jc w:val="both"/>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②废金属料</w:t>
            </w:r>
          </w:p>
          <w:p>
            <w:pPr>
              <w:pStyle w:val="116"/>
              <w:spacing w:line="360" w:lineRule="auto"/>
              <w:jc w:val="both"/>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项目装配过程中会产生少量的废金属料，根据企业提供资料可知，废金属料产生量约10t/a。废金属料属于一般固废，委托合法合规单位回收利用或处置。</w:t>
            </w:r>
          </w:p>
          <w:p>
            <w:pPr>
              <w:pStyle w:val="113"/>
              <w:spacing w:before="39" w:line="218" w:lineRule="auto"/>
              <w:ind w:left="586"/>
              <w:rPr>
                <w:sz w:val="24"/>
                <w:szCs w:val="24"/>
                <w:highlight w:val="none"/>
              </w:rPr>
            </w:pPr>
            <w:r>
              <w:rPr>
                <w:spacing w:val="-3"/>
                <w:sz w:val="24"/>
                <w:szCs w:val="24"/>
                <w:highlight w:val="none"/>
              </w:rPr>
              <w:t>③焊渣</w:t>
            </w:r>
          </w:p>
          <w:p>
            <w:pPr>
              <w:pStyle w:val="113"/>
              <w:spacing w:before="184" w:line="345" w:lineRule="auto"/>
              <w:ind w:left="103" w:right="98" w:firstLine="484"/>
              <w:rPr>
                <w:sz w:val="24"/>
                <w:szCs w:val="24"/>
                <w:highlight w:val="none"/>
              </w:rPr>
            </w:pPr>
            <w:r>
              <w:rPr>
                <w:sz w:val="24"/>
                <w:szCs w:val="24"/>
                <w:highlight w:val="none"/>
              </w:rPr>
              <w:t>根据建设单位提供的资料以及类比同类型企业，项目焊接工序中会产生</w:t>
            </w:r>
            <w:r>
              <w:rPr>
                <w:spacing w:val="1"/>
                <w:sz w:val="24"/>
                <w:szCs w:val="24"/>
                <w:highlight w:val="none"/>
              </w:rPr>
              <w:t>焊渣，焊渣的产生量约为原料使用量的</w:t>
            </w:r>
            <w:r>
              <w:rPr>
                <w:rFonts w:ascii="Times New Roman" w:hAnsi="Times New Roman" w:eastAsia="Times New Roman" w:cs="Times New Roman"/>
                <w:spacing w:val="1"/>
                <w:sz w:val="24"/>
                <w:szCs w:val="24"/>
                <w:highlight w:val="none"/>
              </w:rPr>
              <w:t>10</w:t>
            </w:r>
            <w:r>
              <w:rPr>
                <w:rFonts w:hint="eastAsia" w:ascii="Times New Roman" w:hAnsi="Times New Roman" w:eastAsia="宋体" w:cs="Times New Roman"/>
                <w:spacing w:val="1"/>
                <w:sz w:val="24"/>
                <w:szCs w:val="24"/>
                <w:highlight w:val="none"/>
                <w:lang w:eastAsia="zh-CN"/>
              </w:rPr>
              <w:t>%～</w:t>
            </w:r>
            <w:r>
              <w:rPr>
                <w:rFonts w:ascii="Times New Roman" w:hAnsi="Times New Roman" w:eastAsia="Times New Roman" w:cs="Times New Roman"/>
                <w:spacing w:val="1"/>
                <w:sz w:val="24"/>
                <w:szCs w:val="24"/>
                <w:highlight w:val="none"/>
              </w:rPr>
              <w:t>20%</w:t>
            </w:r>
            <w:r>
              <w:rPr>
                <w:spacing w:val="1"/>
                <w:sz w:val="24"/>
                <w:szCs w:val="24"/>
                <w:highlight w:val="none"/>
              </w:rPr>
              <w:t>。本评价考虑最不利条件以</w:t>
            </w:r>
            <w:r>
              <w:rPr>
                <w:rFonts w:ascii="Times New Roman" w:hAnsi="Times New Roman" w:eastAsia="Times New Roman" w:cs="Times New Roman"/>
                <w:spacing w:val="2"/>
                <w:sz w:val="24"/>
                <w:szCs w:val="24"/>
                <w:highlight w:val="none"/>
              </w:rPr>
              <w:t>20%</w:t>
            </w:r>
            <w:r>
              <w:rPr>
                <w:spacing w:val="2"/>
                <w:sz w:val="24"/>
                <w:szCs w:val="24"/>
                <w:highlight w:val="none"/>
              </w:rPr>
              <w:t>算，本项目焊材年用量</w:t>
            </w:r>
            <w:r>
              <w:rPr>
                <w:rFonts w:ascii="Times New Roman" w:hAnsi="Times New Roman" w:eastAsia="Times New Roman" w:cs="Times New Roman"/>
                <w:spacing w:val="2"/>
                <w:sz w:val="24"/>
                <w:szCs w:val="24"/>
                <w:highlight w:val="none"/>
              </w:rPr>
              <w:t>20t</w:t>
            </w:r>
            <w:r>
              <w:rPr>
                <w:spacing w:val="2"/>
                <w:sz w:val="24"/>
                <w:szCs w:val="24"/>
                <w:highlight w:val="none"/>
              </w:rPr>
              <w:t>，则焊渣的产生量约</w:t>
            </w:r>
            <w:r>
              <w:rPr>
                <w:rFonts w:ascii="Times New Roman" w:hAnsi="Times New Roman" w:eastAsia="Times New Roman" w:cs="Times New Roman"/>
                <w:spacing w:val="2"/>
                <w:sz w:val="24"/>
                <w:szCs w:val="24"/>
                <w:highlight w:val="none"/>
              </w:rPr>
              <w:t>4t/</w:t>
            </w:r>
            <w:r>
              <w:rPr>
                <w:rFonts w:ascii="Times New Roman" w:hAnsi="Times New Roman" w:eastAsia="Times New Roman" w:cs="Times New Roman"/>
                <w:spacing w:val="1"/>
                <w:sz w:val="24"/>
                <w:szCs w:val="24"/>
                <w:highlight w:val="none"/>
              </w:rPr>
              <w:t>a</w:t>
            </w:r>
            <w:r>
              <w:rPr>
                <w:spacing w:val="1"/>
                <w:sz w:val="24"/>
                <w:szCs w:val="24"/>
                <w:highlight w:val="none"/>
              </w:rPr>
              <w:t>，收集后委托合法合</w:t>
            </w:r>
            <w:r>
              <w:rPr>
                <w:spacing w:val="-1"/>
                <w:sz w:val="24"/>
                <w:szCs w:val="24"/>
                <w:highlight w:val="none"/>
              </w:rPr>
              <w:t>规单位回收利用或处置。</w:t>
            </w:r>
          </w:p>
          <w:p>
            <w:pPr>
              <w:pStyle w:val="113"/>
              <w:spacing w:before="73" w:line="218" w:lineRule="auto"/>
              <w:ind w:left="586"/>
              <w:rPr>
                <w:sz w:val="24"/>
                <w:szCs w:val="24"/>
                <w:highlight w:val="none"/>
              </w:rPr>
            </w:pPr>
            <w:r>
              <w:rPr>
                <w:spacing w:val="-2"/>
                <w:sz w:val="24"/>
                <w:szCs w:val="24"/>
                <w:highlight w:val="none"/>
              </w:rPr>
              <w:t>④废金属灰</w:t>
            </w:r>
          </w:p>
          <w:p>
            <w:pPr>
              <w:pStyle w:val="113"/>
              <w:spacing w:before="184" w:line="359" w:lineRule="auto"/>
              <w:ind w:left="116" w:right="159" w:firstLine="473"/>
              <w:rPr>
                <w:sz w:val="24"/>
                <w:szCs w:val="24"/>
                <w:highlight w:val="none"/>
              </w:rPr>
            </w:pPr>
            <w:r>
              <w:rPr>
                <w:spacing w:val="-1"/>
                <w:sz w:val="24"/>
                <w:szCs w:val="24"/>
                <w:highlight w:val="none"/>
              </w:rPr>
              <w:t>脉冲滤筒除尘器在处理焊接烟尘的过程中会</w:t>
            </w:r>
            <w:r>
              <w:rPr>
                <w:spacing w:val="-2"/>
                <w:sz w:val="24"/>
                <w:szCs w:val="24"/>
                <w:highlight w:val="none"/>
              </w:rPr>
              <w:t>收集到被处理的废金属灰，</w:t>
            </w:r>
            <w:r>
              <w:rPr>
                <w:sz w:val="24"/>
                <w:szCs w:val="24"/>
                <w:highlight w:val="none"/>
              </w:rPr>
              <w:t>收集量约为</w:t>
            </w:r>
            <w:r>
              <w:rPr>
                <w:rFonts w:ascii="Times New Roman" w:hAnsi="Times New Roman" w:eastAsia="Times New Roman" w:cs="Times New Roman"/>
                <w:sz w:val="24"/>
                <w:szCs w:val="24"/>
                <w:highlight w:val="none"/>
              </w:rPr>
              <w:t>0.35t/a</w:t>
            </w:r>
            <w:r>
              <w:rPr>
                <w:sz w:val="24"/>
                <w:szCs w:val="24"/>
                <w:highlight w:val="none"/>
              </w:rPr>
              <w:t>，定期收集后委托合法合规单位回收利用或处置。</w:t>
            </w:r>
          </w:p>
          <w:p>
            <w:pPr>
              <w:spacing w:line="360" w:lineRule="auto"/>
              <w:ind w:firstLine="482"/>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3、</w:t>
            </w:r>
            <w:r>
              <w:rPr>
                <w:rFonts w:ascii="Times New Roman" w:hAnsi="Times New Roman"/>
                <w:color w:val="000000" w:themeColor="text1"/>
                <w:sz w:val="24"/>
                <w:highlight w:val="none"/>
                <w14:textFill>
                  <w14:solidFill>
                    <w14:schemeClr w14:val="tx1"/>
                  </w14:solidFill>
                </w14:textFill>
              </w:rPr>
              <w:t>危险废物</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①废化学品包装</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项目化学品使用会产生废包装，根据企业提供资料可知，废化学品包装产生量为0.2t/a，属于危险废物，危废类别为HW49，委托有资质单位处置。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②废机油</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项目生产设备维修保养过程会产生少量的废机油，废机油产生量约</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0.2t/a。废机油属于危险废物，危废类别为HW08，委托有资质单位处置。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③废弃纯水制备耗材</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纯水制备过程中会产生废RO膜、废过滤器、废离子交换树脂，产生量约0.1t/a，属于危险废物，危废类别为HW49，委托有资质单位处置。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④废含油抹布手套</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项目装配、设备维护保养过程中会产生废含油抹布手套，产生量约0.4t/a。废含油抹布手套因沾染机油属于危险废物，危废类别为HW49，委托有资质单位处置。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⑤废活性炭</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本项目产生的有机废气利用活性炭吸附处理，为保证活性炭吸附活性，需定期更换活性炭，产生废活性炭，本项目活性炭一年更换一次。</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前文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计算结果，本项目废活性炭产生量为</w:t>
            </w:r>
            <w:r>
              <w:rPr>
                <w:rFonts w:hint="eastAsia" w:cs="Times New Roman"/>
                <w:color w:val="000000" w:themeColor="text1"/>
                <w:highlight w:val="none"/>
                <w:lang w:val="en-US" w:eastAsia="zh-CN"/>
                <w14:textFill>
                  <w14:solidFill>
                    <w14:schemeClr w14:val="tx1"/>
                  </w14:solidFill>
                </w14:textFill>
              </w:rPr>
              <w:t>3.6355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t/a，属于《国家危险废物名录》（202</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年版）中编号为HW49其他废物类，危废代码900-039-49，委托有资质单位处置。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⑥废过滤物</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项目脱脂槽液由配套过滤装置滤去残渣后循环使用，产生废过滤物，产生量约0.8t/a，属于危险废物，危废类别为HW49，委托有资质单位处置。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⑦废水处理污泥</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第二次全国污染源普查工业污染源产排污系数手册》（试用版）机械行业系数手册，本项目年使用絮凝剂约210kg/a、污泥产生率4.53t/t-絮凝剂，计算得出污泥产生量0.95t/a，属于危险废物，危废类别为HW17，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⑧废油桶</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根据建设单位提供资料，项目厂内进购的液压油和润滑油的包装桶规格为20kg/桶，项目在生产过程中年用机油0.2t/a，则产生的废包装桶为10个，约0.2t/a，属于危险废物，危废类别为HW08，委托有资质单位处置。</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⑨废滤膜</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根据建设单位提供资料，项目超滤系统会产生废滤膜，产生量约0.4t/a，属于危险废物，危废类别为HW49，委托有资质单位处置。</w:t>
            </w:r>
          </w:p>
          <w:p>
            <w:pPr>
              <w:pStyle w:val="113"/>
              <w:spacing w:before="1" w:line="217" w:lineRule="auto"/>
              <w:ind w:left="586"/>
              <w:rPr>
                <w:sz w:val="24"/>
                <w:szCs w:val="24"/>
                <w:highlight w:val="none"/>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⑩</w:t>
            </w:r>
            <w:r>
              <w:rPr>
                <w:spacing w:val="-2"/>
                <w:sz w:val="24"/>
                <w:szCs w:val="24"/>
                <w:highlight w:val="none"/>
              </w:rPr>
              <w:t>废涂料桶</w:t>
            </w:r>
          </w:p>
          <w:p>
            <w:pPr>
              <w:pStyle w:val="118"/>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根据建设单位提供资料，项目电泳涂料使用过程会产生废涂料桶，产生量约0.4t/a，属于危险废物，危废类别为HW49，需委托具有危险废物经营许可证的单位处置，并严格执行危险废物转移联单制度。</w:t>
            </w:r>
          </w:p>
          <w:p>
            <w:pPr>
              <w:pStyle w:val="44"/>
              <w:ind w:firstLine="48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一般</w:t>
            </w:r>
            <w:r>
              <w:rPr>
                <w:color w:val="000000" w:themeColor="text1"/>
                <w:highlight w:val="none"/>
                <w14:textFill>
                  <w14:solidFill>
                    <w14:schemeClr w14:val="tx1"/>
                  </w14:solidFill>
                </w14:textFill>
              </w:rPr>
              <w:t>固废</w:t>
            </w:r>
            <w:r>
              <w:rPr>
                <w:rFonts w:hint="eastAsia"/>
                <w:color w:val="000000" w:themeColor="text1"/>
                <w:highlight w:val="none"/>
                <w:lang w:val="en-US" w:eastAsia="zh-CN"/>
                <w14:textFill>
                  <w14:solidFill>
                    <w14:schemeClr w14:val="tx1"/>
                  </w14:solidFill>
                </w14:textFill>
              </w:rPr>
              <w:t>与危险固废</w:t>
            </w:r>
            <w:r>
              <w:rPr>
                <w:color w:val="000000" w:themeColor="text1"/>
                <w:highlight w:val="none"/>
                <w14:textFill>
                  <w14:solidFill>
                    <w14:schemeClr w14:val="tx1"/>
                  </w14:solidFill>
                </w14:textFill>
              </w:rPr>
              <w:t>产生情况及处置见</w:t>
            </w:r>
            <w:r>
              <w:rPr>
                <w:rFonts w:hint="eastAsia"/>
                <w:color w:val="000000" w:themeColor="text1"/>
                <w:highlight w:val="none"/>
                <w14:textFill>
                  <w14:solidFill>
                    <w14:schemeClr w14:val="tx1"/>
                  </w14:solidFill>
                </w14:textFill>
              </w:rPr>
              <w:t>下表</w:t>
            </w:r>
            <w:r>
              <w:rPr>
                <w:rFonts w:hint="eastAsia"/>
                <w:color w:val="000000" w:themeColor="text1"/>
                <w:highlight w:val="none"/>
                <w:lang w:val="en-US" w:eastAsia="zh-CN"/>
                <w14:textFill>
                  <w14:solidFill>
                    <w14:schemeClr w14:val="tx1"/>
                  </w14:solidFill>
                </w14:textFill>
              </w:rPr>
              <w:t>4.5-1与表4.5-2</w:t>
            </w:r>
            <w:r>
              <w:rPr>
                <w:rFonts w:hint="eastAsia"/>
                <w:color w:val="000000" w:themeColor="text1"/>
                <w:highlight w:val="none"/>
                <w14:textFill>
                  <w14:solidFill>
                    <w14:schemeClr w14:val="tx1"/>
                  </w14:solidFill>
                </w14:textFill>
              </w:rPr>
              <w:t>。</w:t>
            </w:r>
            <w:bookmarkStart w:id="55" w:name="_Ref28204"/>
            <w:bookmarkStart w:id="56" w:name="_Ref31352"/>
            <w:bookmarkStart w:id="57" w:name="OLE_LINK21"/>
            <w:bookmarkStart w:id="58" w:name="OLE_LINK22"/>
          </w:p>
          <w:p>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一般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固废产生情况及处置一览</w:t>
            </w:r>
            <w:bookmarkEnd w:id="55"/>
            <w:bookmarkEnd w:id="56"/>
            <w:r>
              <w:rPr>
                <w:rFonts w:hint="eastAsia" w:ascii="Times New Roman" w:hAnsi="Times New Roman" w:eastAsia="宋体" w:cs="Times New Roman"/>
                <w:color w:val="000000" w:themeColor="text1"/>
                <w:highlight w:val="none"/>
                <w:lang w:val="en-US" w:eastAsia="zh-CN"/>
                <w14:textFill>
                  <w14:solidFill>
                    <w14:schemeClr w14:val="tx1"/>
                  </w14:solidFill>
                </w14:textFill>
              </w:rPr>
              <w:t>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6"/>
              <w:gridCol w:w="1263"/>
              <w:gridCol w:w="1316"/>
              <w:gridCol w:w="768"/>
              <w:gridCol w:w="966"/>
              <w:gridCol w:w="602"/>
              <w:gridCol w:w="736"/>
              <w:gridCol w:w="673"/>
              <w:gridCol w:w="686"/>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序号</w:t>
                  </w:r>
                </w:p>
              </w:tc>
              <w:tc>
                <w:tcPr>
                  <w:tcW w:w="707"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固废名称</w:t>
                  </w:r>
                </w:p>
              </w:tc>
              <w:tc>
                <w:tcPr>
                  <w:tcW w:w="737"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类别编号</w:t>
                  </w:r>
                </w:p>
              </w:tc>
              <w:tc>
                <w:tcPr>
                  <w:tcW w:w="430"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产生量(t/a)</w:t>
                  </w:r>
                </w:p>
              </w:tc>
              <w:tc>
                <w:tcPr>
                  <w:tcW w:w="541"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产生工序及装置</w:t>
                  </w:r>
                </w:p>
              </w:tc>
              <w:tc>
                <w:tcPr>
                  <w:tcW w:w="337"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形态</w:t>
                  </w:r>
                </w:p>
              </w:tc>
              <w:tc>
                <w:tcPr>
                  <w:tcW w:w="412" w:type="pct"/>
                  <w:tcBorders>
                    <w:bottom w:val="single" w:color="auto" w:sz="12" w:space="0"/>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主要成分</w:t>
                  </w:r>
                </w:p>
              </w:tc>
              <w:tc>
                <w:tcPr>
                  <w:tcW w:w="377" w:type="pct"/>
                  <w:tcBorders>
                    <w:bottom w:val="single" w:color="auto" w:sz="12" w:space="0"/>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有害成分</w:t>
                  </w:r>
                </w:p>
              </w:tc>
              <w:tc>
                <w:tcPr>
                  <w:tcW w:w="384" w:type="pct"/>
                  <w:tcBorders>
                    <w:bottom w:val="single" w:color="auto" w:sz="12" w:space="0"/>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产废规律</w:t>
                  </w:r>
                </w:p>
              </w:tc>
              <w:tc>
                <w:tcPr>
                  <w:tcW w:w="826" w:type="pct"/>
                  <w:tcBorders>
                    <w:bottom w:val="single" w:color="auto" w:sz="12" w:space="0"/>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3" w:hRule="atLeast"/>
              </w:trPr>
              <w:tc>
                <w:tcPr>
                  <w:tcW w:w="245"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1</w:t>
                  </w:r>
                </w:p>
              </w:tc>
              <w:tc>
                <w:tcPr>
                  <w:tcW w:w="707"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废包装材料</w:t>
                  </w:r>
                </w:p>
              </w:tc>
              <w:tc>
                <w:tcPr>
                  <w:tcW w:w="737"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339-001-07</w:t>
                  </w:r>
                </w:p>
              </w:tc>
              <w:tc>
                <w:tcPr>
                  <w:tcW w:w="430"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0.9</w:t>
                  </w:r>
                </w:p>
              </w:tc>
              <w:tc>
                <w:tcPr>
                  <w:tcW w:w="541"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包装工程</w:t>
                  </w:r>
                </w:p>
              </w:tc>
              <w:tc>
                <w:tcPr>
                  <w:tcW w:w="337"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固态</w:t>
                  </w:r>
                </w:p>
              </w:tc>
              <w:tc>
                <w:tcPr>
                  <w:tcW w:w="412" w:type="pct"/>
                  <w:tcBorders>
                    <w:top w:val="single" w:color="auto" w:sz="12" w:space="0"/>
                    <w:tl2br w:val="nil"/>
                    <w:tr2bl w:val="nil"/>
                  </w:tcBorders>
                  <w:shd w:val="clear" w:color="auto" w:fill="auto"/>
                  <w:vAlign w:val="center"/>
                </w:tcPr>
                <w:p>
                  <w:pPr>
                    <w:pStyle w:val="46"/>
                    <w:tabs>
                      <w:tab w:val="left" w:pos="0"/>
                    </w:tabs>
                    <w:ind w:left="0" w:lef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纸板、塑料</w:t>
                  </w:r>
                </w:p>
              </w:tc>
              <w:tc>
                <w:tcPr>
                  <w:tcW w:w="377" w:type="pct"/>
                  <w:tcBorders>
                    <w:top w:val="single" w:color="auto" w:sz="12" w:space="0"/>
                    <w:tl2br w:val="nil"/>
                    <w:tr2bl w:val="nil"/>
                  </w:tcBorders>
                  <w:shd w:val="clear" w:color="auto" w:fill="auto"/>
                  <w:vAlign w:val="center"/>
                </w:tcPr>
                <w:p>
                  <w:pPr>
                    <w:pStyle w:val="46"/>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w:t>
                  </w:r>
                </w:p>
              </w:tc>
              <w:tc>
                <w:tcPr>
                  <w:tcW w:w="384" w:type="pct"/>
                  <w:tcBorders>
                    <w:top w:val="single" w:color="auto" w:sz="12" w:space="0"/>
                    <w:tl2br w:val="nil"/>
                    <w:tr2bl w:val="nil"/>
                  </w:tcBorders>
                  <w:shd w:val="clear" w:color="auto" w:fill="auto"/>
                  <w:vAlign w:val="center"/>
                </w:tcPr>
                <w:p>
                  <w:pPr>
                    <w:pStyle w:val="46"/>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间歇</w:t>
                  </w:r>
                </w:p>
              </w:tc>
              <w:tc>
                <w:tcPr>
                  <w:tcW w:w="826" w:type="pct"/>
                  <w:vMerge w:val="restart"/>
                  <w:tcBorders>
                    <w:top w:val="single" w:color="auto" w:sz="12" w:space="0"/>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外售相关回收单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tl2br w:val="nil"/>
                    <w:tr2bl w:val="nil"/>
                  </w:tcBorders>
                  <w:shd w:val="clear" w:color="auto" w:fill="auto"/>
                  <w:vAlign w:val="center"/>
                </w:tcPr>
                <w:p>
                  <w:pPr>
                    <w:pStyle w:val="46"/>
                    <w:tabs>
                      <w:tab w:val="left" w:pos="0"/>
                    </w:tabs>
                    <w:ind w:left="0" w:leftChars="0"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2</w:t>
                  </w:r>
                </w:p>
              </w:tc>
              <w:tc>
                <w:tcPr>
                  <w:tcW w:w="707" w:type="pct"/>
                  <w:tcBorders>
                    <w:tl2br w:val="nil"/>
                    <w:tr2bl w:val="nil"/>
                  </w:tcBorders>
                  <w:vAlign w:val="center"/>
                </w:tcPr>
                <w:p>
                  <w:pPr>
                    <w:pStyle w:val="46"/>
                    <w:tabs>
                      <w:tab w:val="left" w:pos="0"/>
                    </w:tabs>
                    <w:jc w:val="center"/>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废金属料</w:t>
                  </w:r>
                </w:p>
              </w:tc>
              <w:tc>
                <w:tcPr>
                  <w:tcW w:w="737" w:type="pct"/>
                  <w:tcBorders>
                    <w:tl2br w:val="nil"/>
                    <w:tr2bl w:val="nil"/>
                  </w:tcBorders>
                  <w:vAlign w:val="center"/>
                </w:tcPr>
                <w:p>
                  <w:pPr>
                    <w:pStyle w:val="46"/>
                    <w:tabs>
                      <w:tab w:val="left" w:pos="0"/>
                    </w:tabs>
                    <w:ind w:left="0" w:leftChars="0" w:firstLine="0" w:firstLineChars="0"/>
                    <w:jc w:val="center"/>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900-003-62</w:t>
                  </w:r>
                </w:p>
              </w:tc>
              <w:tc>
                <w:tcPr>
                  <w:tcW w:w="430"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10</w:t>
                  </w:r>
                </w:p>
              </w:tc>
              <w:tc>
                <w:tcPr>
                  <w:tcW w:w="541"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焊接</w:t>
                  </w:r>
                </w:p>
              </w:tc>
              <w:tc>
                <w:tcPr>
                  <w:tcW w:w="337" w:type="pct"/>
                  <w:tcBorders>
                    <w:tl2br w:val="nil"/>
                    <w:tr2bl w:val="nil"/>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固态</w:t>
                  </w:r>
                </w:p>
              </w:tc>
              <w:tc>
                <w:tcPr>
                  <w:tcW w:w="412"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铁、钢、铝</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等</w:t>
                  </w:r>
                </w:p>
              </w:tc>
              <w:tc>
                <w:tcPr>
                  <w:tcW w:w="377" w:type="pct"/>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w:t>
                  </w:r>
                </w:p>
              </w:tc>
              <w:tc>
                <w:tcPr>
                  <w:tcW w:w="384" w:type="pct"/>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持续</w:t>
                  </w:r>
                </w:p>
              </w:tc>
              <w:tc>
                <w:tcPr>
                  <w:tcW w:w="826" w:type="pct"/>
                  <w:vMerge w:val="continue"/>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tl2br w:val="nil"/>
                    <w:tr2bl w:val="nil"/>
                  </w:tcBorders>
                  <w:shd w:val="clear" w:color="auto" w:fill="auto"/>
                  <w:vAlign w:val="center"/>
                </w:tcPr>
                <w:p>
                  <w:pPr>
                    <w:pStyle w:val="46"/>
                    <w:tabs>
                      <w:tab w:val="left" w:pos="0"/>
                    </w:tabs>
                    <w:ind w:left="0" w:lef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3</w:t>
                  </w:r>
                </w:p>
              </w:tc>
              <w:tc>
                <w:tcPr>
                  <w:tcW w:w="707"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t>焊渣</w:t>
                  </w:r>
                </w:p>
              </w:tc>
              <w:tc>
                <w:tcPr>
                  <w:tcW w:w="737" w:type="pct"/>
                  <w:tcBorders>
                    <w:tl2br w:val="nil"/>
                    <w:tr2bl w:val="nil"/>
                  </w:tcBorders>
                  <w:vAlign w:val="center"/>
                </w:tcPr>
                <w:p>
                  <w:pPr>
                    <w:pStyle w:val="46"/>
                    <w:tabs>
                      <w:tab w:val="left" w:pos="0"/>
                    </w:tabs>
                    <w:ind w:left="0" w:leftChars="0" w:firstLine="0" w:firstLineChars="0"/>
                    <w:jc w:val="center"/>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900-002-08</w:t>
                  </w:r>
                </w:p>
              </w:tc>
              <w:tc>
                <w:tcPr>
                  <w:tcW w:w="430"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4</w:t>
                  </w:r>
                </w:p>
              </w:tc>
              <w:tc>
                <w:tcPr>
                  <w:tcW w:w="541" w:type="pct"/>
                  <w:tcBorders>
                    <w:tl2br w:val="nil"/>
                    <w:tr2bl w:val="nil"/>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焊接</w:t>
                  </w:r>
                </w:p>
              </w:tc>
              <w:tc>
                <w:tcPr>
                  <w:tcW w:w="337" w:type="pct"/>
                  <w:tcBorders>
                    <w:tl2br w:val="nil"/>
                    <w:tr2bl w:val="nil"/>
                  </w:tcBorders>
                  <w:vAlign w:val="center"/>
                </w:tcPr>
                <w:p>
                  <w:pPr>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固态</w:t>
                  </w:r>
                </w:p>
              </w:tc>
              <w:tc>
                <w:tcPr>
                  <w:tcW w:w="412" w:type="pct"/>
                  <w:tcBorders>
                    <w:tl2br w:val="nil"/>
                    <w:tr2bl w:val="nil"/>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金属氧化物</w:t>
                  </w:r>
                </w:p>
              </w:tc>
              <w:tc>
                <w:tcPr>
                  <w:tcW w:w="377" w:type="pct"/>
                  <w:tcBorders>
                    <w:tl2br w:val="nil"/>
                    <w:tr2bl w:val="nil"/>
                  </w:tcBorders>
                  <w:shd w:val="clear" w:color="auto" w:fill="auto"/>
                  <w:vAlign w:val="center"/>
                </w:tcPr>
                <w:p>
                  <w:pPr>
                    <w:pStyle w:val="46"/>
                    <w:tabs>
                      <w:tab w:val="left" w:pos="0"/>
                    </w:tabs>
                    <w:ind w:left="0" w:leftChars="0" w:firstLine="0" w:firstLineChars="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w:t>
                  </w:r>
                </w:p>
              </w:tc>
              <w:tc>
                <w:tcPr>
                  <w:tcW w:w="384" w:type="pct"/>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持续</w:t>
                  </w:r>
                </w:p>
              </w:tc>
              <w:tc>
                <w:tcPr>
                  <w:tcW w:w="826" w:type="pct"/>
                  <w:vMerge w:val="continue"/>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5" w:hRule="atLeast"/>
              </w:trPr>
              <w:tc>
                <w:tcPr>
                  <w:tcW w:w="245" w:type="pct"/>
                  <w:tcBorders>
                    <w:tl2br w:val="nil"/>
                    <w:tr2bl w:val="nil"/>
                  </w:tcBorders>
                  <w:shd w:val="clear" w:color="auto" w:fill="auto"/>
                  <w:vAlign w:val="center"/>
                </w:tcPr>
                <w:p>
                  <w:pPr>
                    <w:pStyle w:val="46"/>
                    <w:tabs>
                      <w:tab w:val="left" w:pos="0"/>
                    </w:tabs>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707" w:type="pct"/>
                  <w:tcBorders>
                    <w:tl2br w:val="nil"/>
                    <w:tr2bl w:val="nil"/>
                  </w:tcBorders>
                  <w:vAlign w:val="center"/>
                </w:tcPr>
                <w:p>
                  <w:pPr>
                    <w:pStyle w:val="46"/>
                    <w:tabs>
                      <w:tab w:val="left" w:pos="0"/>
                    </w:tabs>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废金属灰</w:t>
                  </w:r>
                </w:p>
              </w:tc>
              <w:tc>
                <w:tcPr>
                  <w:tcW w:w="737" w:type="pct"/>
                  <w:tcBorders>
                    <w:tl2br w:val="nil"/>
                    <w:tr2bl w:val="nil"/>
                  </w:tcBorders>
                  <w:vAlign w:val="center"/>
                </w:tcPr>
                <w:p>
                  <w:pPr>
                    <w:pStyle w:val="46"/>
                    <w:tabs>
                      <w:tab w:val="left" w:pos="0"/>
                    </w:tabs>
                    <w:ind w:left="0" w:leftChars="0" w:firstLine="0" w:firstLineChars="0"/>
                    <w:jc w:val="cente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900-004-6</w:t>
                  </w: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2</w:t>
                  </w:r>
                </w:p>
              </w:tc>
              <w:tc>
                <w:tcPr>
                  <w:tcW w:w="430" w:type="pct"/>
                  <w:tcBorders>
                    <w:tl2br w:val="nil"/>
                    <w:tr2bl w:val="nil"/>
                  </w:tcBorders>
                  <w:vAlign w:val="center"/>
                </w:tcPr>
                <w:p>
                  <w:pPr>
                    <w:pStyle w:val="46"/>
                    <w:tabs>
                      <w:tab w:val="left" w:pos="0"/>
                    </w:tabs>
                    <w:jc w:val="center"/>
                    <w:rPr>
                      <w:rFonts w:hint="default" w:ascii="Times New Roman" w:hAnsi="Times New Roman" w:eastAsia="宋体"/>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0.35</w:t>
                  </w:r>
                </w:p>
              </w:tc>
              <w:tc>
                <w:tcPr>
                  <w:tcW w:w="541" w:type="pct"/>
                  <w:tcBorders>
                    <w:tl2br w:val="nil"/>
                    <w:tr2bl w:val="nil"/>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焊接</w:t>
                  </w:r>
                </w:p>
              </w:tc>
              <w:tc>
                <w:tcPr>
                  <w:tcW w:w="337" w:type="pct"/>
                  <w:tcBorders>
                    <w:tl2br w:val="nil"/>
                    <w:tr2bl w:val="nil"/>
                  </w:tcBorders>
                  <w:vAlign w:val="center"/>
                </w:tcPr>
                <w:p>
                  <w:pPr>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固态</w:t>
                  </w:r>
                </w:p>
              </w:tc>
              <w:tc>
                <w:tcPr>
                  <w:tcW w:w="412" w:type="pct"/>
                  <w:tcBorders>
                    <w:tl2br w:val="nil"/>
                    <w:tr2bl w:val="nil"/>
                  </w:tcBorders>
                  <w:vAlign w:val="center"/>
                </w:tcPr>
                <w:p>
                  <w:pPr>
                    <w:pStyle w:val="46"/>
                    <w:tabs>
                      <w:tab w:val="left" w:pos="0"/>
                    </w:tabs>
                    <w:jc w:val="center"/>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金属氧化物</w:t>
                  </w:r>
                </w:p>
              </w:tc>
              <w:tc>
                <w:tcPr>
                  <w:tcW w:w="377" w:type="pct"/>
                  <w:tcBorders>
                    <w:tl2br w:val="nil"/>
                    <w:tr2bl w:val="nil"/>
                  </w:tcBorders>
                  <w:shd w:val="clear" w:color="auto" w:fill="auto"/>
                  <w:vAlign w:val="center"/>
                </w:tcPr>
                <w:p>
                  <w:pPr>
                    <w:pStyle w:val="46"/>
                    <w:tabs>
                      <w:tab w:val="left" w:pos="0"/>
                    </w:tabs>
                    <w:ind w:left="0" w:leftChars="0" w:firstLine="0" w:firstLineChars="0"/>
                    <w:rPr>
                      <w:rFonts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w:t>
                  </w:r>
                </w:p>
              </w:tc>
              <w:tc>
                <w:tcPr>
                  <w:tcW w:w="384" w:type="pct"/>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持续</w:t>
                  </w:r>
                </w:p>
              </w:tc>
              <w:tc>
                <w:tcPr>
                  <w:tcW w:w="826" w:type="pct"/>
                  <w:vMerge w:val="continue"/>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90" w:type="pct"/>
                  <w:gridSpan w:val="3"/>
                  <w:tcBorders>
                    <w:tl2br w:val="nil"/>
                    <w:tr2bl w:val="nil"/>
                  </w:tcBorders>
                  <w:vAlign w:val="center"/>
                </w:tcPr>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一般工业固废合计</w:t>
                  </w:r>
                  <w:r>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t>（</w:t>
                  </w:r>
                  <w:r>
                    <w:rPr>
                      <w:rFonts w:ascii="Times New Roman" w:hAnsi="Times New Roman" w:eastAsia="宋体"/>
                      <w:b w:val="0"/>
                      <w:bCs w:val="0"/>
                      <w:color w:val="000000" w:themeColor="text1"/>
                      <w:sz w:val="21"/>
                      <w:szCs w:val="21"/>
                      <w:highlight w:val="none"/>
                      <w14:textFill>
                        <w14:solidFill>
                          <w14:schemeClr w14:val="tx1"/>
                        </w14:solidFill>
                      </w14:textFill>
                    </w:rPr>
                    <w:t>t/a</w:t>
                  </w:r>
                  <w:r>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t>）</w:t>
                  </w:r>
                </w:p>
              </w:tc>
              <w:tc>
                <w:tcPr>
                  <w:tcW w:w="3309" w:type="pct"/>
                  <w:gridSpan w:val="7"/>
                  <w:tcBorders>
                    <w:tl2br w:val="nil"/>
                    <w:tr2bl w:val="nil"/>
                  </w:tcBorders>
                  <w:shd w:val="clear" w:color="auto" w:fill="auto"/>
                  <w:vAlign w:val="center"/>
                </w:tcPr>
                <w:p>
                  <w:pPr>
                    <w:pStyle w:val="46"/>
                    <w:tabs>
                      <w:tab w:val="left" w:pos="0"/>
                    </w:tabs>
                    <w:ind w:left="0" w:leftChars="0" w:firstLine="0" w:firstLineChars="0"/>
                    <w:rPr>
                      <w:rFonts w:hint="default" w:ascii="Times New Roman" w:hAnsi="Times New Roman" w:eastAsia="宋体" w:cs="宋体"/>
                      <w:i w:val="0"/>
                      <w:iCs w:val="0"/>
                      <w:color w:val="000000" w:themeColor="text1"/>
                      <w:kern w:val="2"/>
                      <w:sz w:val="21"/>
                      <w:szCs w:val="22"/>
                      <w:highlight w:val="none"/>
                      <w:u w:val="none"/>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2"/>
                      <w:sz w:val="21"/>
                      <w:szCs w:val="22"/>
                      <w:highlight w:val="none"/>
                      <w:u w:val="none"/>
                      <w:lang w:val="en-US" w:eastAsia="zh-CN" w:bidi="ar-SA"/>
                      <w14:textFill>
                        <w14:solidFill>
                          <w14:schemeClr w14:val="tx1"/>
                        </w14:solidFill>
                      </w14:textFill>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953" w:type="pct"/>
                  <w:gridSpan w:val="2"/>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生活</w:t>
                  </w:r>
                </w:p>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垃圾</w:t>
                  </w:r>
                </w:p>
              </w:tc>
              <w:tc>
                <w:tcPr>
                  <w:tcW w:w="737" w:type="pct"/>
                  <w:tcBorders>
                    <w:tl2br w:val="nil"/>
                    <w:tr2bl w:val="nil"/>
                  </w:tcBorders>
                  <w:vAlign w:val="center"/>
                </w:tcPr>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w:t>
                  </w:r>
                </w:p>
              </w:tc>
              <w:tc>
                <w:tcPr>
                  <w:tcW w:w="430" w:type="pct"/>
                  <w:tcBorders>
                    <w:tl2br w:val="nil"/>
                    <w:tr2bl w:val="nil"/>
                  </w:tcBorders>
                  <w:vAlign w:val="center"/>
                </w:tcPr>
                <w:p>
                  <w:pPr>
                    <w:pStyle w:val="46"/>
                    <w:tabs>
                      <w:tab w:val="left" w:pos="0"/>
                    </w:tabs>
                    <w:ind w:left="0" w:leftChars="0" w:firstLine="0" w:firstLineChars="0"/>
                    <w:rPr>
                      <w:rFonts w:hint="default" w:ascii="Times New Roman" w:hAnsi="Times New Roman" w:eastAsia="宋体"/>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b w:val="0"/>
                      <w:bCs w:val="0"/>
                      <w:color w:val="000000" w:themeColor="text1"/>
                      <w:sz w:val="21"/>
                      <w:szCs w:val="21"/>
                      <w:highlight w:val="none"/>
                      <w:lang w:val="en-US" w:eastAsia="zh-CN"/>
                      <w14:textFill>
                        <w14:solidFill>
                          <w14:schemeClr w14:val="tx1"/>
                        </w14:solidFill>
                      </w14:textFill>
                    </w:rPr>
                    <w:t>5.4</w:t>
                  </w:r>
                </w:p>
              </w:tc>
              <w:tc>
                <w:tcPr>
                  <w:tcW w:w="541" w:type="pct"/>
                  <w:tcBorders>
                    <w:tl2br w:val="nil"/>
                    <w:tr2bl w:val="nil"/>
                  </w:tcBorders>
                  <w:vAlign w:val="center"/>
                </w:tcPr>
                <w:p>
                  <w:pPr>
                    <w:pStyle w:val="46"/>
                    <w:tabs>
                      <w:tab w:val="left" w:pos="0"/>
                    </w:tabs>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员工</w:t>
                  </w:r>
                </w:p>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生活</w:t>
                  </w:r>
                </w:p>
              </w:tc>
              <w:tc>
                <w:tcPr>
                  <w:tcW w:w="337" w:type="pct"/>
                  <w:tcBorders>
                    <w:tl2br w:val="nil"/>
                    <w:tr2bl w:val="nil"/>
                  </w:tcBorders>
                  <w:vAlign w:val="center"/>
                </w:tcPr>
                <w:p>
                  <w:pPr>
                    <w:pStyle w:val="46"/>
                    <w:tabs>
                      <w:tab w:val="left" w:pos="0"/>
                    </w:tabs>
                    <w:ind w:left="0" w:leftChars="0" w:firstLine="0" w:firstLineChars="0"/>
                    <w:rPr>
                      <w:rFonts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固态</w:t>
                  </w:r>
                </w:p>
              </w:tc>
              <w:tc>
                <w:tcPr>
                  <w:tcW w:w="412" w:type="pct"/>
                  <w:tcBorders>
                    <w:tl2br w:val="nil"/>
                    <w:tr2bl w:val="nil"/>
                  </w:tcBorders>
                  <w:vAlign w:val="center"/>
                </w:tcPr>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果皮、纸屑</w:t>
                  </w:r>
                </w:p>
              </w:tc>
              <w:tc>
                <w:tcPr>
                  <w:tcW w:w="377" w:type="pct"/>
                  <w:tcBorders>
                    <w:tl2br w:val="nil"/>
                    <w:tr2bl w:val="nil"/>
                  </w:tcBorders>
                  <w:vAlign w:val="center"/>
                </w:tcPr>
                <w:p>
                  <w:pPr>
                    <w:pStyle w:val="46"/>
                    <w:tabs>
                      <w:tab w:val="left" w:pos="0"/>
                    </w:tabs>
                    <w:ind w:left="0" w:leftChars="0" w:firstLine="0" w:firstLineChars="0"/>
                    <w:rPr>
                      <w:rFonts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w:t>
                  </w:r>
                </w:p>
              </w:tc>
              <w:tc>
                <w:tcPr>
                  <w:tcW w:w="384" w:type="pct"/>
                  <w:tcBorders>
                    <w:tl2br w:val="nil"/>
                    <w:tr2bl w:val="nil"/>
                  </w:tcBorders>
                  <w:vAlign w:val="center"/>
                </w:tcPr>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hint="eastAsia" w:ascii="Times New Roman" w:hAnsi="Times New Roman" w:eastAsia="宋体"/>
                      <w:b w:val="0"/>
                      <w:bCs w:val="0"/>
                      <w:color w:val="000000" w:themeColor="text1"/>
                      <w:sz w:val="21"/>
                      <w:szCs w:val="21"/>
                      <w:highlight w:val="none"/>
                      <w14:textFill>
                        <w14:solidFill>
                          <w14:schemeClr w14:val="tx1"/>
                        </w14:solidFill>
                      </w14:textFill>
                    </w:rPr>
                    <w:t>持续</w:t>
                  </w:r>
                </w:p>
              </w:tc>
              <w:tc>
                <w:tcPr>
                  <w:tcW w:w="826" w:type="pct"/>
                  <w:tcBorders>
                    <w:tl2br w:val="nil"/>
                    <w:tr2bl w:val="nil"/>
                  </w:tcBorders>
                  <w:vAlign w:val="center"/>
                </w:tcPr>
                <w:p>
                  <w:pPr>
                    <w:pStyle w:val="46"/>
                    <w:tabs>
                      <w:tab w:val="left" w:pos="0"/>
                    </w:tabs>
                    <w:ind w:left="0" w:leftChars="0" w:firstLine="0" w:firstLineChars="0"/>
                    <w:rPr>
                      <w:rFonts w:hint="eastAsia" w:ascii="Times New Roman" w:hAnsi="Times New Roman" w:eastAsia="宋体"/>
                      <w:b w:val="0"/>
                      <w:bCs w:val="0"/>
                      <w:color w:val="000000" w:themeColor="text1"/>
                      <w:sz w:val="21"/>
                      <w:szCs w:val="21"/>
                      <w:highlight w:val="none"/>
                      <w14:textFill>
                        <w14:solidFill>
                          <w14:schemeClr w14:val="tx1"/>
                        </w14:solidFill>
                      </w14:textFill>
                    </w:rPr>
                  </w:pPr>
                  <w:r>
                    <w:rPr>
                      <w:rFonts w:ascii="Times New Roman" w:hAnsi="Times New Roman" w:eastAsia="宋体"/>
                      <w:b w:val="0"/>
                      <w:bCs w:val="0"/>
                      <w:color w:val="000000" w:themeColor="text1"/>
                      <w:sz w:val="21"/>
                      <w:szCs w:val="21"/>
                      <w:highlight w:val="none"/>
                      <w14:textFill>
                        <w14:solidFill>
                          <w14:schemeClr w14:val="tx1"/>
                        </w14:solidFill>
                      </w14:textFill>
                    </w:rPr>
                    <w:t>委托环卫部门统一清运处置</w:t>
                  </w:r>
                </w:p>
              </w:tc>
            </w:tr>
          </w:tbl>
          <w:p>
            <w:pPr>
              <w:pStyle w:val="42"/>
              <w:keepNext/>
              <w:keepLines/>
              <w:pageBreakBefore w:val="0"/>
              <w:widowControl w:val="0"/>
              <w:numPr>
                <w:ilvl w:val="7"/>
                <w:numId w:val="16"/>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危险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固废产生情况及处置一览表</w:t>
            </w:r>
          </w:p>
          <w:tbl>
            <w:tblPr>
              <w:tblStyle w:val="8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754"/>
              <w:gridCol w:w="640"/>
              <w:gridCol w:w="990"/>
              <w:gridCol w:w="646"/>
              <w:gridCol w:w="824"/>
              <w:gridCol w:w="352"/>
              <w:gridCol w:w="564"/>
              <w:gridCol w:w="1183"/>
              <w:gridCol w:w="400"/>
              <w:gridCol w:w="840"/>
              <w:gridCol w:w="14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bottom w:val="single" w:color="000000" w:sz="12" w:space="0"/>
                  </w:tcBorders>
                  <w:textDirection w:val="tbRlV"/>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7"/>
                      <w:sz w:val="21"/>
                      <w:highlight w:val="none"/>
                    </w:rPr>
                    <w:t>序号</w:t>
                  </w:r>
                </w:p>
              </w:tc>
              <w:tc>
                <w:tcPr>
                  <w:tcW w:w="754"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危险废</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物名称</w:t>
                  </w:r>
                </w:p>
              </w:tc>
              <w:tc>
                <w:tcPr>
                  <w:tcW w:w="640"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危险废</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物类别</w:t>
                  </w:r>
                </w:p>
              </w:tc>
              <w:tc>
                <w:tcPr>
                  <w:tcW w:w="990"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危险废</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物代码</w:t>
                  </w:r>
                </w:p>
              </w:tc>
              <w:tc>
                <w:tcPr>
                  <w:tcW w:w="646"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产生量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pacing w:val="1"/>
                      <w:sz w:val="21"/>
                      <w:szCs w:val="20"/>
                      <w:highlight w:val="none"/>
                    </w:rPr>
                    <w:t>(t/a)</w:t>
                  </w:r>
                </w:p>
              </w:tc>
              <w:tc>
                <w:tcPr>
                  <w:tcW w:w="824"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产生工</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序及装</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z w:val="21"/>
                      <w:highlight w:val="none"/>
                    </w:rPr>
                    <w:t>置</w:t>
                  </w:r>
                </w:p>
              </w:tc>
              <w:tc>
                <w:tcPr>
                  <w:tcW w:w="352"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2"/>
                      <w:sz w:val="21"/>
                      <w:highlight w:val="none"/>
                    </w:rPr>
                    <w:t>形态</w:t>
                  </w:r>
                </w:p>
              </w:tc>
              <w:tc>
                <w:tcPr>
                  <w:tcW w:w="564"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主要</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成分</w:t>
                  </w:r>
                </w:p>
              </w:tc>
              <w:tc>
                <w:tcPr>
                  <w:tcW w:w="1183"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有害</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成分</w:t>
                  </w:r>
                </w:p>
              </w:tc>
              <w:tc>
                <w:tcPr>
                  <w:tcW w:w="400"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产废</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周期</w:t>
                  </w:r>
                </w:p>
              </w:tc>
              <w:tc>
                <w:tcPr>
                  <w:tcW w:w="840"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2"/>
                      <w:sz w:val="21"/>
                      <w:highlight w:val="none"/>
                    </w:rPr>
                    <w:t>危险</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3"/>
                      <w:sz w:val="21"/>
                      <w:highlight w:val="none"/>
                    </w:rPr>
                    <w:t>特性</w:t>
                  </w:r>
                </w:p>
              </w:tc>
              <w:tc>
                <w:tcPr>
                  <w:tcW w:w="1443" w:type="dxa"/>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污染防治措</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1"/>
                      <w:sz w:val="21"/>
                      <w:highlight w:val="none"/>
                    </w:rPr>
                    <w:t>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1</w:t>
                  </w:r>
                </w:p>
              </w:tc>
              <w:tc>
                <w:tcPr>
                  <w:tcW w:w="754"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废化学</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1"/>
                      <w:sz w:val="21"/>
                      <w:highlight w:val="none"/>
                    </w:rPr>
                    <w:t>品包装</w:t>
                  </w:r>
                </w:p>
              </w:tc>
              <w:tc>
                <w:tcPr>
                  <w:tcW w:w="640"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0"/>
                      <w:position w:val="2"/>
                      <w:sz w:val="21"/>
                      <w:szCs w:val="20"/>
                      <w:highlight w:val="none"/>
                    </w:rPr>
                    <w:t>49</w:t>
                  </w:r>
                </w:p>
              </w:tc>
              <w:tc>
                <w:tcPr>
                  <w:tcW w:w="990"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900-041-</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0.2</w:t>
                  </w:r>
                </w:p>
              </w:tc>
              <w:tc>
                <w:tcPr>
                  <w:tcW w:w="824"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包装过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1"/>
                      <w:sz w:val="21"/>
                      <w:highlight w:val="none"/>
                    </w:rPr>
                    <w:t>程</w:t>
                  </w:r>
                </w:p>
              </w:tc>
              <w:tc>
                <w:tcPr>
                  <w:tcW w:w="352"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沾有</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化学</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品的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包装</w:t>
                  </w:r>
                  <w:r>
                    <w:rPr>
                      <w:rFonts w:ascii="Times New Roman" w:hAnsi="Times New Roman" w:eastAsia="宋体"/>
                      <w:sz w:val="21"/>
                      <w:highlight w:val="none"/>
                    </w:rPr>
                    <w:t>物</w:t>
                  </w:r>
                </w:p>
              </w:tc>
              <w:tc>
                <w:tcPr>
                  <w:tcW w:w="1183"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废化</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学品</w:t>
                  </w:r>
                </w:p>
              </w:tc>
              <w:tc>
                <w:tcPr>
                  <w:tcW w:w="400" w:type="dxa"/>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pacing w:val="-4"/>
                      <w:position w:val="1"/>
                      <w:sz w:val="21"/>
                      <w:highlight w:val="none"/>
                    </w:rPr>
                    <w:t>1</w:t>
                  </w:r>
                  <w:r>
                    <w:rPr>
                      <w:rFonts w:ascii="Times New Roman" w:hAnsi="Times New Roman" w:eastAsia="宋体"/>
                      <w:spacing w:val="-4"/>
                      <w:position w:val="1"/>
                      <w:sz w:val="21"/>
                      <w:highlight w:val="none"/>
                    </w:rPr>
                    <w:t>个月</w:t>
                  </w:r>
                </w:p>
              </w:tc>
              <w:tc>
                <w:tcPr>
                  <w:tcW w:w="840" w:type="dxa"/>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T/</w:t>
                  </w:r>
                  <w:r>
                    <w:rPr>
                      <w:rFonts w:ascii="Times New Roman" w:hAnsi="Times New Roman" w:eastAsia="宋体" w:cs="Times New Roman"/>
                      <w:position w:val="1"/>
                      <w:sz w:val="21"/>
                      <w:szCs w:val="20"/>
                      <w:highlight w:val="none"/>
                    </w:rPr>
                    <w:t>In</w:t>
                  </w:r>
                </w:p>
              </w:tc>
              <w:tc>
                <w:tcPr>
                  <w:tcW w:w="1443" w:type="dxa"/>
                  <w:vMerge w:val="restar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暂存于危废</w:t>
                  </w:r>
                  <w:r>
                    <w:rPr>
                      <w:rFonts w:ascii="Times New Roman" w:hAnsi="Times New Roman" w:eastAsia="宋体"/>
                      <w:spacing w:val="-6"/>
                      <w:sz w:val="21"/>
                      <w:highlight w:val="none"/>
                    </w:rPr>
                    <w:t>暂存库内，委</w:t>
                  </w:r>
                  <w:r>
                    <w:rPr>
                      <w:rFonts w:ascii="Times New Roman" w:hAnsi="Times New Roman" w:eastAsia="宋体"/>
                      <w:spacing w:val="19"/>
                      <w:sz w:val="21"/>
                      <w:highlight w:val="none"/>
                    </w:rPr>
                    <w:t>托有危废处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8"/>
                      <w:sz w:val="21"/>
                      <w:highlight w:val="none"/>
                    </w:rPr>
                    <w:t>置资质单位</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进行处理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2</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废过滤</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物</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1"/>
                      <w:position w:val="2"/>
                      <w:sz w:val="21"/>
                      <w:szCs w:val="20"/>
                      <w:highlight w:val="none"/>
                    </w:rPr>
                    <w:t>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900-041-</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0.8</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脱脂过</w:t>
                  </w:r>
                  <w:r>
                    <w:rPr>
                      <w:rFonts w:ascii="Times New Roman" w:hAnsi="Times New Roman" w:eastAsia="宋体"/>
                      <w:spacing w:val="1"/>
                      <w:sz w:val="21"/>
                      <w:highlight w:val="none"/>
                    </w:rPr>
                    <w:t>程</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滤杂</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物的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滤袋</w:t>
                  </w:r>
                  <w:r>
                    <w:rPr>
                      <w:rFonts w:ascii="Times New Roman" w:hAnsi="Times New Roman" w:eastAsia="宋体"/>
                      <w:sz w:val="21"/>
                      <w:highlight w:val="none"/>
                    </w:rPr>
                    <w:t>等</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滤物</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半年</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T/</w:t>
                  </w:r>
                  <w:r>
                    <w:rPr>
                      <w:rFonts w:ascii="Times New Roman" w:hAnsi="Times New Roman" w:eastAsia="宋体" w:cs="Times New Roman"/>
                      <w:position w:val="1"/>
                      <w:sz w:val="21"/>
                      <w:szCs w:val="20"/>
                      <w:highlight w:val="none"/>
                    </w:rPr>
                    <w:t>In</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3</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废水处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理污泥</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1"/>
                      <w:position w:val="2"/>
                      <w:sz w:val="21"/>
                      <w:szCs w:val="20"/>
                      <w:highlight w:val="none"/>
                    </w:rPr>
                    <w:t>17</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336-064-</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8"/>
                      <w:position w:val="1"/>
                      <w:sz w:val="21"/>
                      <w:szCs w:val="20"/>
                      <w:highlight w:val="none"/>
                    </w:rPr>
                    <w:t>17</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2"/>
                      <w:sz w:val="21"/>
                      <w:szCs w:val="20"/>
                      <w:highlight w:val="none"/>
                    </w:rPr>
                    <w:t>0.95</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废水处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理</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污泥</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污泥</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半年</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1"/>
                      <w:sz w:val="21"/>
                      <w:szCs w:val="20"/>
                      <w:highlight w:val="none"/>
                    </w:rPr>
                    <w:t>T/C</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1"/>
                      <w:sz w:val="21"/>
                      <w:szCs w:val="20"/>
                      <w:highlight w:val="none"/>
                    </w:rPr>
                    <w:t>4</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废活性</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炭</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1"/>
                      <w:position w:val="2"/>
                      <w:sz w:val="21"/>
                      <w:szCs w:val="20"/>
                      <w:highlight w:val="none"/>
                    </w:rPr>
                    <w:t>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900-039-</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0"/>
                      <w:highlight w:val="none"/>
                      <w:lang w:val="en-US" w:eastAsia="zh-CN"/>
                    </w:rPr>
                  </w:pPr>
                  <w:r>
                    <w:rPr>
                      <w:rFonts w:hint="eastAsia" w:cs="Times New Roman"/>
                      <w:spacing w:val="3"/>
                      <w:position w:val="2"/>
                      <w:sz w:val="21"/>
                      <w:szCs w:val="20"/>
                      <w:highlight w:val="none"/>
                      <w:lang w:val="en-US" w:eastAsia="zh-CN"/>
                    </w:rPr>
                    <w:t>3.6355</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活性炭</w:t>
                  </w:r>
                  <w:r>
                    <w:rPr>
                      <w:rFonts w:ascii="Times New Roman" w:hAnsi="Times New Roman" w:eastAsia="宋体"/>
                      <w:sz w:val="21"/>
                      <w:highlight w:val="none"/>
                    </w:rPr>
                    <w:t>吸附</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吸附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废气</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的活</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性炭</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有机</w:t>
                  </w:r>
                  <w:r>
                    <w:rPr>
                      <w:rFonts w:ascii="Times New Roman" w:hAnsi="Times New Roman" w:eastAsia="宋体"/>
                      <w:sz w:val="21"/>
                      <w:highlight w:val="none"/>
                    </w:rPr>
                    <w:t>物</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一年</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z w:val="21"/>
                      <w:szCs w:val="20"/>
                      <w:highlight w:val="none"/>
                    </w:rPr>
                    <w:t>T</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z w:val="21"/>
                      <w:szCs w:val="20"/>
                      <w:highlight w:val="none"/>
                    </w:rPr>
                    <w:t>5</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废机油</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1"/>
                      <w:position w:val="2"/>
                      <w:sz w:val="21"/>
                      <w:szCs w:val="20"/>
                      <w:highlight w:val="none"/>
                    </w:rPr>
                    <w:t>08</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900-249-</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1"/>
                      <w:sz w:val="21"/>
                      <w:szCs w:val="20"/>
                      <w:highlight w:val="none"/>
                    </w:rPr>
                    <w:t>08</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0.2</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机械保</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养</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液</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矿物</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质油</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废油</w:t>
                  </w:r>
                  <w:r>
                    <w:rPr>
                      <w:rFonts w:ascii="Times New Roman" w:hAnsi="Times New Roman" w:eastAsia="宋体"/>
                      <w:sz w:val="21"/>
                      <w:highlight w:val="none"/>
                    </w:rPr>
                    <w:t>脂</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pacing w:val="1"/>
                      <w:position w:val="1"/>
                      <w:sz w:val="21"/>
                      <w:highlight w:val="none"/>
                    </w:rPr>
                    <w:t>3</w:t>
                  </w:r>
                  <w:r>
                    <w:rPr>
                      <w:rFonts w:ascii="Times New Roman" w:hAnsi="Times New Roman" w:eastAsia="宋体"/>
                      <w:spacing w:val="1"/>
                      <w:position w:val="1"/>
                      <w:sz w:val="21"/>
                      <w:highlight w:val="none"/>
                    </w:rPr>
                    <w:t>个月</w:t>
                  </w:r>
                </w:p>
              </w:tc>
              <w:tc>
                <w:tcPr>
                  <w:tcW w:w="84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cs="Times New Roman"/>
                      <w:spacing w:val="-3"/>
                      <w:sz w:val="21"/>
                      <w:highlight w:val="none"/>
                    </w:rPr>
                    <w:t>T</w:t>
                  </w:r>
                  <w:r>
                    <w:rPr>
                      <w:rFonts w:ascii="Times New Roman" w:hAnsi="Times New Roman" w:eastAsia="宋体"/>
                      <w:spacing w:val="-3"/>
                      <w:sz w:val="21"/>
                      <w:highlight w:val="none"/>
                    </w:rPr>
                    <w:t>，</w:t>
                  </w:r>
                  <w:r>
                    <w:rPr>
                      <w:rFonts w:ascii="Times New Roman" w:hAnsi="Times New Roman" w:eastAsia="宋体" w:cs="Times New Roman"/>
                      <w:spacing w:val="-3"/>
                      <w:sz w:val="21"/>
                      <w:highlight w:val="none"/>
                    </w:rPr>
                    <w:t>I</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6</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废油桶</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1"/>
                      <w:position w:val="2"/>
                      <w:sz w:val="21"/>
                      <w:szCs w:val="20"/>
                      <w:highlight w:val="none"/>
                    </w:rPr>
                    <w:t>08</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900-249-</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1"/>
                      <w:sz w:val="21"/>
                      <w:szCs w:val="20"/>
                      <w:highlight w:val="none"/>
                    </w:rPr>
                    <w:t>08</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0.2</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装配、设</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备维护</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保养</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机油</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的包</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装物</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废油</w:t>
                  </w:r>
                  <w:r>
                    <w:rPr>
                      <w:rFonts w:ascii="Times New Roman" w:hAnsi="Times New Roman" w:eastAsia="宋体"/>
                      <w:sz w:val="21"/>
                      <w:highlight w:val="none"/>
                    </w:rPr>
                    <w:t>脂</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pacing w:val="1"/>
                      <w:position w:val="1"/>
                      <w:sz w:val="21"/>
                      <w:highlight w:val="none"/>
                    </w:rPr>
                    <w:t>3</w:t>
                  </w:r>
                  <w:r>
                    <w:rPr>
                      <w:rFonts w:ascii="Times New Roman" w:hAnsi="Times New Roman" w:eastAsia="宋体"/>
                      <w:spacing w:val="1"/>
                      <w:position w:val="1"/>
                      <w:sz w:val="21"/>
                      <w:highlight w:val="none"/>
                    </w:rPr>
                    <w:t>个月</w:t>
                  </w:r>
                </w:p>
              </w:tc>
              <w:tc>
                <w:tcPr>
                  <w:tcW w:w="84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cs="Times New Roman"/>
                      <w:spacing w:val="-3"/>
                      <w:sz w:val="21"/>
                      <w:highlight w:val="none"/>
                    </w:rPr>
                    <w:t>T</w:t>
                  </w:r>
                  <w:r>
                    <w:rPr>
                      <w:rFonts w:ascii="Times New Roman" w:hAnsi="Times New Roman" w:eastAsia="宋体"/>
                      <w:spacing w:val="-3"/>
                      <w:sz w:val="21"/>
                      <w:highlight w:val="none"/>
                    </w:rPr>
                    <w:t>，</w:t>
                  </w:r>
                  <w:r>
                    <w:rPr>
                      <w:rFonts w:ascii="Times New Roman" w:hAnsi="Times New Roman" w:eastAsia="宋体" w:cs="Times New Roman"/>
                      <w:spacing w:val="-3"/>
                      <w:sz w:val="21"/>
                      <w:highlight w:val="none"/>
                    </w:rPr>
                    <w:t>I</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z w:val="21"/>
                      <w:szCs w:val="20"/>
                      <w:highlight w:val="none"/>
                    </w:rPr>
                    <w:t>7</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废含油</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抹布手</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套</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0"/>
                      <w:position w:val="2"/>
                      <w:sz w:val="21"/>
                      <w:szCs w:val="20"/>
                      <w:highlight w:val="none"/>
                    </w:rPr>
                    <w:t>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900-041-</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0.4</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装配、设</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备维护</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保养</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机油</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的抹</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布、</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手套</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废油</w:t>
                  </w:r>
                  <w:r>
                    <w:rPr>
                      <w:rFonts w:ascii="Times New Roman" w:hAnsi="Times New Roman" w:eastAsia="宋体"/>
                      <w:sz w:val="21"/>
                      <w:highlight w:val="none"/>
                    </w:rPr>
                    <w:t>脂</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spacing w:val="1"/>
                      <w:position w:val="1"/>
                      <w:sz w:val="21"/>
                      <w:highlight w:val="none"/>
                    </w:rPr>
                    <w:t>3</w:t>
                  </w:r>
                  <w:r>
                    <w:rPr>
                      <w:rFonts w:ascii="Times New Roman" w:hAnsi="Times New Roman" w:eastAsia="宋体"/>
                      <w:spacing w:val="1"/>
                      <w:position w:val="1"/>
                      <w:sz w:val="21"/>
                      <w:highlight w:val="none"/>
                    </w:rPr>
                    <w:t>个月</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T/</w:t>
                  </w:r>
                  <w:r>
                    <w:rPr>
                      <w:rFonts w:ascii="Times New Roman" w:hAnsi="Times New Roman" w:eastAsia="宋体" w:cs="Times New Roman"/>
                      <w:position w:val="1"/>
                      <w:sz w:val="21"/>
                      <w:szCs w:val="20"/>
                      <w:highlight w:val="none"/>
                    </w:rPr>
                    <w:t>In</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8</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废弃纯</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水制备</w:t>
                  </w:r>
                  <w:r>
                    <w:rPr>
                      <w:rFonts w:ascii="Times New Roman" w:hAnsi="Times New Roman" w:eastAsia="宋体"/>
                      <w:spacing w:val="4"/>
                      <w:sz w:val="21"/>
                      <w:highlight w:val="none"/>
                    </w:rPr>
                    <w:t>耗材</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0"/>
                      <w:position w:val="2"/>
                      <w:sz w:val="21"/>
                      <w:szCs w:val="20"/>
                      <w:highlight w:val="none"/>
                    </w:rPr>
                    <w:t>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900-041-</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0.1</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纯水制</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备</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杂质</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的滤</w:t>
                  </w:r>
                  <w:r>
                    <w:rPr>
                      <w:rFonts w:ascii="Times New Roman" w:hAnsi="Times New Roman" w:eastAsia="宋体"/>
                      <w:spacing w:val="1"/>
                      <w:sz w:val="21"/>
                      <w:highlight w:val="none"/>
                    </w:rPr>
                    <w:t>膜</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10"/>
                      <w:sz w:val="21"/>
                      <w:highlight w:val="none"/>
                    </w:rPr>
                    <w:t>树</w:t>
                  </w:r>
                  <w:r>
                    <w:rPr>
                      <w:rFonts w:ascii="Times New Roman" w:hAnsi="Times New Roman" w:eastAsia="宋体"/>
                      <w:sz w:val="21"/>
                      <w:highlight w:val="none"/>
                    </w:rPr>
                    <w:t>脂</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半年</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T/</w:t>
                  </w:r>
                  <w:r>
                    <w:rPr>
                      <w:rFonts w:ascii="Times New Roman" w:hAnsi="Times New Roman" w:eastAsia="宋体" w:cs="Times New Roman"/>
                      <w:position w:val="1"/>
                      <w:sz w:val="21"/>
                      <w:szCs w:val="20"/>
                      <w:highlight w:val="none"/>
                    </w:rPr>
                    <w:t>In</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9</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废滤膜</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2"/>
                      <w:sz w:val="21"/>
                      <w:szCs w:val="20"/>
                      <w:highlight w:val="none"/>
                    </w:rPr>
                    <w:t>HW</w:t>
                  </w:r>
                  <w:r>
                    <w:rPr>
                      <w:rFonts w:ascii="Times New Roman" w:hAnsi="Times New Roman" w:eastAsia="宋体" w:cs="Times New Roman"/>
                      <w:spacing w:val="10"/>
                      <w:position w:val="2"/>
                      <w:sz w:val="21"/>
                      <w:szCs w:val="20"/>
                      <w:highlight w:val="none"/>
                    </w:rPr>
                    <w:t>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900-041-</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1"/>
                      <w:position w:val="2"/>
                      <w:sz w:val="21"/>
                      <w:szCs w:val="20"/>
                      <w:highlight w:val="none"/>
                    </w:rPr>
                    <w:t>0.4</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超滤系</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统</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沾染</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杂质</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的滤</w:t>
                  </w:r>
                  <w:r>
                    <w:rPr>
                      <w:rFonts w:ascii="Times New Roman" w:hAnsi="Times New Roman" w:eastAsia="宋体"/>
                      <w:spacing w:val="1"/>
                      <w:sz w:val="21"/>
                      <w:highlight w:val="none"/>
                    </w:rPr>
                    <w:t>膜</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5"/>
                      <w:sz w:val="21"/>
                      <w:highlight w:val="none"/>
                    </w:rPr>
                    <w:t>废过</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滤物</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3"/>
                      <w:sz w:val="21"/>
                      <w:highlight w:val="none"/>
                    </w:rPr>
                    <w:t>半年</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T/</w:t>
                  </w:r>
                  <w:r>
                    <w:rPr>
                      <w:rFonts w:ascii="Times New Roman" w:hAnsi="Times New Roman" w:eastAsia="宋体" w:cs="Times New Roman"/>
                      <w:position w:val="1"/>
                      <w:sz w:val="21"/>
                      <w:szCs w:val="20"/>
                      <w:highlight w:val="none"/>
                    </w:rPr>
                    <w:t>In</w:t>
                  </w:r>
                </w:p>
              </w:tc>
              <w:tc>
                <w:tcPr>
                  <w:tcW w:w="1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position w:val="2"/>
                      <w:sz w:val="21"/>
                      <w:szCs w:val="20"/>
                      <w:highlight w:val="none"/>
                      <w:lang w:val="en-US" w:eastAsia="zh-CN"/>
                    </w:rPr>
                  </w:pPr>
                  <w:r>
                    <w:rPr>
                      <w:rFonts w:hint="eastAsia" w:ascii="Times New Roman" w:hAnsi="Times New Roman" w:eastAsia="宋体" w:cs="Times New Roman"/>
                      <w:position w:val="2"/>
                      <w:sz w:val="21"/>
                      <w:szCs w:val="20"/>
                      <w:highlight w:val="none"/>
                      <w:lang w:val="en-US" w:eastAsia="zh-CN"/>
                    </w:rPr>
                    <w:t>10</w:t>
                  </w:r>
                </w:p>
              </w:tc>
              <w:tc>
                <w:tcPr>
                  <w:tcW w:w="75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7"/>
                      <w:sz w:val="21"/>
                      <w:highlight w:val="none"/>
                    </w:rPr>
                  </w:pPr>
                  <w:r>
                    <w:rPr>
                      <w:rFonts w:ascii="Times New Roman" w:hAnsi="Times New Roman" w:eastAsia="宋体"/>
                      <w:spacing w:val="7"/>
                      <w:sz w:val="21"/>
                      <w:highlight w:val="none"/>
                    </w:rPr>
                    <w:t>废涂料桶</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position w:val="2"/>
                      <w:sz w:val="21"/>
                      <w:szCs w:val="20"/>
                      <w:highlight w:val="none"/>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HW49</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pacing w:val="3"/>
                      <w:position w:val="1"/>
                      <w:sz w:val="21"/>
                      <w:szCs w:val="20"/>
                      <w:highlight w:val="none"/>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900-041-49</w:t>
                  </w:r>
                </w:p>
              </w:tc>
              <w:tc>
                <w:tcPr>
                  <w:tcW w:w="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pacing w:val="1"/>
                      <w:position w:val="2"/>
                      <w:sz w:val="21"/>
                      <w:szCs w:val="20"/>
                      <w:highlight w:val="none"/>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0.4</w:t>
                  </w:r>
                </w:p>
              </w:tc>
              <w:tc>
                <w:tcPr>
                  <w:tcW w:w="82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废涂料桶</w:t>
                  </w:r>
                </w:p>
              </w:tc>
              <w:tc>
                <w:tcPr>
                  <w:tcW w:w="352"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固</w:t>
                  </w:r>
                </w:p>
              </w:tc>
              <w:tc>
                <w:tcPr>
                  <w:tcW w:w="564"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2"/>
                      <w:sz w:val="21"/>
                      <w:highlight w:val="none"/>
                    </w:rPr>
                    <w:t>沾有</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化学</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品的</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3"/>
                      <w:sz w:val="21"/>
                      <w:highlight w:val="none"/>
                    </w:rPr>
                  </w:pPr>
                  <w:r>
                    <w:rPr>
                      <w:rFonts w:ascii="Times New Roman" w:hAnsi="Times New Roman" w:eastAsia="宋体"/>
                      <w:spacing w:val="4"/>
                      <w:sz w:val="21"/>
                      <w:highlight w:val="none"/>
                    </w:rPr>
                    <w:t>包装</w:t>
                  </w:r>
                  <w:r>
                    <w:rPr>
                      <w:rFonts w:ascii="Times New Roman" w:hAnsi="Times New Roman" w:eastAsia="宋体"/>
                      <w:sz w:val="21"/>
                      <w:highlight w:val="none"/>
                    </w:rPr>
                    <w:t>物</w:t>
                  </w:r>
                </w:p>
              </w:tc>
              <w:tc>
                <w:tcPr>
                  <w:tcW w:w="1183"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spacing w:val="3"/>
                      <w:sz w:val="21"/>
                      <w:highlight w:val="none"/>
                      <w:lang w:val="en-US" w:eastAsia="zh-CN"/>
                    </w:rPr>
                  </w:pPr>
                  <w:r>
                    <w:rPr>
                      <w:rFonts w:hint="eastAsia" w:ascii="Times New Roman" w:hAnsi="Times New Roman" w:eastAsia="宋体"/>
                      <w:spacing w:val="3"/>
                      <w:sz w:val="21"/>
                      <w:highlight w:val="none"/>
                      <w:lang w:val="en-US" w:eastAsia="zh-CN"/>
                    </w:rPr>
                    <w:t>有机溶剂</w:t>
                  </w:r>
                </w:p>
              </w:tc>
              <w:tc>
                <w:tcPr>
                  <w:tcW w:w="400" w:type="dxa"/>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pacing w:val="3"/>
                      <w:sz w:val="21"/>
                      <w:highlight w:val="none"/>
                    </w:rPr>
                  </w:pPr>
                  <w:r>
                    <w:rPr>
                      <w:rFonts w:ascii="Times New Roman" w:hAnsi="Times New Roman" w:eastAsia="宋体" w:cs="Times New Roman"/>
                      <w:spacing w:val="1"/>
                      <w:position w:val="1"/>
                      <w:sz w:val="21"/>
                      <w:highlight w:val="none"/>
                    </w:rPr>
                    <w:t>3</w:t>
                  </w:r>
                  <w:r>
                    <w:rPr>
                      <w:rFonts w:ascii="Times New Roman" w:hAnsi="Times New Roman" w:eastAsia="宋体"/>
                      <w:spacing w:val="1"/>
                      <w:position w:val="1"/>
                      <w:sz w:val="21"/>
                      <w:highlight w:val="none"/>
                    </w:rPr>
                    <w:t>个月</w:t>
                  </w:r>
                </w:p>
              </w:tc>
              <w:tc>
                <w:tcPr>
                  <w:tcW w:w="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pacing w:val="4"/>
                      <w:position w:val="1"/>
                      <w:sz w:val="21"/>
                      <w:szCs w:val="20"/>
                      <w:highlight w:val="none"/>
                    </w:rPr>
                  </w:pPr>
                  <w:r>
                    <w:rPr>
                      <w:rFonts w:ascii="Times New Roman" w:hAnsi="Times New Roman" w:eastAsia="宋体" w:cs="Times New Roman"/>
                      <w:spacing w:val="4"/>
                      <w:position w:val="1"/>
                      <w:sz w:val="21"/>
                      <w:szCs w:val="20"/>
                      <w:highlight w:val="none"/>
                    </w:rPr>
                    <w:t>T/I/C</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sz w:val="21"/>
                      <w:highlight w:val="none"/>
                    </w:rPr>
                  </w:pPr>
                </w:p>
              </w:tc>
            </w:tr>
          </w:tbl>
          <w:p>
            <w:pPr>
              <w:rPr>
                <w:rFonts w:hint="eastAsia"/>
                <w:highlight w:val="none"/>
                <w:lang w:val="en-US" w:eastAsia="zh-CN"/>
              </w:rPr>
            </w:pPr>
          </w:p>
          <w:bookmarkEnd w:id="57"/>
          <w:bookmarkEnd w:id="58"/>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环境管理要求</w:t>
            </w:r>
          </w:p>
          <w:p>
            <w:pPr>
              <w:pStyle w:val="30"/>
              <w:widowControl w:val="0"/>
              <w:spacing w:before="0" w:beforeAutospacing="0" w:after="0" w:afterAutospacing="0"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cs="宋体"/>
                <w:color w:val="000000" w:themeColor="text1"/>
                <w:kern w:val="2"/>
                <w:szCs w:val="24"/>
                <w:highlight w:val="none"/>
                <w:lang w:bidi="ar"/>
                <w14:textFill>
                  <w14:solidFill>
                    <w14:schemeClr w14:val="tx1"/>
                  </w14:solidFill>
                </w14:textFill>
              </w:rPr>
              <w:t>固体废物的收集方式强调采用分类收集，即各种垃圾按不同性质，分别收集处置。</w:t>
            </w:r>
          </w:p>
          <w:p>
            <w:pPr>
              <w:pStyle w:val="30"/>
              <w:widowControl w:val="0"/>
              <w:spacing w:before="0" w:beforeAutospacing="0" w:after="0" w:afterAutospacing="0" w:line="360" w:lineRule="auto"/>
              <w:ind w:firstLine="480" w:firstLineChars="200"/>
              <w:jc w:val="both"/>
              <w:rPr>
                <w:color w:val="000000" w:themeColor="text1"/>
                <w:highlight w:val="none"/>
                <w14:textFill>
                  <w14:solidFill>
                    <w14:schemeClr w14:val="tx1"/>
                  </w14:solidFill>
                </w14:textFill>
              </w:rPr>
            </w:pPr>
            <w:r>
              <w:rPr>
                <w:rFonts w:hint="eastAsia"/>
                <w:color w:val="000000" w:themeColor="text1"/>
                <w:kern w:val="2"/>
                <w:szCs w:val="24"/>
                <w:highlight w:val="none"/>
                <w:lang w:eastAsia="zh-CN" w:bidi="ar"/>
                <w14:textFill>
                  <w14:solidFill>
                    <w14:schemeClr w14:val="tx1"/>
                  </w14:solidFill>
                </w14:textFill>
              </w:rPr>
              <w:t>（</w:t>
            </w:r>
            <w:r>
              <w:rPr>
                <w:rFonts w:hint="eastAsia"/>
                <w:color w:val="000000" w:themeColor="text1"/>
                <w:kern w:val="2"/>
                <w:szCs w:val="24"/>
                <w:highlight w:val="none"/>
                <w:lang w:val="en-US" w:eastAsia="zh-CN" w:bidi="ar"/>
                <w14:textFill>
                  <w14:solidFill>
                    <w14:schemeClr w14:val="tx1"/>
                  </w14:solidFill>
                </w14:textFill>
              </w:rPr>
              <w:t>1</w:t>
            </w:r>
            <w:r>
              <w:rPr>
                <w:rFonts w:hint="eastAsia"/>
                <w:color w:val="000000" w:themeColor="text1"/>
                <w:kern w:val="2"/>
                <w:szCs w:val="24"/>
                <w:highlight w:val="none"/>
                <w:lang w:eastAsia="zh-CN" w:bidi="ar"/>
                <w14:textFill>
                  <w14:solidFill>
                    <w14:schemeClr w14:val="tx1"/>
                  </w14:solidFill>
                </w14:textFill>
              </w:rPr>
              <w:t>）</w:t>
            </w:r>
            <w:r>
              <w:rPr>
                <w:rFonts w:hint="eastAsia" w:ascii="Times New Roman" w:hAnsi="Times New Roman" w:cs="宋体"/>
                <w:color w:val="000000" w:themeColor="text1"/>
                <w:kern w:val="2"/>
                <w:szCs w:val="24"/>
                <w:highlight w:val="none"/>
                <w:lang w:bidi="ar"/>
                <w14:textFill>
                  <w14:solidFill>
                    <w14:schemeClr w14:val="tx1"/>
                  </w14:solidFill>
                </w14:textFill>
              </w:rPr>
              <w:t>生活垃圾处置措施</w:t>
            </w:r>
          </w:p>
          <w:p>
            <w:pPr>
              <w:pStyle w:val="30"/>
              <w:widowControl w:val="0"/>
              <w:spacing w:before="0" w:beforeAutospacing="0" w:after="0" w:afterAutospacing="0"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cs="宋体"/>
                <w:color w:val="000000" w:themeColor="text1"/>
                <w:kern w:val="2"/>
                <w:szCs w:val="24"/>
                <w:highlight w:val="none"/>
                <w:lang w:bidi="ar"/>
                <w14:textFill>
                  <w14:solidFill>
                    <w14:schemeClr w14:val="tx1"/>
                  </w14:solidFill>
                </w14:textFill>
              </w:rPr>
              <w:t>生活垃圾极易腐败发臭，必须定点收集，及时清运或处理。可在厂区生产区和办公生活区设置一些垃圾收集桶。厂区应配备专职的清洁人员和必要的工具，负责清扫厂区，维持清洁卫生，生活垃圾收集后委托环卫部门处理。</w:t>
            </w:r>
          </w:p>
          <w:p>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000000" w:themeColor="text1"/>
                <w:kern w:val="2"/>
                <w:szCs w:val="24"/>
                <w:highlight w:val="none"/>
                <w:lang w:bidi="ar"/>
                <w14:textFill>
                  <w14:solidFill>
                    <w14:schemeClr w14:val="tx1"/>
                  </w14:solidFill>
                </w14:textFill>
              </w:rPr>
            </w:pPr>
            <w:r>
              <w:rPr>
                <w:rFonts w:hint="eastAsia" w:cs="宋体"/>
                <w:color w:val="000000" w:themeColor="text1"/>
                <w:kern w:val="2"/>
                <w:szCs w:val="24"/>
                <w:highlight w:val="none"/>
                <w:lang w:eastAsia="zh-CN" w:bidi="ar"/>
                <w14:textFill>
                  <w14:solidFill>
                    <w14:schemeClr w14:val="tx1"/>
                  </w14:solidFill>
                </w14:textFill>
              </w:rPr>
              <w:t>（</w:t>
            </w:r>
            <w:r>
              <w:rPr>
                <w:rFonts w:hint="eastAsia" w:cs="宋体"/>
                <w:color w:val="000000" w:themeColor="text1"/>
                <w:kern w:val="2"/>
                <w:szCs w:val="24"/>
                <w:highlight w:val="none"/>
                <w:lang w:val="en-US" w:eastAsia="zh-CN" w:bidi="ar"/>
                <w14:textFill>
                  <w14:solidFill>
                    <w14:schemeClr w14:val="tx1"/>
                  </w14:solidFill>
                </w14:textFill>
              </w:rPr>
              <w:t>2</w:t>
            </w:r>
            <w:r>
              <w:rPr>
                <w:rFonts w:hint="eastAsia"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cs="宋体"/>
                <w:color w:val="000000" w:themeColor="text1"/>
                <w:kern w:val="2"/>
                <w:szCs w:val="24"/>
                <w:highlight w:val="none"/>
                <w:lang w:bidi="ar"/>
                <w14:textFill>
                  <w14:solidFill>
                    <w14:schemeClr w14:val="tx1"/>
                  </w14:solidFill>
                </w14:textFill>
              </w:rPr>
              <w:t>一般工业固体废物管理要求</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厂区内一般固体废物临时贮存应采取以下措施：</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1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①</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一般工业固体废物应按Ⅰ类和Ⅱ类废物分别储存，建立分类收集房。不允许将危险废物和生活垃圾混入。</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2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②</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尽量将可利用的一般工业固体废物回收、利用。</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3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③</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加强企业内部对固体废物的管理，对固体废物实行从产生、收集、运输、贮存直至最终处理实行全过程管理，加强固体废物运输过程的事故风险防范，建立固体废物产生、外运、处置及最终去向的详细台账。</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4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④</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begin"/>
            </w:r>
            <w:r>
              <w:rPr>
                <w:rFonts w:hint="eastAsia" w:ascii="Times New Roman" w:hAnsi="Times New Roman" w:eastAsia="宋体" w:cs="宋体"/>
                <w:color w:val="000000" w:themeColor="text1"/>
                <w:kern w:val="2"/>
                <w:szCs w:val="24"/>
                <w:highlight w:val="none"/>
                <w:lang w:bidi="ar"/>
                <w14:textFill>
                  <w14:solidFill>
                    <w14:schemeClr w14:val="tx1"/>
                  </w14:solidFill>
                </w14:textFill>
              </w:rPr>
              <w:instrText xml:space="preserve"> = 5 \* GB3 \* MERGEFORMAT </w:instrTex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separate"/>
            </w:r>
            <w:r>
              <w:rPr>
                <w:rFonts w:hint="eastAsia" w:ascii="Times New Roman" w:hAnsi="Times New Roman" w:eastAsia="宋体" w:cs="宋体"/>
                <w:color w:val="000000" w:themeColor="text1"/>
                <w:kern w:val="2"/>
                <w:szCs w:val="24"/>
                <w:highlight w:val="none"/>
                <w:lang w:bidi="ar"/>
                <w14:textFill>
                  <w14:solidFill>
                    <w14:schemeClr w14:val="tx1"/>
                  </w14:solidFill>
                </w14:textFill>
              </w:rPr>
              <w:t>⑤</w:t>
            </w:r>
            <w:r>
              <w:rPr>
                <w:rFonts w:hint="eastAsia" w:ascii="Times New Roman" w:hAnsi="Times New Roman" w:eastAsia="宋体" w:cs="宋体"/>
                <w:color w:val="000000" w:themeColor="text1"/>
                <w:kern w:val="2"/>
                <w:szCs w:val="24"/>
                <w:highlight w:val="none"/>
                <w:lang w:bidi="ar"/>
                <w14:textFill>
                  <w14:solidFill>
                    <w14:schemeClr w14:val="tx1"/>
                  </w14:solidFill>
                </w14:textFill>
              </w:rPr>
              <w:fldChar w:fldCharType="end"/>
            </w:r>
            <w:r>
              <w:rPr>
                <w:rFonts w:hint="eastAsia" w:ascii="Times New Roman" w:hAnsi="Times New Roman" w:eastAsia="宋体" w:cs="宋体"/>
                <w:color w:val="000000" w:themeColor="text1"/>
                <w:kern w:val="2"/>
                <w:szCs w:val="24"/>
                <w:highlight w:val="none"/>
                <w:lang w:bidi="ar"/>
                <w14:textFill>
                  <w14:solidFill>
                    <w14:schemeClr w14:val="tx1"/>
                  </w14:solidFill>
                </w14:textFill>
              </w:rPr>
              <w:t>为加强管理监督，贮存场所地应按《环境保护图形标志－固体废物贮存（处置）场所》（GB15562.2-1995）设置环境保护图形标志。</w:t>
            </w:r>
          </w:p>
          <w:p>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000000" w:themeColor="text1"/>
                <w:kern w:val="2"/>
                <w:szCs w:val="24"/>
                <w:highlight w:val="none"/>
                <w:lang w:bidi="ar"/>
                <w14:textFill>
                  <w14:solidFill>
                    <w14:schemeClr w14:val="tx1"/>
                  </w14:solidFill>
                </w14:textFill>
              </w:rPr>
            </w:pPr>
            <w:r>
              <w:rPr>
                <w:rFonts w:hint="eastAsia" w:ascii="Times New Roman" w:hAnsi="Times New Roman" w:eastAsia="宋体" w:cs="宋体"/>
                <w:color w:val="000000" w:themeColor="text1"/>
                <w:kern w:val="2"/>
                <w:szCs w:val="24"/>
                <w:highlight w:val="none"/>
                <w:lang w:bidi="ar"/>
                <w14:textFill>
                  <w14:solidFill>
                    <w14:schemeClr w14:val="tx1"/>
                  </w14:solidFill>
                </w14:textFill>
              </w:rPr>
              <w:t>采取以上措施后一般固体废物对周边环境影响小，因此措施可行。</w:t>
            </w:r>
          </w:p>
          <w:p>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000000" w:themeColor="text1"/>
                <w:kern w:val="2"/>
                <w:szCs w:val="24"/>
                <w:highlight w:val="none"/>
                <w:lang w:bidi="ar"/>
                <w14:textFill>
                  <w14:solidFill>
                    <w14:schemeClr w14:val="tx1"/>
                  </w14:solidFill>
                </w14:textFill>
              </w:rPr>
            </w:pPr>
            <w:r>
              <w:rPr>
                <w:rFonts w:hint="eastAsia" w:cs="宋体"/>
                <w:color w:val="000000" w:themeColor="text1"/>
                <w:kern w:val="2"/>
                <w:szCs w:val="24"/>
                <w:highlight w:val="none"/>
                <w:lang w:eastAsia="zh-CN" w:bidi="ar"/>
                <w14:textFill>
                  <w14:solidFill>
                    <w14:schemeClr w14:val="tx1"/>
                  </w14:solidFill>
                </w14:textFill>
              </w:rPr>
              <w:t>（</w:t>
            </w:r>
            <w:r>
              <w:rPr>
                <w:rFonts w:hint="eastAsia" w:cs="宋体"/>
                <w:color w:val="000000" w:themeColor="text1"/>
                <w:kern w:val="2"/>
                <w:szCs w:val="24"/>
                <w:highlight w:val="none"/>
                <w:lang w:val="en-US" w:eastAsia="zh-CN" w:bidi="ar"/>
                <w14:textFill>
                  <w14:solidFill>
                    <w14:schemeClr w14:val="tx1"/>
                  </w14:solidFill>
                </w14:textFill>
              </w:rPr>
              <w:t>3</w:t>
            </w:r>
            <w:r>
              <w:rPr>
                <w:rFonts w:hint="eastAsia" w:cs="宋体"/>
                <w:color w:val="000000" w:themeColor="text1"/>
                <w:kern w:val="2"/>
                <w:szCs w:val="24"/>
                <w:highlight w:val="none"/>
                <w:lang w:eastAsia="zh-CN" w:bidi="ar"/>
                <w14:textFill>
                  <w14:solidFill>
                    <w14:schemeClr w14:val="tx1"/>
                  </w14:solidFill>
                </w14:textFill>
              </w:rPr>
              <w:t>）</w:t>
            </w:r>
            <w:r>
              <w:rPr>
                <w:rFonts w:hint="eastAsia" w:ascii="Times New Roman" w:hAnsi="Times New Roman" w:cs="宋体"/>
                <w:color w:val="000000" w:themeColor="text1"/>
                <w:kern w:val="2"/>
                <w:szCs w:val="24"/>
                <w:highlight w:val="none"/>
                <w:lang w:bidi="ar"/>
                <w14:textFill>
                  <w14:solidFill>
                    <w14:schemeClr w14:val="tx1"/>
                  </w14:solidFill>
                </w14:textFill>
              </w:rPr>
              <w:t>危险废物管理要求</w:t>
            </w:r>
          </w:p>
          <w:p>
            <w:pPr>
              <w:pStyle w:val="116"/>
              <w:spacing w:line="360" w:lineRule="auto"/>
              <w:ind w:firstLine="31680"/>
              <w:jc w:val="both"/>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危险废物的收集和贮存应遵循以下要求：</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①危险废物的收集容器和临时贮存场所应严格按照《危险废物贮存污染控制标准》（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）中的有关规定执行。贮存区必须按</w:t>
            </w:r>
            <w:r>
              <w:rPr>
                <w:rFonts w:ascii="Times New Roman" w:hAnsi="Times New Roman" w:eastAsia="宋体"/>
                <w:color w:val="000000" w:themeColor="text1"/>
                <w:highlight w:val="none"/>
                <w14:textFill>
                  <w14:solidFill>
                    <w14:schemeClr w14:val="tx1"/>
                  </w14:solidFill>
                </w14:textFill>
              </w:rPr>
              <w:t>GB15562.2</w:t>
            </w:r>
            <w:r>
              <w:rPr>
                <w:rFonts w:hint="eastAsia" w:ascii="Times New Roman" w:hAnsi="Times New Roman" w:eastAsia="宋体"/>
                <w:color w:val="000000" w:themeColor="text1"/>
                <w:highlight w:val="none"/>
                <w14:textFill>
                  <w14:solidFill>
                    <w14:schemeClr w14:val="tx1"/>
                  </w14:solidFill>
                </w14:textFill>
              </w:rPr>
              <w:t>的规定设置警示标志，并具有防雨淋、防日晒、防渗漏措施，且危险废物要有专用的收集容器，定期对所贮存的危险废物贮存设施进行检查，发现破损，应及时采取措施。</w:t>
            </w:r>
            <w:r>
              <w:rPr>
                <w:rFonts w:hint="eastAsia"/>
                <w:color w:val="000000" w:themeColor="text1"/>
                <w:highlight w:val="none"/>
                <w:lang w:val="en-US" w:eastAsia="zh-CN"/>
                <w14:textFill>
                  <w14:solidFill>
                    <w14:schemeClr w14:val="tx1"/>
                  </w14:solidFill>
                </w14:textFill>
              </w:rPr>
              <w:t>建设单位应</w:t>
            </w:r>
            <w:r>
              <w:rPr>
                <w:rFonts w:hint="eastAsia" w:ascii="Times New Roman" w:hAnsi="Times New Roman" w:eastAsia="宋体"/>
                <w:color w:val="000000" w:themeColor="text1"/>
                <w:highlight w:val="none"/>
                <w14:textFill>
                  <w14:solidFill>
                    <w14:schemeClr w14:val="tx1"/>
                  </w14:solidFill>
                </w14:textFill>
              </w:rPr>
              <w:t>按照《危险废物污染防治技术政策》（环发</w:t>
            </w:r>
            <w:r>
              <w:rPr>
                <w:rFonts w:hint="eastAsia"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2001</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199</w:t>
            </w:r>
            <w:r>
              <w:rPr>
                <w:rFonts w:hint="eastAsia" w:ascii="Times New Roman" w:hAnsi="Times New Roman" w:eastAsia="宋体"/>
                <w:color w:val="000000" w:themeColor="text1"/>
                <w:highlight w:val="none"/>
                <w14:textFill>
                  <w14:solidFill>
                    <w14:schemeClr w14:val="tx1"/>
                  </w14:solidFill>
                </w14:textFill>
              </w:rPr>
              <w:t>号）、《危险废物贮存污染控制标准》（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）及《建设项目危险废物环境影响评价指南》（</w:t>
            </w:r>
            <w:r>
              <w:rPr>
                <w:rFonts w:ascii="Times New Roman" w:hAnsi="Times New Roman" w:eastAsia="宋体"/>
                <w:color w:val="000000" w:themeColor="text1"/>
                <w:highlight w:val="none"/>
                <w14:textFill>
                  <w14:solidFill>
                    <w14:schemeClr w14:val="tx1"/>
                  </w14:solidFill>
                </w14:textFill>
              </w:rPr>
              <w:t>2017.10.1</w:t>
            </w:r>
            <w:r>
              <w:rPr>
                <w:rFonts w:hint="eastAsia" w:ascii="Times New Roman" w:hAnsi="Times New Roman" w:eastAsia="宋体"/>
                <w:color w:val="000000" w:themeColor="text1"/>
                <w:highlight w:val="none"/>
                <w14:textFill>
                  <w14:solidFill>
                    <w14:schemeClr w14:val="tx1"/>
                  </w14:solidFill>
                </w14:textFill>
              </w:rPr>
              <w:t>实施）等文件、技术规范要求设置危险废物临时贮存间。</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危险废物临时贮存的几点要求：</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危险废物在收集时，应清楚废物的类别及主要成分，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B</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按《环境保护图形标识</w:t>
            </w:r>
            <w:r>
              <w:rPr>
                <w:rFonts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固体废物贮存（处置）场》（</w:t>
            </w:r>
            <w:r>
              <w:rPr>
                <w:rFonts w:ascii="Times New Roman" w:hAnsi="Times New Roman" w:eastAsia="宋体"/>
                <w:color w:val="000000" w:themeColor="text1"/>
                <w:highlight w:val="none"/>
                <w14:textFill>
                  <w14:solidFill>
                    <w14:schemeClr w14:val="tx1"/>
                  </w14:solidFill>
                </w14:textFill>
              </w:rPr>
              <w:t>GB15562.</w:t>
            </w:r>
            <w:r>
              <w:rPr>
                <w:rFonts w:hint="eastAsia"/>
                <w:color w:val="000000" w:themeColor="text1"/>
                <w:highlight w:val="none"/>
                <w:lang w:eastAsia="zh-CN"/>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《危险废物识别标志设置技术规范》（HJ 1276-2022）</w:t>
            </w:r>
            <w:r>
              <w:rPr>
                <w:rFonts w:hint="eastAsia" w:ascii="Times New Roman" w:hAnsi="Times New Roman" w:eastAsia="宋体"/>
                <w:color w:val="000000" w:themeColor="text1"/>
                <w:highlight w:val="none"/>
                <w14:textFill>
                  <w14:solidFill>
                    <w14:schemeClr w14:val="tx1"/>
                  </w14:solidFill>
                </w14:textFill>
              </w:rPr>
              <w:t>在收集场所醒目的地方设置危险废物警告标识。</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C</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由专人负责管理。危险废物按不同名录分类分区堆放，并做好隔离、防水、防晒、防雨、防渗、防火处理。</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应配备通讯设备、照明设施、安全防护服装及工具，并设有报警装置和应急防护设施。</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E</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贮存区内禁止混放不相容危险废物；禁止危险废物混入非危险废物中贮存；危险废物按种类分别存放，且不同类废物间有明显的间隔（如过道等）。</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F</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危险废物临时贮存场所的地面和裙脚要用坚固、防渗的材料建造；该贮存场所的地面与裙脚围建一定的空间，该容积不低于堵截最大容器的最大储量或总储量的</w:t>
            </w:r>
            <w:r>
              <w:rPr>
                <w:rFonts w:ascii="Times New Roman" w:hAnsi="Times New Roman" w:eastAsia="宋体"/>
                <w:color w:val="000000" w:themeColor="text1"/>
                <w:highlight w:val="none"/>
                <w14:textFill>
                  <w14:solidFill>
                    <w14:schemeClr w14:val="tx1"/>
                  </w14:solidFill>
                </w14:textFill>
              </w:rPr>
              <w:t>1/5</w:t>
            </w:r>
            <w:r>
              <w:rPr>
                <w:rFonts w:hint="eastAsia" w:ascii="Times New Roman" w:hAnsi="Times New Roman" w:eastAsia="宋体"/>
                <w:color w:val="000000" w:themeColor="text1"/>
                <w:highlight w:val="none"/>
                <w14:textFill>
                  <w14:solidFill>
                    <w14:schemeClr w14:val="tx1"/>
                  </w14:solidFill>
                </w14:textFill>
              </w:rPr>
              <w:t>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w:t>
            </w:r>
            <w:r>
              <w:rPr>
                <w:rFonts w:ascii="Times New Roman" w:hAnsi="Times New Roman" w:eastAsia="宋体"/>
                <w:color w:val="000000" w:themeColor="text1"/>
                <w:highlight w:val="none"/>
                <w14:textFill>
                  <w14:solidFill>
                    <w14:schemeClr w14:val="tx1"/>
                  </w14:solidFill>
                </w14:textFill>
              </w:rPr>
              <w:t>1m</w:t>
            </w:r>
            <w:r>
              <w:rPr>
                <w:rFonts w:hint="eastAsia" w:ascii="Times New Roman" w:hAnsi="Times New Roman" w:eastAsia="宋体"/>
                <w:color w:val="000000" w:themeColor="text1"/>
                <w:highlight w:val="none"/>
                <w14:textFill>
                  <w14:solidFill>
                    <w14:schemeClr w14:val="tx1"/>
                  </w14:solidFill>
                </w14:textFill>
              </w:rPr>
              <w:t>厚黏土层（渗透系数≤</w:t>
            </w:r>
            <w:r>
              <w:rPr>
                <w:rFonts w:ascii="Times New Roman" w:hAnsi="Times New Roman" w:eastAsia="宋体"/>
                <w:color w:val="000000" w:themeColor="text1"/>
                <w:highlight w:val="none"/>
                <w14:textFill>
                  <w14:solidFill>
                    <w14:schemeClr w14:val="tx1"/>
                  </w14:solidFill>
                </w14:textFill>
              </w:rPr>
              <w:t>10</w:t>
            </w:r>
            <w:r>
              <w:rPr>
                <w:rFonts w:ascii="Times New Roman" w:hAnsi="Times New Roman" w:eastAsia="宋体"/>
                <w:color w:val="000000" w:themeColor="text1"/>
                <w:highlight w:val="none"/>
                <w:vertAlign w:val="superscript"/>
                <w14:textFill>
                  <w14:solidFill>
                    <w14:schemeClr w14:val="tx1"/>
                  </w14:solidFill>
                </w14:textFill>
              </w:rPr>
              <w:t>-7</w:t>
            </w:r>
            <w:r>
              <w:rPr>
                <w:rFonts w:ascii="Times New Roman" w:hAnsi="Times New Roman" w:eastAsia="宋体"/>
                <w:color w:val="000000" w:themeColor="text1"/>
                <w:highlight w:val="none"/>
                <w14:textFill>
                  <w14:solidFill>
                    <w14:schemeClr w14:val="tx1"/>
                  </w14:solidFill>
                </w14:textFill>
              </w:rPr>
              <w:t>cm/s</w:t>
            </w:r>
            <w:r>
              <w:rPr>
                <w:rFonts w:hint="eastAsia" w:ascii="Times New Roman" w:hAnsi="Times New Roman" w:eastAsia="宋体"/>
                <w:color w:val="000000" w:themeColor="text1"/>
                <w:highlight w:val="none"/>
                <w14:textFill>
                  <w14:solidFill>
                    <w14:schemeClr w14:val="tx1"/>
                  </w14:solidFill>
                </w14:textFill>
              </w:rPr>
              <w:t>），或</w:t>
            </w:r>
            <w:r>
              <w:rPr>
                <w:rFonts w:ascii="Times New Roman" w:hAnsi="Times New Roman" w:eastAsia="宋体"/>
                <w:color w:val="000000" w:themeColor="text1"/>
                <w:highlight w:val="none"/>
                <w14:textFill>
                  <w14:solidFill>
                    <w14:schemeClr w14:val="tx1"/>
                  </w14:solidFill>
                </w14:textFill>
              </w:rPr>
              <w:t>2mm</w:t>
            </w:r>
            <w:r>
              <w:rPr>
                <w:rFonts w:hint="eastAsia" w:ascii="Times New Roman" w:hAnsi="Times New Roman" w:eastAsia="宋体"/>
                <w:color w:val="000000" w:themeColor="text1"/>
                <w:highlight w:val="none"/>
                <w14:textFill>
                  <w14:solidFill>
                    <w14:schemeClr w14:val="tx1"/>
                  </w14:solidFill>
                </w14:textFill>
              </w:rPr>
              <w:t>厚高密度聚乙烯，或至少</w:t>
            </w:r>
            <w:r>
              <w:rPr>
                <w:rFonts w:ascii="Times New Roman" w:hAnsi="Times New Roman" w:eastAsia="宋体"/>
                <w:color w:val="000000" w:themeColor="text1"/>
                <w:highlight w:val="none"/>
                <w14:textFill>
                  <w14:solidFill>
                    <w14:schemeClr w14:val="tx1"/>
                  </w14:solidFill>
                </w14:textFill>
              </w:rPr>
              <w:t>2mm</w:t>
            </w:r>
            <w:r>
              <w:rPr>
                <w:rFonts w:hint="eastAsia" w:ascii="Times New Roman" w:hAnsi="Times New Roman" w:eastAsia="宋体"/>
                <w:color w:val="000000" w:themeColor="text1"/>
                <w:highlight w:val="none"/>
                <w14:textFill>
                  <w14:solidFill>
                    <w14:schemeClr w14:val="tx1"/>
                  </w14:solidFill>
                </w14:textFill>
              </w:rPr>
              <w:t>厚的其他人工材料，渗透系数≤</w:t>
            </w:r>
            <w:r>
              <w:rPr>
                <w:rFonts w:ascii="Times New Roman" w:hAnsi="Times New Roman" w:eastAsia="宋体"/>
                <w:color w:val="000000" w:themeColor="text1"/>
                <w:highlight w:val="none"/>
                <w14:textFill>
                  <w14:solidFill>
                    <w14:schemeClr w14:val="tx1"/>
                  </w14:solidFill>
                </w14:textFill>
              </w:rPr>
              <w:t>10</w:t>
            </w:r>
            <w:r>
              <w:rPr>
                <w:rFonts w:ascii="Times New Roman" w:hAnsi="Times New Roman" w:eastAsia="宋体"/>
                <w:color w:val="000000" w:themeColor="text1"/>
                <w:highlight w:val="none"/>
                <w:vertAlign w:val="superscript"/>
                <w14:textFill>
                  <w14:solidFill>
                    <w14:schemeClr w14:val="tx1"/>
                  </w14:solidFill>
                </w14:textFill>
              </w:rPr>
              <w:t>-10</w:t>
            </w:r>
            <w:r>
              <w:rPr>
                <w:rFonts w:ascii="Times New Roman" w:hAnsi="Times New Roman" w:eastAsia="宋体"/>
                <w:color w:val="000000" w:themeColor="text1"/>
                <w:highlight w:val="none"/>
                <w14:textFill>
                  <w14:solidFill>
                    <w14:schemeClr w14:val="tx1"/>
                  </w14:solidFill>
                </w14:textFill>
              </w:rPr>
              <w:t>cm/s</w:t>
            </w:r>
            <w:r>
              <w:rPr>
                <w:rFonts w:hint="eastAsia" w:ascii="Times New Roman" w:hAnsi="Times New Roman" w:eastAsia="宋体"/>
                <w:color w:val="000000" w:themeColor="text1"/>
                <w:highlight w:val="none"/>
                <w14:textFill>
                  <w14:solidFill>
                    <w14:schemeClr w14:val="tx1"/>
                  </w14:solidFill>
                </w14:textFill>
              </w:rPr>
              <w:t>。具体设计原则参见《危险废物贮存污染控制标准》（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②建立危险废物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w:t>
            </w:r>
            <w:r>
              <w:rPr>
                <w:rFonts w:ascii="Times New Roman" w:hAnsi="Times New Roman" w:eastAsia="宋体"/>
                <w:color w:val="000000" w:themeColor="text1"/>
                <w:highlight w:val="none"/>
                <w14:textFill>
                  <w14:solidFill>
                    <w14:schemeClr w14:val="tx1"/>
                  </w14:solidFill>
                </w14:textFill>
              </w:rPr>
              <w:t>GB18597-2023</w:t>
            </w:r>
            <w:r>
              <w:rPr>
                <w:rFonts w:hint="eastAsia" w:ascii="Times New Roman" w:hAnsi="Times New Roman" w:eastAsia="宋体"/>
                <w:color w:val="000000" w:themeColor="text1"/>
                <w:highlight w:val="none"/>
                <w14:textFill>
                  <w14:solidFill>
                    <w14:schemeClr w14:val="tx1"/>
                  </w14:solidFill>
                </w14:textFill>
              </w:rPr>
              <w:t>）和《危险废物转移管理办法》要求执行。建设单位应强化废物产生、收集、贮放各环节的管理，各种固体废物按照类别分类存放，避免固体废物在厂区内散失、渗漏，达到无害化的目的，避免产生二次污染。</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危险废物的运输采取危险废物转移“电子联单”制度，保证运输安全，防止非法转移和非法处置，保证危险废物的安全监控，防止危险废物污染事故发生。</w:t>
            </w:r>
          </w:p>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电子联单”应通过福建省固体废物环境监管平台申请电子联单，危险废物产生者及其他需要转移危险废物的单位在转移危险废物之前，须按照国家有关规定报批危险废物转移计划。经批准后，通过《信息系统》申请电子联单。</w:t>
            </w:r>
          </w:p>
          <w:p>
            <w:pPr>
              <w:pStyle w:val="44"/>
              <w:ind w:firstLine="480"/>
              <w:rPr>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③应将危险废物提供或者委托给有危险废物经营许可证的单位从事利用和处置，并签订处置合同。同时应加强对运输单位及处置单位的跟踪检查，控制运输过程中的环境风险</w:t>
            </w:r>
            <w:r>
              <w:rPr>
                <w:color w:val="000000" w:themeColor="text1"/>
                <w:highlight w:val="none"/>
                <w14:textFill>
                  <w14:solidFill>
                    <w14:schemeClr w14:val="tx1"/>
                  </w14:solidFill>
                </w14:textFill>
              </w:rPr>
              <w:t>。</w:t>
            </w:r>
          </w:p>
          <w:p>
            <w:pPr>
              <w:pStyle w:val="4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综上分析，采取以上措施后，项目各项固体废物均可得到妥善处理，对周边环境影响较小。</w:t>
            </w:r>
          </w:p>
          <w:p>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地下水、土壤</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项目厂区固废贮存严格按照《一般工业固体废物贮存和填埋污染控制标准》（GB18599-2020）和《危险废物贮存污染控制标准》（GB 18597-2023）中有关规定进行落实，具备防风、防雨、防晒、防渗漏等要求，在正常工况，不会对评价区域内地下水、土壤环境产生不利影响。本次评价仅考虑在事故情况下液态物质泄漏，防渗层破损时对土壤和地下水造成污染。</w:t>
            </w:r>
            <w:r>
              <w:rPr>
                <w:rFonts w:hint="eastAsia" w:ascii="Times New Roman" w:hAnsi="Times New Roman" w:eastAsia="宋体"/>
                <w:color w:val="000000" w:themeColor="text1"/>
                <w:highlight w:val="none"/>
                <w:lang w:val="en-US" w:eastAsia="zh-CN"/>
                <w14:textFill>
                  <w14:solidFill>
                    <w14:schemeClr w14:val="tx1"/>
                  </w14:solidFill>
                </w14:textFill>
              </w:rPr>
              <w:t>地下水、土壤污染物类型及污染途径详见下表。</w:t>
            </w:r>
          </w:p>
          <w:p>
            <w:pPr>
              <w:pStyle w:val="42"/>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地下水、土壤污染途径情况一览表</w:t>
            </w:r>
          </w:p>
          <w:tbl>
            <w:tblPr>
              <w:tblStyle w:val="8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60"/>
              <w:gridCol w:w="2409"/>
              <w:gridCol w:w="48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30"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1"/>
                      <w:sz w:val="21"/>
                      <w:highlight w:val="none"/>
                    </w:rPr>
                    <w:t>防渗区</w:t>
                  </w:r>
                </w:p>
              </w:tc>
              <w:tc>
                <w:tcPr>
                  <w:tcW w:w="134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构筑物名称</w:t>
                  </w:r>
                </w:p>
              </w:tc>
              <w:tc>
                <w:tcPr>
                  <w:tcW w:w="271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防渗技术要求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930"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重点防渗区</w:t>
                  </w:r>
                </w:p>
              </w:tc>
              <w:tc>
                <w:tcPr>
                  <w:tcW w:w="1349"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化学品库、电泳线、</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污水处理设施、危废</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暂存间</w:t>
                  </w:r>
                </w:p>
              </w:tc>
              <w:tc>
                <w:tcPr>
                  <w:tcW w:w="2719"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position w:val="1"/>
                      <w:sz w:val="21"/>
                      <w:highlight w:val="none"/>
                    </w:rPr>
                    <w:t>等效黏土防渗层</w:t>
                  </w:r>
                  <w:r>
                    <w:rPr>
                      <w:rFonts w:ascii="Times New Roman" w:hAnsi="Times New Roman" w:eastAsia="宋体" w:cs="Times New Roman"/>
                      <w:position w:val="1"/>
                      <w:sz w:val="21"/>
                      <w:highlight w:val="none"/>
                    </w:rPr>
                    <w:t>Mb</w:t>
                  </w:r>
                  <w:r>
                    <w:rPr>
                      <w:rFonts w:ascii="Times New Roman" w:hAnsi="Times New Roman" w:eastAsia="宋体" w:cs="Times New Roman"/>
                      <w:spacing w:val="6"/>
                      <w:position w:val="1"/>
                      <w:sz w:val="21"/>
                      <w:highlight w:val="none"/>
                    </w:rPr>
                    <w:t>≥6.0m</w:t>
                  </w:r>
                  <w:r>
                    <w:rPr>
                      <w:rFonts w:ascii="Times New Roman" w:hAnsi="Times New Roman" w:eastAsia="宋体"/>
                      <w:spacing w:val="6"/>
                      <w:position w:val="1"/>
                      <w:sz w:val="21"/>
                      <w:highlight w:val="none"/>
                    </w:rPr>
                    <w:t>，</w:t>
                  </w:r>
                  <w:r>
                    <w:rPr>
                      <w:rFonts w:ascii="Times New Roman" w:hAnsi="Times New Roman" w:eastAsia="宋体" w:cs="Times New Roman"/>
                      <w:spacing w:val="6"/>
                      <w:position w:val="1"/>
                      <w:sz w:val="21"/>
                      <w:highlight w:val="none"/>
                    </w:rPr>
                    <w:t>K≤10</w:t>
                  </w:r>
                  <w:r>
                    <w:rPr>
                      <w:rFonts w:ascii="Times New Roman" w:hAnsi="Times New Roman" w:eastAsia="宋体" w:cs="Times New Roman"/>
                      <w:spacing w:val="6"/>
                      <w:position w:val="1"/>
                      <w:sz w:val="21"/>
                      <w:szCs w:val="13"/>
                      <w:highlight w:val="none"/>
                      <w:vertAlign w:val="superscript"/>
                    </w:rPr>
                    <w:t>-7</w:t>
                  </w:r>
                  <w:r>
                    <w:rPr>
                      <w:rFonts w:ascii="Times New Roman" w:hAnsi="Times New Roman" w:eastAsia="宋体" w:cs="Times New Roman"/>
                      <w:position w:val="1"/>
                      <w:sz w:val="21"/>
                      <w:highlight w:val="none"/>
                    </w:rPr>
                    <w:t>cm</w:t>
                  </w:r>
                  <w:r>
                    <w:rPr>
                      <w:rFonts w:ascii="Times New Roman" w:hAnsi="Times New Roman" w:eastAsia="宋体" w:cs="Times New Roman"/>
                      <w:spacing w:val="6"/>
                      <w:position w:val="1"/>
                      <w:sz w:val="21"/>
                      <w:highlight w:val="none"/>
                    </w:rPr>
                    <w:t>/s</w:t>
                  </w:r>
                  <w:r>
                    <w:rPr>
                      <w:rFonts w:ascii="Times New Roman" w:hAnsi="Times New Roman" w:eastAsia="宋体"/>
                      <w:spacing w:val="6"/>
                      <w:position w:val="1"/>
                      <w:sz w:val="21"/>
                      <w:highlight w:val="none"/>
                    </w:rPr>
                    <w:t>或者</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position w:val="1"/>
                      <w:sz w:val="21"/>
                      <w:highlight w:val="none"/>
                    </w:rPr>
                    <w:t>参照</w:t>
                  </w:r>
                  <w:r>
                    <w:rPr>
                      <w:rFonts w:ascii="Times New Roman" w:hAnsi="Times New Roman" w:eastAsia="宋体" w:cs="Times New Roman"/>
                      <w:position w:val="1"/>
                      <w:sz w:val="21"/>
                      <w:highlight w:val="none"/>
                    </w:rPr>
                    <w:t>GB</w:t>
                  </w:r>
                  <w:r>
                    <w:rPr>
                      <w:rFonts w:ascii="Times New Roman" w:hAnsi="Times New Roman" w:eastAsia="宋体" w:cs="Times New Roman"/>
                      <w:spacing w:val="6"/>
                      <w:position w:val="1"/>
                      <w:sz w:val="21"/>
                      <w:highlight w:val="none"/>
                    </w:rPr>
                    <w:t>18598</w:t>
                  </w:r>
                  <w:r>
                    <w:rPr>
                      <w:rFonts w:ascii="Times New Roman" w:hAnsi="Times New Roman" w:eastAsia="宋体"/>
                      <w:spacing w:val="6"/>
                      <w:position w:val="1"/>
                      <w:sz w:val="21"/>
                      <w:highlight w:val="none"/>
                    </w:rPr>
                    <w:t>执行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3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一般防渗区</w:t>
                  </w:r>
                </w:p>
              </w:tc>
              <w:tc>
                <w:tcPr>
                  <w:tcW w:w="134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一般固废暂存间、半</w:t>
                  </w:r>
                  <w:r>
                    <w:rPr>
                      <w:rFonts w:ascii="Times New Roman" w:hAnsi="Times New Roman" w:eastAsia="宋体"/>
                      <w:spacing w:val="8"/>
                      <w:sz w:val="21"/>
                      <w:highlight w:val="none"/>
                    </w:rPr>
                    <w:t>成品库、成品库</w:t>
                  </w:r>
                </w:p>
              </w:tc>
              <w:tc>
                <w:tcPr>
                  <w:tcW w:w="271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position w:val="1"/>
                      <w:sz w:val="21"/>
                      <w:highlight w:val="none"/>
                    </w:rPr>
                    <w:t>等效黏土防渗层</w:t>
                  </w:r>
                  <w:r>
                    <w:rPr>
                      <w:rFonts w:ascii="Times New Roman" w:hAnsi="Times New Roman" w:eastAsia="宋体" w:cs="Times New Roman"/>
                      <w:position w:val="1"/>
                      <w:sz w:val="21"/>
                      <w:highlight w:val="none"/>
                    </w:rPr>
                    <w:t>Mb</w:t>
                  </w:r>
                  <w:r>
                    <w:rPr>
                      <w:rFonts w:ascii="Times New Roman" w:hAnsi="Times New Roman" w:eastAsia="宋体" w:cs="Times New Roman"/>
                      <w:spacing w:val="4"/>
                      <w:position w:val="1"/>
                      <w:sz w:val="21"/>
                      <w:highlight w:val="none"/>
                    </w:rPr>
                    <w:t>≥1.5m</w:t>
                  </w:r>
                  <w:r>
                    <w:rPr>
                      <w:rFonts w:ascii="Times New Roman" w:hAnsi="Times New Roman" w:eastAsia="宋体"/>
                      <w:spacing w:val="4"/>
                      <w:position w:val="1"/>
                      <w:sz w:val="21"/>
                      <w:highlight w:val="none"/>
                    </w:rPr>
                    <w:t>，</w:t>
                  </w:r>
                  <w:r>
                    <w:rPr>
                      <w:rFonts w:ascii="Times New Roman" w:hAnsi="Times New Roman" w:eastAsia="宋体" w:cs="Times New Roman"/>
                      <w:spacing w:val="4"/>
                      <w:position w:val="1"/>
                      <w:sz w:val="21"/>
                      <w:highlight w:val="none"/>
                    </w:rPr>
                    <w:t>K≤1×10</w:t>
                  </w:r>
                  <w:r>
                    <w:rPr>
                      <w:rFonts w:ascii="Times New Roman" w:hAnsi="Times New Roman" w:eastAsia="宋体" w:cs="Times New Roman"/>
                      <w:spacing w:val="4"/>
                      <w:position w:val="1"/>
                      <w:sz w:val="21"/>
                      <w:szCs w:val="13"/>
                      <w:highlight w:val="none"/>
                      <w:vertAlign w:val="superscript"/>
                    </w:rPr>
                    <w:t>-7</w:t>
                  </w:r>
                  <w:r>
                    <w:rPr>
                      <w:rFonts w:ascii="Times New Roman" w:hAnsi="Times New Roman" w:eastAsia="宋体" w:cs="Times New Roman"/>
                      <w:position w:val="1"/>
                      <w:sz w:val="21"/>
                      <w:highlight w:val="none"/>
                    </w:rPr>
                    <w:t>cm</w:t>
                  </w:r>
                  <w:r>
                    <w:rPr>
                      <w:rFonts w:ascii="Times New Roman" w:hAnsi="Times New Roman" w:eastAsia="宋体" w:cs="Times New Roman"/>
                      <w:spacing w:val="4"/>
                      <w:position w:val="1"/>
                      <w:sz w:val="21"/>
                      <w:highlight w:val="none"/>
                    </w:rPr>
                    <w:t>/s</w:t>
                  </w:r>
                  <w:r>
                    <w:rPr>
                      <w:rFonts w:ascii="Times New Roman" w:hAnsi="Times New Roman" w:eastAsia="宋体"/>
                      <w:spacing w:val="4"/>
                      <w:position w:val="1"/>
                      <w:sz w:val="21"/>
                      <w:highlight w:val="none"/>
                    </w:rPr>
                    <w:t>；</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position w:val="1"/>
                      <w:sz w:val="21"/>
                      <w:highlight w:val="none"/>
                    </w:rPr>
                    <w:t>或参照</w:t>
                  </w:r>
                  <w:r>
                    <w:rPr>
                      <w:rFonts w:ascii="Times New Roman" w:hAnsi="Times New Roman" w:eastAsia="宋体" w:cs="Times New Roman"/>
                      <w:position w:val="1"/>
                      <w:sz w:val="21"/>
                      <w:highlight w:val="none"/>
                    </w:rPr>
                    <w:t>GB</w:t>
                  </w:r>
                  <w:r>
                    <w:rPr>
                      <w:rFonts w:ascii="Times New Roman" w:hAnsi="Times New Roman" w:eastAsia="宋体" w:cs="Times New Roman"/>
                      <w:spacing w:val="6"/>
                      <w:position w:val="1"/>
                      <w:sz w:val="21"/>
                      <w:highlight w:val="none"/>
                    </w:rPr>
                    <w:t>16889</w:t>
                  </w:r>
                  <w:r>
                    <w:rPr>
                      <w:rFonts w:ascii="Times New Roman" w:hAnsi="Times New Roman" w:eastAsia="宋体"/>
                      <w:spacing w:val="6"/>
                      <w:position w:val="1"/>
                      <w:sz w:val="21"/>
                      <w:highlight w:val="none"/>
                    </w:rPr>
                    <w:t>执行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930"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简单防渗区</w:t>
                  </w:r>
                </w:p>
              </w:tc>
              <w:tc>
                <w:tcPr>
                  <w:tcW w:w="134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办公区、厂内其他区</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z w:val="21"/>
                      <w:highlight w:val="none"/>
                    </w:rPr>
                    <w:t>域</w:t>
                  </w:r>
                </w:p>
              </w:tc>
              <w:tc>
                <w:tcPr>
                  <w:tcW w:w="271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一般地面硬化</w:t>
                  </w:r>
                </w:p>
              </w:tc>
            </w:tr>
          </w:tbl>
          <w:p>
            <w:pPr>
              <w:pStyle w:val="118"/>
              <w:ind w:firstLine="31680"/>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1</w:t>
            </w:r>
            <w:r>
              <w:rPr>
                <w:rFonts w:hint="eastAsia" w:ascii="Times New Roman" w:hAnsi="Times New Roman" w:eastAsia="宋体"/>
                <w:color w:val="000000" w:themeColor="text1"/>
                <w:highlight w:val="none"/>
                <w14:textFill>
                  <w14:solidFill>
                    <w14:schemeClr w14:val="tx1"/>
                  </w14:solidFill>
                </w14:textFill>
              </w:rPr>
              <w:t>）地下水、土壤环境影响分析</w:t>
            </w:r>
          </w:p>
          <w:p>
            <w:pPr>
              <w:pStyle w:val="4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1）污水处理设施发生损坏和跑冒滴漏对地下水的影响</w:t>
            </w:r>
          </w:p>
          <w:p>
            <w:pPr>
              <w:pStyle w:val="44"/>
              <w:bidi w:val="0"/>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营运期可能对地下水环境造成影响的因素为</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化粪池</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渗漏、</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生活</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污水管道破裂</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导致废水</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渗漏等所造成的污水事故排放和渗漏。</w:t>
            </w:r>
          </w:p>
          <w:p>
            <w:pPr>
              <w:pStyle w:val="44"/>
              <w:bidi w:val="0"/>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一般情况下，废水渗漏主要考虑废水容纳构筑物底部破损渗漏和排水管道渗漏两个方面。只要严格按照相应规范要求施工并在竣工验收时严把质量关，废水容纳构筑物底部破损渗漏对地下水产生影响的情况是可以避免的。</w:t>
            </w:r>
          </w:p>
          <w:p>
            <w:pPr>
              <w:pStyle w:val="4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2）原料</w:t>
            </w:r>
            <w:r>
              <w:rPr>
                <w:rFonts w:hint="eastAsia" w:cs="Times New Roman"/>
                <w:color w:val="000000" w:themeColor="text1"/>
                <w:highlight w:val="none"/>
                <w:lang w:val="en-US" w:eastAsia="zh-CN"/>
                <w14:textFill>
                  <w14:solidFill>
                    <w14:schemeClr w14:val="tx1"/>
                  </w14:solidFill>
                </w14:textFill>
              </w:rPr>
              <w:t>贮存区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对地下水的影响</w:t>
            </w:r>
          </w:p>
          <w:p>
            <w:pPr>
              <w:pStyle w:val="4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项目原料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机油、电泳涂料等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，原料</w:t>
            </w:r>
            <w:r>
              <w:rPr>
                <w:rFonts w:hint="eastAsia" w:cs="Times New Roman"/>
                <w:color w:val="000000" w:themeColor="text1"/>
                <w:highlight w:val="none"/>
                <w:lang w:val="en-US" w:eastAsia="zh-CN"/>
                <w14:textFill>
                  <w14:solidFill>
                    <w14:schemeClr w14:val="tx1"/>
                  </w14:solidFill>
                </w14:textFill>
              </w:rPr>
              <w:t>贮存区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均采用硬底化地面，因此项目原料</w:t>
            </w:r>
            <w:r>
              <w:rPr>
                <w:rFonts w:hint="eastAsia" w:cs="Times New Roman"/>
                <w:color w:val="000000" w:themeColor="text1"/>
                <w:highlight w:val="none"/>
                <w:lang w:val="en-US" w:eastAsia="zh-CN"/>
                <w14:textFill>
                  <w14:solidFill>
                    <w14:schemeClr w14:val="tx1"/>
                  </w14:solidFill>
                </w14:textFill>
              </w:rPr>
              <w:t>贮存区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不会出现液体渗漏污染地下水情况。</w:t>
            </w:r>
          </w:p>
          <w:p>
            <w:pPr>
              <w:pStyle w:val="4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3）固体废物</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淋溶对地下水的影响</w:t>
            </w:r>
          </w:p>
          <w:p>
            <w:pPr>
              <w:pStyle w:val="88"/>
              <w:ind w:firstLine="316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在项目生产车间、原料</w:t>
            </w:r>
            <w:r>
              <w:rPr>
                <w:rFonts w:hint="eastAsia" w:cs="Times New Roman"/>
                <w:color w:val="000000" w:themeColor="text1"/>
                <w:highlight w:val="none"/>
                <w:lang w:val="en-US" w:eastAsia="zh-CN"/>
                <w14:textFill>
                  <w14:solidFill>
                    <w14:schemeClr w14:val="tx1"/>
                  </w14:solidFill>
                </w14:textFill>
              </w:rPr>
              <w:t>贮存区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固废堆存区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所按要求做好地面防渗工作，加强日常管理维护，污染物不易发生渗漏。因此，区域内通过饱水带下渗污染地下水的可能性很小，对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区域地下水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环境影响不大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88"/>
              <w:ind w:firstLine="316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14:textFill>
                  <w14:solidFill>
                    <w14:schemeClr w14:val="tx1"/>
                  </w14:solidFill>
                </w14:textFill>
              </w:rPr>
              <w:t>）污染防控措施</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本项目地下水及土壤污染防治措施按照</w:t>
            </w:r>
            <w:r>
              <w:rPr>
                <w:rFonts w:hint="eastAsia" w:ascii="Times New Roman" w:hAnsi="Times New Roman" w:eastAsia="宋体" w:cs="宋体"/>
                <w:color w:val="000000" w:themeColor="text1"/>
                <w:highlight w:val="none"/>
                <w:lang w:val="en-US" w:eastAsia="zh-CN"/>
                <w14:textFill>
                  <w14:solidFill>
                    <w14:schemeClr w14:val="tx1"/>
                  </w14:solidFill>
                </w14:textFill>
              </w:rPr>
              <w:t>“源头控制、分区防治、污染监控、应急响应”相结</w:t>
            </w:r>
            <w:r>
              <w:rPr>
                <w:rFonts w:hint="default" w:ascii="Times New Roman" w:hAnsi="Times New Roman" w:eastAsia="宋体"/>
                <w:color w:val="000000" w:themeColor="text1"/>
                <w:highlight w:val="none"/>
                <w:lang w:val="en-US" w:eastAsia="zh-CN"/>
                <w14:textFill>
                  <w14:solidFill>
                    <w14:schemeClr w14:val="tx1"/>
                  </w14:solidFill>
                </w14:textFill>
              </w:rPr>
              <w:t>合的原则，从污染物的产生、入渗、扩散、应急响应全方位进行控制。</w:t>
            </w:r>
          </w:p>
          <w:p>
            <w:pPr>
              <w:pStyle w:val="44"/>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1）源头控制措施</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w:t>
            </w:r>
            <w:r>
              <w:rPr>
                <w:rFonts w:hint="default" w:ascii="Times New Roman" w:hAnsi="Times New Roman" w:eastAsia="宋体"/>
                <w:color w:val="000000" w:themeColor="text1"/>
                <w:highlight w:val="none"/>
                <w:lang w:val="en-US" w:eastAsia="zh-CN"/>
                <w14:textFill>
                  <w14:solidFill>
                    <w14:schemeClr w14:val="tx1"/>
                  </w14:solidFill>
                </w14:textFill>
              </w:rPr>
              <w:t>危废</w:t>
            </w:r>
            <w:r>
              <w:rPr>
                <w:rFonts w:hint="eastAsia"/>
                <w:color w:val="000000" w:themeColor="text1"/>
                <w:highlight w:val="none"/>
                <w:lang w:val="en-US" w:eastAsia="zh-CN"/>
                <w14:textFill>
                  <w14:solidFill>
                    <w14:schemeClr w14:val="tx1"/>
                  </w14:solidFill>
                </w14:textFill>
              </w:rPr>
              <w:t>仓库</w:t>
            </w:r>
            <w:r>
              <w:rPr>
                <w:rFonts w:hint="default" w:ascii="Times New Roman" w:hAnsi="Times New Roman" w:eastAsia="宋体"/>
                <w:color w:val="000000" w:themeColor="text1"/>
                <w:highlight w:val="none"/>
                <w:lang w:val="en-US" w:eastAsia="zh-CN"/>
                <w14:textFill>
                  <w14:solidFill>
                    <w14:schemeClr w14:val="tx1"/>
                  </w14:solidFill>
                </w14:textFill>
              </w:rPr>
              <w:t>区域进行防腐防渗措施，如地面采取防渗，并在</w:t>
            </w:r>
            <w:r>
              <w:rPr>
                <w:rFonts w:hint="eastAsia" w:ascii="Times New Roman" w:hAnsi="Times New Roman" w:eastAsia="宋体"/>
                <w:color w:val="000000" w:themeColor="text1"/>
                <w:highlight w:val="none"/>
                <w:lang w:val="en-US" w:eastAsia="zh-CN"/>
                <w14:textFill>
                  <w14:solidFill>
                    <w14:schemeClr w14:val="tx1"/>
                  </w14:solidFill>
                </w14:textFill>
              </w:rPr>
              <w:t>危险废物</w:t>
            </w:r>
            <w:r>
              <w:rPr>
                <w:rFonts w:hint="default" w:ascii="Times New Roman" w:hAnsi="Times New Roman" w:eastAsia="宋体"/>
                <w:color w:val="000000" w:themeColor="text1"/>
                <w:highlight w:val="none"/>
                <w:lang w:val="en-US" w:eastAsia="zh-CN"/>
                <w14:textFill>
                  <w14:solidFill>
                    <w14:schemeClr w14:val="tx1"/>
                  </w14:solidFill>
                </w14:textFill>
              </w:rPr>
              <w:t>设置托盘，防止液体滴落地面造成污染；</w:t>
            </w:r>
            <w:r>
              <w:rPr>
                <w:rFonts w:hint="eastAsia"/>
                <w:color w:val="000000" w:themeColor="text1"/>
                <w:highlight w:val="none"/>
                <w:lang w:val="en-US" w:eastAsia="zh-CN"/>
                <w14:textFill>
                  <w14:solidFill>
                    <w14:schemeClr w14:val="tx1"/>
                  </w14:solidFill>
                </w14:textFill>
              </w:rPr>
              <w:t>废机油</w:t>
            </w:r>
            <w:r>
              <w:rPr>
                <w:rFonts w:hint="default" w:ascii="Times New Roman" w:hAnsi="Times New Roman" w:eastAsia="宋体"/>
                <w:color w:val="000000" w:themeColor="text1"/>
                <w:highlight w:val="none"/>
                <w:lang w:val="en-US" w:eastAsia="zh-CN"/>
                <w14:textFill>
                  <w14:solidFill>
                    <w14:schemeClr w14:val="tx1"/>
                  </w14:solidFill>
                </w14:textFill>
              </w:rPr>
              <w:t>储存区设置围堰，并对围堰采取防腐、防渗处理。</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②加强危废储存场地的检修、加固，防止渗漏，对地下水造成污染。</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default" w:ascii="Times New Roman" w:hAnsi="Times New Roman" w:eastAsia="宋体"/>
                <w:color w:val="000000" w:themeColor="text1"/>
                <w:highlight w:val="none"/>
                <w:lang w:val="en-US" w:eastAsia="zh-CN"/>
                <w14:textFill>
                  <w14:solidFill>
                    <w14:schemeClr w14:val="tx1"/>
                  </w14:solidFill>
                </w14:textFill>
              </w:rPr>
              <w:t>防渗分区防治及措施</w:t>
            </w:r>
          </w:p>
          <w:p>
            <w:pPr>
              <w:pStyle w:val="118"/>
              <w:rPr>
                <w:rFonts w:hint="default" w:ascii="Times New Roman" w:hAnsi="Times New Roman" w:eastAsia="宋体"/>
                <w:smallCaps w:val="0"/>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根据防渗分区技术方法及本项目的工程分析，将危废</w:t>
            </w:r>
            <w:r>
              <w:rPr>
                <w:rFonts w:hint="eastAsia" w:ascii="Times New Roman" w:hAnsi="Times New Roman" w:eastAsia="宋体"/>
                <w:color w:val="000000" w:themeColor="text1"/>
                <w:highlight w:val="none"/>
                <w:lang w:val="en-US" w:eastAsia="zh-CN"/>
                <w14:textFill>
                  <w14:solidFill>
                    <w14:schemeClr w14:val="tx1"/>
                  </w14:solidFill>
                </w14:textFill>
              </w:rPr>
              <w:t>仓库、</w:t>
            </w:r>
            <w:r>
              <w:rPr>
                <w:rFonts w:hint="eastAsia"/>
                <w:color w:val="000000" w:themeColor="text1"/>
                <w:highlight w:val="none"/>
                <w:lang w:val="en-US" w:eastAsia="zh-CN"/>
                <w14:textFill>
                  <w14:solidFill>
                    <w14:schemeClr w14:val="tx1"/>
                  </w14:solidFill>
                </w14:textFill>
              </w:rPr>
              <w:t>污水处理站</w:t>
            </w:r>
            <w:r>
              <w:rPr>
                <w:rFonts w:hint="default" w:ascii="Times New Roman" w:hAnsi="Times New Roman" w:eastAsia="宋体"/>
                <w:color w:val="000000" w:themeColor="text1"/>
                <w:highlight w:val="none"/>
                <w:lang w:val="en-US" w:eastAsia="zh-CN"/>
                <w14:textFill>
                  <w14:solidFill>
                    <w14:schemeClr w14:val="tx1"/>
                  </w14:solidFill>
                </w14:textFill>
              </w:rPr>
              <w:t>划分为重点防渗区；厂房其他生产区划分为一般防渗区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厂区道路设置为简单防渗区</w:t>
            </w:r>
            <w:r>
              <w:rPr>
                <w:rFonts w:hint="default" w:ascii="Times New Roman" w:hAnsi="Times New Roman" w:eastAsia="宋体"/>
                <w:color w:val="000000" w:themeColor="text1"/>
                <w:highlight w:val="none"/>
                <w:lang w:val="en-US" w:eastAsia="zh-CN"/>
                <w14:textFill>
                  <w14:solidFill>
                    <w14:schemeClr w14:val="tx1"/>
                  </w14:solidFill>
                </w14:textFill>
              </w:rPr>
              <w:t>。</w:t>
            </w:r>
            <w:r>
              <w:rPr>
                <w:rFonts w:hint="eastAsia" w:ascii="Times New Roman" w:hAnsi="Times New Roman" w:eastAsia="宋体"/>
                <w:smallCaps w:val="0"/>
                <w:color w:val="000000" w:themeColor="text1"/>
                <w:highlight w:val="none"/>
                <w:shd w:val="clear" w:color="auto" w:fill="auto"/>
                <w:lang w:val="en-US" w:eastAsia="zh-CN"/>
                <w14:textFill>
                  <w14:solidFill>
                    <w14:schemeClr w14:val="tx1"/>
                  </w14:solidFill>
                </w14:textFill>
              </w:rPr>
              <w:t>防渗要求如下：</w:t>
            </w:r>
          </w:p>
          <w:p>
            <w:pPr>
              <w:pStyle w:val="44"/>
              <w:ind w:left="420" w:leftChars="200" w:firstLine="0" w:firstLineChars="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begin"/>
            </w:r>
            <w:r>
              <w:rPr>
                <w:rFonts w:ascii="Times New Roman" w:hAnsi="Times New Roman" w:eastAsia="宋体"/>
                <w:smallCaps w:val="0"/>
                <w:color w:val="000000" w:themeColor="text1"/>
                <w:highlight w:val="none"/>
                <w:shd w:val="clear" w:color="auto" w:fill="auto"/>
                <w14:textFill>
                  <w14:solidFill>
                    <w14:schemeClr w14:val="tx1"/>
                  </w14:solidFill>
                </w14:textFill>
              </w:rPr>
              <w:instrText xml:space="preserve"> = 1 \* GB3 \* MERGEFORMAT </w:instrText>
            </w: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separate"/>
            </w:r>
            <w:r>
              <w:rPr>
                <w:rFonts w:ascii="Times New Roman" w:hAnsi="Times New Roman" w:eastAsia="宋体"/>
                <w:smallCaps w:val="0"/>
                <w:color w:val="000000" w:themeColor="text1"/>
                <w:highlight w:val="none"/>
                <w:shd w:val="clear" w:color="auto" w:fill="auto"/>
                <w14:textFill>
                  <w14:solidFill>
                    <w14:schemeClr w14:val="tx1"/>
                  </w14:solidFill>
                </w14:textFill>
              </w:rPr>
              <w:t>①</w:t>
            </w: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end"/>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重点防渗区</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指污染地下水环境的物料泄漏后，不容易被及时发现和处理的区域。本项目重点污染防治区主要包括危险废物暂存间。</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重点污染区防渗要求：</w:t>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防渗层为至少1m厚黏土层（</w:t>
            </w:r>
            <w:r>
              <w:rPr>
                <w:rFonts w:ascii="Times New Roman" w:hAnsi="Times New Roman" w:eastAsia="宋体"/>
                <w:smallCaps w:val="0"/>
                <w:color w:val="000000" w:themeColor="text1"/>
                <w:highlight w:val="none"/>
                <w:shd w:val="clear" w:color="auto" w:fill="auto"/>
                <w14:textFill>
                  <w14:solidFill>
                    <w14:schemeClr w14:val="tx1"/>
                  </w14:solidFill>
                </w14:textFill>
              </w:rPr>
              <w:t>渗透系数≤10</w:t>
            </w:r>
            <w:r>
              <w:rPr>
                <w:rFonts w:ascii="Times New Roman" w:hAnsi="Times New Roman" w:eastAsia="宋体"/>
                <w:smallCaps w:val="0"/>
                <w:color w:val="000000" w:themeColor="text1"/>
                <w:highlight w:val="none"/>
                <w:shd w:val="clear" w:color="auto" w:fill="auto"/>
                <w:vertAlign w:val="superscript"/>
                <w14:textFill>
                  <w14:solidFill>
                    <w14:schemeClr w14:val="tx1"/>
                  </w14:solidFill>
                </w14:textFill>
              </w:rPr>
              <w:t>-</w:t>
            </w:r>
            <w:r>
              <w:rPr>
                <w:rFonts w:hint="eastAsia" w:ascii="Times New Roman" w:hAnsi="Times New Roman" w:eastAsia="宋体"/>
                <w:smallCaps w:val="0"/>
                <w:color w:val="000000" w:themeColor="text1"/>
                <w:highlight w:val="none"/>
                <w:shd w:val="clear" w:color="auto" w:fill="auto"/>
                <w:vertAlign w:val="superscript"/>
                <w14:textFill>
                  <w14:solidFill>
                    <w14:schemeClr w14:val="tx1"/>
                  </w14:solidFill>
                </w14:textFill>
              </w:rPr>
              <w:t>7</w:t>
            </w:r>
            <w:r>
              <w:rPr>
                <w:rFonts w:ascii="Times New Roman" w:hAnsi="Times New Roman" w:eastAsia="宋体"/>
                <w:smallCaps w:val="0"/>
                <w:color w:val="000000" w:themeColor="text1"/>
                <w:highlight w:val="none"/>
                <w:shd w:val="clear" w:color="auto" w:fill="auto"/>
                <w14:textFill>
                  <w14:solidFill>
                    <w14:schemeClr w14:val="tx1"/>
                  </w14:solidFill>
                </w14:textFill>
              </w:rPr>
              <w:t>cm/s</w:t>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），或2mm厚高密度聚氯乙烯，或至少2mm厚</w:t>
            </w:r>
            <w:r>
              <w:rPr>
                <w:rFonts w:hint="eastAsia" w:ascii="Times New Roman" w:hAnsi="Times New Roman" w:eastAsia="宋体"/>
                <w:smallCaps w:val="0"/>
                <w:color w:val="000000" w:themeColor="text1"/>
                <w:highlight w:val="none"/>
                <w:shd w:val="clear" w:color="auto" w:fill="auto"/>
                <w:lang w:eastAsia="zh-CN"/>
                <w14:textFill>
                  <w14:solidFill>
                    <w14:schemeClr w14:val="tx1"/>
                  </w14:solidFill>
                </w14:textFill>
              </w:rPr>
              <w:t>的其他</w:t>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人工材料，渗透系数</w:t>
            </w:r>
            <w:r>
              <w:rPr>
                <w:rFonts w:ascii="Times New Roman" w:hAnsi="Times New Roman" w:eastAsia="宋体"/>
                <w:smallCaps w:val="0"/>
                <w:color w:val="000000" w:themeColor="text1"/>
                <w:highlight w:val="none"/>
                <w:shd w:val="clear" w:color="auto" w:fill="auto"/>
                <w14:textFill>
                  <w14:solidFill>
                    <w14:schemeClr w14:val="tx1"/>
                  </w14:solidFill>
                </w14:textFill>
              </w:rPr>
              <w:t>≤10</w:t>
            </w:r>
            <w:r>
              <w:rPr>
                <w:rFonts w:ascii="Times New Roman" w:hAnsi="Times New Roman" w:eastAsia="宋体"/>
                <w:smallCaps w:val="0"/>
                <w:color w:val="000000" w:themeColor="text1"/>
                <w:highlight w:val="none"/>
                <w:shd w:val="clear" w:color="auto" w:fill="auto"/>
                <w:vertAlign w:val="superscript"/>
                <w14:textFill>
                  <w14:solidFill>
                    <w14:schemeClr w14:val="tx1"/>
                  </w14:solidFill>
                </w14:textFill>
              </w:rPr>
              <w:t>-</w:t>
            </w:r>
            <w:r>
              <w:rPr>
                <w:rFonts w:hint="eastAsia" w:ascii="Times New Roman" w:hAnsi="Times New Roman" w:eastAsia="宋体"/>
                <w:smallCaps w:val="0"/>
                <w:color w:val="000000" w:themeColor="text1"/>
                <w:highlight w:val="none"/>
                <w:shd w:val="clear" w:color="auto" w:fill="auto"/>
                <w:vertAlign w:val="superscript"/>
                <w14:textFill>
                  <w14:solidFill>
                    <w14:schemeClr w14:val="tx1"/>
                  </w14:solidFill>
                </w14:textFill>
              </w:rPr>
              <w:t>10</w:t>
            </w:r>
            <w:r>
              <w:rPr>
                <w:rFonts w:ascii="Times New Roman" w:hAnsi="Times New Roman" w:eastAsia="宋体"/>
                <w:smallCaps w:val="0"/>
                <w:color w:val="000000" w:themeColor="text1"/>
                <w:highlight w:val="none"/>
                <w:shd w:val="clear" w:color="auto" w:fill="auto"/>
                <w14:textFill>
                  <w14:solidFill>
                    <w14:schemeClr w14:val="tx1"/>
                  </w14:solidFill>
                </w14:textFill>
              </w:rPr>
              <w:t>cm/s。</w:t>
            </w:r>
          </w:p>
          <w:p>
            <w:pPr>
              <w:pStyle w:val="44"/>
              <w:ind w:left="420" w:leftChars="200" w:firstLine="0" w:firstLineChars="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begin"/>
            </w:r>
            <w:r>
              <w:rPr>
                <w:rFonts w:ascii="Times New Roman" w:hAnsi="Times New Roman" w:eastAsia="宋体"/>
                <w:smallCaps w:val="0"/>
                <w:color w:val="000000" w:themeColor="text1"/>
                <w:highlight w:val="none"/>
                <w:shd w:val="clear" w:color="auto" w:fill="auto"/>
                <w14:textFill>
                  <w14:solidFill>
                    <w14:schemeClr w14:val="tx1"/>
                  </w14:solidFill>
                </w14:textFill>
              </w:rPr>
              <w:instrText xml:space="preserve"> = 2 \* GB3 \* MERGEFORMAT </w:instrText>
            </w: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separate"/>
            </w:r>
            <w:r>
              <w:rPr>
                <w:rFonts w:ascii="Times New Roman" w:hAnsi="Times New Roman" w:eastAsia="宋体"/>
                <w:smallCaps w:val="0"/>
                <w:color w:val="000000" w:themeColor="text1"/>
                <w:highlight w:val="none"/>
                <w:shd w:val="clear" w:color="auto" w:fill="auto"/>
                <w14:textFill>
                  <w14:solidFill>
                    <w14:schemeClr w14:val="tx1"/>
                  </w14:solidFill>
                </w14:textFill>
              </w:rPr>
              <w:t>②</w:t>
            </w:r>
            <w:r>
              <w:rPr>
                <w:rFonts w:ascii="Times New Roman" w:hAnsi="Times New Roman" w:eastAsia="宋体"/>
                <w:smallCaps w:val="0"/>
                <w:color w:val="000000" w:themeColor="text1"/>
                <w:highlight w:val="none"/>
                <w:shd w:val="clear" w:color="auto" w:fill="auto"/>
                <w14:textFill>
                  <w14:solidFill>
                    <w14:schemeClr w14:val="tx1"/>
                  </w14:solidFill>
                </w14:textFill>
              </w:rPr>
              <w:fldChar w:fldCharType="end"/>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一般防渗区</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指裸露于地面的生产功能单元，污染地下水环境的物料泄漏后，容易被及时发现和处理的区域。</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对于一般污染防治区，参照《一般工业固体废物贮存和填埋场污染控制标准》</w:t>
            </w:r>
            <w:r>
              <w:rPr>
                <w:rFonts w:hint="eastAsia" w:ascii="Times New Roman" w:hAnsi="Times New Roman" w:eastAsia="宋体"/>
                <w:smallCaps w:val="0"/>
                <w:color w:val="000000" w:themeColor="text1"/>
                <w:highlight w:val="none"/>
                <w:shd w:val="clear" w:color="auto" w:fill="auto"/>
                <w:lang w:eastAsia="zh-CN"/>
                <w14:textFill>
                  <w14:solidFill>
                    <w14:schemeClr w14:val="tx1"/>
                  </w14:solidFill>
                </w14:textFill>
              </w:rPr>
              <w:t>（</w:t>
            </w:r>
            <w:r>
              <w:rPr>
                <w:rFonts w:ascii="Times New Roman" w:hAnsi="Times New Roman" w:eastAsia="宋体"/>
                <w:smallCaps w:val="0"/>
                <w:color w:val="000000" w:themeColor="text1"/>
                <w:highlight w:val="none"/>
                <w:shd w:val="clear" w:color="auto" w:fill="auto"/>
                <w14:textFill>
                  <w14:solidFill>
                    <w14:schemeClr w14:val="tx1"/>
                  </w14:solidFill>
                </w14:textFill>
              </w:rPr>
              <w:t>GB18599-2020</w:t>
            </w:r>
            <w:r>
              <w:rPr>
                <w:rFonts w:hint="eastAsia" w:ascii="Times New Roman" w:hAnsi="Times New Roman" w:eastAsia="宋体"/>
                <w:smallCaps w:val="0"/>
                <w:color w:val="000000" w:themeColor="text1"/>
                <w:highlight w:val="none"/>
                <w:shd w:val="clear" w:color="auto" w:fill="auto"/>
                <w:lang w:eastAsia="zh-CN"/>
                <w14:textFill>
                  <w14:solidFill>
                    <w14:schemeClr w14:val="tx1"/>
                  </w14:solidFill>
                </w14:textFill>
              </w:rPr>
              <w:t>）</w:t>
            </w:r>
            <w:r>
              <w:rPr>
                <w:rFonts w:ascii="Times New Roman" w:hAnsi="Times New Roman" w:eastAsia="宋体"/>
                <w:smallCaps w:val="0"/>
                <w:color w:val="000000" w:themeColor="text1"/>
                <w:highlight w:val="none"/>
                <w:shd w:val="clear" w:color="auto" w:fill="auto"/>
                <w14:textFill>
                  <w14:solidFill>
                    <w14:schemeClr w14:val="tx1"/>
                  </w14:solidFill>
                </w14:textFill>
              </w:rPr>
              <w:t>Ⅱ类场进行设计。</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一般污染区防渗要求：</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人工合成材料应采用高密度聚乙烯膜，厚度不小于</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1.5mm</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，并满足</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GB/T17643</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规定的技术指标要求。采用其他人工合成材料的，其防渗性能至少相当于</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1.5 mm</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高密度聚乙烯膜的防渗性能。</w:t>
            </w:r>
            <w:r>
              <w:rPr>
                <w:rFonts w:hint="eastAsia" w:ascii="Times New Roman" w:hAnsi="Times New Roman" w:eastAsia="宋体"/>
                <w:smallCaps w:val="0"/>
                <w:color w:val="000000" w:themeColor="text1"/>
                <w:highlight w:val="none"/>
                <w:shd w:val="clear" w:color="auto" w:fill="auto"/>
                <w:lang w:eastAsia="zh-CN" w:bidi="ar"/>
                <w14:textFill>
                  <w14:solidFill>
                    <w14:schemeClr w14:val="tx1"/>
                  </w14:solidFill>
                </w14:textFill>
              </w:rPr>
              <w:t>黏土</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衬层厚度应不小于</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0.75m</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，且经压实、人工改性等措施处理后的饱和渗透系数不应大于</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1.0×10</w:t>
            </w:r>
            <w:r>
              <w:rPr>
                <w:rFonts w:ascii="Times New Roman" w:hAnsi="Times New Roman" w:eastAsia="宋体"/>
                <w:smallCaps w:val="0"/>
                <w:color w:val="000000" w:themeColor="text1"/>
                <w:highlight w:val="none"/>
                <w:shd w:val="clear" w:color="auto" w:fill="auto"/>
                <w:vertAlign w:val="superscript"/>
                <w:lang w:bidi="ar"/>
                <w14:textFill>
                  <w14:solidFill>
                    <w14:schemeClr w14:val="tx1"/>
                  </w14:solidFill>
                </w14:textFill>
              </w:rPr>
              <w:t>-7</w:t>
            </w:r>
            <w:r>
              <w:rPr>
                <w:rFonts w:ascii="Times New Roman" w:hAnsi="Times New Roman" w:eastAsia="宋体"/>
                <w:smallCaps w:val="0"/>
                <w:color w:val="000000" w:themeColor="text1"/>
                <w:highlight w:val="none"/>
                <w:shd w:val="clear" w:color="auto" w:fill="auto"/>
                <w:lang w:bidi="ar"/>
                <w14:textFill>
                  <w14:solidFill>
                    <w14:schemeClr w14:val="tx1"/>
                  </w14:solidFill>
                </w14:textFill>
              </w:rPr>
              <w:t>cm/s</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。使用其他</w:t>
            </w:r>
            <w:r>
              <w:rPr>
                <w:rFonts w:hint="eastAsia" w:ascii="Times New Roman" w:hAnsi="Times New Roman" w:eastAsia="宋体"/>
                <w:smallCaps w:val="0"/>
                <w:color w:val="000000" w:themeColor="text1"/>
                <w:highlight w:val="none"/>
                <w:shd w:val="clear" w:color="auto" w:fill="auto"/>
                <w:lang w:eastAsia="zh-CN" w:bidi="ar"/>
                <w14:textFill>
                  <w14:solidFill>
                    <w14:schemeClr w14:val="tx1"/>
                  </w14:solidFill>
                </w14:textFill>
              </w:rPr>
              <w:t>黏土</w:t>
            </w:r>
            <w:r>
              <w:rPr>
                <w:rFonts w:hint="eastAsia" w:ascii="Times New Roman" w:hAnsi="Times New Roman" w:eastAsia="宋体"/>
                <w:smallCaps w:val="0"/>
                <w:color w:val="000000" w:themeColor="text1"/>
                <w:highlight w:val="none"/>
                <w:shd w:val="clear" w:color="auto" w:fill="auto"/>
                <w:lang w:bidi="ar"/>
                <w14:textFill>
                  <w14:solidFill>
                    <w14:schemeClr w14:val="tx1"/>
                  </w14:solidFill>
                </w14:textFill>
              </w:rPr>
              <w:t>类防渗衬层材料时，应具有同等以上隔水效力。</w:t>
            </w:r>
          </w:p>
          <w:p>
            <w:pPr>
              <w:pStyle w:val="44"/>
              <w:ind w:left="420" w:leftChars="200" w:firstLine="0" w:firstLineChars="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hint="eastAsia" w:ascii="Times New Roman" w:hAnsi="Times New Roman" w:eastAsia="宋体"/>
                <w:smallCaps w:val="0"/>
                <w:color w:val="000000" w:themeColor="text1"/>
                <w:highlight w:val="none"/>
                <w:shd w:val="clear" w:color="auto" w:fill="auto"/>
                <w14:textFill>
                  <w14:solidFill>
                    <w14:schemeClr w14:val="tx1"/>
                  </w14:solidFill>
                </w14:textFill>
              </w:rPr>
              <w:fldChar w:fldCharType="begin"/>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instrText xml:space="preserve"> = 3 \* GB3 \* MERGEFORMAT </w:instrText>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fldChar w:fldCharType="separate"/>
            </w:r>
            <w:r>
              <w:rPr>
                <w:rFonts w:ascii="Times New Roman" w:hAnsi="Times New Roman" w:eastAsia="宋体"/>
                <w:smallCaps w:val="0"/>
                <w:color w:val="000000" w:themeColor="text1"/>
                <w:highlight w:val="none"/>
                <w:shd w:val="clear" w:color="auto" w:fill="auto"/>
                <w14:textFill>
                  <w14:solidFill>
                    <w14:schemeClr w14:val="tx1"/>
                  </w14:solidFill>
                </w14:textFill>
              </w:rPr>
              <w:t>③</w:t>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fldChar w:fldCharType="end"/>
            </w:r>
            <w:r>
              <w:rPr>
                <w:rFonts w:hint="eastAsia" w:ascii="Times New Roman" w:hAnsi="Times New Roman" w:eastAsia="宋体"/>
                <w:smallCaps w:val="0"/>
                <w:color w:val="000000" w:themeColor="text1"/>
                <w:highlight w:val="none"/>
                <w:shd w:val="clear" w:color="auto" w:fill="auto"/>
                <w14:textFill>
                  <w14:solidFill>
                    <w14:schemeClr w14:val="tx1"/>
                  </w14:solidFill>
                </w14:textFill>
              </w:rPr>
              <w:t>简单防渗区</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指不会对地下水环境造成污染的区域，主要</w:t>
            </w:r>
            <w:r>
              <w:rPr>
                <w:rFonts w:hint="eastAsia"/>
                <w:smallCaps w:val="0"/>
                <w:color w:val="000000" w:themeColor="text1"/>
                <w:highlight w:val="none"/>
                <w:shd w:val="clear" w:color="auto" w:fill="auto"/>
                <w:lang w:val="en-US" w:eastAsia="zh-CN"/>
                <w14:textFill>
                  <w14:solidFill>
                    <w14:schemeClr w14:val="tx1"/>
                  </w14:solidFill>
                </w14:textFill>
              </w:rPr>
              <w:t>厂区道路及空置区域</w:t>
            </w:r>
            <w:r>
              <w:rPr>
                <w:rFonts w:ascii="Times New Roman" w:hAnsi="Times New Roman" w:eastAsia="宋体"/>
                <w:smallCaps w:val="0"/>
                <w:color w:val="000000" w:themeColor="text1"/>
                <w:highlight w:val="none"/>
                <w:shd w:val="clear" w:color="auto" w:fill="auto"/>
                <w14:textFill>
                  <w14:solidFill>
                    <w14:schemeClr w14:val="tx1"/>
                  </w14:solidFill>
                </w14:textFill>
              </w:rPr>
              <w:t>。对于基本上不产生污染物的非污染防治区，不采取专门针对地下水污染的防治措施，但装置区外系统管廊区地基处理应分层压实。</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为保证防渗工程正常施工、运行，达到设计防渗等级，应对工程质量进行管理控制：</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a.选择具有相应资质的设计单位对工程进行设计，防渗工程的设计符合相应要求及设计规范；</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b.工程材料符合设计要求，并按照有关规定和要求进行质量检验，保证使用材料全部合格；</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c.聘请优秀专业施工队伍，施工方法符合规范要求；</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d.工程完工后应进行质量检测；</w:t>
            </w:r>
          </w:p>
          <w:p>
            <w:pPr>
              <w:pStyle w:val="44"/>
              <w:ind w:firstLine="480"/>
              <w:rPr>
                <w:rFonts w:ascii="Times New Roman" w:hAnsi="Times New Roman" w:eastAsia="宋体"/>
                <w:smallCaps w:val="0"/>
                <w:color w:val="000000" w:themeColor="text1"/>
                <w:highlight w:val="none"/>
                <w:shd w:val="clear" w:color="auto" w:fill="auto"/>
                <w14:textFill>
                  <w14:solidFill>
                    <w14:schemeClr w14:val="tx1"/>
                  </w14:solidFill>
                </w14:textFill>
              </w:rPr>
            </w:pPr>
            <w:r>
              <w:rPr>
                <w:rFonts w:ascii="Times New Roman" w:hAnsi="Times New Roman" w:eastAsia="宋体"/>
                <w:smallCaps w:val="0"/>
                <w:color w:val="000000" w:themeColor="text1"/>
                <w:highlight w:val="none"/>
                <w:shd w:val="clear" w:color="auto" w:fill="auto"/>
                <w14:textFill>
                  <w14:solidFill>
                    <w14:schemeClr w14:val="tx1"/>
                  </w14:solidFill>
                </w14:textFill>
              </w:rPr>
              <w:t>e.在防渗措施投入使用后，应加强日常的维护管理。</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（3）风险事故应急响应</w:t>
            </w:r>
          </w:p>
          <w:p>
            <w:pPr>
              <w:pStyle w:val="44"/>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企业在运营过程中</w:t>
            </w:r>
            <w:r>
              <w:rPr>
                <w:rFonts w:hint="default" w:ascii="Times New Roman" w:hAnsi="Times New Roman" w:eastAsia="宋体"/>
                <w:color w:val="000000" w:themeColor="text1"/>
                <w:highlight w:val="none"/>
                <w:lang w:val="en-US" w:eastAsia="zh-CN"/>
                <w14:textFill>
                  <w14:solidFill>
                    <w14:schemeClr w14:val="tx1"/>
                  </w14:solidFill>
                </w14:textFill>
              </w:rPr>
              <w:t>发现渗漏</w:t>
            </w:r>
            <w:r>
              <w:rPr>
                <w:rFonts w:hint="eastAsia" w:ascii="Times New Roman" w:hAnsi="Times New Roman" w:eastAsia="宋体"/>
                <w:color w:val="000000" w:themeColor="text1"/>
                <w:highlight w:val="none"/>
                <w:lang w:val="en-US" w:eastAsia="zh-CN"/>
                <w14:textFill>
                  <w14:solidFill>
                    <w14:schemeClr w14:val="tx1"/>
                  </w14:solidFill>
                </w14:textFill>
              </w:rPr>
              <w:t>情况</w:t>
            </w:r>
            <w:r>
              <w:rPr>
                <w:rFonts w:hint="default" w:ascii="Times New Roman" w:hAnsi="Times New Roman" w:eastAsia="宋体"/>
                <w:color w:val="000000" w:themeColor="text1"/>
                <w:highlight w:val="none"/>
                <w:lang w:val="en-US" w:eastAsia="zh-CN"/>
                <w14:textFill>
                  <w14:solidFill>
                    <w14:schemeClr w14:val="tx1"/>
                  </w14:solidFill>
                </w14:textFill>
              </w:rPr>
              <w:t>时应组织人员查明渗漏源头，采取补救措施。</w:t>
            </w:r>
          </w:p>
          <w:p>
            <w:pPr>
              <w:pStyle w:val="44"/>
              <w:ind w:firstLine="480"/>
              <w:rPr>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pPr>
              <w:pStyle w:val="3"/>
              <w:numPr>
                <w:ilvl w:val="1"/>
                <w:numId w:val="1"/>
              </w:numPr>
              <w:bidi w:val="0"/>
              <w:ind w:left="0" w:leftChars="0"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w:t>
            </w:r>
          </w:p>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环境风险识别</w:t>
            </w:r>
          </w:p>
          <w:p>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（1）风险识别范围</w:t>
            </w:r>
          </w:p>
          <w:p>
            <w:pPr>
              <w:pStyle w:val="118"/>
              <w:rPr>
                <w:rFonts w:ascii="Times New Roman" w:hAnsi="Times New Roman"/>
                <w:color w:val="000000" w:themeColor="text1"/>
                <w:kern w:val="0"/>
                <w:highlight w:val="none"/>
                <w:lang w:val="en-US" w:eastAsia="zh-CN"/>
                <w14:textFill>
                  <w14:solidFill>
                    <w14:schemeClr w14:val="tx1"/>
                  </w14:solidFill>
                </w14:textFill>
              </w:rPr>
            </w:pPr>
            <w:bookmarkStart w:id="59" w:name="bookmark247"/>
            <w:bookmarkEnd w:id="59"/>
            <w:r>
              <w:rPr>
                <w:rFonts w:hint="eastAsia" w:ascii="Times New Roman" w:hAnsi="Times New Roman"/>
                <w:color w:val="000000" w:themeColor="text1"/>
                <w:kern w:val="0"/>
                <w:highlight w:val="none"/>
                <w:lang w:val="en-US" w:eastAsia="zh-CN"/>
                <w14:textFill>
                  <w14:solidFill>
                    <w14:schemeClr w14:val="tx1"/>
                  </w14:solidFill>
                </w14:textFill>
              </w:rPr>
              <w:t>①</w:t>
            </w:r>
            <w:r>
              <w:rPr>
                <w:rFonts w:ascii="Times New Roman" w:hAnsi="Times New Roman"/>
                <w:color w:val="000000" w:themeColor="text1"/>
                <w:kern w:val="0"/>
                <w:highlight w:val="none"/>
                <w:lang w:val="en-US" w:eastAsia="zh-CN"/>
                <w14:textFill>
                  <w14:solidFill>
                    <w14:schemeClr w14:val="tx1"/>
                  </w14:solidFill>
                </w14:textFill>
              </w:rPr>
              <w:t>本项目生产系统危险性识别包括主要生产装置、储运设施、公用工程和辅助生产设施，以及环境保护设施等。</w:t>
            </w:r>
          </w:p>
          <w:p>
            <w:pPr>
              <w:pStyle w:val="118"/>
              <w:rPr>
                <w:rFonts w:ascii="Times New Roman" w:hAnsi="Times New Roman"/>
                <w:color w:val="000000" w:themeColor="text1"/>
                <w:kern w:val="0"/>
                <w:highlight w:val="none"/>
                <w:lang w:val="en-US" w:eastAsia="zh-CN"/>
                <w14:textFill>
                  <w14:solidFill>
                    <w14:schemeClr w14:val="tx1"/>
                  </w14:solidFill>
                </w14:textFill>
              </w:rPr>
            </w:pPr>
            <w:bookmarkStart w:id="60" w:name="bookmark248"/>
            <w:bookmarkEnd w:id="60"/>
            <w:r>
              <w:rPr>
                <w:rFonts w:hint="eastAsia" w:ascii="Times New Roman" w:hAnsi="Times New Roman"/>
                <w:color w:val="000000" w:themeColor="text1"/>
                <w:kern w:val="0"/>
                <w:highlight w:val="none"/>
                <w:lang w:val="en-US" w:eastAsia="zh-CN"/>
                <w14:textFill>
                  <w14:solidFill>
                    <w14:schemeClr w14:val="tx1"/>
                  </w14:solidFill>
                </w14:textFill>
              </w:rPr>
              <w:t>②</w:t>
            </w:r>
            <w:r>
              <w:rPr>
                <w:rFonts w:ascii="Times New Roman" w:hAnsi="Times New Roman"/>
                <w:color w:val="000000" w:themeColor="text1"/>
                <w:kern w:val="0"/>
                <w:highlight w:val="none"/>
                <w:lang w:val="en-US" w:eastAsia="zh-CN"/>
                <w14:textFill>
                  <w14:solidFill>
                    <w14:schemeClr w14:val="tx1"/>
                  </w14:solidFill>
                </w14:textFill>
              </w:rPr>
              <w:t>物质危险性识别包括主要原辅材料、中间产品、副产品、最终产品、污染物、火灾和爆炸伴生/次生物等。</w:t>
            </w:r>
          </w:p>
          <w:p>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（2）风险识别类型</w:t>
            </w:r>
          </w:p>
          <w:p>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A</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火灾；B</w:t>
            </w:r>
            <w:r>
              <w:rPr>
                <w:rFonts w:hint="eastAsia" w:ascii="Times New Roman" w:hAnsi="Times New Roman"/>
                <w:color w:val="000000" w:themeColor="text1"/>
                <w:kern w:val="0"/>
                <w:highlight w:val="none"/>
                <w:lang w:val="en-US"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天然气泄漏引发的</w:t>
            </w:r>
            <w:r>
              <w:rPr>
                <w:rFonts w:ascii="Times New Roman" w:hAnsi="Times New Roman"/>
                <w:color w:val="000000" w:themeColor="text1"/>
                <w:kern w:val="0"/>
                <w:highlight w:val="none"/>
                <w:lang w:val="en-US" w:eastAsia="zh-CN"/>
                <w14:textFill>
                  <w14:solidFill>
                    <w14:schemeClr w14:val="tx1"/>
                  </w14:solidFill>
                </w14:textFill>
              </w:rPr>
              <w:t>爆炸；C</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物质泄漏风险。</w:t>
            </w:r>
          </w:p>
          <w:p>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（3）物质风险识别</w:t>
            </w:r>
          </w:p>
          <w:p>
            <w:pPr>
              <w:pStyle w:val="118"/>
              <w:rPr>
                <w:rFonts w:ascii="Times New Roman" w:hAnsi="Times New Roman"/>
                <w:color w:val="000000" w:themeColor="text1"/>
                <w:kern w:val="0"/>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根据《危险化学品重大危险源辨识》（GB18218-2018）表2和《建设项目环境风险评价技术导则》</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HJ169—2018</w:t>
            </w:r>
            <w:r>
              <w:rPr>
                <w:rFonts w:hint="eastAsia" w:ascii="Times New Roman" w:hAnsi="Times New Roman"/>
                <w:color w:val="000000" w:themeColor="text1"/>
                <w:kern w:val="0"/>
                <w:highlight w:val="none"/>
                <w:lang w:val="en-US" w:eastAsia="zh-CN"/>
                <w14:textFill>
                  <w14:solidFill>
                    <w14:schemeClr w14:val="tx1"/>
                  </w14:solidFill>
                </w14:textFill>
              </w:rPr>
              <w:t>）</w:t>
            </w:r>
            <w:r>
              <w:rPr>
                <w:rFonts w:ascii="Times New Roman" w:hAnsi="Times New Roman"/>
                <w:color w:val="000000" w:themeColor="text1"/>
                <w:kern w:val="0"/>
                <w:highlight w:val="none"/>
                <w:lang w:val="en-US" w:eastAsia="zh-CN"/>
                <w14:textFill>
                  <w14:solidFill>
                    <w14:schemeClr w14:val="tx1"/>
                  </w14:solidFill>
                </w14:textFill>
              </w:rPr>
              <w:t>附录B危险化学品的临界量，项目物质危险性识别结果见表4.</w:t>
            </w:r>
            <w:r>
              <w:rPr>
                <w:rFonts w:hint="eastAsia" w:ascii="Times New Roman" w:hAnsi="Times New Roman"/>
                <w:color w:val="000000" w:themeColor="text1"/>
                <w:kern w:val="0"/>
                <w:highlight w:val="none"/>
                <w:lang w:val="en-US" w:eastAsia="zh-CN"/>
                <w14:textFill>
                  <w14:solidFill>
                    <w14:schemeClr w14:val="tx1"/>
                  </w14:solidFill>
                </w14:textFill>
              </w:rPr>
              <w:t>7</w:t>
            </w:r>
            <w:r>
              <w:rPr>
                <w:rFonts w:ascii="Times New Roman" w:hAnsi="Times New Roman"/>
                <w:color w:val="000000" w:themeColor="text1"/>
                <w:kern w:val="0"/>
                <w:highlight w:val="none"/>
                <w:lang w:val="en-US"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w:t>
            </w:r>
            <w:r>
              <w:rPr>
                <w:rFonts w:ascii="Times New Roman" w:hAnsi="Times New Roman"/>
                <w:color w:val="000000" w:themeColor="text1"/>
                <w:kern w:val="0"/>
                <w:highlight w:val="none"/>
                <w:lang w:val="en-US" w:eastAsia="zh-CN"/>
                <w14:textFill>
                  <w14:solidFill>
                    <w14:schemeClr w14:val="tx1"/>
                  </w14:solidFill>
                </w14:textFill>
              </w:rPr>
              <w:t>。</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危险性判定表</w:t>
            </w:r>
          </w:p>
          <w:tbl>
            <w:tblPr>
              <w:tblStyle w:val="8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2435"/>
              <w:gridCol w:w="1246"/>
              <w:gridCol w:w="1873"/>
              <w:gridCol w:w="961"/>
              <w:gridCol w:w="17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4" w:type="pct"/>
                  <w:tcBorders>
                    <w:bottom w:val="single" w:color="000000" w:sz="12" w:space="0"/>
                  </w:tcBorders>
                  <w:textDirection w:val="tbRlV"/>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7"/>
                      <w:sz w:val="21"/>
                      <w:highlight w:val="none"/>
                    </w:rPr>
                    <w:t>序号</w:t>
                  </w:r>
                </w:p>
              </w:tc>
              <w:tc>
                <w:tcPr>
                  <w:tcW w:w="1364"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危险物质名称</w:t>
                  </w:r>
                </w:p>
              </w:tc>
              <w:tc>
                <w:tcPr>
                  <w:tcW w:w="698"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b/>
                      <w:bCs/>
                      <w:sz w:val="21"/>
                      <w:highlight w:val="none"/>
                    </w:rPr>
                    <w:t>CAS</w:t>
                  </w:r>
                  <w:r>
                    <w:rPr>
                      <w:rFonts w:ascii="Times New Roman" w:hAnsi="Times New Roman" w:eastAsia="宋体"/>
                      <w:b/>
                      <w:bCs/>
                      <w:spacing w:val="8"/>
                      <w:sz w:val="21"/>
                      <w:highlight w:val="none"/>
                    </w:rPr>
                    <w:t>号</w:t>
                  </w:r>
                </w:p>
              </w:tc>
              <w:tc>
                <w:tcPr>
                  <w:tcW w:w="104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最大存储总量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b/>
                      <w:bCs/>
                      <w:sz w:val="21"/>
                      <w:szCs w:val="20"/>
                      <w:highlight w:val="none"/>
                    </w:rPr>
                    <w:t>q</w:t>
                  </w:r>
                  <w:r>
                    <w:rPr>
                      <w:rFonts w:ascii="Times New Roman" w:hAnsi="Times New Roman" w:eastAsia="宋体" w:cs="Times New Roman"/>
                      <w:b/>
                      <w:bCs/>
                      <w:position w:val="-1"/>
                      <w:sz w:val="21"/>
                      <w:szCs w:val="13"/>
                      <w:highlight w:val="none"/>
                    </w:rPr>
                    <w:t>n</w:t>
                  </w:r>
                  <w:r>
                    <w:rPr>
                      <w:rFonts w:ascii="Times New Roman" w:hAnsi="Times New Roman" w:eastAsia="宋体" w:cs="Times New Roman"/>
                      <w:b/>
                      <w:bCs/>
                      <w:spacing w:val="2"/>
                      <w:sz w:val="21"/>
                      <w:szCs w:val="20"/>
                      <w:highlight w:val="none"/>
                    </w:rPr>
                    <w:t>/t</w:t>
                  </w:r>
                </w:p>
              </w:tc>
              <w:tc>
                <w:tcPr>
                  <w:tcW w:w="536"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b/>
                      <w:bCs/>
                      <w:spacing w:val="1"/>
                      <w:sz w:val="21"/>
                      <w:highlight w:val="none"/>
                    </w:rPr>
                    <w:t>临界量</w:t>
                  </w:r>
                  <w:r>
                    <w:rPr>
                      <w:rFonts w:ascii="Times New Roman" w:hAnsi="Times New Roman" w:eastAsia="宋体" w:cs="Times New Roman"/>
                      <w:b/>
                      <w:bCs/>
                      <w:sz w:val="21"/>
                      <w:highlight w:val="none"/>
                    </w:rPr>
                    <w:t>Q</w:t>
                  </w:r>
                  <w:r>
                    <w:rPr>
                      <w:rFonts w:ascii="Times New Roman" w:hAnsi="Times New Roman" w:eastAsia="宋体" w:cs="Times New Roman"/>
                      <w:b/>
                      <w:bCs/>
                      <w:position w:val="-1"/>
                      <w:sz w:val="21"/>
                      <w:szCs w:val="13"/>
                      <w:highlight w:val="none"/>
                    </w:rPr>
                    <w:t>n</w:t>
                  </w:r>
                  <w:r>
                    <w:rPr>
                      <w:rFonts w:ascii="Times New Roman" w:hAnsi="Times New Roman" w:eastAsia="宋体" w:cs="Times New Roman"/>
                      <w:b/>
                      <w:bCs/>
                      <w:spacing w:val="3"/>
                      <w:sz w:val="21"/>
                      <w:highlight w:val="none"/>
                    </w:rPr>
                    <w:t>/t</w:t>
                  </w:r>
                </w:p>
              </w:tc>
              <w:tc>
                <w:tcPr>
                  <w:tcW w:w="966"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该种危险物质</w:t>
                  </w:r>
                </w:p>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cs="Times New Roman"/>
                      <w:b/>
                      <w:bCs/>
                      <w:spacing w:val="-2"/>
                      <w:sz w:val="21"/>
                      <w:highlight w:val="none"/>
                    </w:rPr>
                    <w:t>Q</w:t>
                  </w:r>
                  <w:r>
                    <w:rPr>
                      <w:rFonts w:ascii="Times New Roman" w:hAnsi="Times New Roman" w:eastAsia="宋体"/>
                      <w:b/>
                      <w:bCs/>
                      <w:spacing w:val="-2"/>
                      <w:sz w:val="21"/>
                      <w:highlight w:val="none"/>
                    </w:rPr>
                    <w:t>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1</w:t>
                  </w:r>
                </w:p>
              </w:tc>
              <w:tc>
                <w:tcPr>
                  <w:tcW w:w="1364" w:type="pct"/>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6"/>
                      <w:sz w:val="21"/>
                      <w:highlight w:val="none"/>
                    </w:rPr>
                    <w:t>油类物质</w:t>
                  </w:r>
                </w:p>
              </w:tc>
              <w:tc>
                <w:tcPr>
                  <w:tcW w:w="698"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1"/>
                      <w:sz w:val="21"/>
                      <w:szCs w:val="20"/>
                      <w:highlight w:val="none"/>
                    </w:rPr>
                    <w:t>/</w:t>
                  </w:r>
                </w:p>
              </w:tc>
              <w:tc>
                <w:tcPr>
                  <w:tcW w:w="1049"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1"/>
                      <w:sz w:val="21"/>
                      <w:szCs w:val="20"/>
                      <w:highlight w:val="none"/>
                    </w:rPr>
                    <w:t>0.22</w:t>
                  </w:r>
                </w:p>
              </w:tc>
              <w:tc>
                <w:tcPr>
                  <w:tcW w:w="536"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4"/>
                      <w:position w:val="1"/>
                      <w:sz w:val="21"/>
                      <w:szCs w:val="20"/>
                      <w:highlight w:val="none"/>
                    </w:rPr>
                    <w:t>2500</w:t>
                  </w:r>
                </w:p>
              </w:tc>
              <w:tc>
                <w:tcPr>
                  <w:tcW w:w="966" w:type="pct"/>
                  <w:tcBorders>
                    <w:top w:val="single" w:color="000000"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0.000088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2</w:t>
                  </w:r>
                </w:p>
              </w:tc>
              <w:tc>
                <w:tcPr>
                  <w:tcW w:w="1364"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乙酸</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64-19-7</w:t>
                  </w:r>
                </w:p>
              </w:tc>
              <w:tc>
                <w:tcPr>
                  <w:tcW w:w="10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1"/>
                      <w:sz w:val="21"/>
                      <w:szCs w:val="20"/>
                      <w:highlight w:val="none"/>
                    </w:rPr>
                    <w:t>0.047</w:t>
                  </w:r>
                </w:p>
              </w:tc>
              <w:tc>
                <w:tcPr>
                  <w:tcW w:w="5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8"/>
                      <w:position w:val="1"/>
                      <w:sz w:val="21"/>
                      <w:szCs w:val="20"/>
                      <w:highlight w:val="none"/>
                    </w:rPr>
                    <w:t>10</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0.0047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position w:val="1"/>
                      <w:sz w:val="21"/>
                      <w:szCs w:val="20"/>
                      <w:highlight w:val="none"/>
                    </w:rPr>
                    <w:t>6</w:t>
                  </w:r>
                </w:p>
              </w:tc>
              <w:tc>
                <w:tcPr>
                  <w:tcW w:w="1364"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highlight w:val="none"/>
                    </w:rPr>
                  </w:pPr>
                  <w:r>
                    <w:rPr>
                      <w:rFonts w:ascii="Times New Roman" w:hAnsi="Times New Roman" w:eastAsia="宋体"/>
                      <w:spacing w:val="-9"/>
                      <w:sz w:val="21"/>
                      <w:highlight w:val="none"/>
                    </w:rPr>
                    <w:t>甲烷</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74-82-8</w:t>
                  </w:r>
                </w:p>
              </w:tc>
              <w:tc>
                <w:tcPr>
                  <w:tcW w:w="10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1"/>
                      <w:sz w:val="21"/>
                      <w:szCs w:val="20"/>
                      <w:highlight w:val="none"/>
                    </w:rPr>
                    <w:t>0.001</w:t>
                  </w:r>
                </w:p>
              </w:tc>
              <w:tc>
                <w:tcPr>
                  <w:tcW w:w="5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8"/>
                      <w:position w:val="1"/>
                      <w:sz w:val="21"/>
                      <w:szCs w:val="20"/>
                      <w:highlight w:val="none"/>
                    </w:rPr>
                    <w:t>10</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1"/>
                      <w:sz w:val="21"/>
                      <w:szCs w:val="20"/>
                      <w:highlight w:val="none"/>
                    </w:rPr>
                    <w:t>0.0001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033" w:type="pct"/>
                  <w:gridSpan w:val="5"/>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highlight w:val="none"/>
                    </w:rPr>
                  </w:pPr>
                  <w:r>
                    <w:rPr>
                      <w:rFonts w:ascii="Times New Roman" w:hAnsi="Times New Roman" w:eastAsia="宋体"/>
                      <w:spacing w:val="14"/>
                      <w:position w:val="2"/>
                      <w:sz w:val="21"/>
                      <w:highlight w:val="none"/>
                    </w:rPr>
                    <w:t>项目</w:t>
                  </w:r>
                  <w:r>
                    <w:rPr>
                      <w:rFonts w:ascii="Times New Roman" w:hAnsi="Times New Roman" w:eastAsia="宋体" w:cs="Times New Roman"/>
                      <w:spacing w:val="14"/>
                      <w:position w:val="2"/>
                      <w:sz w:val="21"/>
                      <w:highlight w:val="none"/>
                    </w:rPr>
                    <w:t>Q</w:t>
                  </w:r>
                  <w:r>
                    <w:rPr>
                      <w:rFonts w:ascii="Times New Roman" w:hAnsi="Times New Roman" w:eastAsia="宋体"/>
                      <w:spacing w:val="14"/>
                      <w:position w:val="2"/>
                      <w:sz w:val="21"/>
                      <w:highlight w:val="none"/>
                    </w:rPr>
                    <w:t>值</w:t>
                  </w:r>
                  <w:r>
                    <w:rPr>
                      <w:rFonts w:ascii="Times New Roman" w:hAnsi="Times New Roman" w:eastAsia="宋体" w:cs="Times New Roman"/>
                      <w:spacing w:val="14"/>
                      <w:position w:val="2"/>
                      <w:sz w:val="21"/>
                      <w:highlight w:val="none"/>
                    </w:rPr>
                    <w:t>∑</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3"/>
                      <w:position w:val="2"/>
                      <w:sz w:val="21"/>
                      <w:szCs w:val="20"/>
                      <w:highlight w:val="none"/>
                    </w:rPr>
                    <w:t>0.004888</w:t>
                  </w:r>
                </w:p>
              </w:tc>
            </w:tr>
          </w:tbl>
          <w:p>
            <w:pPr>
              <w:pStyle w:val="118"/>
              <w:rPr>
                <w:rFonts w:ascii="Times New Roman" w:hAnsi="Times New Roman"/>
                <w:color w:val="000000" w:themeColor="text1"/>
                <w:highlight w:val="none"/>
                <w:lang w:val="en-US" w:eastAsia="zh-CN"/>
                <w14:textFill>
                  <w14:solidFill>
                    <w14:schemeClr w14:val="tx1"/>
                  </w14:solidFill>
                </w14:textFill>
              </w:rPr>
            </w:pPr>
            <w:r>
              <w:rPr>
                <w:rFonts w:ascii="Times New Roman" w:hAnsi="Times New Roman"/>
                <w:color w:val="000000" w:themeColor="text1"/>
                <w:kern w:val="0"/>
                <w:highlight w:val="none"/>
                <w:lang w:val="en-US" w:eastAsia="zh-CN"/>
                <w14:textFill>
                  <w14:solidFill>
                    <w14:schemeClr w14:val="tx1"/>
                  </w14:solidFill>
                </w14:textFill>
              </w:rPr>
              <w:t>根据上表</w:t>
            </w:r>
            <w:r>
              <w:rPr>
                <w:rFonts w:hint="eastAsia" w:ascii="Times New Roman" w:hAnsi="Times New Roman"/>
                <w:color w:val="000000" w:themeColor="text1"/>
                <w:kern w:val="0"/>
                <w:highlight w:val="none"/>
                <w:lang w:val="en-US" w:eastAsia="zh-CN"/>
                <w14:textFill>
                  <w14:solidFill>
                    <w14:schemeClr w14:val="tx1"/>
                  </w14:solidFill>
                </w14:textFill>
              </w:rPr>
              <w:t>计算</w:t>
            </w:r>
            <w:r>
              <w:rPr>
                <w:rFonts w:ascii="Times New Roman" w:hAnsi="Times New Roman"/>
                <w:color w:val="000000" w:themeColor="text1"/>
                <w:kern w:val="0"/>
                <w:highlight w:val="none"/>
                <w:lang w:val="en-US" w:eastAsia="zh-CN"/>
                <w14:textFill>
                  <w14:solidFill>
                    <w14:schemeClr w14:val="tx1"/>
                  </w14:solidFill>
                </w14:textFill>
              </w:rPr>
              <w:t>Q=0.004888&lt;1</w:t>
            </w:r>
            <w:r>
              <w:rPr>
                <w:rFonts w:hint="eastAsia" w:ascii="Times New Roman" w:hAnsi="Times New Roman"/>
                <w:color w:val="000000" w:themeColor="text1"/>
                <w:kern w:val="0"/>
                <w:highlight w:val="none"/>
                <w:lang w:val="en-US" w:eastAsia="zh-CN"/>
                <w14:textFill>
                  <w14:solidFill>
                    <w14:schemeClr w14:val="tx1"/>
                  </w14:solidFill>
                </w14:textFill>
              </w:rPr>
              <w:t>。因此</w:t>
            </w:r>
            <w:r>
              <w:rPr>
                <w:rFonts w:ascii="Times New Roman" w:hAnsi="Times New Roman"/>
                <w:color w:val="000000" w:themeColor="text1"/>
                <w:kern w:val="0"/>
                <w:highlight w:val="none"/>
                <w:lang w:val="en-US" w:eastAsia="zh-CN"/>
                <w14:textFill>
                  <w14:solidFill>
                    <w14:schemeClr w14:val="tx1"/>
                  </w14:solidFill>
                </w14:textFill>
              </w:rPr>
              <w:t>，项目环境风险潜势为I。</w:t>
            </w:r>
            <w:r>
              <w:rPr>
                <w:rFonts w:hint="eastAsia" w:ascii="Times New Roman" w:hAnsi="Times New Roman"/>
                <w:color w:val="000000" w:themeColor="text1"/>
                <w:kern w:val="0"/>
                <w:highlight w:val="none"/>
                <w:lang w:val="en-US" w:eastAsia="zh-CN"/>
                <w14:textFill>
                  <w14:solidFill>
                    <w14:schemeClr w14:val="tx1"/>
                  </w14:solidFill>
                </w14:textFill>
              </w:rPr>
              <w:t>根据《建设项目环境风险评价技术导则》（HJ169-2018）中关于环境风险评价工作等级划分表的判据，确定项目风险评价等级为简单分析。</w:t>
            </w:r>
          </w:p>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环境风险影响分析及风险防范措施要求</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本项目环境风险主要来自火灾事故、助剂泄漏和废气事故排放，采取的环境风险防范措施如下：</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（1）泄漏事故风险防范措施：</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①危废间四周设置导流沟，地面采取防渗，设置警示标识等。</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②严禁明火，严格遵守操作规程，避免因操作失误发生事故。</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③配备相应的堵漏材料(沙袋、吸油毡等)。</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（2）火灾事故风险防范措施</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①加强消防设施和灭火器材的配备，严格落实有关消防技术规范的规定，加强人员疏散设施管理，保证疏散通道畅通。</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②定期进行防火安全检查，确保消防设施完整好用。</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③公司要求职工应遵守各项规章制度，作业时要遵守各项规定要求，确保安全生产。</w:t>
            </w:r>
          </w:p>
          <w:p>
            <w:pPr>
              <w:pStyle w:val="118"/>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④公司强化安全、消防和环保管理，完善环保安全管理机构，完善各项管理制度，加强日常监督检查；车间内严禁烟火。</w:t>
            </w:r>
          </w:p>
          <w:p>
            <w:pPr>
              <w:pStyle w:val="118"/>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（3）废气事故排放防范措施</w:t>
            </w:r>
          </w:p>
          <w:p>
            <w:pPr>
              <w:pStyle w:val="118"/>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a.定期对废气处理设施从设备到输送管道、阀门部件等进行检修，发现问题及时解决。</w:t>
            </w:r>
          </w:p>
          <w:p>
            <w:pPr>
              <w:pStyle w:val="118"/>
              <w:ind w:firstLine="48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b.各生产岗位制定严格的操作规程和注意事项，车间工人需熟悉工作流程，严格按操作规程进行运行控制，防止操作失误导致废气事故排放</w:t>
            </w:r>
            <w:r>
              <w:rPr>
                <w:rFonts w:hint="eastAsia"/>
                <w:color w:val="000000" w:themeColor="text1"/>
                <w:highlight w:val="none"/>
                <w:lang w:val="en-US" w:eastAsia="zh-CN"/>
                <w14:textFill>
                  <w14:solidFill>
                    <w14:schemeClr w14:val="tx1"/>
                  </w14:solidFill>
                </w14:textFill>
              </w:rPr>
              <w:t>。</w:t>
            </w:r>
          </w:p>
          <w:p>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许可申报及排污</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口规范化管理</w:t>
            </w:r>
          </w:p>
          <w:p>
            <w:pPr>
              <w:pStyle w:val="4"/>
              <w:numPr>
                <w:ilvl w:val="2"/>
                <w:numId w:val="1"/>
              </w:numPr>
              <w:bidi w:val="0"/>
              <w:ind w:left="720" w:leftChars="0" w:hanging="72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申报要求</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shd w:val="clear" w:color="auto" w:fill="auto"/>
                <w14:textFill>
                  <w14:solidFill>
                    <w14:schemeClr w14:val="tx1"/>
                  </w14:solidFill>
                </w14:textFill>
              </w:rPr>
              <w:t>《排污许可管理办法》生态环境部部令第32号</w:t>
            </w:r>
            <w:r>
              <w:rPr>
                <w:rFonts w:hint="eastAsia"/>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color w:val="000000" w:themeColor="text1"/>
                <w:sz w:val="24"/>
                <w:szCs w:val="24"/>
                <w:highlight w:val="none"/>
                <w:shd w:val="clear" w:color="auto" w:fill="auto"/>
                <w14:textFill>
                  <w14:solidFill>
                    <w14:schemeClr w14:val="tx1"/>
                  </w14:solidFill>
                </w14:textFill>
              </w:rPr>
              <w:t>2023年</w:t>
            </w:r>
            <w:r>
              <w:rPr>
                <w:rFonts w:hint="eastAsia"/>
                <w:color w:val="000000" w:themeColor="text1"/>
                <w:sz w:val="24"/>
                <w:szCs w:val="24"/>
                <w:highlight w:val="none"/>
                <w:shd w:val="clear" w:color="auto" w:fill="auto"/>
                <w:lang w:eastAsia="zh-CN"/>
                <w14:textFill>
                  <w14:solidFill>
                    <w14:schemeClr w14:val="tx1"/>
                  </w14:solidFill>
                </w14:textFill>
              </w:rPr>
              <w:t>4月1日</w:t>
            </w:r>
            <w:r>
              <w:rPr>
                <w:rFonts w:hint="eastAsia" w:ascii="Times New Roman" w:hAnsi="Times New Roman"/>
                <w:color w:val="000000" w:themeColor="text1"/>
                <w:sz w:val="24"/>
                <w:szCs w:val="24"/>
                <w:highlight w:val="none"/>
                <w:shd w:val="clear" w:color="auto" w:fill="auto"/>
                <w14:textFill>
                  <w14:solidFill>
                    <w14:schemeClr w14:val="tx1"/>
                  </w14:solidFill>
                </w14:textFill>
              </w:rPr>
              <w:t>公布，2024年7月1日起施行。企业应当按照规定的时限申请并取得排污许可证</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。申请材料应当包括：</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自行监测方案，自行监测方案应当包括以下内容：监测点位及示意图、监测指标、监测频次；使用的监测分析方法、采样方法</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由排污单位法定代表人或者主要负责人签字或者盖章的承诺书；</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排污单位有关排污口规范化的情况说明；</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建设项目环境影响评价文件审批文号，或者按照有关国家规定经地方人民政府依法处理、整顿规范并符合要求的相关证明材料；</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排污许可证申请前信息公开情况说明表；</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在填报排污许可证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变更</w:t>
            </w:r>
            <w:r>
              <w:rPr>
                <w:rFonts w:hint="default" w:ascii="Times New Roman" w:hAnsi="Times New Roman" w:eastAsia="宋体" w:cs="Times New Roman"/>
                <w:color w:val="000000" w:themeColor="text1"/>
                <w:sz w:val="24"/>
                <w:szCs w:val="24"/>
                <w:highlight w:val="none"/>
                <w14:textFill>
                  <w14:solidFill>
                    <w14:schemeClr w14:val="tx1"/>
                  </w14:solidFill>
                </w14:textFill>
              </w:rPr>
              <w:t>申请时，应承诺排污许可证申请材料是完整、真实和合法的；承诺按照排污许可证的规定排放污染物，落实排污许可证规定的环境管理要求，并由法定代表人或者主要负责人签字或者盖章。</w:t>
            </w:r>
          </w:p>
          <w:p>
            <w:pPr>
              <w:pStyle w:val="4"/>
              <w:numPr>
                <w:ilvl w:val="2"/>
                <w:numId w:val="1"/>
              </w:numPr>
              <w:bidi w:val="0"/>
              <w:ind w:left="720" w:leftChars="0" w:hanging="72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排污许可管理要求</w:t>
            </w:r>
          </w:p>
          <w:p>
            <w:pPr>
              <w:spacing w:line="360" w:lineRule="auto"/>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根据《固定污染源排污许可分类管理名录(2019年版)》(生态环境部第11号)可知，本项目实行排污许可登记管理(详见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因此，建设单位应在启动生产设施或者发生实际排污之前在全国排污许可证管理信息平台进行排污许可登记申报。</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固定污染源排污许可分类管理名录(摘录)</w:t>
            </w:r>
          </w:p>
          <w:tbl>
            <w:tblPr>
              <w:tblStyle w:val="84"/>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26"/>
              <w:gridCol w:w="2176"/>
              <w:gridCol w:w="1032"/>
              <w:gridCol w:w="4257"/>
              <w:gridCol w:w="9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95"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4"/>
                      <w:sz w:val="21"/>
                      <w:highlight w:val="none"/>
                    </w:rPr>
                    <w:t>序号</w:t>
                  </w:r>
                </w:p>
              </w:tc>
              <w:tc>
                <w:tcPr>
                  <w:tcW w:w="1219"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行业类别</w:t>
                  </w:r>
                </w:p>
              </w:tc>
              <w:tc>
                <w:tcPr>
                  <w:tcW w:w="578"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6"/>
                      <w:sz w:val="21"/>
                      <w:highlight w:val="none"/>
                    </w:rPr>
                    <w:t>重点管理</w:t>
                  </w:r>
                </w:p>
              </w:tc>
              <w:tc>
                <w:tcPr>
                  <w:tcW w:w="2385"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简化管理</w:t>
                  </w:r>
                </w:p>
              </w:tc>
              <w:tc>
                <w:tcPr>
                  <w:tcW w:w="521" w:type="pct"/>
                  <w:tcBorders>
                    <w:bottom w:val="single" w:color="000000" w:sz="12" w:space="0"/>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b/>
                      <w:bCs/>
                      <w:spacing w:val="5"/>
                      <w:sz w:val="21"/>
                      <w:highlight w:val="none"/>
                    </w:rPr>
                    <w:t>登记管理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000" w:type="pct"/>
                  <w:gridSpan w:val="5"/>
                  <w:tcBorders>
                    <w:top w:val="single" w:color="000000" w:sz="12"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highlight w:val="none"/>
                    </w:rPr>
                  </w:pPr>
                  <w:r>
                    <w:rPr>
                      <w:rFonts w:ascii="Times New Roman" w:hAnsi="Times New Roman" w:eastAsia="宋体"/>
                      <w:spacing w:val="8"/>
                      <w:position w:val="1"/>
                      <w:sz w:val="21"/>
                      <w:highlight w:val="none"/>
                    </w:rPr>
                    <w:t>三十一、汽车制造业</w:t>
                  </w:r>
                  <w:r>
                    <w:rPr>
                      <w:rFonts w:ascii="Times New Roman" w:hAnsi="Times New Roman" w:eastAsia="宋体" w:cs="Times New Roman"/>
                      <w:spacing w:val="8"/>
                      <w:position w:val="1"/>
                      <w:sz w:val="21"/>
                      <w:highlight w:val="none"/>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6" w:hRule="atLeast"/>
              </w:trPr>
              <w:tc>
                <w:tcPr>
                  <w:tcW w:w="2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szCs w:val="20"/>
                      <w:highlight w:val="none"/>
                    </w:rPr>
                  </w:pPr>
                  <w:r>
                    <w:rPr>
                      <w:rFonts w:ascii="Times New Roman" w:hAnsi="Times New Roman" w:eastAsia="宋体" w:cs="Times New Roman"/>
                      <w:spacing w:val="-2"/>
                      <w:position w:val="2"/>
                      <w:sz w:val="21"/>
                      <w:szCs w:val="20"/>
                      <w:highlight w:val="none"/>
                    </w:rPr>
                    <w:t>85</w:t>
                  </w:r>
                </w:p>
              </w:tc>
              <w:tc>
                <w:tcPr>
                  <w:tcW w:w="1219"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ascii="Times New Roman" w:hAnsi="Times New Roman" w:eastAsia="宋体" w:cs="Times New Roman"/>
                      <w:sz w:val="21"/>
                      <w:highlight w:val="none"/>
                    </w:rPr>
                  </w:pPr>
                  <w:r>
                    <w:rPr>
                      <w:rFonts w:ascii="Times New Roman" w:hAnsi="Times New Roman" w:eastAsia="宋体"/>
                      <w:spacing w:val="3"/>
                      <w:position w:val="1"/>
                      <w:sz w:val="21"/>
                      <w:highlight w:val="none"/>
                    </w:rPr>
                    <w:t>汽车整车制造</w:t>
                  </w:r>
                  <w:r>
                    <w:rPr>
                      <w:rFonts w:ascii="Times New Roman" w:hAnsi="Times New Roman" w:eastAsia="宋体" w:cs="Times New Roman"/>
                      <w:spacing w:val="3"/>
                      <w:position w:val="1"/>
                      <w:sz w:val="21"/>
                      <w:highlight w:val="none"/>
                    </w:rPr>
                    <w:t>361</w:t>
                  </w:r>
                  <w:r>
                    <w:rPr>
                      <w:rFonts w:ascii="Times New Roman" w:hAnsi="Times New Roman" w:eastAsia="宋体"/>
                      <w:spacing w:val="3"/>
                      <w:position w:val="1"/>
                      <w:sz w:val="21"/>
                      <w:highlight w:val="none"/>
                    </w:rPr>
                    <w:t>，汽车用发动机制造</w:t>
                  </w:r>
                  <w:r>
                    <w:rPr>
                      <w:rFonts w:ascii="Times New Roman" w:hAnsi="Times New Roman" w:eastAsia="宋体" w:cs="Times New Roman"/>
                      <w:spacing w:val="3"/>
                      <w:position w:val="1"/>
                      <w:sz w:val="21"/>
                      <w:highlight w:val="none"/>
                    </w:rPr>
                    <w:t>362</w:t>
                  </w:r>
                  <w:r>
                    <w:rPr>
                      <w:rFonts w:ascii="Times New Roman" w:hAnsi="Times New Roman" w:eastAsia="宋体"/>
                      <w:spacing w:val="3"/>
                      <w:position w:val="1"/>
                      <w:sz w:val="21"/>
                      <w:highlight w:val="none"/>
                    </w:rPr>
                    <w:t>，改装汽车制造</w:t>
                  </w:r>
                  <w:r>
                    <w:rPr>
                      <w:rFonts w:ascii="Times New Roman" w:hAnsi="Times New Roman" w:eastAsia="宋体" w:cs="Times New Roman"/>
                      <w:spacing w:val="5"/>
                      <w:position w:val="1"/>
                      <w:sz w:val="21"/>
                      <w:highlight w:val="none"/>
                    </w:rPr>
                    <w:t>363</w:t>
                  </w:r>
                  <w:r>
                    <w:rPr>
                      <w:rFonts w:ascii="Times New Roman" w:hAnsi="Times New Roman" w:eastAsia="宋体"/>
                      <w:spacing w:val="5"/>
                      <w:position w:val="1"/>
                      <w:sz w:val="21"/>
                      <w:highlight w:val="none"/>
                    </w:rPr>
                    <w:t>，低速汽车制造</w:t>
                  </w:r>
                  <w:r>
                    <w:rPr>
                      <w:rFonts w:ascii="Times New Roman" w:hAnsi="Times New Roman" w:eastAsia="宋体" w:cs="Times New Roman"/>
                      <w:spacing w:val="5"/>
                      <w:position w:val="1"/>
                      <w:sz w:val="21"/>
                      <w:highlight w:val="none"/>
                    </w:rPr>
                    <w:t>364</w:t>
                  </w:r>
                  <w:r>
                    <w:rPr>
                      <w:rFonts w:ascii="Times New Roman" w:hAnsi="Times New Roman" w:eastAsia="宋体"/>
                      <w:spacing w:val="5"/>
                      <w:position w:val="1"/>
                      <w:sz w:val="21"/>
                      <w:highlight w:val="none"/>
                    </w:rPr>
                    <w:t>，电</w:t>
                  </w:r>
                  <w:r>
                    <w:rPr>
                      <w:rFonts w:ascii="Times New Roman" w:hAnsi="Times New Roman" w:eastAsia="宋体"/>
                      <w:spacing w:val="3"/>
                      <w:position w:val="1"/>
                      <w:sz w:val="21"/>
                      <w:highlight w:val="none"/>
                    </w:rPr>
                    <w:t>车制造</w:t>
                  </w:r>
                  <w:r>
                    <w:rPr>
                      <w:rFonts w:ascii="Times New Roman" w:hAnsi="Times New Roman" w:eastAsia="宋体" w:cs="Times New Roman"/>
                      <w:spacing w:val="3"/>
                      <w:position w:val="1"/>
                      <w:sz w:val="21"/>
                      <w:highlight w:val="none"/>
                    </w:rPr>
                    <w:t>365</w:t>
                  </w:r>
                  <w:r>
                    <w:rPr>
                      <w:rFonts w:ascii="Times New Roman" w:hAnsi="Times New Roman" w:eastAsia="宋体"/>
                      <w:spacing w:val="3"/>
                      <w:position w:val="1"/>
                      <w:sz w:val="21"/>
                      <w:highlight w:val="none"/>
                    </w:rPr>
                    <w:t>，汽车车身、挂车制造</w:t>
                  </w:r>
                  <w:r>
                    <w:rPr>
                      <w:rFonts w:ascii="Times New Roman" w:hAnsi="Times New Roman" w:eastAsia="宋体" w:cs="Times New Roman"/>
                      <w:spacing w:val="3"/>
                      <w:position w:val="1"/>
                      <w:sz w:val="21"/>
                      <w:highlight w:val="none"/>
                    </w:rPr>
                    <w:t>366</w:t>
                  </w:r>
                  <w:r>
                    <w:rPr>
                      <w:rFonts w:ascii="Times New Roman" w:hAnsi="Times New Roman" w:eastAsia="宋体"/>
                      <w:spacing w:val="3"/>
                      <w:position w:val="1"/>
                      <w:sz w:val="21"/>
                      <w:highlight w:val="none"/>
                    </w:rPr>
                    <w:t>，汽车零部件及配件</w:t>
                  </w:r>
                  <w:r>
                    <w:rPr>
                      <w:rFonts w:ascii="Times New Roman" w:hAnsi="Times New Roman" w:eastAsia="宋体"/>
                      <w:spacing w:val="5"/>
                      <w:position w:val="1"/>
                      <w:sz w:val="21"/>
                      <w:highlight w:val="none"/>
                    </w:rPr>
                    <w:t>制造</w:t>
                  </w:r>
                  <w:r>
                    <w:rPr>
                      <w:rFonts w:ascii="Times New Roman" w:hAnsi="Times New Roman" w:eastAsia="宋体" w:cs="Times New Roman"/>
                      <w:spacing w:val="5"/>
                      <w:position w:val="1"/>
                      <w:sz w:val="21"/>
                      <w:highlight w:val="none"/>
                    </w:rPr>
                    <w:t>367</w:t>
                  </w:r>
                </w:p>
              </w:tc>
              <w:tc>
                <w:tcPr>
                  <w:tcW w:w="578"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7"/>
                      <w:sz w:val="21"/>
                      <w:highlight w:val="none"/>
                    </w:rPr>
                    <w:t>纳入重点排污单位名录</w:t>
                  </w:r>
                  <w:r>
                    <w:rPr>
                      <w:rFonts w:ascii="Times New Roman" w:hAnsi="Times New Roman" w:eastAsia="宋体"/>
                      <w:sz w:val="21"/>
                      <w:highlight w:val="none"/>
                    </w:rPr>
                    <w:t>的</w:t>
                  </w:r>
                </w:p>
              </w:tc>
              <w:tc>
                <w:tcPr>
                  <w:tcW w:w="2385"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sz w:val="21"/>
                      <w:highlight w:val="none"/>
                    </w:rPr>
                  </w:pPr>
                  <w:r>
                    <w:rPr>
                      <w:rFonts w:ascii="Times New Roman" w:hAnsi="Times New Roman" w:eastAsia="宋体"/>
                      <w:spacing w:val="8"/>
                      <w:sz w:val="21"/>
                      <w:highlight w:val="none"/>
                    </w:rPr>
                    <w:t>除重点管理以外的汽车整车制</w:t>
                  </w:r>
                  <w:r>
                    <w:rPr>
                      <w:rFonts w:ascii="Times New Roman" w:hAnsi="Times New Roman" w:eastAsia="宋体"/>
                      <w:spacing w:val="6"/>
                      <w:position w:val="1"/>
                      <w:sz w:val="21"/>
                      <w:highlight w:val="none"/>
                    </w:rPr>
                    <w:t>造</w:t>
                  </w:r>
                  <w:r>
                    <w:rPr>
                      <w:rFonts w:ascii="Times New Roman" w:hAnsi="Times New Roman" w:eastAsia="宋体" w:cs="Times New Roman"/>
                      <w:spacing w:val="6"/>
                      <w:position w:val="1"/>
                      <w:sz w:val="21"/>
                      <w:highlight w:val="none"/>
                    </w:rPr>
                    <w:t>361</w:t>
                  </w:r>
                  <w:r>
                    <w:rPr>
                      <w:rFonts w:ascii="Times New Roman" w:hAnsi="Times New Roman" w:eastAsia="宋体"/>
                      <w:spacing w:val="6"/>
                      <w:position w:val="1"/>
                      <w:sz w:val="21"/>
                      <w:highlight w:val="none"/>
                    </w:rPr>
                    <w:t>，除重点管理以外的年使</w:t>
                  </w:r>
                  <w:r>
                    <w:rPr>
                      <w:rFonts w:ascii="Times New Roman" w:hAnsi="Times New Roman" w:eastAsia="宋体"/>
                      <w:spacing w:val="8"/>
                      <w:position w:val="1"/>
                      <w:sz w:val="21"/>
                      <w:highlight w:val="none"/>
                    </w:rPr>
                    <w:t>用</w:t>
                  </w:r>
                  <w:r>
                    <w:rPr>
                      <w:rFonts w:ascii="Times New Roman" w:hAnsi="Times New Roman" w:eastAsia="宋体" w:cs="Times New Roman"/>
                      <w:spacing w:val="8"/>
                      <w:position w:val="1"/>
                      <w:sz w:val="21"/>
                      <w:highlight w:val="none"/>
                    </w:rPr>
                    <w:t>10</w:t>
                  </w:r>
                  <w:r>
                    <w:rPr>
                      <w:rFonts w:ascii="Times New Roman" w:hAnsi="Times New Roman" w:eastAsia="宋体"/>
                      <w:spacing w:val="8"/>
                      <w:position w:val="1"/>
                      <w:sz w:val="21"/>
                      <w:highlight w:val="none"/>
                    </w:rPr>
                    <w:t>吨及以上溶剂型涂料或者</w:t>
                  </w:r>
                  <w:r>
                    <w:rPr>
                      <w:rFonts w:ascii="Times New Roman" w:hAnsi="Times New Roman" w:eastAsia="宋体"/>
                      <w:spacing w:val="7"/>
                      <w:sz w:val="21"/>
                      <w:highlight w:val="none"/>
                    </w:rPr>
                    <w:t>胶黏剂（含稀释剂、固化剂、清</w:t>
                  </w:r>
                  <w:r>
                    <w:rPr>
                      <w:rFonts w:ascii="Times New Roman" w:hAnsi="Times New Roman" w:eastAsia="宋体"/>
                      <w:spacing w:val="9"/>
                      <w:sz w:val="21"/>
                      <w:highlight w:val="none"/>
                    </w:rPr>
                    <w:t>洗溶剂）的汽车用发动机制造</w:t>
                  </w:r>
                  <w:r>
                    <w:rPr>
                      <w:rFonts w:ascii="Times New Roman" w:hAnsi="Times New Roman" w:eastAsia="宋体" w:cs="Times New Roman"/>
                      <w:spacing w:val="3"/>
                      <w:position w:val="1"/>
                      <w:sz w:val="21"/>
                      <w:highlight w:val="none"/>
                    </w:rPr>
                    <w:t>362</w:t>
                  </w:r>
                  <w:r>
                    <w:rPr>
                      <w:rFonts w:ascii="Times New Roman" w:hAnsi="Times New Roman" w:eastAsia="宋体"/>
                      <w:spacing w:val="3"/>
                      <w:position w:val="1"/>
                      <w:sz w:val="21"/>
                      <w:highlight w:val="none"/>
                    </w:rPr>
                    <w:t>、改装汽车制造</w:t>
                  </w:r>
                  <w:r>
                    <w:rPr>
                      <w:rFonts w:ascii="Times New Roman" w:hAnsi="Times New Roman" w:eastAsia="宋体" w:cs="Times New Roman"/>
                      <w:spacing w:val="3"/>
                      <w:position w:val="1"/>
                      <w:sz w:val="21"/>
                      <w:highlight w:val="none"/>
                    </w:rPr>
                    <w:t>363</w:t>
                  </w:r>
                  <w:r>
                    <w:rPr>
                      <w:rFonts w:ascii="Times New Roman" w:hAnsi="Times New Roman" w:eastAsia="宋体"/>
                      <w:spacing w:val="3"/>
                      <w:position w:val="1"/>
                      <w:sz w:val="21"/>
                      <w:highlight w:val="none"/>
                    </w:rPr>
                    <w:t>、低速汽车制造</w:t>
                  </w:r>
                  <w:r>
                    <w:rPr>
                      <w:rFonts w:ascii="Times New Roman" w:hAnsi="Times New Roman" w:eastAsia="宋体" w:cs="Times New Roman"/>
                      <w:spacing w:val="3"/>
                      <w:position w:val="1"/>
                      <w:sz w:val="21"/>
                      <w:highlight w:val="none"/>
                    </w:rPr>
                    <w:t>364</w:t>
                  </w:r>
                  <w:r>
                    <w:rPr>
                      <w:rFonts w:ascii="Times New Roman" w:hAnsi="Times New Roman" w:eastAsia="宋体"/>
                      <w:spacing w:val="3"/>
                      <w:position w:val="1"/>
                      <w:sz w:val="21"/>
                      <w:highlight w:val="none"/>
                    </w:rPr>
                    <w:t>、电车制造</w:t>
                  </w:r>
                  <w:r>
                    <w:rPr>
                      <w:rFonts w:ascii="Times New Roman" w:hAnsi="Times New Roman" w:eastAsia="宋体" w:cs="Times New Roman"/>
                      <w:spacing w:val="3"/>
                      <w:position w:val="1"/>
                      <w:sz w:val="21"/>
                      <w:highlight w:val="none"/>
                    </w:rPr>
                    <w:t>365</w:t>
                  </w:r>
                  <w:r>
                    <w:rPr>
                      <w:rFonts w:ascii="Times New Roman" w:hAnsi="Times New Roman" w:eastAsia="宋体"/>
                      <w:spacing w:val="3"/>
                      <w:position w:val="1"/>
                      <w:sz w:val="21"/>
                      <w:highlight w:val="none"/>
                    </w:rPr>
                    <w:t>、汽车</w:t>
                  </w:r>
                  <w:r>
                    <w:rPr>
                      <w:rFonts w:ascii="Times New Roman" w:hAnsi="Times New Roman" w:eastAsia="宋体"/>
                      <w:spacing w:val="6"/>
                      <w:position w:val="1"/>
                      <w:sz w:val="21"/>
                      <w:highlight w:val="none"/>
                    </w:rPr>
                    <w:t>车身、挂车制造</w:t>
                  </w:r>
                  <w:r>
                    <w:rPr>
                      <w:rFonts w:ascii="Times New Roman" w:hAnsi="Times New Roman" w:eastAsia="宋体" w:cs="Times New Roman"/>
                      <w:spacing w:val="6"/>
                      <w:position w:val="1"/>
                      <w:sz w:val="21"/>
                      <w:highlight w:val="none"/>
                    </w:rPr>
                    <w:t>366</w:t>
                  </w:r>
                  <w:r>
                    <w:rPr>
                      <w:rFonts w:ascii="Times New Roman" w:hAnsi="Times New Roman" w:eastAsia="宋体"/>
                      <w:spacing w:val="6"/>
                      <w:position w:val="1"/>
                      <w:sz w:val="21"/>
                      <w:highlight w:val="none"/>
                    </w:rPr>
                    <w:t>、汽车零部</w:t>
                  </w:r>
                  <w:r>
                    <w:rPr>
                      <w:rFonts w:ascii="Times New Roman" w:hAnsi="Times New Roman" w:eastAsia="宋体"/>
                      <w:spacing w:val="7"/>
                      <w:position w:val="1"/>
                      <w:sz w:val="21"/>
                      <w:highlight w:val="none"/>
                    </w:rPr>
                    <w:t>件及配件制造</w:t>
                  </w:r>
                  <w:r>
                    <w:rPr>
                      <w:rFonts w:ascii="Times New Roman" w:hAnsi="Times New Roman" w:eastAsia="宋体" w:cs="Times New Roman"/>
                      <w:spacing w:val="7"/>
                      <w:position w:val="1"/>
                      <w:sz w:val="21"/>
                      <w:highlight w:val="none"/>
                    </w:rPr>
                    <w:t>367</w:t>
                  </w:r>
                </w:p>
              </w:tc>
              <w:tc>
                <w:tcPr>
                  <w:tcW w:w="521"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sz w:val="21"/>
                      <w:highlight w:val="none"/>
                    </w:rPr>
                  </w:pPr>
                  <w:r>
                    <w:rPr>
                      <w:rFonts w:ascii="Times New Roman" w:hAnsi="Times New Roman" w:eastAsia="宋体"/>
                      <w:spacing w:val="4"/>
                      <w:sz w:val="21"/>
                      <w:highlight w:val="none"/>
                    </w:rPr>
                    <w:t>其他</w:t>
                  </w:r>
                </w:p>
              </w:tc>
            </w:tr>
          </w:tbl>
          <w:p>
            <w:pPr>
              <w:rPr>
                <w:rFonts w:hint="default"/>
                <w:highlight w:val="none"/>
                <w:lang w:val="en-US" w:eastAsia="zh-CN"/>
              </w:rPr>
            </w:pPr>
          </w:p>
          <w:p>
            <w:pPr>
              <w:pStyle w:val="3"/>
              <w:numPr>
                <w:ilvl w:val="1"/>
                <w:numId w:val="1"/>
              </w:numPr>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排污口规范化管理</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项目需规范的排污口主要有</w:t>
            </w:r>
            <w:r>
              <w:rPr>
                <w:rFonts w:hint="eastAsia"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排放口、废气排气筒、固废临时堆放点</w:t>
            </w:r>
            <w:r>
              <w:rPr>
                <w:rFonts w:hint="eastAsia"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排放口：本项目</w:t>
            </w:r>
            <w:r>
              <w:rPr>
                <w:rFonts w:hint="eastAsia" w:cs="Times New Roman"/>
                <w:color w:val="000000" w:themeColor="text1"/>
                <w:sz w:val="24"/>
                <w:szCs w:val="24"/>
                <w:highlight w:val="none"/>
                <w:lang w:val="en-US" w:eastAsia="zh-CN"/>
                <w14:textFill>
                  <w14:solidFill>
                    <w14:schemeClr w14:val="tx1"/>
                  </w14:solidFill>
                </w14:textFill>
              </w:rPr>
              <w:t>生活污水经化粪池处理后进入福清市第二污水处理厂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集中处理</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。排污口设置符合对排污口的规范化的要求。具体有以下要求的内容：</w:t>
            </w:r>
          </w:p>
          <w:p>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按《污水综合排放标准》(GB8978—1996)和《污水监测技术规范》（HJ 91.1-2019）的规定，在排污单位的排放口设置采样点。</w:t>
            </w:r>
          </w:p>
          <w:p>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B</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应尽量安装污水流量计，堰槽式测流装置满足《明渠堰槽流量计》（JJG711-90）标准要求。</w:t>
            </w:r>
          </w:p>
          <w:p>
            <w:pPr>
              <w:spacing w:line="360" w:lineRule="auto"/>
              <w:ind w:firstLine="48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废水排放口环境保护图形标志牌设在排放口附近醒目处。</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（2）废气排放口：各烟囱或烟道应设置永久采样孔，并安装采样监测平台，废气采样口设置必须符合《</w:t>
            </w:r>
            <w:r>
              <w:rPr>
                <w:rFonts w:hint="eastAsia" w:ascii="Times New Roman" w:hAnsi="Times New Roman"/>
                <w:color w:val="000000" w:themeColor="text1"/>
                <w:sz w:val="24"/>
                <w:szCs w:val="24"/>
                <w:highlight w:val="none"/>
                <w14:textFill>
                  <w14:solidFill>
                    <w14:schemeClr w14:val="tx1"/>
                  </w14:solidFill>
                </w14:textFill>
              </w:rPr>
              <w:t>固定源废气监测技术规范</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HJT 397-2007</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规定的高度和要求，便于采样、监测的要求，并得到授权的环境监察支队和环境监测中心站共同确认。具体有以下要求的内容：</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采样口位置原则上应避开烟道弯头和断面急剧变化的部位。对颗粒物采集或连续测定，应设置在距弯头、阀门、变径管下游方向不小于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倍直径，和距上述部件上游方向不小于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倍直径处；对气态污染物采集或连续测定，应设置在距弯头、阀门、变径管道下游方向不小于2倍直径处，和距上述部件上游方向不小于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倍直径处。</w:t>
            </w:r>
          </w:p>
          <w:p>
            <w:pPr>
              <w:spacing w:line="360" w:lineRule="auto"/>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采样口径一般不少于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14:textFill>
                  <w14:solidFill>
                    <w14:schemeClr w14:val="tx1"/>
                  </w14:solidFill>
                </w14:textFill>
              </w:rPr>
              <w:t>毫米。当采取有毒或变温气体且采样点烟道处于正压状态时，应加设防喷装置。烟气排放连续监测系统的采样口径应按产品说明书要求确定</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spacing w:line="360" w:lineRule="auto"/>
              <w:ind w:firstLine="48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废气排放口的环境保护图形标志牌应设在排气筒附近地面醒目处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（3）固定噪声排放源</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按规定对固定噪声进行治理，并在边界噪声敏感点</w:t>
            </w:r>
            <w:r>
              <w:rPr>
                <w:rFonts w:hint="eastAsia" w:cs="Times New Roman"/>
                <w:color w:val="000000" w:themeColor="text1"/>
                <w:sz w:val="24"/>
                <w:szCs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4"/>
                <w:szCs w:val="24"/>
                <w:highlight w:val="none"/>
                <w14:textFill>
                  <w14:solidFill>
                    <w14:schemeClr w14:val="tx1"/>
                  </w14:solidFill>
                </w14:textFill>
              </w:rPr>
              <w:t>对外界影响最大处设置标志牌。</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（4）固体废物贮存处置</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对各种固体废物应分类收集，设置暂存点应有防扬尘、防流失、防渗漏等措施。</w:t>
            </w:r>
          </w:p>
          <w:p>
            <w:pPr>
              <w:pStyle w:val="42"/>
              <w:keepNext/>
              <w:keepLines/>
              <w:pageBreakBefore w:val="0"/>
              <w:widowControl w:val="0"/>
              <w:numPr>
                <w:ilvl w:val="7"/>
                <w:numId w:val="10"/>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排放口图形标志</w:t>
            </w:r>
          </w:p>
          <w:tbl>
            <w:tblPr>
              <w:tblStyle w:val="33"/>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97"/>
              <w:gridCol w:w="1540"/>
              <w:gridCol w:w="1364"/>
              <w:gridCol w:w="1473"/>
              <w:gridCol w:w="1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4" w:type="dxa"/>
                  <w:tcBorders>
                    <w:bottom w:val="single" w:color="auto" w:sz="12" w:space="0"/>
                  </w:tcBorders>
                  <w:noWrap w:val="0"/>
                  <w:tcMar>
                    <w:left w:w="28" w:type="dxa"/>
                    <w:right w:w="28" w:type="dxa"/>
                  </w:tcMar>
                  <w:vAlign w:val="center"/>
                </w:tcPr>
                <w:p>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名称</w:t>
                  </w:r>
                </w:p>
              </w:tc>
              <w:tc>
                <w:tcPr>
                  <w:tcW w:w="1497" w:type="dxa"/>
                  <w:tcBorders>
                    <w:bottom w:val="single" w:color="auto" w:sz="12" w:space="0"/>
                  </w:tcBorders>
                  <w:noWrap w:val="0"/>
                  <w:tcMar>
                    <w:left w:w="28" w:type="dxa"/>
                    <w:right w:w="28" w:type="dxa"/>
                  </w:tcMar>
                  <w:vAlign w:val="center"/>
                </w:tcPr>
                <w:p>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废气排放口</w:t>
                  </w:r>
                </w:p>
              </w:tc>
              <w:tc>
                <w:tcPr>
                  <w:tcW w:w="1540" w:type="dxa"/>
                  <w:tcBorders>
                    <w:bottom w:val="single" w:color="auto" w:sz="12" w:space="0"/>
                  </w:tcBorders>
                  <w:noWrap w:val="0"/>
                  <w:tcMar>
                    <w:left w:w="28" w:type="dxa"/>
                    <w:right w:w="28" w:type="dxa"/>
                  </w:tcMar>
                  <w:vAlign w:val="center"/>
                </w:tcPr>
                <w:p>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噪声排放源</w:t>
                  </w:r>
                </w:p>
              </w:tc>
              <w:tc>
                <w:tcPr>
                  <w:tcW w:w="1364" w:type="dxa"/>
                  <w:tcBorders>
                    <w:bottom w:val="single" w:color="auto" w:sz="12" w:space="0"/>
                  </w:tcBorders>
                  <w:noWrap w:val="0"/>
                  <w:tcMar>
                    <w:left w:w="28" w:type="dxa"/>
                    <w:right w:w="28" w:type="dxa"/>
                  </w:tcMar>
                  <w:vAlign w:val="center"/>
                </w:tcPr>
                <w:p>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一般固体废物</w:t>
                  </w:r>
                </w:p>
              </w:tc>
              <w:tc>
                <w:tcPr>
                  <w:tcW w:w="1473" w:type="dxa"/>
                  <w:tcBorders>
                    <w:bottom w:val="single" w:color="auto" w:sz="12" w:space="0"/>
                  </w:tcBorders>
                  <w:noWrap w:val="0"/>
                  <w:tcMar>
                    <w:left w:w="28" w:type="dxa"/>
                    <w:right w:w="28" w:type="dxa"/>
                  </w:tcMar>
                  <w:vAlign w:val="center"/>
                </w:tcPr>
                <w:p>
                  <w:pPr>
                    <w:spacing w:line="240" w:lineRule="auto"/>
                    <w:ind w:firstLine="0" w:firstLineChars="0"/>
                    <w:jc w:val="center"/>
                    <w:rPr>
                      <w:rFonts w:hint="default" w:ascii="Times New Roman" w:hAnsi="Times New Roman" w:eastAsia="宋体"/>
                      <w:b/>
                      <w:bCs/>
                      <w:iCs/>
                      <w:color w:val="000000" w:themeColor="text1"/>
                      <w:sz w:val="21"/>
                      <w:szCs w:val="21"/>
                      <w:highlight w:val="none"/>
                      <w:lang w:val="en-US" w:eastAsia="zh-CN"/>
                      <w14:textFill>
                        <w14:solidFill>
                          <w14:schemeClr w14:val="tx1"/>
                        </w14:solidFill>
                      </w14:textFill>
                    </w:rPr>
                  </w:pPr>
                  <w:r>
                    <w:rPr>
                      <w:rFonts w:hint="eastAsia"/>
                      <w:b/>
                      <w:bCs/>
                      <w:iCs/>
                      <w:color w:val="000000" w:themeColor="text1"/>
                      <w:sz w:val="21"/>
                      <w:szCs w:val="21"/>
                      <w:highlight w:val="none"/>
                      <w:lang w:val="en-US" w:eastAsia="zh-CN"/>
                      <w14:textFill>
                        <w14:solidFill>
                          <w14:schemeClr w14:val="tx1"/>
                        </w14:solidFill>
                      </w14:textFill>
                    </w:rPr>
                    <w:t>废水排放口</w:t>
                  </w:r>
                </w:p>
              </w:tc>
              <w:tc>
                <w:tcPr>
                  <w:tcW w:w="1969" w:type="dxa"/>
                  <w:tcBorders>
                    <w:bottom w:val="single" w:color="auto" w:sz="12" w:space="0"/>
                  </w:tcBorders>
                  <w:noWrap w:val="0"/>
                  <w:tcMar>
                    <w:left w:w="28" w:type="dxa"/>
                    <w:right w:w="28" w:type="dxa"/>
                  </w:tcMar>
                  <w:vAlign w:val="center"/>
                </w:tcPr>
                <w:p>
                  <w:pPr>
                    <w:spacing w:line="240" w:lineRule="auto"/>
                    <w:ind w:firstLine="0" w:firstLineChars="0"/>
                    <w:jc w:val="center"/>
                    <w:rPr>
                      <w:rFonts w:ascii="Times New Roman" w:hAnsi="Times New Roman"/>
                      <w:b/>
                      <w:bCs/>
                      <w:iCs/>
                      <w:color w:val="000000" w:themeColor="text1"/>
                      <w:sz w:val="21"/>
                      <w:szCs w:val="21"/>
                      <w:highlight w:val="none"/>
                      <w14:textFill>
                        <w14:solidFill>
                          <w14:schemeClr w14:val="tx1"/>
                        </w14:solidFill>
                      </w14:textFill>
                    </w:rPr>
                  </w:pPr>
                  <w:r>
                    <w:rPr>
                      <w:rFonts w:ascii="Times New Roman" w:hAnsi="Times New Roman"/>
                      <w:b/>
                      <w:bCs/>
                      <w:iCs/>
                      <w:color w:val="000000" w:themeColor="text1"/>
                      <w:sz w:val="21"/>
                      <w:szCs w:val="21"/>
                      <w:highlight w:val="none"/>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04"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提示图形符号</w:t>
                  </w:r>
                </w:p>
              </w:tc>
              <w:tc>
                <w:tcPr>
                  <w:tcW w:w="1497"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828040" cy="685165"/>
                        <wp:effectExtent l="0" t="0" r="10160" b="635"/>
                        <wp:docPr id="127" name="图片 25"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descr="废气排放口1"/>
                                <pic:cNvPicPr>
                                  <a:picLocks noChangeAspect="1"/>
                                </pic:cNvPicPr>
                              </pic:nvPicPr>
                              <pic:blipFill>
                                <a:blip r:embed="rId29"/>
                                <a:stretch>
                                  <a:fillRect/>
                                </a:stretch>
                              </pic:blipFill>
                              <pic:spPr>
                                <a:xfrm>
                                  <a:off x="0" y="0"/>
                                  <a:ext cx="828040" cy="685165"/>
                                </a:xfrm>
                                <a:prstGeom prst="rect">
                                  <a:avLst/>
                                </a:prstGeom>
                                <a:noFill/>
                                <a:ln>
                                  <a:noFill/>
                                </a:ln>
                              </pic:spPr>
                            </pic:pic>
                          </a:graphicData>
                        </a:graphic>
                      </wp:inline>
                    </w:drawing>
                  </w:r>
                </w:p>
              </w:tc>
              <w:tc>
                <w:tcPr>
                  <w:tcW w:w="1540"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781685" cy="694690"/>
                        <wp:effectExtent l="0" t="0" r="18415" b="10160"/>
                        <wp:docPr id="41" name="图片 26"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噪声排放口1"/>
                                <pic:cNvPicPr>
                                  <a:picLocks noChangeAspect="1"/>
                                </pic:cNvPicPr>
                              </pic:nvPicPr>
                              <pic:blipFill>
                                <a:blip r:embed="rId30"/>
                                <a:stretch>
                                  <a:fillRect/>
                                </a:stretch>
                              </pic:blipFill>
                              <pic:spPr>
                                <a:xfrm>
                                  <a:off x="0" y="0"/>
                                  <a:ext cx="781685" cy="694690"/>
                                </a:xfrm>
                                <a:prstGeom prst="rect">
                                  <a:avLst/>
                                </a:prstGeom>
                                <a:noFill/>
                                <a:ln>
                                  <a:noFill/>
                                </a:ln>
                              </pic:spPr>
                            </pic:pic>
                          </a:graphicData>
                        </a:graphic>
                      </wp:inline>
                    </w:drawing>
                  </w:r>
                </w:p>
              </w:tc>
              <w:tc>
                <w:tcPr>
                  <w:tcW w:w="1364"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drawing>
                      <wp:inline distT="0" distB="0" distL="114300" distR="114300">
                        <wp:extent cx="805180" cy="744855"/>
                        <wp:effectExtent l="0" t="0" r="13970" b="1714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31"/>
                                <a:stretch>
                                  <a:fillRect/>
                                </a:stretch>
                              </pic:blipFill>
                              <pic:spPr>
                                <a:xfrm>
                                  <a:off x="0" y="0"/>
                                  <a:ext cx="805180" cy="744855"/>
                                </a:xfrm>
                                <a:prstGeom prst="rect">
                                  <a:avLst/>
                                </a:prstGeom>
                                <a:noFill/>
                                <a:ln>
                                  <a:noFill/>
                                </a:ln>
                              </pic:spPr>
                            </pic:pic>
                          </a:graphicData>
                        </a:graphic>
                      </wp:inline>
                    </w:drawing>
                  </w:r>
                </w:p>
              </w:tc>
              <w:tc>
                <w:tcPr>
                  <w:tcW w:w="1473"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position w:val="-25"/>
                      <w:highlight w:val="none"/>
                      <w14:textFill>
                        <w14:solidFill>
                          <w14:schemeClr w14:val="tx1"/>
                        </w14:solidFill>
                      </w14:textFill>
                    </w:rPr>
                    <w:drawing>
                      <wp:inline distT="0" distB="0" distL="114300" distR="114300">
                        <wp:extent cx="749935" cy="699135"/>
                        <wp:effectExtent l="0" t="0" r="12065" b="5715"/>
                        <wp:docPr id="105" name="图片 31"/>
                        <wp:cNvGraphicFramePr/>
                        <a:graphic xmlns:a="http://schemas.openxmlformats.org/drawingml/2006/main">
                          <a:graphicData uri="http://schemas.openxmlformats.org/drawingml/2006/picture">
                            <pic:pic xmlns:pic="http://schemas.openxmlformats.org/drawingml/2006/picture">
                              <pic:nvPicPr>
                                <pic:cNvPr id="105" name="图片 31"/>
                                <pic:cNvPicPr/>
                              </pic:nvPicPr>
                              <pic:blipFill>
                                <a:blip r:embed="rId32"/>
                                <a:stretch>
                                  <a:fillRect/>
                                </a:stretch>
                              </pic:blipFill>
                              <pic:spPr>
                                <a:xfrm>
                                  <a:off x="0" y="0"/>
                                  <a:ext cx="749935" cy="699135"/>
                                </a:xfrm>
                                <a:prstGeom prst="rect">
                                  <a:avLst/>
                                </a:prstGeom>
                                <a:noFill/>
                                <a:ln>
                                  <a:noFill/>
                                </a:ln>
                              </pic:spPr>
                            </pic:pic>
                          </a:graphicData>
                        </a:graphic>
                      </wp:inline>
                    </w:drawing>
                  </w:r>
                </w:p>
              </w:tc>
              <w:tc>
                <w:tcPr>
                  <w:tcW w:w="1969" w:type="dxa"/>
                  <w:tcBorders>
                    <w:top w:val="single" w:color="auto" w:sz="12" w:space="0"/>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1051560" cy="667385"/>
                        <wp:effectExtent l="0" t="0" r="15240" b="18415"/>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33"/>
                                <a:stretch>
                                  <a:fillRect/>
                                </a:stretch>
                              </pic:blipFill>
                              <pic:spPr>
                                <a:xfrm>
                                  <a:off x="0" y="0"/>
                                  <a:ext cx="1051560" cy="66738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4" w:type="dxa"/>
                  <w:tcBorders>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功能</w:t>
                  </w:r>
                </w:p>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表示</w:t>
                  </w:r>
                </w:p>
              </w:tc>
              <w:tc>
                <w:tcPr>
                  <w:tcW w:w="1497" w:type="dxa"/>
                  <w:tcBorders>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向大气环境排放废气</w:t>
                  </w:r>
                </w:p>
              </w:tc>
              <w:tc>
                <w:tcPr>
                  <w:tcW w:w="1540" w:type="dxa"/>
                  <w:tcBorders>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向外环境排放噪声</w:t>
                  </w:r>
                </w:p>
              </w:tc>
              <w:tc>
                <w:tcPr>
                  <w:tcW w:w="1364" w:type="dxa"/>
                  <w:tcBorders>
                    <w:tl2br w:val="nil"/>
                    <w:tr2bl w:val="nil"/>
                  </w:tcBorders>
                  <w:noWrap w:val="0"/>
                  <w:tcMar>
                    <w:left w:w="28" w:type="dxa"/>
                    <w:right w:w="28" w:type="dxa"/>
                  </w:tcMar>
                  <w:vAlign w:val="center"/>
                </w:tcPr>
                <w:p>
                  <w:pPr>
                    <w:spacing w:line="240" w:lineRule="auto"/>
                    <w:ind w:firstLine="0" w:firstLineChars="0"/>
                    <w:jc w:val="center"/>
                    <w:rPr>
                      <w:rFonts w:ascii="Times New Roman" w:hAnsi="Times New Roman"/>
                      <w:iCs/>
                      <w:color w:val="000000" w:themeColor="text1"/>
                      <w:sz w:val="21"/>
                      <w:szCs w:val="21"/>
                      <w:highlight w:val="none"/>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一般固体废物贮存、处置场</w:t>
                  </w:r>
                </w:p>
              </w:tc>
              <w:tc>
                <w:tcPr>
                  <w:tcW w:w="1473" w:type="dxa"/>
                  <w:tcBorders>
                    <w:tl2br w:val="nil"/>
                    <w:tr2bl w:val="nil"/>
                  </w:tcBorders>
                  <w:noWrap w:val="0"/>
                  <w:tcMar>
                    <w:left w:w="28" w:type="dxa"/>
                    <w:right w:w="28" w:type="dxa"/>
                  </w:tcMar>
                  <w:vAlign w:val="center"/>
                </w:tcPr>
                <w:p>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向</w:t>
                  </w:r>
                  <w:r>
                    <w:rPr>
                      <w:rFonts w:hint="eastAsia" w:ascii="Times New Roman" w:hAnsi="Times New Roman"/>
                      <w:iCs/>
                      <w:color w:val="000000" w:themeColor="text1"/>
                      <w:sz w:val="21"/>
                      <w:szCs w:val="21"/>
                      <w:highlight w:val="none"/>
                      <w:lang w:val="en-US" w:eastAsia="zh-CN"/>
                      <w14:textFill>
                        <w14:solidFill>
                          <w14:schemeClr w14:val="tx1"/>
                        </w14:solidFill>
                      </w14:textFill>
                    </w:rPr>
                    <w:t>水</w:t>
                  </w:r>
                  <w:r>
                    <w:rPr>
                      <w:rFonts w:ascii="Times New Roman" w:hAnsi="Times New Roman"/>
                      <w:iCs/>
                      <w:color w:val="000000" w:themeColor="text1"/>
                      <w:sz w:val="21"/>
                      <w:szCs w:val="21"/>
                      <w:highlight w:val="none"/>
                      <w14:textFill>
                        <w14:solidFill>
                          <w14:schemeClr w14:val="tx1"/>
                        </w14:solidFill>
                      </w14:textFill>
                    </w:rPr>
                    <w:t>环境</w:t>
                  </w:r>
                  <w:r>
                    <w:rPr>
                      <w:rFonts w:hint="eastAsia" w:ascii="Times New Roman" w:hAnsi="Times New Roman"/>
                      <w:iCs/>
                      <w:color w:val="000000" w:themeColor="text1"/>
                      <w:sz w:val="21"/>
                      <w:szCs w:val="21"/>
                      <w:highlight w:val="none"/>
                      <w:lang w:val="en-US" w:eastAsia="zh-CN"/>
                      <w14:textFill>
                        <w14:solidFill>
                          <w14:schemeClr w14:val="tx1"/>
                        </w14:solidFill>
                      </w14:textFill>
                    </w:rPr>
                    <w:t>或污水处理单位</w:t>
                  </w:r>
                  <w:r>
                    <w:rPr>
                      <w:rFonts w:ascii="Times New Roman" w:hAnsi="Times New Roman"/>
                      <w:iCs/>
                      <w:color w:val="000000" w:themeColor="text1"/>
                      <w:sz w:val="21"/>
                      <w:szCs w:val="21"/>
                      <w:highlight w:val="none"/>
                      <w14:textFill>
                        <w14:solidFill>
                          <w14:schemeClr w14:val="tx1"/>
                        </w14:solidFill>
                      </w14:textFill>
                    </w:rPr>
                    <w:t>排放废</w:t>
                  </w:r>
                  <w:r>
                    <w:rPr>
                      <w:rFonts w:hint="eastAsia" w:ascii="Times New Roman" w:hAnsi="Times New Roman"/>
                      <w:iCs/>
                      <w:color w:val="000000" w:themeColor="text1"/>
                      <w:sz w:val="21"/>
                      <w:szCs w:val="21"/>
                      <w:highlight w:val="none"/>
                      <w:lang w:val="en-US" w:eastAsia="zh-CN"/>
                      <w14:textFill>
                        <w14:solidFill>
                          <w14:schemeClr w14:val="tx1"/>
                        </w14:solidFill>
                      </w14:textFill>
                    </w:rPr>
                    <w:t>水</w:t>
                  </w:r>
                </w:p>
              </w:tc>
              <w:tc>
                <w:tcPr>
                  <w:tcW w:w="1969" w:type="dxa"/>
                  <w:tcBorders>
                    <w:tl2br w:val="nil"/>
                    <w:tr2bl w:val="nil"/>
                  </w:tcBorders>
                  <w:noWrap w:val="0"/>
                  <w:tcMar>
                    <w:left w:w="28" w:type="dxa"/>
                    <w:right w:w="28" w:type="dxa"/>
                  </w:tcMar>
                  <w:vAlign w:val="center"/>
                </w:tcPr>
                <w:p>
                  <w:pPr>
                    <w:spacing w:line="240" w:lineRule="auto"/>
                    <w:ind w:firstLine="0" w:firstLineChars="0"/>
                    <w:jc w:val="center"/>
                    <w:rPr>
                      <w:rFonts w:hint="eastAsia" w:ascii="Times New Roman" w:hAnsi="Times New Roman" w:eastAsia="宋体"/>
                      <w:iCs/>
                      <w:color w:val="000000" w:themeColor="text1"/>
                      <w:sz w:val="21"/>
                      <w:szCs w:val="21"/>
                      <w:highlight w:val="none"/>
                      <w:lang w:val="en-US" w:eastAsia="zh-CN"/>
                      <w14:textFill>
                        <w14:solidFill>
                          <w14:schemeClr w14:val="tx1"/>
                        </w14:solidFill>
                      </w14:textFill>
                    </w:rPr>
                  </w:pPr>
                  <w:r>
                    <w:rPr>
                      <w:rFonts w:ascii="Times New Roman" w:hAnsi="Times New Roman"/>
                      <w:iCs/>
                      <w:color w:val="000000" w:themeColor="text1"/>
                      <w:sz w:val="21"/>
                      <w:szCs w:val="21"/>
                      <w:highlight w:val="none"/>
                      <w14:textFill>
                        <w14:solidFill>
                          <w14:schemeClr w14:val="tx1"/>
                        </w14:solidFill>
                      </w14:textFill>
                    </w:rPr>
                    <w:t>危险废物贮存</w:t>
                  </w:r>
                  <w:r>
                    <w:rPr>
                      <w:rFonts w:hint="eastAsia" w:ascii="Times New Roman" w:hAnsi="Times New Roman"/>
                      <w:iCs/>
                      <w:color w:val="000000" w:themeColor="text1"/>
                      <w:sz w:val="21"/>
                      <w:szCs w:val="21"/>
                      <w:highlight w:val="none"/>
                      <w:lang w:val="en-US" w:eastAsia="zh-CN"/>
                      <w14:textFill>
                        <w14:solidFill>
                          <w14:schemeClr w14:val="tx1"/>
                        </w14:solidFill>
                      </w14:textFill>
                    </w:rPr>
                    <w:t>设施</w:t>
                  </w:r>
                </w:p>
              </w:tc>
            </w:tr>
          </w:tbl>
          <w:p>
            <w:pPr>
              <w:pStyle w:val="44"/>
              <w:ind w:left="0" w:leftChars="0" w:firstLine="0" w:firstLineChars="0"/>
              <w:rPr>
                <w:rFonts w:hint="eastAsia" w:ascii="宋体" w:hAnsi="宋体" w:cs="宋体"/>
                <w:bCs/>
                <w:color w:val="000000" w:themeColor="text1"/>
                <w:szCs w:val="21"/>
                <w:highlight w:val="none"/>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2"/>
        <w:keepNext/>
        <w:keepLines w:val="0"/>
        <w:pageBreakBefore w:val="0"/>
        <w:widowControl w:val="0"/>
        <w:numPr>
          <w:ilvl w:val="0"/>
          <w:numId w:val="14"/>
        </w:numPr>
        <w:tabs>
          <w:tab w:val="left" w:pos="0"/>
        </w:tabs>
        <w:kinsoku/>
        <w:wordWrap/>
        <w:overflowPunct w:val="0"/>
        <w:topLinePunct w:val="0"/>
        <w:autoSpaceDE/>
        <w:autoSpaceDN/>
        <w:bidi w:val="0"/>
        <w:adjustRightInd/>
        <w:snapToGrid w:val="0"/>
        <w:spacing w:line="240" w:lineRule="auto"/>
        <w:ind w:left="431" w:leftChars="0" w:hanging="431" w:firstLineChars="0"/>
        <w:textAlignment w:val="auto"/>
        <w:rPr>
          <w:rFonts w:hint="eastAsia" w:eastAsia="宋体"/>
          <w:color w:val="000000" w:themeColor="text1"/>
          <w:highlight w:val="none"/>
          <w14:textFill>
            <w14:solidFill>
              <w14:schemeClr w14:val="tx1"/>
            </w14:solidFill>
          </w14:textFill>
        </w:rPr>
      </w:pPr>
      <w:bookmarkStart w:id="61" w:name="_Toc8930"/>
      <w:bookmarkStart w:id="62" w:name="_Toc5548"/>
      <w:bookmarkStart w:id="63" w:name="_Toc16374"/>
      <w:bookmarkStart w:id="64" w:name="_Toc25031"/>
      <w:bookmarkStart w:id="65" w:name="_Hlk54167917"/>
      <w:bookmarkStart w:id="66" w:name="_Toc28314"/>
      <w:r>
        <w:rPr>
          <w:rFonts w:hint="eastAsia" w:eastAsia="宋体"/>
          <w:color w:val="000000" w:themeColor="text1"/>
          <w:highlight w:val="none"/>
          <w14:textFill>
            <w14:solidFill>
              <w14:schemeClr w14:val="tx1"/>
            </w14:solidFill>
          </w14:textFill>
        </w:rPr>
        <w:t>环境保护措施监督检查清单</w:t>
      </w:r>
      <w:bookmarkEnd w:id="61"/>
      <w:bookmarkEnd w:id="62"/>
      <w:bookmarkEnd w:id="63"/>
      <w:bookmarkEnd w:id="64"/>
      <w:bookmarkEnd w:id="65"/>
      <w:bookmarkEnd w:id="66"/>
    </w:p>
    <w:tbl>
      <w:tblPr>
        <w:tblStyle w:val="33"/>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50"/>
        <w:gridCol w:w="1391"/>
        <w:gridCol w:w="2059"/>
        <w:gridCol w:w="33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righ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宋体" w:hAnsi="宋体" w:cs="宋体"/>
                <w:color w:val="000000" w:themeColor="text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要素</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排放口(编号、名称)/污染源</w:t>
            </w:r>
          </w:p>
        </w:tc>
        <w:tc>
          <w:tcPr>
            <w:tcW w:w="13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污染物项目</w:t>
            </w:r>
          </w:p>
        </w:tc>
        <w:tc>
          <w:tcPr>
            <w:tcW w:w="20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环境保护措施</w:t>
            </w:r>
          </w:p>
        </w:tc>
        <w:tc>
          <w:tcPr>
            <w:tcW w:w="33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1" w:hRule="atLeast"/>
          <w:jc w:val="center"/>
        </w:trPr>
        <w:tc>
          <w:tcPr>
            <w:tcW w:w="8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大气</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环境</w:t>
            </w: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spacing w:val="-1"/>
              </w:rPr>
            </w:pPr>
            <w:r>
              <w:rPr>
                <w:rFonts w:ascii="Times New Roman" w:hAnsi="Times New Roman" w:eastAsia="Times New Roman" w:cs="Times New Roman"/>
              </w:rPr>
              <w:t>DA</w:t>
            </w:r>
            <w:r>
              <w:rPr>
                <w:rFonts w:ascii="Times New Roman" w:hAnsi="Times New Roman" w:eastAsia="Times New Roman" w:cs="Times New Roman"/>
                <w:spacing w:val="8"/>
              </w:rPr>
              <w:t>001/</w:t>
            </w:r>
            <w:r>
              <w:rPr>
                <w:spacing w:val="8"/>
              </w:rPr>
              <w:t>电泳、固</w:t>
            </w:r>
            <w:r>
              <w:rPr>
                <w:spacing w:val="-1"/>
              </w:rPr>
              <w:t>化废气、燃烧</w:t>
            </w:r>
            <w:r>
              <w:rPr>
                <w:rFonts w:hint="eastAsia"/>
                <w:spacing w:val="-1"/>
                <w:lang w:val="en-US" w:eastAsia="zh-CN"/>
              </w:rPr>
              <w:t>废</w:t>
            </w:r>
            <w:r>
              <w:rPr>
                <w:spacing w:val="-1"/>
              </w:rPr>
              <w:t>气</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p>
        </w:tc>
        <w:tc>
          <w:tcPr>
            <w:tcW w:w="139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非甲烷总烃、</w:t>
            </w:r>
            <w:r>
              <w:rPr>
                <w:rFonts w:hint="eastAsia" w:eastAsia="宋体"/>
                <w:color w:val="000000" w:themeColor="text1"/>
                <w:highlight w:val="none"/>
                <w:lang w:eastAsia="zh-CN"/>
                <w14:textFill>
                  <w14:solidFill>
                    <w14:schemeClr w14:val="tx1"/>
                  </w14:solidFill>
                </w14:textFill>
              </w:rPr>
              <w:t>烟（粉）尘、</w:t>
            </w:r>
            <w:r>
              <w:rPr>
                <w:rFonts w:ascii="宋体" w:hAnsi="宋体" w:cs="宋体"/>
                <w:color w:val="000000" w:themeColor="text1"/>
                <w:szCs w:val="21"/>
                <w:highlight w:val="none"/>
                <w14:textFill>
                  <w14:solidFill>
                    <w14:schemeClr w14:val="tx1"/>
                  </w14:solidFill>
                </w14:textFill>
              </w:rPr>
              <w:t>二氧化硫、氮氧化物</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p>
        </w:tc>
        <w:tc>
          <w:tcPr>
            <w:tcW w:w="205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spacing w:val="-8"/>
                <w:sz w:val="21"/>
              </w:rPr>
            </w:pPr>
            <w:r>
              <w:rPr>
                <w:spacing w:val="-8"/>
                <w:sz w:val="21"/>
              </w:rPr>
              <w:t>电泳、固化废气经二级</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spacing w:val="-8"/>
                <w:sz w:val="21"/>
              </w:rPr>
            </w:pPr>
            <w:r>
              <w:rPr>
                <w:spacing w:val="-8"/>
                <w:sz w:val="21"/>
              </w:rPr>
              <w:t>活性炭吸附处理后，通</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spacing w:val="-8"/>
                <w:sz w:val="21"/>
              </w:rPr>
            </w:pPr>
            <w:r>
              <w:rPr>
                <w:spacing w:val="-8"/>
                <w:sz w:val="21"/>
              </w:rPr>
              <w:t>过1根23m高排气筒达标排放（DA001）；燃烧废气通过1根23m高排气筒达标排放（DA001）；</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p>
        </w:tc>
        <w:tc>
          <w:tcPr>
            <w:tcW w:w="331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DA001排放非甲烷总烃执行《大气</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污染物综合排放标准》</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（GB16297-1996）表2标准；</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无组织排放的有机废气需满足《挥发性有机物无组织排放控制标准》（GB37822-2019）表A.1特别排放限值；</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烟（粉）尘、二氧化硫、氮氧化物排放标准执行《工业炉窑大气污染物排放标准》（GB9078-1996）表2中二级标准及《工业炉窑大气污染综合治理方案》中重点区域排放要求；</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r>
              <w:rPr>
                <w:rFonts w:ascii="Times New Roman" w:hAnsi="Times New Roman" w:eastAsia="Times New Roman" w:cs="Times New Roman"/>
              </w:rPr>
              <w:t>DA</w:t>
            </w:r>
            <w:r>
              <w:rPr>
                <w:rFonts w:ascii="Times New Roman" w:hAnsi="Times New Roman" w:eastAsia="Times New Roman" w:cs="Times New Roman"/>
                <w:spacing w:val="13"/>
              </w:rPr>
              <w:t>002/</w:t>
            </w:r>
            <w:r>
              <w:rPr>
                <w:spacing w:val="13"/>
              </w:rPr>
              <w:t>焊接废气</w:t>
            </w:r>
          </w:p>
        </w:tc>
        <w:tc>
          <w:tcPr>
            <w:tcW w:w="139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r>
              <w:rPr>
                <w:rFonts w:ascii="宋体" w:hAnsi="宋体" w:cs="宋体"/>
                <w:color w:val="000000" w:themeColor="text1"/>
                <w:szCs w:val="21"/>
                <w:highlight w:val="none"/>
                <w14:textFill>
                  <w14:solidFill>
                    <w14:schemeClr w14:val="tx1"/>
                  </w14:solidFill>
                </w14:textFill>
              </w:rPr>
              <w:t>颗粒物</w:t>
            </w:r>
          </w:p>
        </w:tc>
        <w:tc>
          <w:tcPr>
            <w:tcW w:w="205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spacing w:val="-8"/>
                <w:sz w:val="21"/>
              </w:rPr>
            </w:pPr>
            <w:r>
              <w:rPr>
                <w:spacing w:val="-8"/>
                <w:sz w:val="21"/>
              </w:rPr>
              <w:t>焊接废气经脉冲滤筒除尘器处理后，通过1根20m高排气筒达标排放（DA002）；</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p>
        </w:tc>
        <w:tc>
          <w:tcPr>
            <w:tcW w:w="331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DA002排放颗粒物执行《大气污染物综合排放标准》（GB16297-1996）表2标准；</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pPr>
          </w:p>
        </w:tc>
        <w:tc>
          <w:tcPr>
            <w:tcW w:w="13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r>
              <w:rPr>
                <w:spacing w:val="-8"/>
                <w:sz w:val="21"/>
              </w:rPr>
              <w:t>废水处理废气</w:t>
            </w:r>
          </w:p>
        </w:tc>
        <w:tc>
          <w:tcPr>
            <w:tcW w:w="139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氨、硫化氢和臭气浓度</w:t>
            </w:r>
          </w:p>
        </w:tc>
        <w:tc>
          <w:tcPr>
            <w:tcW w:w="205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rPr>
            </w:pPr>
            <w:r>
              <w:rPr>
                <w:spacing w:val="-8"/>
                <w:sz w:val="21"/>
              </w:rPr>
              <w:t>废水处理废气无组织排放</w:t>
            </w:r>
          </w:p>
        </w:tc>
        <w:tc>
          <w:tcPr>
            <w:tcW w:w="331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氨、硫化氢和臭气浓度无组</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织排放执行《恶臭污染物排放标准》（GB14554-93）表1标准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地表水环境</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color w:val="000000" w:themeColor="text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highlight w:val="none"/>
                <w:lang w:val="en-US" w:eastAsia="zh-CN"/>
                <w14:textFill>
                  <w14:solidFill>
                    <w14:schemeClr w14:val="tx1"/>
                  </w14:solidFill>
                </w14:textFill>
              </w:rPr>
              <w:t>生活污水排放口</w:t>
            </w:r>
          </w:p>
        </w:tc>
        <w:tc>
          <w:tcPr>
            <w:tcW w:w="1391"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pH、COD、BOD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、SS、氨氮</w:t>
            </w:r>
          </w:p>
        </w:tc>
        <w:tc>
          <w:tcPr>
            <w:tcW w:w="20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生活污水经化粪池预处理后排入市政污水管网，送往</w:t>
            </w:r>
            <w:r>
              <w:rPr>
                <w:rFonts w:hint="eastAsia"/>
                <w:color w:val="000000" w:themeColor="text1"/>
                <w:szCs w:val="21"/>
                <w:highlight w:val="none"/>
                <w:lang w:eastAsia="zh-CN"/>
                <w14:textFill>
                  <w14:solidFill>
                    <w14:schemeClr w14:val="tx1"/>
                  </w14:solidFill>
                </w14:textFill>
              </w:rPr>
              <w:t>福清市第二污水处理厂</w:t>
            </w:r>
            <w:r>
              <w:rPr>
                <w:color w:val="000000" w:themeColor="text1"/>
                <w:szCs w:val="21"/>
                <w:highlight w:val="none"/>
                <w14:textFill>
                  <w14:solidFill>
                    <w14:schemeClr w14:val="tx1"/>
                  </w14:solidFill>
                </w14:textFill>
              </w:rPr>
              <w:t>集中处理</w:t>
            </w:r>
          </w:p>
        </w:tc>
        <w:tc>
          <w:tcPr>
            <w:tcW w:w="3311" w:type="dxa"/>
            <w:vMerge w:val="restart"/>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《污水综合排放标准》（GB8978-1996）表4中的三级标准（NH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r>
              <w:rPr>
                <w:rFonts w:hint="eastAsia"/>
                <w:color w:val="000000" w:themeColor="text1"/>
                <w:szCs w:val="21"/>
                <w:highlight w:val="none"/>
                <w14:textFill>
                  <w14:solidFill>
                    <w14:schemeClr w14:val="tx1"/>
                  </w14:solidFill>
                </w14:textFill>
              </w:rPr>
              <w:t>、TP、TN</w:t>
            </w:r>
            <w:r>
              <w:rPr>
                <w:color w:val="000000" w:themeColor="text1"/>
                <w:szCs w:val="21"/>
                <w:highlight w:val="none"/>
                <w14:textFill>
                  <w14:solidFill>
                    <w14:schemeClr w14:val="tx1"/>
                  </w14:solidFill>
                </w14:textFill>
              </w:rPr>
              <w:t>参照《污水排入城镇下水道水质标准》（GB/T 31962-2015）表1中B等级标准）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Cs w:val="21"/>
                <w:highlight w:val="none"/>
                <w14:textFill>
                  <w14:solidFill>
                    <w14:schemeClr w14:val="tx1"/>
                  </w14:solidFill>
                </w14:textFill>
              </w:rPr>
            </w:pP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生产废水</w:t>
            </w:r>
          </w:p>
        </w:tc>
        <w:tc>
          <w:tcPr>
            <w:tcW w:w="1391"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default" w:eastAsia="宋体"/>
                <w:color w:val="000000" w:themeColor="text1"/>
                <w:szCs w:val="21"/>
                <w:highlight w:val="none"/>
                <w:lang w:val="en-US" w:eastAsia="zh-CN"/>
                <w14:textFill>
                  <w14:solidFill>
                    <w14:schemeClr w14:val="tx1"/>
                  </w14:solidFill>
                </w14:textFill>
              </w:rPr>
            </w:pPr>
            <w:r>
              <w:rPr>
                <w:rFonts w:hint="default" w:eastAsia="宋体"/>
                <w:color w:val="000000" w:themeColor="text1"/>
                <w:szCs w:val="21"/>
                <w:highlight w:val="none"/>
                <w:lang w:val="en-US" w:eastAsia="zh-CN"/>
                <w14:textFill>
                  <w14:solidFill>
                    <w14:schemeClr w14:val="tx1"/>
                  </w14:solidFill>
                </w14:textFill>
              </w:rPr>
              <w:t>COD</w:t>
            </w:r>
            <w:r>
              <w:rPr>
                <w:rFonts w:hint="eastAsia"/>
                <w:color w:val="000000" w:themeColor="text1"/>
                <w:szCs w:val="21"/>
                <w:highlight w:val="none"/>
                <w:lang w:val="en-US" w:eastAsia="zh-CN"/>
                <w14:textFill>
                  <w14:solidFill>
                    <w14:schemeClr w14:val="tx1"/>
                  </w14:solidFill>
                </w14:textFill>
              </w:rPr>
              <w:t>、</w:t>
            </w:r>
            <w:r>
              <w:rPr>
                <w:rFonts w:hint="default" w:eastAsia="宋体"/>
                <w:color w:val="000000" w:themeColor="text1"/>
                <w:szCs w:val="21"/>
                <w:highlight w:val="none"/>
                <w:lang w:val="en-US" w:eastAsia="zh-CN"/>
                <w14:textFill>
                  <w14:solidFill>
                    <w14:schemeClr w14:val="tx1"/>
                  </w14:solidFill>
                </w14:textFill>
              </w:rPr>
              <w:t>BOD</w:t>
            </w:r>
            <w:r>
              <w:rPr>
                <w:rFonts w:hint="default" w:eastAsia="宋体"/>
                <w:color w:val="000000" w:themeColor="text1"/>
                <w:szCs w:val="21"/>
                <w:highlight w:val="none"/>
                <w:vertAlign w:val="subscript"/>
                <w:lang w:val="en-US" w:eastAsia="zh-CN"/>
                <w14:textFill>
                  <w14:solidFill>
                    <w14:schemeClr w14:val="tx1"/>
                  </w14:solidFill>
                </w14:textFill>
              </w:rPr>
              <w:t>5</w:t>
            </w:r>
            <w:r>
              <w:rPr>
                <w:rFonts w:hint="default" w:eastAsia="宋体"/>
                <w:color w:val="000000" w:themeColor="text1"/>
                <w:szCs w:val="21"/>
                <w:highlight w:val="none"/>
                <w:lang w:val="en-US" w:eastAsia="zh-CN"/>
                <w14:textFill>
                  <w14:solidFill>
                    <w14:schemeClr w14:val="tx1"/>
                  </w14:solidFill>
                </w14:textFill>
              </w:rPr>
              <w:t>、SS、石油类</w:t>
            </w:r>
            <w:r>
              <w:rPr>
                <w:rFonts w:hint="eastAsia"/>
                <w:color w:val="000000" w:themeColor="text1"/>
                <w:szCs w:val="21"/>
                <w:highlight w:val="none"/>
                <w:lang w:val="en-US" w:eastAsia="zh-CN"/>
                <w14:textFill>
                  <w14:solidFill>
                    <w14:schemeClr w14:val="tx1"/>
                  </w14:solidFill>
                </w14:textFill>
              </w:rPr>
              <w:t>、</w:t>
            </w:r>
            <w:r>
              <w:rPr>
                <w:rFonts w:hint="default" w:eastAsia="宋体"/>
                <w:color w:val="000000" w:themeColor="text1"/>
                <w:szCs w:val="21"/>
                <w:highlight w:val="none"/>
                <w:lang w:val="en-US" w:eastAsia="zh-CN"/>
                <w14:textFill>
                  <w14:solidFill>
                    <w14:schemeClr w14:val="tx1"/>
                  </w14:solidFill>
                </w14:textFill>
              </w:rPr>
              <w:t>LAS</w:t>
            </w:r>
            <w:r>
              <w:rPr>
                <w:rFonts w:hint="eastAsia"/>
                <w:color w:val="000000" w:themeColor="text1"/>
                <w:szCs w:val="21"/>
                <w:highlight w:val="none"/>
                <w:lang w:val="en-US" w:eastAsia="zh-CN"/>
                <w14:textFill>
                  <w14:solidFill>
                    <w14:schemeClr w14:val="tx1"/>
                  </w14:solidFill>
                </w14:textFill>
              </w:rPr>
              <w:t>、</w:t>
            </w:r>
            <w:r>
              <w:rPr>
                <w:rFonts w:hint="default" w:eastAsia="宋体"/>
                <w:color w:val="000000" w:themeColor="text1"/>
                <w:szCs w:val="21"/>
                <w:highlight w:val="none"/>
                <w:lang w:val="en-US" w:eastAsia="zh-CN"/>
                <w14:textFill>
                  <w14:solidFill>
                    <w14:schemeClr w14:val="tx1"/>
                  </w14:solidFill>
                </w14:textFill>
              </w:rPr>
              <w:t>NH</w:t>
            </w:r>
            <w:r>
              <w:rPr>
                <w:rFonts w:hint="default" w:eastAsia="宋体"/>
                <w:color w:val="000000" w:themeColor="text1"/>
                <w:szCs w:val="21"/>
                <w:highlight w:val="none"/>
                <w:vertAlign w:val="subscript"/>
                <w:lang w:val="en-US" w:eastAsia="zh-CN"/>
                <w14:textFill>
                  <w14:solidFill>
                    <w14:schemeClr w14:val="tx1"/>
                  </w14:solidFill>
                </w14:textFill>
              </w:rPr>
              <w:t>3</w:t>
            </w:r>
            <w:r>
              <w:rPr>
                <w:rFonts w:hint="default" w:eastAsia="宋体"/>
                <w:color w:val="000000" w:themeColor="text1"/>
                <w:szCs w:val="21"/>
                <w:highlight w:val="none"/>
                <w:lang w:val="en-US" w:eastAsia="zh-CN"/>
                <w14:textFill>
                  <w14:solidFill>
                    <w14:schemeClr w14:val="tx1"/>
                  </w14:solidFill>
                </w14:textFill>
              </w:rPr>
              <w:t>-N、TN、氟化物</w:t>
            </w:r>
          </w:p>
        </w:tc>
        <w:tc>
          <w:tcPr>
            <w:tcW w:w="205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经“物化反应+气浮</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+A/O+沉淀”处理后，接市政污水管网</w:t>
            </w:r>
            <w:r>
              <w:rPr>
                <w:color w:val="000000" w:themeColor="text1"/>
                <w:szCs w:val="21"/>
                <w:highlight w:val="none"/>
                <w14:textFill>
                  <w14:solidFill>
                    <w14:schemeClr w14:val="tx1"/>
                  </w14:solidFill>
                </w14:textFill>
              </w:rPr>
              <w:t>送往</w:t>
            </w:r>
            <w:r>
              <w:rPr>
                <w:rFonts w:hint="eastAsia"/>
                <w:color w:val="000000" w:themeColor="text1"/>
                <w:szCs w:val="21"/>
                <w:highlight w:val="none"/>
                <w:lang w:eastAsia="zh-CN"/>
                <w14:textFill>
                  <w14:solidFill>
                    <w14:schemeClr w14:val="tx1"/>
                  </w14:solidFill>
                </w14:textFill>
              </w:rPr>
              <w:t>福清市第二污水处理厂</w:t>
            </w:r>
            <w:r>
              <w:rPr>
                <w:color w:val="000000" w:themeColor="text1"/>
                <w:szCs w:val="21"/>
                <w:highlight w:val="none"/>
                <w14:textFill>
                  <w14:solidFill>
                    <w14:schemeClr w14:val="tx1"/>
                  </w14:solidFill>
                </w14:textFill>
              </w:rPr>
              <w:t>集中处理</w:t>
            </w:r>
          </w:p>
        </w:tc>
        <w:tc>
          <w:tcPr>
            <w:tcW w:w="3311" w:type="dxa"/>
            <w:vMerge w:val="continue"/>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声环境</w:t>
            </w:r>
          </w:p>
        </w:tc>
        <w:tc>
          <w:tcPr>
            <w:tcW w:w="1350"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厂界噪声</w:t>
            </w:r>
          </w:p>
        </w:tc>
        <w:tc>
          <w:tcPr>
            <w:tcW w:w="1391"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连续等效A声级</w:t>
            </w:r>
          </w:p>
        </w:tc>
        <w:tc>
          <w:tcPr>
            <w:tcW w:w="2059"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设备采取隔声降噪减振和消声等措施</w:t>
            </w:r>
          </w:p>
        </w:tc>
        <w:tc>
          <w:tcPr>
            <w:tcW w:w="3311" w:type="dxa"/>
            <w:vAlign w:val="center"/>
          </w:tcPr>
          <w:p>
            <w:pPr>
              <w:pStyle w:val="46"/>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color w:val="auto"/>
                <w:highlight w:val="none"/>
                <w:lang w:val="en-US" w:eastAsia="zh-CN"/>
              </w:rPr>
              <w:t>厂界执行</w:t>
            </w:r>
            <w:r>
              <w:rPr>
                <w:color w:val="auto"/>
                <w:highlight w:val="none"/>
              </w:rPr>
              <w:t>《工业企业厂界环境噪声排放标准》(GB12348-2008)</w:t>
            </w:r>
            <w:r>
              <w:rPr>
                <w:rFonts w:hint="eastAsia"/>
                <w:color w:val="auto"/>
                <w:highlight w:val="none"/>
                <w:lang w:val="en-US" w:eastAsia="zh-CN"/>
              </w:rPr>
              <w:t>3</w:t>
            </w:r>
            <w:r>
              <w:rPr>
                <w:color w:val="auto"/>
                <w:highlight w:val="none"/>
              </w:rPr>
              <w:t>类标准</w:t>
            </w:r>
            <w:r>
              <w:rPr>
                <w:rFonts w:hint="eastAsia"/>
                <w:color w:val="auto"/>
                <w:sz w:val="21"/>
                <w:szCs w:val="21"/>
                <w:highlight w:val="none"/>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电磁</w:t>
            </w:r>
          </w:p>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辐射</w:t>
            </w:r>
          </w:p>
        </w:tc>
        <w:tc>
          <w:tcPr>
            <w:tcW w:w="135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1391"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059"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3311"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固体</w:t>
            </w:r>
          </w:p>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废物</w:t>
            </w:r>
          </w:p>
        </w:tc>
        <w:tc>
          <w:tcPr>
            <w:tcW w:w="8111" w:type="dxa"/>
            <w:gridSpan w:val="4"/>
            <w:vAlign w:val="center"/>
          </w:tcPr>
          <w:p>
            <w:pPr>
              <w:pageBreakBefore w:val="0"/>
              <w:kinsoku/>
              <w:overflowPunct/>
              <w:topLinePunct w:val="0"/>
              <w:bidi w:val="0"/>
              <w:adjustRightInd w:val="0"/>
              <w:snapToGrid w:val="0"/>
              <w:spacing w:line="240" w:lineRule="auto"/>
              <w:ind w:left="0" w:firstLine="0" w:firstLineChars="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bidi="ar"/>
                <w14:textFill>
                  <w14:solidFill>
                    <w14:schemeClr w14:val="tx1"/>
                  </w14:solidFill>
                </w14:textFill>
              </w:rPr>
              <w:t>一般工业固废：设置一般工业固废暂存间，妥善分类收集后回用于生产或外售综合利用；满足</w:t>
            </w:r>
            <w:r>
              <w:rPr>
                <w:rFonts w:hint="eastAsia"/>
                <w:color w:val="000000" w:themeColor="text1"/>
                <w:highlight w:val="none"/>
                <w14:textFill>
                  <w14:solidFill>
                    <w14:schemeClr w14:val="tx1"/>
                  </w14:solidFill>
                </w14:textFill>
              </w:rPr>
              <w:t>《一般工业固体废物贮存和填埋污染控制标准》（GB18599-2020）</w:t>
            </w:r>
            <w:r>
              <w:rPr>
                <w:rFonts w:hint="eastAsia" w:cs="宋体"/>
                <w:color w:val="000000" w:themeColor="text1"/>
                <w:szCs w:val="21"/>
                <w:highlight w:val="none"/>
                <w:lang w:bidi="ar"/>
                <w14:textFill>
                  <w14:solidFill>
                    <w14:schemeClr w14:val="tx1"/>
                  </w14:solidFill>
                </w14:textFill>
              </w:rPr>
              <w:t>的相关要求；危险废物：</w:t>
            </w:r>
            <w:r>
              <w:rPr>
                <w:rFonts w:hint="eastAsia" w:cs="宋体"/>
                <w:color w:val="000000" w:themeColor="text1"/>
                <w:szCs w:val="21"/>
                <w:highlight w:val="none"/>
                <w:lang w:val="en-US" w:eastAsia="zh-CN" w:bidi="ar"/>
                <w14:textFill>
                  <w14:solidFill>
                    <w14:schemeClr w14:val="tx1"/>
                  </w14:solidFill>
                </w14:textFill>
              </w:rPr>
              <w:t>建设危废仓库1座</w:t>
            </w:r>
            <w:r>
              <w:rPr>
                <w:rFonts w:hint="eastAsia" w:cs="宋体"/>
                <w:color w:val="000000" w:themeColor="text1"/>
                <w:szCs w:val="21"/>
                <w:highlight w:val="none"/>
                <w:lang w:bidi="ar"/>
                <w14:textFill>
                  <w14:solidFill>
                    <w14:schemeClr w14:val="tx1"/>
                  </w14:solidFill>
                </w14:textFill>
              </w:rPr>
              <w:t>。危险废物分类收集，暂存在危废</w:t>
            </w:r>
            <w:r>
              <w:rPr>
                <w:rFonts w:hint="eastAsia" w:cs="宋体"/>
                <w:color w:val="000000" w:themeColor="text1"/>
                <w:szCs w:val="21"/>
                <w:highlight w:val="none"/>
                <w:lang w:val="en-US" w:eastAsia="zh-CN" w:bidi="ar"/>
                <w14:textFill>
                  <w14:solidFill>
                    <w14:schemeClr w14:val="tx1"/>
                  </w14:solidFill>
                </w14:textFill>
              </w:rPr>
              <w:t>仓库</w:t>
            </w:r>
            <w:r>
              <w:rPr>
                <w:rFonts w:hint="eastAsia" w:cs="宋体"/>
                <w:color w:val="000000" w:themeColor="text1"/>
                <w:szCs w:val="21"/>
                <w:highlight w:val="none"/>
                <w:lang w:bidi="ar"/>
                <w14:textFill>
                  <w14:solidFill>
                    <w14:schemeClr w14:val="tx1"/>
                  </w14:solidFill>
                </w14:textFill>
              </w:rPr>
              <w:t>，定期委托有资质单位处置，危险废物收集、暂存、装运等需满足《危险废物贮存污染控制标准》</w:t>
            </w:r>
            <w:r>
              <w:rPr>
                <w:color w:val="000000" w:themeColor="text1"/>
                <w:szCs w:val="21"/>
                <w:highlight w:val="none"/>
                <w:lang w:bidi="ar"/>
                <w14:textFill>
                  <w14:solidFill>
                    <w14:schemeClr w14:val="tx1"/>
                  </w14:solidFill>
                </w14:textFill>
              </w:rPr>
              <w:t>(GB18597-20</w:t>
            </w:r>
            <w:r>
              <w:rPr>
                <w:rFonts w:hint="eastAsia"/>
                <w:color w:val="000000" w:themeColor="text1"/>
                <w:szCs w:val="21"/>
                <w:highlight w:val="none"/>
                <w:lang w:val="en-US" w:eastAsia="zh-CN" w:bidi="ar"/>
                <w14:textFill>
                  <w14:solidFill>
                    <w14:schemeClr w14:val="tx1"/>
                  </w14:solidFill>
                </w14:textFill>
              </w:rPr>
              <w:t>23</w:t>
            </w:r>
            <w:r>
              <w:rPr>
                <w:color w:val="000000" w:themeColor="text1"/>
                <w:szCs w:val="21"/>
                <w:highlight w:val="none"/>
                <w:lang w:bidi="ar"/>
                <w14:textFill>
                  <w14:solidFill>
                    <w14:schemeClr w14:val="tx1"/>
                  </w14:solidFill>
                </w14:textFill>
              </w:rPr>
              <w:t>)</w:t>
            </w:r>
            <w:r>
              <w:rPr>
                <w:rFonts w:hint="eastAsia" w:cs="宋体"/>
                <w:color w:val="000000" w:themeColor="text1"/>
                <w:szCs w:val="21"/>
                <w:highlight w:val="none"/>
                <w:lang w:bidi="ar"/>
                <w14:textFill>
                  <w14:solidFill>
                    <w14:schemeClr w14:val="tx1"/>
                  </w14:solidFill>
                </w14:textFill>
              </w:rPr>
              <w:t>。危废转移应严格按《危险废物转移联单管理办法》要求执行；</w:t>
            </w:r>
            <w:r>
              <w:rPr>
                <w:rFonts w:hint="eastAsia"/>
                <w:color w:val="000000" w:themeColor="text1"/>
                <w:szCs w:val="21"/>
                <w:highlight w:val="none"/>
                <w:lang w:bidi="ar"/>
                <w14:textFill>
                  <w14:solidFill>
                    <w14:schemeClr w14:val="tx1"/>
                  </w14:solidFill>
                </w14:textFill>
              </w:rPr>
              <w:t>生活垃圾：由垃圾桶收集，由市政环卫部门统一清运处理</w:t>
            </w:r>
            <w:r>
              <w:rPr>
                <w:rFonts w:hint="eastAsia"/>
                <w:color w:val="000000" w:themeColor="text1"/>
                <w:szCs w:val="21"/>
                <w:highlight w:val="none"/>
                <w:lang w:val="en-US"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土壤及地下水污染防治措施</w:t>
            </w:r>
          </w:p>
        </w:tc>
        <w:tc>
          <w:tcPr>
            <w:tcW w:w="8111" w:type="dxa"/>
            <w:gridSpan w:val="4"/>
            <w:vAlign w:val="center"/>
          </w:tcPr>
          <w:p>
            <w:pPr>
              <w:pStyle w:val="44"/>
              <w:pageBreakBefore w:val="0"/>
              <w:kinsoku/>
              <w:overflowPunct/>
              <w:topLinePunct w:val="0"/>
              <w:bidi w:val="0"/>
              <w:spacing w:line="240" w:lineRule="auto"/>
              <w:ind w:left="0" w:leftChars="0" w:firstLine="0" w:firstLineChars="0"/>
              <w:textAlignment w:val="auto"/>
              <w:rPr>
                <w:rFonts w:ascii="宋体" w:hAnsi="宋体" w:cs="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按照</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源头控制、分区防治、污染监控、应急响应</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相结合的原则全阶段进行控制</w:t>
            </w:r>
            <w:r>
              <w:rPr>
                <w:rFonts w:hint="eastAsia"/>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生态保护措施</w:t>
            </w:r>
          </w:p>
        </w:tc>
        <w:tc>
          <w:tcPr>
            <w:tcW w:w="8111" w:type="dxa"/>
            <w:gridSpan w:val="4"/>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环境风险防范措施</w:t>
            </w:r>
          </w:p>
        </w:tc>
        <w:tc>
          <w:tcPr>
            <w:tcW w:w="8111" w:type="dxa"/>
            <w:gridSpan w:val="4"/>
            <w:vAlign w:val="center"/>
          </w:tcPr>
          <w:p>
            <w:pPr>
              <w:pStyle w:val="44"/>
              <w:pageBreakBefore w:val="0"/>
              <w:kinsoku/>
              <w:overflowPunct/>
              <w:topLinePunct w:val="0"/>
              <w:bidi w:val="0"/>
              <w:spacing w:line="240" w:lineRule="auto"/>
              <w:ind w:left="0" w:firstLine="0" w:firstLineChars="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生产车间、仓库设置有消防设备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pStyle w:val="44"/>
              <w:pageBreakBefore w:val="0"/>
              <w:kinsoku/>
              <w:overflowPunct/>
              <w:topLinePunct w:val="0"/>
              <w:bidi w:val="0"/>
              <w:spacing w:line="240" w:lineRule="auto"/>
              <w:ind w:left="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加强职工管理，进行必要的安全消防教育，并做好个人防护。</w:t>
            </w:r>
          </w:p>
          <w:p>
            <w:pPr>
              <w:pStyle w:val="44"/>
              <w:pageBreakBefore w:val="0"/>
              <w:kinsoku/>
              <w:overflowPunct/>
              <w:topLinePunct w:val="0"/>
              <w:bidi w:val="0"/>
              <w:spacing w:line="240" w:lineRule="auto"/>
              <w:ind w:left="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企业应加强设备管理，确保设备完好，并制定严格的操作、管理制度，工作人员应培训上岗，定期对池体进行检查，杜绝“跑、冒、滴、漏”的发生。</w:t>
            </w:r>
          </w:p>
          <w:p>
            <w:pPr>
              <w:pStyle w:val="44"/>
              <w:pageBreakBefore w:val="0"/>
              <w:kinsoku/>
              <w:overflowPunct/>
              <w:topLinePunct w:val="0"/>
              <w:bidi w:val="0"/>
              <w:spacing w:line="240" w:lineRule="auto"/>
              <w:ind w:left="0" w:firstLine="0" w:firstLineChars="0"/>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④</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生产车间应进行地面硬化，确保项目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原料</w:t>
            </w:r>
            <w:r>
              <w:rPr>
                <w:rFonts w:hint="eastAsia" w:cs="Times New Roman"/>
                <w:color w:val="000000" w:themeColor="text1"/>
                <w:sz w:val="21"/>
                <w:szCs w:val="21"/>
                <w:highlight w:val="none"/>
                <w:lang w:val="en-US" w:eastAsia="zh-CN"/>
                <w14:textFill>
                  <w14:solidFill>
                    <w14:schemeClr w14:val="tx1"/>
                  </w14:solidFill>
                </w14:textFill>
              </w:rPr>
              <w:t>贮存区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生产设备等发生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泄漏</w:t>
            </w:r>
            <w:r>
              <w:rPr>
                <w:rFonts w:ascii="Times New Roman" w:hAnsi="Times New Roman" w:eastAsia="宋体" w:cs="Times New Roman"/>
                <w:color w:val="000000" w:themeColor="text1"/>
                <w:sz w:val="21"/>
                <w:szCs w:val="21"/>
                <w:highlight w:val="none"/>
                <w:lang w:val="en-US" w:eastAsia="zh-CN"/>
                <w14:textFill>
                  <w14:solidFill>
                    <w14:schemeClr w14:val="tx1"/>
                  </w14:solidFill>
                </w14:textFill>
              </w:rPr>
              <w:t>，物料不会对土壤及地下水造成污染；</w:t>
            </w:r>
            <w:r>
              <w:rPr>
                <w:rFonts w:hint="eastAsia"/>
                <w:color w:val="000000" w:themeColor="text1"/>
                <w:sz w:val="21"/>
                <w:szCs w:val="21"/>
                <w:highlight w:val="none"/>
                <w:lang w:val="en-US" w:eastAsia="zh-CN"/>
                <w14:textFill>
                  <w14:solidFill>
                    <w14:schemeClr w14:val="tx1"/>
                  </w14:solidFill>
                </w14:textFill>
              </w:rPr>
              <w:t>危废</w:t>
            </w:r>
            <w:r>
              <w:rPr>
                <w:rFonts w:hint="eastAsia"/>
                <w:color w:val="000000" w:themeColor="text1"/>
                <w:sz w:val="21"/>
                <w:szCs w:val="21"/>
                <w:highlight w:val="none"/>
                <w14:textFill>
                  <w14:solidFill>
                    <w14:schemeClr w14:val="tx1"/>
                  </w14:solidFill>
                </w14:textFill>
              </w:rPr>
              <w:t>仓库</w:t>
            </w:r>
            <w:r>
              <w:rPr>
                <w:color w:val="000000" w:themeColor="text1"/>
                <w:sz w:val="21"/>
                <w:szCs w:val="21"/>
                <w:highlight w:val="none"/>
                <w14:textFill>
                  <w14:solidFill>
                    <w14:schemeClr w14:val="tx1"/>
                  </w14:solidFill>
                </w14:textFill>
              </w:rPr>
              <w:t>应涂上环氧树脂防渗材料。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dxa"/>
            <w:vAlign w:val="center"/>
          </w:tcPr>
          <w:p>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000000" w:themeColor="text1"/>
                <w:spacing w:val="-8"/>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其他环境管理要求</w:t>
            </w:r>
          </w:p>
        </w:tc>
        <w:tc>
          <w:tcPr>
            <w:tcW w:w="8111" w:type="dxa"/>
            <w:gridSpan w:val="4"/>
            <w:vAlign w:val="center"/>
          </w:tcPr>
          <w:p>
            <w:pPr>
              <w:pStyle w:val="30"/>
              <w:pageBreakBefore w:val="0"/>
              <w:widowControl w:val="0"/>
              <w:kinsoku/>
              <w:overflowPunct/>
              <w:topLinePunct w:val="0"/>
              <w:bidi w:val="0"/>
              <w:spacing w:before="0" w:beforeAutospacing="0" w:after="0" w:afterAutospacing="0" w:line="240" w:lineRule="auto"/>
              <w:ind w:left="0" w:firstLine="0" w:firstLineChars="0"/>
              <w:textAlignment w:val="auto"/>
              <w:rPr>
                <w:rFonts w:hint="eastAsia" w:ascii="Times New Roman" w:hAnsi="Times New Roman"/>
                <w:color w:val="000000" w:themeColor="text1"/>
                <w:sz w:val="21"/>
                <w:szCs w:val="21"/>
                <w:highlight w:val="none"/>
                <w14:textFill>
                  <w14:solidFill>
                    <w14:schemeClr w14:val="tx1"/>
                  </w14:solidFill>
                </w14:textFill>
              </w:rPr>
            </w:pPr>
          </w:p>
          <w:p>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①根据《固定污染源排污许可分类管理名录（2019年版）》相关内容可知，本项目需执行登记管理，项目竣工后应当在全国排污许可证管理信息平台填报。</w:t>
            </w:r>
          </w:p>
          <w:p>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②项目需按《建设项目竣工环境保护验收技术指南污染影响类》（生态环境部令第9号）要求完成竣工环保验收。</w:t>
            </w:r>
          </w:p>
          <w:p>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③项目竣工后，应当根据建设实际情况对厂内进行应急预案编制。</w:t>
            </w:r>
          </w:p>
          <w:p>
            <w:pPr>
              <w:pStyle w:val="44"/>
              <w:pageBreakBefore w:val="0"/>
              <w:kinsoku/>
              <w:overflowPunct/>
              <w:topLinePunct w:val="0"/>
              <w:bidi w:val="0"/>
              <w:spacing w:line="240" w:lineRule="auto"/>
              <w:ind w:left="0" w:firstLine="0" w:firstLineChars="0"/>
              <w:textAlignment w:val="auto"/>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④</w:t>
            </w:r>
            <w:r>
              <w:rPr>
                <w:rFonts w:hint="eastAsia"/>
                <w:color w:val="000000" w:themeColor="text1"/>
                <w:kern w:val="0"/>
                <w:sz w:val="21"/>
                <w:szCs w:val="21"/>
                <w:highlight w:val="none"/>
                <w:lang w:val="en-US" w:eastAsia="zh-CN"/>
                <w14:textFill>
                  <w14:solidFill>
                    <w14:schemeClr w14:val="tx1"/>
                  </w14:solidFill>
                </w14:textFill>
              </w:rPr>
              <w:t>环保投资估算：</w:t>
            </w:r>
          </w:p>
          <w:p>
            <w:pPr>
              <w:pStyle w:val="6"/>
              <w:pageBreakBefore w:val="0"/>
              <w:numPr>
                <w:ilvl w:val="4"/>
                <w:numId w:val="0"/>
              </w:numPr>
              <w:kinsoku/>
              <w:overflowPunct/>
              <w:topLinePunct w:val="0"/>
              <w:bidi w:val="0"/>
              <w:spacing w:before="0" w:after="0" w:line="240" w:lineRule="auto"/>
              <w:ind w:left="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表5.1-1 </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项目环保投资估算表</w:t>
            </w:r>
          </w:p>
          <w:tbl>
            <w:tblPr>
              <w:tblStyle w:val="34"/>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000"/>
              <w:gridCol w:w="2703"/>
              <w:gridCol w:w="1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类型</w:t>
                  </w:r>
                </w:p>
              </w:tc>
              <w:tc>
                <w:tcPr>
                  <w:tcW w:w="1267" w:type="pct"/>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处理对象</w:t>
                  </w:r>
                </w:p>
              </w:tc>
              <w:tc>
                <w:tcPr>
                  <w:tcW w:w="1711" w:type="pct"/>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处理措施/设备</w:t>
                  </w:r>
                </w:p>
              </w:tc>
              <w:tc>
                <w:tcPr>
                  <w:tcW w:w="1250" w:type="pct"/>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投资（万元）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c>
                <w:tcPr>
                  <w:tcW w:w="770" w:type="pct"/>
                  <w:vMerge w:val="restart"/>
                  <w:tcBorders>
                    <w:top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w:t>
                  </w:r>
                </w:p>
              </w:tc>
              <w:tc>
                <w:tcPr>
                  <w:tcW w:w="1267" w:type="pct"/>
                  <w:tcBorders>
                    <w:top w:val="single" w:color="auto" w:sz="8" w:space="0"/>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5"/>
                      <w:sz w:val="21"/>
                    </w:rPr>
                    <w:t>电泳、固化废气</w:t>
                  </w:r>
                </w:p>
              </w:tc>
              <w:tc>
                <w:tcPr>
                  <w:tcW w:w="1711" w:type="pct"/>
                  <w:tcBorders>
                    <w:top w:val="single" w:color="auto" w:sz="8" w:space="0"/>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ascii="Times New Roman" w:hAnsi="Times New Roman" w:eastAsia="宋体"/>
                      <w:spacing w:val="7"/>
                      <w:sz w:val="21"/>
                    </w:rPr>
                    <w:t>电泳、固化废气经二级活性炭吸附处理后，通</w:t>
                  </w:r>
                  <w:r>
                    <w:rPr>
                      <w:rFonts w:ascii="Times New Roman" w:hAnsi="Times New Roman" w:eastAsia="宋体"/>
                      <w:spacing w:val="5"/>
                      <w:sz w:val="21"/>
                    </w:rPr>
                    <w:t>过</w:t>
                  </w:r>
                  <w:r>
                    <w:rPr>
                      <w:rFonts w:ascii="Times New Roman" w:hAnsi="Times New Roman" w:eastAsia="宋体" w:cs="Times New Roman"/>
                      <w:spacing w:val="5"/>
                      <w:sz w:val="21"/>
                    </w:rPr>
                    <w:t>1</w:t>
                  </w:r>
                  <w:r>
                    <w:rPr>
                      <w:rFonts w:ascii="Times New Roman" w:hAnsi="Times New Roman" w:eastAsia="宋体"/>
                      <w:spacing w:val="5"/>
                      <w:sz w:val="21"/>
                    </w:rPr>
                    <w:t>根</w:t>
                  </w:r>
                  <w:r>
                    <w:rPr>
                      <w:rFonts w:ascii="Times New Roman" w:hAnsi="Times New Roman" w:eastAsia="宋体" w:cs="Times New Roman"/>
                      <w:spacing w:val="5"/>
                      <w:sz w:val="21"/>
                    </w:rPr>
                    <w:t>23m</w:t>
                  </w:r>
                  <w:r>
                    <w:rPr>
                      <w:rFonts w:ascii="Times New Roman" w:hAnsi="Times New Roman" w:eastAsia="宋体"/>
                      <w:spacing w:val="5"/>
                      <w:sz w:val="21"/>
                    </w:rPr>
                    <w:t>高排气筒达标排放（</w:t>
                  </w:r>
                  <w:r>
                    <w:rPr>
                      <w:rFonts w:ascii="Times New Roman" w:hAnsi="Times New Roman" w:eastAsia="宋体" w:cs="Times New Roman"/>
                      <w:sz w:val="21"/>
                    </w:rPr>
                    <w:t>DA</w:t>
                  </w:r>
                  <w:r>
                    <w:rPr>
                      <w:rFonts w:ascii="Times New Roman" w:hAnsi="Times New Roman" w:eastAsia="宋体" w:cs="Times New Roman"/>
                      <w:spacing w:val="5"/>
                      <w:sz w:val="21"/>
                    </w:rPr>
                    <w:t>001</w:t>
                  </w:r>
                  <w:r>
                    <w:rPr>
                      <w:rFonts w:ascii="Times New Roman" w:hAnsi="Times New Roman" w:eastAsia="宋体"/>
                      <w:spacing w:val="5"/>
                      <w:sz w:val="21"/>
                    </w:rPr>
                    <w:t>）</w:t>
                  </w:r>
                </w:p>
              </w:tc>
              <w:tc>
                <w:tcPr>
                  <w:tcW w:w="1250" w:type="pct"/>
                  <w:tcBorders>
                    <w:top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pacing w:val="2"/>
                      <w:position w:val="2"/>
                      <w:sz w:val="21"/>
                      <w:szCs w:val="20"/>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pPr>
                </w:p>
              </w:tc>
              <w:tc>
                <w:tcPr>
                  <w:tcW w:w="1267"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kern w:val="2"/>
                      <w:sz w:val="21"/>
                      <w:szCs w:val="24"/>
                      <w:lang w:val="en-US" w:eastAsia="zh-CN" w:bidi="ar-SA"/>
                    </w:rPr>
                  </w:pPr>
                  <w:r>
                    <w:rPr>
                      <w:rFonts w:ascii="Times New Roman" w:hAnsi="Times New Roman" w:eastAsia="宋体"/>
                      <w:spacing w:val="7"/>
                      <w:sz w:val="21"/>
                    </w:rPr>
                    <w:t>焊接废气</w:t>
                  </w:r>
                </w:p>
              </w:tc>
              <w:tc>
                <w:tcPr>
                  <w:tcW w:w="1711" w:type="pct"/>
                  <w:tcBorders>
                    <w:tl2br w:val="nil"/>
                    <w:tr2bl w:val="nil"/>
                  </w:tcBorders>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7"/>
                      <w:position w:val="1"/>
                      <w:sz w:val="21"/>
                    </w:rPr>
                    <w:t>焊接废气脉冲滤筒除尘器处理后，通过</w:t>
                  </w:r>
                  <w:r>
                    <w:rPr>
                      <w:rFonts w:ascii="Times New Roman" w:hAnsi="Times New Roman" w:eastAsia="宋体" w:cs="Times New Roman"/>
                      <w:spacing w:val="7"/>
                      <w:position w:val="1"/>
                      <w:sz w:val="21"/>
                    </w:rPr>
                    <w:t>1</w:t>
                  </w:r>
                  <w:r>
                    <w:rPr>
                      <w:rFonts w:ascii="Times New Roman" w:hAnsi="Times New Roman" w:eastAsia="宋体"/>
                      <w:spacing w:val="7"/>
                      <w:position w:val="1"/>
                      <w:sz w:val="21"/>
                    </w:rPr>
                    <w:t>根</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pacing w:val="7"/>
                      <w:position w:val="1"/>
                      <w:sz w:val="21"/>
                    </w:rPr>
                    <w:t>20m</w:t>
                  </w:r>
                  <w:r>
                    <w:rPr>
                      <w:rFonts w:ascii="Times New Roman" w:hAnsi="Times New Roman" w:eastAsia="宋体"/>
                      <w:spacing w:val="7"/>
                      <w:position w:val="1"/>
                      <w:sz w:val="21"/>
                    </w:rPr>
                    <w:t>高排气筒达标排放（</w:t>
                  </w:r>
                  <w:r>
                    <w:rPr>
                      <w:rFonts w:ascii="Times New Roman" w:hAnsi="Times New Roman" w:eastAsia="宋体" w:cs="Times New Roman"/>
                      <w:position w:val="1"/>
                      <w:sz w:val="21"/>
                    </w:rPr>
                    <w:t>DA</w:t>
                  </w:r>
                  <w:r>
                    <w:rPr>
                      <w:rFonts w:ascii="Times New Roman" w:hAnsi="Times New Roman" w:eastAsia="宋体" w:cs="Times New Roman"/>
                      <w:spacing w:val="7"/>
                      <w:position w:val="1"/>
                      <w:sz w:val="21"/>
                    </w:rPr>
                    <w:t>002</w:t>
                  </w:r>
                  <w:r>
                    <w:rPr>
                      <w:rFonts w:ascii="Times New Roman" w:hAnsi="Times New Roman" w:eastAsia="宋体"/>
                      <w:spacing w:val="7"/>
                      <w:position w:val="1"/>
                      <w:sz w:val="21"/>
                    </w:rPr>
                    <w:t>）</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spacing w:val="2"/>
                      <w:position w:val="2"/>
                      <w:sz w:val="21"/>
                      <w:szCs w:val="20"/>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废水</w:t>
                  </w:r>
                </w:p>
              </w:tc>
              <w:tc>
                <w:tcPr>
                  <w:tcW w:w="12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生活污水</w:t>
                  </w:r>
                </w:p>
              </w:tc>
              <w:tc>
                <w:tcPr>
                  <w:tcW w:w="171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t>经化粪池处理后接市政污水管网</w:t>
                  </w:r>
                </w:p>
              </w:tc>
              <w:tc>
                <w:tcPr>
                  <w:tcW w:w="125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pPr>
                </w:p>
              </w:tc>
              <w:tc>
                <w:tcPr>
                  <w:tcW w:w="1267"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zh-CN" w:bidi="ar-SA"/>
                    </w:rPr>
                  </w:pPr>
                  <w:r>
                    <w:rPr>
                      <w:rFonts w:ascii="Times New Roman" w:hAnsi="Times New Roman" w:eastAsia="宋体"/>
                      <w:spacing w:val="6"/>
                      <w:sz w:val="21"/>
                    </w:rPr>
                    <w:t>生产废水</w:t>
                  </w:r>
                </w:p>
              </w:tc>
              <w:tc>
                <w:tcPr>
                  <w:tcW w:w="1711" w:type="pct"/>
                  <w:tcBorders>
                    <w:tl2br w:val="nil"/>
                    <w:tr2bl w:val="nil"/>
                  </w:tcBorders>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sz w:val="21"/>
                    </w:rPr>
                  </w:pPr>
                  <w:r>
                    <w:rPr>
                      <w:rFonts w:ascii="Times New Roman" w:hAnsi="Times New Roman" w:eastAsia="宋体"/>
                      <w:spacing w:val="6"/>
                      <w:position w:val="1"/>
                      <w:sz w:val="21"/>
                    </w:rPr>
                    <w:t>经“物化反应</w:t>
                  </w:r>
                  <w:r>
                    <w:rPr>
                      <w:rFonts w:ascii="Times New Roman" w:hAnsi="Times New Roman" w:eastAsia="宋体" w:cs="Times New Roman"/>
                      <w:spacing w:val="6"/>
                      <w:position w:val="1"/>
                      <w:sz w:val="21"/>
                    </w:rPr>
                    <w:t>+</w:t>
                  </w:r>
                  <w:r>
                    <w:rPr>
                      <w:rFonts w:ascii="Times New Roman" w:hAnsi="Times New Roman" w:eastAsia="宋体"/>
                      <w:spacing w:val="6"/>
                      <w:position w:val="1"/>
                      <w:sz w:val="21"/>
                    </w:rPr>
                    <w:t>气浮</w:t>
                  </w:r>
                  <w:r>
                    <w:rPr>
                      <w:rFonts w:ascii="Times New Roman" w:hAnsi="Times New Roman" w:eastAsia="宋体" w:cs="Times New Roman"/>
                      <w:spacing w:val="6"/>
                      <w:position w:val="1"/>
                      <w:sz w:val="21"/>
                    </w:rPr>
                    <w:t>+A/O+</w:t>
                  </w:r>
                  <w:r>
                    <w:rPr>
                      <w:rFonts w:ascii="Times New Roman" w:hAnsi="Times New Roman" w:eastAsia="宋体"/>
                      <w:spacing w:val="6"/>
                      <w:position w:val="1"/>
                      <w:sz w:val="21"/>
                    </w:rPr>
                    <w:t>沉淀”处理后，接</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kern w:val="2"/>
                      <w:sz w:val="21"/>
                      <w:szCs w:val="24"/>
                      <w:lang w:val="en-US" w:eastAsia="en-US" w:bidi="ar-SA"/>
                    </w:rPr>
                  </w:pPr>
                  <w:r>
                    <w:rPr>
                      <w:rFonts w:ascii="Times New Roman" w:hAnsi="Times New Roman" w:eastAsia="宋体"/>
                      <w:spacing w:val="7"/>
                      <w:sz w:val="21"/>
                    </w:rPr>
                    <w:t>市政污水管网</w:t>
                  </w:r>
                </w:p>
              </w:tc>
              <w:tc>
                <w:tcPr>
                  <w:tcW w:w="125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kern w:val="2"/>
                      <w:sz w:val="21"/>
                      <w:szCs w:val="20"/>
                      <w:lang w:val="en-US" w:eastAsia="zh-CN" w:bidi="ar-SA"/>
                    </w:rPr>
                  </w:pPr>
                  <w:r>
                    <w:rPr>
                      <w:rFonts w:ascii="Times New Roman" w:hAnsi="Times New Roman" w:eastAsia="宋体" w:cs="Times New Roman"/>
                      <w:spacing w:val="2"/>
                      <w:position w:val="2"/>
                      <w:sz w:val="21"/>
                      <w:szCs w:val="20"/>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噪声</w:t>
                  </w:r>
                </w:p>
              </w:tc>
              <w:tc>
                <w:tcPr>
                  <w:tcW w:w="1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设备</w:t>
                  </w:r>
                </w:p>
              </w:tc>
              <w:tc>
                <w:tcPr>
                  <w:tcW w:w="17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降噪减震</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固废</w:t>
                  </w:r>
                </w:p>
              </w:tc>
              <w:tc>
                <w:tcPr>
                  <w:tcW w:w="1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一般固废</w:t>
                  </w:r>
                </w:p>
              </w:tc>
              <w:tc>
                <w:tcPr>
                  <w:tcW w:w="17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一般固废间</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pPr>
                </w:p>
              </w:tc>
              <w:tc>
                <w:tcPr>
                  <w:tcW w:w="1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危险废物</w:t>
                  </w:r>
                </w:p>
              </w:tc>
              <w:tc>
                <w:tcPr>
                  <w:tcW w:w="17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危废暂存间、委托有资质单位处置</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风险</w:t>
                  </w:r>
                </w:p>
              </w:tc>
              <w:tc>
                <w:tcPr>
                  <w:tcW w:w="1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防渗</w:t>
                  </w:r>
                </w:p>
              </w:tc>
              <w:tc>
                <w:tcPr>
                  <w:tcW w:w="17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地面防渗措施</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2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废气、废水、噪声</w:t>
                  </w:r>
                </w:p>
              </w:tc>
              <w:tc>
                <w:tcPr>
                  <w:tcW w:w="17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自行监测</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val="0"/>
                      <w:bCs w:val="0"/>
                      <w:iCs/>
                      <w:color w:val="000000" w:themeColor="text1"/>
                      <w:sz w:val="21"/>
                      <w:szCs w:val="21"/>
                      <w:highlight w:val="none"/>
                      <w:lang w:val="en-US" w:eastAsia="zh-CN"/>
                      <w14:textFill>
                        <w14:solidFill>
                          <w14:schemeClr w14:val="tx1"/>
                        </w14:solidFill>
                      </w14:textFill>
                    </w:rPr>
                    <w:t>合计</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000000" w:themeColor="text1"/>
                      <w:sz w:val="21"/>
                      <w:szCs w:val="21"/>
                      <w:highlight w:val="none"/>
                      <w:lang w:val="en-US" w:eastAsia="zh-CN"/>
                      <w14:textFill>
                        <w14:solidFill>
                          <w14:schemeClr w14:val="tx1"/>
                        </w14:solidFill>
                      </w14:textFill>
                    </w:rPr>
                  </w:pPr>
                  <w:r>
                    <w:rPr>
                      <w:rFonts w:hint="eastAsia"/>
                      <w:b w:val="0"/>
                      <w:bCs w:val="0"/>
                      <w:iCs/>
                      <w:color w:val="000000" w:themeColor="text1"/>
                      <w:sz w:val="21"/>
                      <w:szCs w:val="21"/>
                      <w:highlight w:val="none"/>
                      <w:lang w:val="en-US" w:eastAsia="zh-CN"/>
                      <w14:textFill>
                        <w14:solidFill>
                          <w14:schemeClr w14:val="tx1"/>
                        </w14:solidFill>
                      </w14:textFill>
                    </w:rPr>
                    <w:t>95</w:t>
                  </w:r>
                </w:p>
              </w:tc>
            </w:tr>
          </w:tbl>
          <w:p>
            <w:pPr>
              <w:pStyle w:val="44"/>
              <w:pageBreakBefore w:val="0"/>
              <w:kinsoku/>
              <w:overflowPunct/>
              <w:topLinePunct w:val="0"/>
              <w:bidi w:val="0"/>
              <w:spacing w:line="240" w:lineRule="auto"/>
              <w:ind w:left="0" w:firstLine="0" w:firstLineChars="0"/>
              <w:textAlignment w:val="auto"/>
              <w:rPr>
                <w:rFonts w:hint="default"/>
                <w:color w:val="000000" w:themeColor="text1"/>
                <w:kern w:val="0"/>
                <w:sz w:val="21"/>
                <w:szCs w:val="21"/>
                <w:highlight w:val="none"/>
                <w:lang w:val="en-US" w:eastAsia="zh-CN"/>
                <w14:textFill>
                  <w14:solidFill>
                    <w14:schemeClr w14:val="tx1"/>
                  </w14:solidFill>
                </w14:textFill>
              </w:rPr>
            </w:pPr>
          </w:p>
        </w:tc>
      </w:tr>
    </w:tbl>
    <w:p>
      <w:pPr>
        <w:pStyle w:val="2"/>
        <w:numPr>
          <w:ilvl w:val="0"/>
          <w:numId w:val="0"/>
        </w:numPr>
        <w:tabs>
          <w:tab w:val="left" w:pos="0"/>
        </w:tabs>
        <w:ind w:left="432" w:leftChars="0" w:hanging="432" w:firstLineChars="0"/>
        <w:outlineLvl w:val="9"/>
        <w:rPr>
          <w:snapToGrid w:val="0"/>
          <w:color w:val="000000" w:themeColor="text1"/>
          <w:highlight w:val="none"/>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2"/>
        <w:numPr>
          <w:ilvl w:val="0"/>
          <w:numId w:val="1"/>
        </w:numPr>
        <w:bidi w:val="0"/>
        <w:ind w:left="432" w:leftChars="0" w:hanging="432" w:firstLineChars="0"/>
        <w:rPr>
          <w:rFonts w:hint="eastAsia" w:ascii="Times New Roman" w:hAnsi="Times New Roman" w:eastAsia="宋体"/>
          <w:color w:val="000000" w:themeColor="text1"/>
          <w:highlight w:val="none"/>
          <w14:textFill>
            <w14:solidFill>
              <w14:schemeClr w14:val="tx1"/>
            </w14:solidFill>
          </w14:textFill>
        </w:rPr>
      </w:pPr>
      <w:bookmarkStart w:id="67" w:name="_Toc14873"/>
      <w:bookmarkStart w:id="68" w:name="_Toc17753"/>
      <w:bookmarkStart w:id="69" w:name="_Toc288"/>
      <w:bookmarkStart w:id="70" w:name="_Toc22445"/>
      <w:bookmarkStart w:id="71" w:name="_Toc4502"/>
      <w:r>
        <w:rPr>
          <w:rFonts w:hint="eastAsia" w:ascii="Times New Roman" w:hAnsi="Times New Roman" w:eastAsia="宋体"/>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-30480</wp:posOffset>
            </wp:positionH>
            <wp:positionV relativeFrom="paragraph">
              <wp:posOffset>47625</wp:posOffset>
            </wp:positionV>
            <wp:extent cx="5758815" cy="8145780"/>
            <wp:effectExtent l="0" t="0" r="13335" b="7620"/>
            <wp:wrapNone/>
            <wp:docPr id="222" name="图片 222" descr="doc00224220250708142335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doc00224220250708142335_09(1)"/>
                    <pic:cNvPicPr>
                      <a:picLocks noChangeAspect="1"/>
                    </pic:cNvPicPr>
                  </pic:nvPicPr>
                  <pic:blipFill>
                    <a:blip r:embed="rId34"/>
                    <a:stretch>
                      <a:fillRect/>
                    </a:stretch>
                  </pic:blipFill>
                  <pic:spPr>
                    <a:xfrm>
                      <a:off x="0" y="0"/>
                      <a:ext cx="5758815" cy="8145780"/>
                    </a:xfrm>
                    <a:prstGeom prst="rect">
                      <a:avLst/>
                    </a:prstGeom>
                  </pic:spPr>
                </pic:pic>
              </a:graphicData>
            </a:graphic>
          </wp:anchor>
        </w:drawing>
      </w:r>
      <w:r>
        <w:rPr>
          <w:rFonts w:hint="eastAsia" w:ascii="Times New Roman" w:hAnsi="Times New Roman" w:eastAsia="宋体"/>
          <w:color w:val="000000" w:themeColor="text1"/>
          <w:highlight w:val="none"/>
          <w14:textFill>
            <w14:solidFill>
              <w14:schemeClr w14:val="tx1"/>
            </w14:solidFill>
          </w14:textFill>
        </w:rPr>
        <w:t>结论</w:t>
      </w:r>
      <w:bookmarkEnd w:id="67"/>
      <w:bookmarkEnd w:id="68"/>
      <w:bookmarkEnd w:id="69"/>
      <w:bookmarkEnd w:id="70"/>
      <w:bookmarkEnd w:id="71"/>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44"/>
              <w:keepNext w:val="0"/>
              <w:keepLines w:val="0"/>
              <w:pageBreakBefore w:val="0"/>
              <w:widowControl w:val="0"/>
              <w:kinsoku/>
              <w:wordWrap/>
              <w:overflowPunct/>
              <w:topLinePunct w:val="0"/>
              <w:autoSpaceDE w:val="0"/>
              <w:autoSpaceDN w:val="0"/>
              <w:bidi w:val="0"/>
              <w:adjustRightInd/>
              <w:snapToGrid/>
              <w:ind w:firstLine="480"/>
              <w:textAlignment w:val="auto"/>
              <w:rPr>
                <w:rFonts w:ascii="Times New Roman" w:hAnsi="Times New Roman" w:eastAsia="宋体"/>
                <w:color w:val="000000" w:themeColor="text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福州奇联汽车零部件有限公司年加工汽车座椅骨架10万套项目</w:t>
            </w:r>
            <w:r>
              <w:rPr>
                <w:rFonts w:ascii="Times New Roman" w:hAnsi="Times New Roman" w:eastAsia="宋体"/>
                <w:color w:val="000000" w:themeColor="text1"/>
                <w:highlight w:val="none"/>
                <w14:textFill>
                  <w14:solidFill>
                    <w14:schemeClr w14:val="tx1"/>
                  </w14:solidFill>
                </w14:textFill>
              </w:rPr>
              <w:t>的建设符合国家有关产业政策，项目选址合理</w:t>
            </w:r>
            <w:r>
              <w:rPr>
                <w:rFonts w:ascii="Times New Roman" w:hAnsi="Times New Roman" w:eastAsia="宋体"/>
                <w:color w:val="000000" w:themeColor="text1"/>
                <w:highlight w:val="none"/>
                <w:lang w:val="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平面布局可行。</w:t>
            </w:r>
            <w:r>
              <w:rPr>
                <w:rFonts w:ascii="Times New Roman" w:hAnsi="Times New Roman" w:eastAsia="宋体"/>
                <w:color w:val="000000" w:themeColor="text1"/>
                <w:highlight w:val="none"/>
                <w14:textFill>
                  <w14:solidFill>
                    <w14:schemeClr w14:val="tx1"/>
                  </w14:solidFill>
                </w14:textFill>
              </w:rPr>
              <w:t>项目运营后产生的污水、废气、噪声、固废通过采取相应的措施治理，能够实现污染物的达标排放。在工程建设中，严格执行“三同时”制度，项目投产后，严格</w:t>
            </w:r>
            <w:r>
              <w:rPr>
                <w:rFonts w:hint="eastAsia" w:ascii="Times New Roman" w:hAnsi="Times New Roman" w:eastAsia="宋体"/>
                <w:color w:val="000000" w:themeColor="text1"/>
                <w:highlight w:val="none"/>
                <w14:textFill>
                  <w14:solidFill>
                    <w14:schemeClr w14:val="tx1"/>
                  </w14:solidFill>
                </w14:textFill>
              </w:rPr>
              <w:t>遵守</w:t>
            </w:r>
            <w:r>
              <w:rPr>
                <w:rFonts w:ascii="Times New Roman" w:hAnsi="Times New Roman" w:eastAsia="宋体"/>
                <w:color w:val="000000" w:themeColor="text1"/>
                <w:highlight w:val="none"/>
                <w14:textFill>
                  <w14:solidFill>
                    <w14:schemeClr w14:val="tx1"/>
                  </w14:solidFill>
                </w14:textFill>
              </w:rPr>
              <w:t>国家有关法律法规</w:t>
            </w:r>
            <w:r>
              <w:rPr>
                <w:rFonts w:hint="eastAsia" w:ascii="Times New Roman" w:hAnsi="Times New Roman" w:eastAsia="宋体"/>
                <w:color w:val="000000" w:themeColor="text1"/>
                <w:highlight w:val="none"/>
                <w14:textFill>
                  <w14:solidFill>
                    <w14:schemeClr w14:val="tx1"/>
                  </w14:solidFill>
                </w14:textFill>
              </w:rPr>
              <w:t>，严格执行相关标准和</w:t>
            </w:r>
            <w:r>
              <w:rPr>
                <w:rFonts w:ascii="Times New Roman" w:hAnsi="Times New Roman" w:eastAsia="宋体"/>
                <w:color w:val="000000" w:themeColor="text1"/>
                <w:highlight w:val="none"/>
                <w14:textFill>
                  <w14:solidFill>
                    <w14:schemeClr w14:val="tx1"/>
                  </w14:solidFill>
                </w14:textFill>
              </w:rPr>
              <w:t>技术规范，</w:t>
            </w:r>
            <w:r>
              <w:rPr>
                <w:rFonts w:hint="eastAsia" w:ascii="Times New Roman" w:hAnsi="Times New Roman" w:eastAsia="宋体"/>
                <w:color w:val="000000" w:themeColor="text1"/>
                <w:highlight w:val="none"/>
                <w14:textFill>
                  <w14:solidFill>
                    <w14:schemeClr w14:val="tx1"/>
                  </w14:solidFill>
                </w14:textFill>
              </w:rPr>
              <w:t>严格</w:t>
            </w:r>
            <w:r>
              <w:rPr>
                <w:rFonts w:ascii="Times New Roman" w:hAnsi="Times New Roman" w:eastAsia="宋体"/>
                <w:color w:val="000000" w:themeColor="text1"/>
                <w:highlight w:val="none"/>
                <w14:textFill>
                  <w14:solidFill>
                    <w14:schemeClr w14:val="tx1"/>
                  </w14:solidFill>
                </w14:textFill>
              </w:rPr>
              <w:t>落实各项环境风险防范措施，确保污染物排放总量控制在经</w:t>
            </w:r>
            <w:r>
              <w:rPr>
                <w:rFonts w:hint="eastAsia" w:ascii="Times New Roman" w:hAnsi="Times New Roman" w:eastAsia="宋体"/>
                <w:color w:val="000000" w:themeColor="text1"/>
                <w:highlight w:val="none"/>
                <w:lang w:val="en-US" w:eastAsia="zh-CN"/>
                <w14:textFill>
                  <w14:solidFill>
                    <w14:schemeClr w14:val="tx1"/>
                  </w14:solidFill>
                </w14:textFill>
              </w:rPr>
              <w:t>生态环境</w:t>
            </w:r>
            <w:r>
              <w:rPr>
                <w:rFonts w:ascii="Times New Roman" w:hAnsi="Times New Roman" w:eastAsia="宋体"/>
                <w:color w:val="000000" w:themeColor="text1"/>
                <w:highlight w:val="none"/>
                <w14:textFill>
                  <w14:solidFill>
                    <w14:schemeClr w14:val="tx1"/>
                  </w14:solidFill>
                </w14:textFill>
              </w:rPr>
              <w:t>主管部门核定的范围内，污染物达标排放的前提下，对周边环境影响较小，</w:t>
            </w:r>
            <w:r>
              <w:rPr>
                <w:rFonts w:hint="eastAsia" w:ascii="Times New Roman" w:hAnsi="Times New Roman" w:eastAsia="宋体"/>
                <w:color w:val="000000" w:themeColor="text1"/>
                <w:highlight w:val="none"/>
                <w14:textFill>
                  <w14:solidFill>
                    <w14:schemeClr w14:val="tx1"/>
                  </w14:solidFill>
                </w14:textFill>
              </w:rPr>
              <w:t>该项目可实现经济效益、环境效益的协调性发展。</w:t>
            </w:r>
            <w:r>
              <w:rPr>
                <w:rFonts w:ascii="Times New Roman" w:hAnsi="Times New Roman" w:eastAsia="宋体"/>
                <w:color w:val="000000" w:themeColor="text1"/>
                <w:highlight w:val="none"/>
                <w14:textFill>
                  <w14:solidFill>
                    <w14:schemeClr w14:val="tx1"/>
                  </w14:solidFill>
                </w14:textFill>
              </w:rPr>
              <w:t>从环境保护的角度分析，该项目的建设是可行的。</w:t>
            </w:r>
          </w:p>
          <w:p>
            <w:pPr>
              <w:pStyle w:val="23"/>
              <w:rPr>
                <w:rFonts w:ascii="Times New Roman" w:hAnsi="Times New Roman" w:eastAsia="宋体"/>
                <w:color w:val="000000" w:themeColor="text1"/>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pStyle w:val="23"/>
              <w:rPr>
                <w:rFonts w:ascii="Times New Roman" w:hAnsi="Times New Roman" w:eastAsia="宋体"/>
                <w:color w:val="000000" w:themeColor="text1"/>
                <w:sz w:val="24"/>
                <w:szCs w:val="24"/>
                <w:highlight w:val="none"/>
                <w14:textFill>
                  <w14:solidFill>
                    <w14:schemeClr w14:val="tx1"/>
                  </w14:solidFill>
                </w14:textFill>
              </w:rPr>
            </w:pPr>
          </w:p>
          <w:p>
            <w:pPr>
              <w:jc w:val="right"/>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福州朴诚至信环保科技有限公</w:t>
            </w:r>
            <w:r>
              <w:rPr>
                <w:rFonts w:ascii="Times New Roman" w:hAnsi="Times New Roman" w:eastAsia="宋体"/>
                <w:b/>
                <w:bCs/>
                <w:color w:val="000000" w:themeColor="text1"/>
                <w:sz w:val="24"/>
                <w:highlight w:val="none"/>
                <w14:textFill>
                  <w14:solidFill>
                    <w14:schemeClr w14:val="tx1"/>
                  </w14:solidFill>
                </w14:textFill>
              </w:rPr>
              <w:t>司</w:t>
            </w:r>
          </w:p>
          <w:p>
            <w:pPr>
              <w:wordWrap w:val="0"/>
              <w:jc w:val="right"/>
              <w:rPr>
                <w:rFonts w:hint="default" w:ascii="Times New Roman" w:hAnsi="Times New Roman" w:eastAsia="宋体"/>
                <w:b/>
                <w:bCs/>
                <w:color w:val="000000" w:themeColor="text1"/>
                <w:sz w:val="24"/>
                <w:highlight w:val="none"/>
                <w:lang w:val="en-US" w:eastAsia="zh-CN"/>
                <w14:textFill>
                  <w14:solidFill>
                    <w14:schemeClr w14:val="tx1"/>
                  </w14:solidFill>
                </w14:textFill>
              </w:rPr>
            </w:pPr>
            <w:r>
              <w:rPr>
                <w:rFonts w:ascii="Times New Roman" w:hAnsi="Times New Roman" w:eastAsia="宋体"/>
                <w:b/>
                <w:bCs/>
                <w:color w:val="000000" w:themeColor="text1"/>
                <w:sz w:val="24"/>
                <w:highlight w:val="none"/>
                <w:lang w:val="zh-CN"/>
                <w14:textFill>
                  <w14:solidFill>
                    <w14:schemeClr w14:val="tx1"/>
                  </w14:solidFill>
                </w14:textFill>
              </w:rPr>
              <w:t>202</w:t>
            </w:r>
            <w:r>
              <w:rPr>
                <w:rFonts w:hint="eastAsia"/>
                <w:b/>
                <w:bCs/>
                <w:color w:val="000000" w:themeColor="text1"/>
                <w:sz w:val="24"/>
                <w:highlight w:val="none"/>
                <w:lang w:val="en-US" w:eastAsia="zh-CN"/>
                <w14:textFill>
                  <w14:solidFill>
                    <w14:schemeClr w14:val="tx1"/>
                  </w14:solidFill>
                </w14:textFill>
              </w:rPr>
              <w:t>5</w:t>
            </w:r>
            <w:r>
              <w:rPr>
                <w:rFonts w:ascii="Times New Roman" w:hAnsi="Times New Roman" w:eastAsia="宋体"/>
                <w:b/>
                <w:bCs/>
                <w:color w:val="000000" w:themeColor="text1"/>
                <w:sz w:val="24"/>
                <w:highlight w:val="none"/>
                <w:lang w:val="zh-CN"/>
                <w14:textFill>
                  <w14:solidFill>
                    <w14:schemeClr w14:val="tx1"/>
                  </w14:solidFill>
                </w14:textFill>
              </w:rPr>
              <w:t>年</w:t>
            </w:r>
            <w:r>
              <w:rPr>
                <w:rFonts w:hint="eastAsia"/>
                <w:b/>
                <w:bCs/>
                <w:color w:val="000000" w:themeColor="text1"/>
                <w:sz w:val="24"/>
                <w:highlight w:val="none"/>
                <w:lang w:val="en-US" w:eastAsia="zh-CN"/>
                <w14:textFill>
                  <w14:solidFill>
                    <w14:schemeClr w14:val="tx1"/>
                  </w14:solidFill>
                </w14:textFill>
              </w:rPr>
              <w:t>7</w:t>
            </w:r>
            <w:r>
              <w:rPr>
                <w:rFonts w:ascii="Times New Roman" w:hAnsi="Times New Roman" w:eastAsia="宋体"/>
                <w:b/>
                <w:bCs/>
                <w:color w:val="000000" w:themeColor="text1"/>
                <w:sz w:val="24"/>
                <w:highlight w:val="none"/>
                <w:lang w:val="zh-CN"/>
                <w14:textFill>
                  <w14:solidFill>
                    <w14:schemeClr w14:val="tx1"/>
                  </w14:solidFill>
                </w14:textFill>
              </w:rPr>
              <w:t>月</w:t>
            </w:r>
          </w:p>
          <w:p>
            <w:pPr>
              <w:spacing w:line="360" w:lineRule="auto"/>
              <w:rPr>
                <w:rFonts w:ascii="Times New Roman" w:hAnsi="Times New Roman" w:eastAsia="宋体" w:cs="宋体"/>
                <w:color w:val="000000" w:themeColor="text1"/>
                <w:sz w:val="24"/>
                <w:highlight w:val="none"/>
                <w14:textFill>
                  <w14:solidFill>
                    <w14:schemeClr w14:val="tx1"/>
                  </w14:solidFill>
                </w14:textFill>
              </w:rPr>
            </w:pPr>
          </w:p>
        </w:tc>
      </w:tr>
    </w:tbl>
    <w:p>
      <w:pPr>
        <w:rPr>
          <w:rFonts w:hint="eastAsia" w:ascii="宋体" w:eastAsia="宋体"/>
          <w:color w:val="000000" w:themeColor="text1"/>
          <w:highlight w:val="none"/>
          <w:lang w:eastAsia="zh-CN"/>
          <w14:textFill>
            <w14:solidFill>
              <w14:schemeClr w14:val="tx1"/>
            </w14:solidFill>
          </w14:textFill>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30"/>
        <w:adjustRightInd w:val="0"/>
        <w:snapToGrid w:val="0"/>
        <w:spacing w:before="0" w:beforeAutospacing="0" w:after="0" w:afterAutospacing="0"/>
        <w:outlineLvl w:val="0"/>
        <w:rPr>
          <w:rFonts w:ascii="黑体" w:hAnsi="黑体" w:eastAsia="黑体"/>
          <w:snapToGrid w:val="0"/>
          <w:color w:val="000000" w:themeColor="text1"/>
          <w:sz w:val="32"/>
          <w:szCs w:val="32"/>
          <w:highlight w:val="none"/>
          <w14:textFill>
            <w14:solidFill>
              <w14:schemeClr w14:val="tx1"/>
            </w14:solidFill>
          </w14:textFill>
        </w:rPr>
      </w:pPr>
      <w:bookmarkStart w:id="72" w:name="_Toc8552"/>
      <w:bookmarkStart w:id="73" w:name="_Toc846"/>
      <w:bookmarkStart w:id="74" w:name="_Toc22600"/>
      <w:bookmarkStart w:id="75" w:name="_Toc3022"/>
      <w:bookmarkStart w:id="76" w:name="_Toc15545"/>
      <w:r>
        <w:rPr>
          <w:rFonts w:hint="eastAsia" w:ascii="黑体" w:hAnsi="黑体" w:eastAsia="黑体"/>
          <w:snapToGrid w:val="0"/>
          <w:color w:val="000000" w:themeColor="text1"/>
          <w:sz w:val="32"/>
          <w:szCs w:val="32"/>
          <w:highlight w:val="none"/>
          <w14:textFill>
            <w14:solidFill>
              <w14:schemeClr w14:val="tx1"/>
            </w14:solidFill>
          </w14:textFill>
        </w:rPr>
        <w:t>附表</w:t>
      </w:r>
      <w:bookmarkEnd w:id="72"/>
      <w:bookmarkEnd w:id="73"/>
      <w:bookmarkEnd w:id="74"/>
      <w:bookmarkEnd w:id="75"/>
      <w:bookmarkEnd w:id="76"/>
    </w:p>
    <w:p>
      <w:pPr>
        <w:pStyle w:val="30"/>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2"/>
          <w:szCs w:val="32"/>
          <w:highlight w:val="none"/>
          <w14:textFill>
            <w14:solidFill>
              <w14:schemeClr w14:val="tx1"/>
            </w14:solidFill>
          </w14:textFill>
        </w:rPr>
      </w:pPr>
      <w:bookmarkStart w:id="77" w:name="_Toc2648"/>
      <w:bookmarkStart w:id="78" w:name="_Toc31577"/>
      <w:bookmarkStart w:id="79" w:name="_Toc29555"/>
      <w:bookmarkStart w:id="80" w:name="_Toc3813"/>
      <w:bookmarkStart w:id="81" w:name="_Toc27685"/>
      <w:r>
        <w:rPr>
          <w:rFonts w:hint="eastAsia" w:ascii="方正小标宋_GBK" w:hAnsi="黑体" w:eastAsia="方正小标宋_GBK"/>
          <w:snapToGrid w:val="0"/>
          <w:color w:val="000000" w:themeColor="text1"/>
          <w:sz w:val="32"/>
          <w:szCs w:val="32"/>
          <w:highlight w:val="none"/>
          <w14:textFill>
            <w14:solidFill>
              <w14:schemeClr w14:val="tx1"/>
            </w14:solidFill>
          </w14:textFill>
        </w:rPr>
        <w:t>建设项目</w:t>
      </w:r>
      <w:r>
        <w:rPr>
          <w:rFonts w:hint="eastAsia" w:ascii="方正小标宋_GBK" w:hAnsi="黑体" w:eastAsia="方正小标宋_GBK"/>
          <w:b w:val="0"/>
          <w:bCs w:val="0"/>
          <w:snapToGrid w:val="0"/>
          <w:color w:val="000000" w:themeColor="text1"/>
          <w:sz w:val="32"/>
          <w:szCs w:val="32"/>
          <w:highlight w:val="none"/>
          <w14:textFill>
            <w14:solidFill>
              <w14:schemeClr w14:val="tx1"/>
            </w14:solidFill>
          </w14:textFill>
        </w:rPr>
        <w:t>污染物排放量汇总</w:t>
      </w:r>
      <w:r>
        <w:rPr>
          <w:rFonts w:hint="eastAsia" w:ascii="方正小标宋_GBK" w:hAnsi="黑体" w:eastAsia="方正小标宋_GBK"/>
          <w:snapToGrid w:val="0"/>
          <w:color w:val="000000" w:themeColor="text1"/>
          <w:sz w:val="32"/>
          <w:szCs w:val="32"/>
          <w:highlight w:val="none"/>
          <w14:textFill>
            <w14:solidFill>
              <w14:schemeClr w14:val="tx1"/>
            </w14:solidFill>
          </w14:textFill>
        </w:rPr>
        <w:t>表</w:t>
      </w:r>
      <w:bookmarkEnd w:id="77"/>
      <w:bookmarkEnd w:id="78"/>
      <w:bookmarkEnd w:id="79"/>
      <w:bookmarkEnd w:id="80"/>
      <w:bookmarkEnd w:id="81"/>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850"/>
        <w:gridCol w:w="1554"/>
        <w:gridCol w:w="1255"/>
        <w:gridCol w:w="1486"/>
        <w:gridCol w:w="1514"/>
        <w:gridCol w:w="1418"/>
        <w:gridCol w:w="1562"/>
        <w:gridCol w:w="13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dxa"/>
            <w:tcBorders>
              <w:tl2br w:val="single" w:color="auto" w:sz="4" w:space="0"/>
            </w:tcBorders>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项目</w:t>
            </w:r>
          </w:p>
          <w:p>
            <w:pPr>
              <w:pStyle w:val="49"/>
              <w:keepNext w:val="0"/>
              <w:keepLines w:val="0"/>
              <w:pageBreakBefore w:val="0"/>
              <w:kinsoku/>
              <w:wordWrap/>
              <w:overflowPunct/>
              <w:topLinePunct w:val="0"/>
              <w:autoSpaceDE/>
              <w:autoSpaceDN/>
              <w:bidi w:val="0"/>
              <w:spacing w:beforeLines="0" w:afterLines="0" w:line="240" w:lineRule="auto"/>
              <w:ind w:left="0"/>
              <w:jc w:val="both"/>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分类</w:t>
            </w:r>
          </w:p>
        </w:tc>
        <w:tc>
          <w:tcPr>
            <w:tcW w:w="2850"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污染物名称</w:t>
            </w:r>
          </w:p>
        </w:tc>
        <w:tc>
          <w:tcPr>
            <w:tcW w:w="1554"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现有工程</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instrText xml:space="preserve">=1\*GB3\*MERGEFORMAT</w:instrTex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end"/>
            </w:r>
          </w:p>
        </w:tc>
        <w:tc>
          <w:tcPr>
            <w:tcW w:w="1255"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现有工程</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许可排放量</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instrText xml:space="preserve">=2\*GB3\*MERGEFORMAT</w:instrTex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separate"/>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②</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end"/>
            </w:r>
          </w:p>
        </w:tc>
        <w:tc>
          <w:tcPr>
            <w:tcW w:w="1486"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在建工程</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instrText xml:space="preserve">=3\*GB3\*MERGEFORMAT</w:instrTex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③</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end"/>
            </w:r>
          </w:p>
        </w:tc>
        <w:tc>
          <w:tcPr>
            <w:tcW w:w="1514"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本项目</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排放量（固体废物产生量）</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instrText xml:space="preserve">=4\*GB3\*MERGEFORMAT</w:instrTex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④</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end"/>
            </w:r>
          </w:p>
        </w:tc>
        <w:tc>
          <w:tcPr>
            <w:tcW w:w="1418"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1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t>以新带老削减量</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1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t>（新建项目不填）</w: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instrText xml:space="preserve">=5\*GB3\*MERGEFORMAT</w:instrTex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⑤</w: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end"/>
            </w:r>
          </w:p>
        </w:tc>
        <w:tc>
          <w:tcPr>
            <w:tcW w:w="1562"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1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t>本项目建成后</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1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t>全厂排放量（固体废物产生量）</w: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instrText xml:space="preserve">=6\*GB3\*MERGEFORMAT</w:instrTex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 w:val="21"/>
                <w:szCs w:val="21"/>
                <w:highlight w:val="none"/>
                <w14:textFill>
                  <w14:solidFill>
                    <w14:schemeClr w14:val="tx1"/>
                  </w14:solidFill>
                </w14:textFill>
              </w:rPr>
              <w:fldChar w:fldCharType="end"/>
            </w:r>
          </w:p>
        </w:tc>
        <w:tc>
          <w:tcPr>
            <w:tcW w:w="1337" w:type="dxa"/>
            <w:tcMar>
              <w:left w:w="28" w:type="dxa"/>
              <w:right w:w="28" w:type="dxa"/>
            </w:tcMar>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t>变化量</w:t>
            </w:r>
          </w:p>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spacing w:val="-6"/>
                <w:kern w:val="21"/>
                <w:sz w:val="21"/>
                <w:szCs w:val="21"/>
                <w:highlight w:val="none"/>
                <w14:textFill>
                  <w14:solidFill>
                    <w14:schemeClr w14:val="tx1"/>
                  </w14:solidFill>
                </w14:textFill>
              </w:rPr>
            </w:pP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instrText xml:space="preserve">=7\*GB3\*MERGEFORMAT</w:instrTex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separate"/>
            </w:r>
            <w:r>
              <w:rPr>
                <w:rFonts w:ascii="Times New Roman" w:hAnsi="Times New Roman" w:eastAsia="宋体"/>
                <w:color w:val="000000" w:themeColor="text1"/>
                <w:kern w:val="2"/>
                <w:sz w:val="21"/>
                <w:szCs w:val="21"/>
                <w:highlight w:val="none"/>
                <w14:textFill>
                  <w14:solidFill>
                    <w14:schemeClr w14:val="tx1"/>
                  </w14:solidFill>
                </w14:textFill>
              </w:rPr>
              <w:t>⑦</w:t>
            </w:r>
            <w:r>
              <w:rPr>
                <w:rFonts w:ascii="Times New Roman" w:hAnsi="Times New Roman" w:eastAsia="宋体"/>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812" w:type="dxa"/>
            <w:vMerge w:val="restart"/>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废气</w:t>
            </w: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zh-CN"/>
              </w:rPr>
            </w:pPr>
            <w:r>
              <w:rPr>
                <w:rFonts w:ascii="Times New Roman" w:hAnsi="Times New Roman" w:eastAsia="宋体" w:cs="宋体"/>
                <w:spacing w:val="7"/>
                <w:sz w:val="21"/>
              </w:rPr>
              <w:t>VOCs</w:t>
            </w:r>
          </w:p>
        </w:tc>
        <w:tc>
          <w:tcPr>
            <w:tcW w:w="1554"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255"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486"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000000" w:themeColor="text1"/>
                <w:kern w:val="21"/>
                <w:sz w:val="21"/>
                <w:szCs w:val="21"/>
                <w:highlight w:val="none"/>
                <w:lang w:eastAsia="zh-CN"/>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0.3059</w:t>
            </w:r>
          </w:p>
        </w:tc>
        <w:tc>
          <w:tcPr>
            <w:tcW w:w="1418"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0.3059</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w:t>
            </w:r>
            <w:r>
              <w:rPr>
                <w:rFonts w:hint="eastAsia" w:ascii="Times New Roman" w:hAnsi="Times New Roman" w:cs="宋体"/>
                <w:spacing w:val="7"/>
                <w:sz w:val="21"/>
                <w:lang w:val="en-US" w:eastAsia="zh-CN"/>
              </w:rPr>
              <w:t>3059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颗粒物</w:t>
            </w:r>
          </w:p>
        </w:tc>
        <w:tc>
          <w:tcPr>
            <w:tcW w:w="1554"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255"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486"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000000" w:themeColor="text1"/>
                <w:kern w:val="21"/>
                <w:sz w:val="21"/>
                <w:szCs w:val="21"/>
                <w:highlight w:val="none"/>
                <w:lang w:eastAsia="zh-CN"/>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0.0623</w:t>
            </w:r>
          </w:p>
        </w:tc>
        <w:tc>
          <w:tcPr>
            <w:tcW w:w="1418"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0.0623</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0.0623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二氧化硫</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0.002</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0.002</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zh-CN"/>
              </w:rPr>
            </w:pPr>
            <w:r>
              <w:rPr>
                <w:rFonts w:ascii="Times New Roman" w:hAnsi="Times New Roman" w:eastAsia="宋体" w:cs="宋体"/>
                <w:spacing w:val="7"/>
                <w:sz w:val="21"/>
              </w:rPr>
              <w:t>氮氧化物</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0.0186</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0.0186</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0.0186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zh-CN"/>
              </w:rPr>
            </w:pPr>
            <w:r>
              <w:rPr>
                <w:rFonts w:ascii="Times New Roman" w:hAnsi="Times New Roman" w:eastAsia="宋体" w:cs="宋体"/>
                <w:spacing w:val="7"/>
                <w:sz w:val="21"/>
              </w:rPr>
              <w:t>氨</w:t>
            </w:r>
          </w:p>
        </w:tc>
        <w:tc>
          <w:tcPr>
            <w:tcW w:w="1554"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255"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486"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0.06</w:t>
            </w:r>
          </w:p>
        </w:tc>
        <w:tc>
          <w:tcPr>
            <w:tcW w:w="1418"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0.06</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zh-CN"/>
              </w:rPr>
            </w:pPr>
            <w:r>
              <w:rPr>
                <w:rFonts w:ascii="Times New Roman" w:hAnsi="Times New Roman" w:eastAsia="宋体" w:cs="宋体"/>
                <w:spacing w:val="7"/>
                <w:sz w:val="21"/>
              </w:rPr>
              <w:t>硫化氢</w:t>
            </w:r>
          </w:p>
        </w:tc>
        <w:tc>
          <w:tcPr>
            <w:tcW w:w="1554"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255"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486"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0.12</w:t>
            </w:r>
          </w:p>
        </w:tc>
        <w:tc>
          <w:tcPr>
            <w:tcW w:w="1418"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0.12</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en-US"/>
              </w:rPr>
            </w:pPr>
            <w:r>
              <w:rPr>
                <w:rFonts w:ascii="Times New Roman" w:hAnsi="Times New Roman" w:eastAsia="宋体" w:cs="宋体"/>
                <w:spacing w:val="7"/>
                <w:sz w:val="21"/>
              </w:rPr>
              <w:t>废水</w:t>
            </w: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zh-CN"/>
              </w:rPr>
            </w:pPr>
            <w:r>
              <w:rPr>
                <w:rFonts w:ascii="Times New Roman" w:hAnsi="Times New Roman" w:eastAsia="宋体" w:cs="宋体"/>
                <w:spacing w:val="7"/>
                <w:sz w:val="21"/>
              </w:rPr>
              <w:t>COD</w:t>
            </w:r>
          </w:p>
        </w:tc>
        <w:tc>
          <w:tcPr>
            <w:tcW w:w="1554"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255"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486" w:type="dxa"/>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0.2539</w:t>
            </w:r>
          </w:p>
        </w:tc>
        <w:tc>
          <w:tcPr>
            <w:tcW w:w="1418" w:type="dxa"/>
            <w:vAlign w:val="center"/>
          </w:tcPr>
          <w:p>
            <w:pPr>
              <w:pStyle w:val="49"/>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000000" w:themeColor="text1"/>
                <w:kern w:val="21"/>
                <w:sz w:val="21"/>
                <w:szCs w:val="21"/>
                <w:highlight w:val="none"/>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0.2539</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0.2539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BOD5</w:t>
            </w:r>
          </w:p>
        </w:tc>
        <w:tc>
          <w:tcPr>
            <w:tcW w:w="1554"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0.5634</w:t>
            </w:r>
          </w:p>
        </w:tc>
        <w:tc>
          <w:tcPr>
            <w:tcW w:w="1418"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0.5634</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0.5634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SS</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0.1579</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0.1579</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0.1579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石油类</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0.0089</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0.0089</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0.0089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LAS</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0.0012</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0.0012</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氨氮</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0.0127</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0.0127</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0.0127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TN</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0.0177</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0.0177</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0.0177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氟化物</w:t>
            </w:r>
          </w:p>
        </w:tc>
        <w:tc>
          <w:tcPr>
            <w:tcW w:w="1554"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55"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86"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0.0076</w:t>
            </w:r>
          </w:p>
        </w:tc>
        <w:tc>
          <w:tcPr>
            <w:tcW w:w="1418" w:type="dxa"/>
            <w:vAlign w:val="center"/>
          </w:tcPr>
          <w:p>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0.0076</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0.0076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一般工业</w:t>
            </w:r>
          </w:p>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固体废物</w:t>
            </w: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废一般包装材料</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0.9</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0.9</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废金属料</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10</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10</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焊渣</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4</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4</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废金属灰</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0.35</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0.35</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r>
              <w:rPr>
                <w:rFonts w:ascii="Times New Roman" w:hAnsi="Times New Roman" w:eastAsia="宋体" w:cs="宋体"/>
                <w:spacing w:val="7"/>
                <w:sz w:val="21"/>
              </w:rPr>
              <w:t>危险废物</w:t>
            </w: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废涂料桶</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0.4</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0.4</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en-US"/>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废化学品包装</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0.2</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0.2</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2850"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废过滤物</w:t>
            </w:r>
          </w:p>
        </w:tc>
        <w:tc>
          <w:tcPr>
            <w:tcW w:w="1554"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25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48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14"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0.8</w:t>
            </w:r>
          </w:p>
        </w:tc>
        <w:tc>
          <w:tcPr>
            <w:tcW w:w="141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snapToGrid w:val="0"/>
                <w:color w:val="000000" w:themeColor="text1"/>
                <w:kern w:val="21"/>
                <w:sz w:val="21"/>
                <w:szCs w:val="21"/>
                <w:highlight w:val="none"/>
                <w:lang w:val="en-US" w:eastAsia="zh-CN"/>
                <w14:textFill>
                  <w14:solidFill>
                    <w14:schemeClr w14:val="tx1"/>
                  </w14:solidFill>
                </w14:textFill>
              </w:rPr>
              <w:t>/</w:t>
            </w:r>
          </w:p>
        </w:tc>
        <w:tc>
          <w:tcPr>
            <w:tcW w:w="1562"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0.8</w:t>
            </w:r>
          </w:p>
        </w:tc>
        <w:tc>
          <w:tcPr>
            <w:tcW w:w="1337" w:type="dxa"/>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废水处理污泥</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0.95</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0.95</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废活性炭</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hint="eastAsia" w:ascii="Times New Roman" w:hAnsi="Times New Roman" w:cs="宋体"/>
                <w:spacing w:val="7"/>
                <w:sz w:val="21"/>
                <w:lang w:val="en-US" w:eastAsia="zh-CN"/>
              </w:rPr>
              <w:t>3.6355</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cs="宋体"/>
                <w:spacing w:val="7"/>
                <w:sz w:val="21"/>
                <w:lang w:val="en-US" w:eastAsia="zh-CN"/>
              </w:rPr>
              <w:t>3.6355</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hint="eastAsia" w:ascii="Times New Roman" w:hAnsi="Times New Roman" w:cs="宋体"/>
                <w:spacing w:val="7"/>
                <w:sz w:val="21"/>
                <w:lang w:val="en-US" w:eastAsia="zh-CN"/>
              </w:rPr>
              <w:t>3.6355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废机油</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pStyle w:val="49"/>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snapToGrid w:val="0"/>
                <w:color w:val="000000" w:themeColor="text1"/>
                <w:kern w:val="21"/>
                <w:sz w:val="21"/>
                <w:szCs w:val="21"/>
                <w:highlight w:val="none"/>
                <w14:textFill>
                  <w14:solidFill>
                    <w14:schemeClr w14:val="tx1"/>
                  </w14:solidFill>
                </w14:textFill>
              </w:rPr>
              <w:t>/</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0.2</w:t>
            </w:r>
          </w:p>
        </w:tc>
        <w:tc>
          <w:tcPr>
            <w:tcW w:w="0" w:type="auto"/>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0.2</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废油桶</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0.2</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sz w:val="21"/>
                <w:lang w:val="en-US" w:eastAsia="zh-CN"/>
              </w:rPr>
            </w:pPr>
            <w:r>
              <w:rPr>
                <w:rFonts w:ascii="Times New Roman" w:hAnsi="Times New Roman" w:eastAsia="宋体" w:cs="宋体"/>
                <w:spacing w:val="7"/>
                <w:sz w:val="21"/>
              </w:rPr>
              <w:t>废弃纯水制备耗材</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0.1</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en-US"/>
              </w:rPr>
            </w:pPr>
            <w:r>
              <w:rPr>
                <w:rFonts w:ascii="Times New Roman" w:hAnsi="Times New Roman" w:eastAsia="宋体" w:cs="宋体"/>
                <w:spacing w:val="7"/>
                <w:sz w:val="21"/>
              </w:rPr>
              <w:t>废滤膜</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0.4</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pPr>
              <w:pStyle w:val="49"/>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000000" w:themeColor="text1"/>
                <w:kern w:val="21"/>
                <w:sz w:val="21"/>
                <w:szCs w:val="21"/>
                <w:highlight w:val="none"/>
                <w14:textFill>
                  <w14:solidFill>
                    <w14:schemeClr w14:val="tx1"/>
                  </w14:solidFill>
                </w14:textFill>
              </w:rPr>
            </w:pP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spacing w:val="7"/>
                <w:sz w:val="21"/>
                <w:lang w:val="en-US" w:eastAsia="en-US"/>
              </w:rPr>
            </w:pPr>
            <w:r>
              <w:rPr>
                <w:rFonts w:ascii="Times New Roman" w:hAnsi="Times New Roman" w:eastAsia="宋体" w:cs="宋体"/>
                <w:spacing w:val="7"/>
                <w:sz w:val="21"/>
              </w:rPr>
              <w:t>废含油抹布手套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spacing w:val="7"/>
                <w:sz w:val="21"/>
                <w:lang w:val="en-US" w:eastAsia="zh-CN"/>
              </w:rPr>
            </w:pPr>
            <w:r>
              <w:rPr>
                <w:rFonts w:ascii="Times New Roman" w:hAnsi="Times New Roman" w:eastAsia="宋体" w:cs="宋体"/>
                <w:spacing w:val="7"/>
                <w:sz w:val="21"/>
              </w:rPr>
              <w:t>0.4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ascii="Times New Roman" w:hAnsi="Times New Roman" w:eastAsia="宋体" w:cs="宋体"/>
                <w:spacing w:val="7"/>
                <w:sz w:val="21"/>
              </w:rPr>
              <w:t>0.4</w:t>
            </w:r>
          </w:p>
        </w:tc>
        <w:tc>
          <w:tcPr>
            <w:tcW w:w="0" w:type="auto"/>
            <w:shd w:val="clear" w:color="auto" w:fill="auto"/>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spacing w:val="7"/>
                <w:kern w:val="2"/>
                <w:sz w:val="21"/>
                <w:szCs w:val="24"/>
                <w:lang w:val="en-US" w:eastAsia="zh-CN" w:bidi="ar-SA"/>
              </w:rPr>
            </w:pPr>
            <w:r>
              <w:rPr>
                <w:rFonts w:hint="eastAsia" w:ascii="Times New Roman" w:hAnsi="Times New Roman" w:eastAsia="宋体" w:cs="宋体"/>
                <w:spacing w:val="7"/>
                <w:sz w:val="21"/>
                <w:lang w:val="en-US" w:eastAsia="zh-CN"/>
              </w:rPr>
              <w:t>+</w:t>
            </w:r>
            <w:r>
              <w:rPr>
                <w:rFonts w:ascii="Times New Roman" w:hAnsi="Times New Roman" w:eastAsia="宋体" w:cs="宋体"/>
                <w:spacing w:val="7"/>
                <w:sz w:val="21"/>
              </w:rPr>
              <w:t>0.4</w:t>
            </w:r>
          </w:p>
        </w:tc>
      </w:tr>
    </w:tbl>
    <w:p>
      <w:pPr>
        <w:pStyle w:val="49"/>
        <w:keepNext w:val="0"/>
        <w:keepLines w:val="0"/>
        <w:pageBreakBefore w:val="0"/>
        <w:widowControl w:val="0"/>
        <w:kinsoku/>
        <w:wordWrap/>
        <w:overflowPunct/>
        <w:topLinePunct w:val="0"/>
        <w:autoSpaceDE/>
        <w:autoSpaceDN/>
        <w:bidi w:val="0"/>
        <w:spacing w:before="192" w:beforeLines="80" w:after="24" w:line="240" w:lineRule="auto"/>
        <w:jc w:val="left"/>
        <w:textAlignment w:val="auto"/>
        <w:rPr>
          <w:color w:val="000000" w:themeColor="text1"/>
          <w:highlight w:val="magenta"/>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spacing w:line="240" w:lineRule="exact"/>
        <w:textAlignment w:val="auto"/>
        <w:rPr>
          <w:color w:val="000000" w:themeColor="text1"/>
          <w:highlight w:val="none"/>
          <w14:textFill>
            <w14:solidFill>
              <w14:schemeClr w14:val="tx1"/>
            </w14:solidFill>
          </w14:textFill>
        </w:rPr>
        <w:sectPr>
          <w:footerReference r:id="rId7" w:type="default"/>
          <w:pgSz w:w="16838" w:h="11905" w:orient="landscape"/>
          <w:pgMar w:top="1247" w:right="1417" w:bottom="1247" w:left="1417" w:header="851" w:footer="1077" w:gutter="0"/>
          <w:pgBorders>
            <w:top w:val="none" w:sz="0" w:space="0"/>
            <w:left w:val="none" w:sz="0" w:space="0"/>
            <w:bottom w:val="none" w:sz="0" w:space="0"/>
            <w:right w:val="none" w:sz="0" w:space="0"/>
          </w:pgBorders>
          <w:pgNumType w:fmt="decimal"/>
          <w:cols w:space="0" w:num="1"/>
          <w:docGrid w:linePitch="312" w:charSpace="0"/>
        </w:sectPr>
      </w:pPr>
    </w:p>
    <w:p>
      <w:pPr>
        <w:pStyle w:val="110"/>
        <w:outlineLvl w:val="0"/>
        <w:rPr>
          <w:rFonts w:hint="default"/>
          <w:color w:val="000000" w:themeColor="text1"/>
          <w:sz w:val="24"/>
          <w:szCs w:val="24"/>
          <w:lang w:val="en-US" w:eastAsia="zh-CN"/>
          <w14:textFill>
            <w14:solidFill>
              <w14:schemeClr w14:val="tx1"/>
            </w14:solidFill>
          </w14:textFill>
        </w:rPr>
      </w:pPr>
      <w:bookmarkStart w:id="82" w:name="_Toc31475"/>
      <w:bookmarkStart w:id="83" w:name="_Toc6336"/>
      <w:bookmarkStart w:id="84" w:name="_Toc17166"/>
      <w:bookmarkStart w:id="85" w:name="_Toc20339"/>
      <w:r>
        <w:rPr>
          <w:color w:val="000000" w:themeColor="text1"/>
          <w:sz w:val="24"/>
          <w:szCs w:val="24"/>
          <w14:textFill>
            <w14:solidFill>
              <w14:schemeClr w14:val="tx1"/>
            </w14:solidFill>
          </w14:textFill>
        </w:rPr>
        <w:t>附件</w:t>
      </w:r>
      <w:bookmarkEnd w:id="82"/>
    </w:p>
    <w:p>
      <w:pPr>
        <w:rPr>
          <w:rFonts w:hint="default"/>
          <w:lang w:val="en-US" w:eastAsia="zh-CN"/>
        </w:rPr>
      </w:pPr>
      <w:r>
        <w:rPr>
          <w:rFonts w:hint="default"/>
          <w:lang w:val="en-US" w:eastAsia="zh-CN"/>
        </w:rPr>
        <w:drawing>
          <wp:inline distT="0" distB="0" distL="114300" distR="114300">
            <wp:extent cx="5615305" cy="7546340"/>
            <wp:effectExtent l="0" t="0" r="4445" b="16510"/>
            <wp:docPr id="205" name="图片 205" descr="授权委托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授权委托书_06"/>
                    <pic:cNvPicPr>
                      <a:picLocks noChangeAspect="1"/>
                    </pic:cNvPicPr>
                  </pic:nvPicPr>
                  <pic:blipFill>
                    <a:blip r:embed="rId35"/>
                    <a:stretch>
                      <a:fillRect/>
                    </a:stretch>
                  </pic:blipFill>
                  <pic:spPr>
                    <a:xfrm>
                      <a:off x="0" y="0"/>
                      <a:ext cx="5615305" cy="7546340"/>
                    </a:xfrm>
                    <a:prstGeom prst="rect">
                      <a:avLst/>
                    </a:prstGeom>
                  </pic:spPr>
                </pic:pic>
              </a:graphicData>
            </a:graphic>
          </wp:inline>
        </w:drawing>
      </w:r>
    </w:p>
    <w:p>
      <w:pPr>
        <w:rPr>
          <w:rFonts w:hint="default"/>
          <w:lang w:val="en-US" w:eastAsia="zh-CN"/>
        </w:rPr>
      </w:pPr>
    </w:p>
    <w:p>
      <w:pPr>
        <w:rPr>
          <w:rFonts w:hint="default"/>
          <w:lang w:val="en-US" w:eastAsia="zh-CN"/>
        </w:rPr>
      </w:pPr>
    </w:p>
    <w:p>
      <w:pPr>
        <w:rPr>
          <w:color w:val="000000" w:themeColor="text1"/>
          <w:sz w:val="24"/>
          <w:szCs w:val="24"/>
          <w14:textFill>
            <w14:solidFill>
              <w14:schemeClr w14:val="tx1"/>
            </w14:solidFill>
          </w14:textFill>
        </w:rPr>
      </w:pPr>
    </w:p>
    <w:bookmarkEnd w:id="83"/>
    <w:bookmarkEnd w:id="84"/>
    <w:bookmarkEnd w:id="85"/>
    <w:p>
      <w:pPr>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drawing>
          <wp:inline distT="0" distB="0" distL="114300" distR="114300">
            <wp:extent cx="5615305" cy="7945755"/>
            <wp:effectExtent l="0" t="0" r="4445" b="17145"/>
            <wp:docPr id="206" name="图片 206" descr="授权委托书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授权委托书_05"/>
                    <pic:cNvPicPr>
                      <a:picLocks noChangeAspect="1"/>
                    </pic:cNvPicPr>
                  </pic:nvPicPr>
                  <pic:blipFill>
                    <a:blip r:embed="rId36"/>
                    <a:stretch>
                      <a:fillRect/>
                    </a:stretch>
                  </pic:blipFill>
                  <pic:spPr>
                    <a:xfrm>
                      <a:off x="0" y="0"/>
                      <a:ext cx="5615305" cy="7945755"/>
                    </a:xfrm>
                    <a:prstGeom prst="rect">
                      <a:avLst/>
                    </a:prstGeom>
                  </pic:spPr>
                </pic:pic>
              </a:graphicData>
            </a:graphic>
          </wp:inline>
        </w:drawing>
      </w:r>
    </w:p>
    <w:p>
      <w:pPr>
        <w:rPr>
          <w:rFonts w:hint="default"/>
          <w:b/>
          <w:bCs/>
          <w:color w:val="000000" w:themeColor="text1"/>
          <w:lang w:val="en-US" w:eastAsia="zh-CN"/>
          <w14:textFill>
            <w14:solidFill>
              <w14:schemeClr w14:val="tx1"/>
            </w14:solidFill>
          </w14:textFill>
        </w:rPr>
      </w:pPr>
    </w:p>
    <w:p>
      <w:pPr>
        <w:rPr>
          <w:rFonts w:hint="default"/>
          <w:lang w:val="en-US" w:eastAsia="zh-CN"/>
        </w:rPr>
      </w:pPr>
    </w:p>
    <w:p>
      <w:pPr>
        <w:rPr>
          <w:rFonts w:hint="default"/>
          <w:lang w:val="en-US" w:eastAsia="zh-CN"/>
        </w:rPr>
      </w:pPr>
    </w:p>
    <w:sectPr>
      <w:headerReference r:id="rId8" w:type="default"/>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42">
      <wne:acd wne:acdName="acd1"/>
    </wne:keymap>
  </wne:keymaps>
  <wne:acds>
    <wne:acd wne:argValue="AQAAAAEA" wne:acdName="acd0" wne:fciIndexBasedOn="0065"/>
    <wne:acd wne:argValue="AgBoiDxoB2iYm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p&gt;:#">
    <w:altName w:val="Calibri"/>
    <w:panose1 w:val="020B0604020202020204"/>
    <w:charset w:val="4D"/>
    <w:family w:val="auto"/>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9"/>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8F49E507"/>
    <w:multiLevelType w:val="singleLevel"/>
    <w:tmpl w:val="8F49E507"/>
    <w:lvl w:ilvl="0" w:tentative="0">
      <w:start w:val="1"/>
      <w:numFmt w:val="decimal"/>
      <w:lvlText w:val="(%1)"/>
      <w:lvlJc w:val="left"/>
      <w:pPr>
        <w:ind w:left="425" w:hanging="425"/>
      </w:pPr>
      <w:rPr>
        <w:rFonts w:hint="default"/>
      </w:rPr>
    </w:lvl>
  </w:abstractNum>
  <w:abstractNum w:abstractNumId="2">
    <w:nsid w:val="BBEE175C"/>
    <w:multiLevelType w:val="multilevel"/>
    <w:tmpl w:val="BBEE175C"/>
    <w:lvl w:ilvl="0" w:tentative="0">
      <w:start w:val="1"/>
      <w:numFmt w:val="decimal"/>
      <w:suff w:val="space"/>
      <w:lvlText w:val="第%1章 "/>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420"/>
        </w:tabs>
        <w:ind w:left="0" w:firstLine="0"/>
      </w:pPr>
      <w:rPr>
        <w:rFonts w:hint="default" w:ascii="Times New Roman" w:hAnsi="Times New Roman" w:eastAsia="宋体" w:cs="宋体"/>
      </w:rPr>
    </w:lvl>
    <w:lvl w:ilvl="2" w:tentative="0">
      <w:start w:val="1"/>
      <w:numFmt w:val="decimal"/>
      <w:suff w:val="space"/>
      <w:lvlText w:val="%1.%2.%3"/>
      <w:lvlJc w:val="left"/>
      <w:pPr>
        <w:tabs>
          <w:tab w:val="left" w:pos="420"/>
        </w:tabs>
        <w:ind w:left="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0" w:firstLine="0"/>
      </w:pPr>
      <w:rPr>
        <w:rFonts w:hint="default" w:ascii="Times New Roman" w:hAnsi="Times New Roman" w:eastAsia="宋体" w:cs="宋体"/>
      </w:rPr>
    </w:lvl>
    <w:lvl w:ilvl="4" w:tentative="0">
      <w:start w:val="1"/>
      <w:numFmt w:val="decimal"/>
      <w:lvlRestart w:val="2"/>
      <w:pStyle w:val="74"/>
      <w:suff w:val="space"/>
      <w:lvlText w:val="表%1.%2-%5 "/>
      <w:lvlJc w:val="left"/>
      <w:pPr>
        <w:tabs>
          <w:tab w:val="left" w:pos="42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420"/>
        </w:tabs>
        <w:ind w:left="0" w:firstLine="0"/>
      </w:pPr>
      <w:rPr>
        <w:rFonts w:hint="default" w:ascii="Times New Roman" w:hAnsi="Times New Roman" w:eastAsia="宋体" w:cs="宋体"/>
      </w:rPr>
    </w:lvl>
    <w:lvl w:ilvl="6" w:tentative="0">
      <w:start w:val="1"/>
      <w:numFmt w:val="none"/>
      <w:suff w:val="nothing"/>
      <w:lvlText w:val=""/>
      <w:lvlJc w:val="left"/>
      <w:pPr>
        <w:tabs>
          <w:tab w:val="left" w:pos="0"/>
        </w:tabs>
        <w:ind w:left="0" w:firstLine="402"/>
      </w:pPr>
      <w:rPr>
        <w:rFonts w:hint="default" w:ascii="宋体" w:hAnsi="宋体" w:eastAsia="宋体" w:cs="宋体"/>
      </w:rPr>
    </w:lvl>
    <w:lvl w:ilvl="7" w:tentative="0">
      <w:start w:val="1"/>
      <w:numFmt w:val="none"/>
      <w:suff w:val="nothing"/>
      <w:lvlText w:val=""/>
      <w:lvlJc w:val="left"/>
      <w:pPr>
        <w:ind w:left="0" w:firstLine="402"/>
      </w:pPr>
      <w:rPr>
        <w:rFonts w:hint="default" w:ascii="宋体" w:hAnsi="宋体" w:eastAsia="宋体" w:cs="宋体"/>
      </w:rPr>
    </w:lvl>
    <w:lvl w:ilvl="8" w:tentative="0">
      <w:start w:val="1"/>
      <w:numFmt w:val="none"/>
      <w:suff w:val="nothing"/>
      <w:lvlText w:val=""/>
      <w:lvlJc w:val="left"/>
      <w:pPr>
        <w:ind w:left="0" w:firstLine="402"/>
      </w:pPr>
      <w:rPr>
        <w:rFonts w:hint="default" w:ascii="宋体" w:hAnsi="宋体" w:eastAsia="宋体" w:cs="宋体"/>
      </w:rPr>
    </w:lvl>
  </w:abstractNum>
  <w:abstractNum w:abstractNumId="3">
    <w:nsid w:val="E17324D8"/>
    <w:multiLevelType w:val="singleLevel"/>
    <w:tmpl w:val="E17324D8"/>
    <w:lvl w:ilvl="0" w:tentative="0">
      <w:start w:val="1"/>
      <w:numFmt w:val="decimal"/>
      <w:lvlText w:val="(%1)"/>
      <w:lvlJc w:val="left"/>
      <w:pPr>
        <w:ind w:left="425" w:hanging="425"/>
      </w:pPr>
      <w:rPr>
        <w:rFonts w:hint="default"/>
      </w:rPr>
    </w:lvl>
  </w:abstractNum>
  <w:abstractNum w:abstractNumId="4">
    <w:nsid w:val="0C388FF6"/>
    <w:multiLevelType w:val="multilevel"/>
    <w:tmpl w:val="0C388FF6"/>
    <w:lvl w:ilvl="0" w:tentative="0">
      <w:start w:val="1"/>
      <w:numFmt w:val="chineseCounting"/>
      <w:suff w:val="nothing"/>
      <w:lvlText w:val="%1、"/>
      <w:lvlJc w:val="left"/>
      <w:pPr>
        <w:tabs>
          <w:tab w:val="left" w:pos="0"/>
        </w:tabs>
        <w:ind w:left="0" w:firstLine="0"/>
      </w:pPr>
      <w:rPr>
        <w:rFonts w:hint="eastAsia" w:ascii="黑体" w:hAnsi="黑体" w:eastAsia="黑体" w:cs="宋体"/>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129"/>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Text w:val="%1.%2.%3.%4.%5.%6.%7."/>
      <w:lvlJc w:val="left"/>
      <w:pPr>
        <w:tabs>
          <w:tab w:val="left" w:pos="420"/>
        </w:tabs>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5">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0"/>
      <w:lvlText w:val="%1.%2.%3.%4.%5.%6.%7.%8.%9."/>
      <w:lvlJc w:val="left"/>
      <w:pPr>
        <w:ind w:left="1941" w:hanging="1583"/>
      </w:pPr>
      <w:rPr>
        <w:rFonts w:hint="eastAsia"/>
      </w:rPr>
    </w:lvl>
  </w:abstractNum>
  <w:abstractNum w:abstractNumId="6">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6"/>
      <w:lvlText w:val="%1.%2.%3.%4.%5."/>
      <w:lvlJc w:val="left"/>
      <w:pPr>
        <w:ind w:left="1366" w:hanging="1008"/>
      </w:pPr>
      <w:rPr>
        <w:rFonts w:hint="eastAsia" w:ascii="宋体" w:hAnsi="宋体" w:eastAsia="宋体" w:cs="宋体"/>
      </w:rPr>
    </w:lvl>
    <w:lvl w:ilvl="5" w:tentative="0">
      <w:start w:val="1"/>
      <w:numFmt w:val="decimal"/>
      <w:pStyle w:val="7"/>
      <w:lvlText w:val="%1.%2.%3.%4.%5.%6."/>
      <w:lvlJc w:val="left"/>
      <w:pPr>
        <w:ind w:left="1509" w:hanging="1151"/>
      </w:pPr>
      <w:rPr>
        <w:rFonts w:hint="eastAsia" w:ascii="宋体" w:hAnsi="宋体" w:eastAsia="宋体" w:cs="宋体"/>
      </w:rPr>
    </w:lvl>
    <w:lvl w:ilvl="6" w:tentative="0">
      <w:start w:val="1"/>
      <w:numFmt w:val="decimal"/>
      <w:pStyle w:val="8"/>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7">
    <w:nsid w:val="335756DA"/>
    <w:multiLevelType w:val="singleLevel"/>
    <w:tmpl w:val="335756DA"/>
    <w:lvl w:ilvl="0" w:tentative="0">
      <w:start w:val="2"/>
      <w:numFmt w:val="decimal"/>
      <w:suff w:val="nothing"/>
      <w:lvlText w:val="（%1）"/>
      <w:lvlJc w:val="left"/>
    </w:lvl>
  </w:abstractNum>
  <w:abstractNum w:abstractNumId="8">
    <w:nsid w:val="64996C12"/>
    <w:multiLevelType w:val="multilevel"/>
    <w:tmpl w:val="64996C12"/>
    <w:lvl w:ilvl="0" w:tentative="0">
      <w:start w:val="7"/>
      <w:numFmt w:val="decimal"/>
      <w:lvlText w:val="%1"/>
      <w:lvlJc w:val="left"/>
      <w:pPr>
        <w:ind w:left="432" w:hanging="432"/>
      </w:pPr>
    </w:lvl>
    <w:lvl w:ilvl="1" w:tentative="0">
      <w:start w:val="1"/>
      <w:numFmt w:val="decimal"/>
      <w:lvlText w:val="%1.%2"/>
      <w:lvlJc w:val="left"/>
      <w:pPr>
        <w:ind w:left="576" w:hanging="576"/>
        <w:textAlignment w:val="baseline"/>
      </w:pPr>
      <w:rPr>
        <w:b/>
        <w:bCs w:val="0"/>
        <w:i w:val="0"/>
        <w:iCs w:val="0"/>
        <w:caps w:val="0"/>
        <w:strike w:val="0"/>
        <w:dstrike w:val="0"/>
        <w:vanish w:val="0"/>
        <w:color w:val="000000"/>
        <w:spacing w:val="0"/>
        <w:position w:val="0"/>
        <w:u w:val="none"/>
      </w:rPr>
    </w:lvl>
    <w:lvl w:ilvl="2" w:tentative="0">
      <w:start w:val="1"/>
      <w:numFmt w:val="decimal"/>
      <w:pStyle w:val="108"/>
      <w:lvlText w:val="%1.%2.%3"/>
      <w:lvlJc w:val="left"/>
      <w:pPr>
        <w:ind w:left="4832" w:hanging="720"/>
      </w:pPr>
    </w:lvl>
    <w:lvl w:ilvl="3" w:tentative="0">
      <w:start w:val="1"/>
      <w:numFmt w:val="decimal"/>
      <w:lvlText w:val="%1.%2.%3.%4"/>
      <w:lvlJc w:val="left"/>
      <w:pPr>
        <w:snapToGrid w:val="0"/>
        <w:ind w:left="864" w:hanging="864"/>
        <w:textAlignment w:val="baseline"/>
      </w:pPr>
      <w:rPr>
        <w:rFonts w:ascii="Times New Roman" w:hAnsi="Times New Roman" w:cs="Times New Roman"/>
        <w:b/>
        <w:bCs w:val="0"/>
        <w:i w:val="0"/>
        <w:iCs w:val="0"/>
        <w:caps w:val="0"/>
        <w:strike w:val="0"/>
        <w:dstrike w:val="0"/>
        <w:vanish w:val="0"/>
        <w:color w:val="000000"/>
        <w:spacing w:val="0"/>
        <w:w w:val="0"/>
        <w:kern w:val="0"/>
        <w:position w:val="0"/>
        <w:szCs w:val="0"/>
        <w:u w:val="none"/>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6D196F0D"/>
    <w:multiLevelType w:val="multilevel"/>
    <w:tmpl w:val="6D196F0D"/>
    <w:lvl w:ilvl="0" w:tentative="0">
      <w:start w:val="1"/>
      <w:numFmt w:val="chineseCounting"/>
      <w:pStyle w:val="2"/>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pStyle w:val="3"/>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4"/>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5"/>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42"/>
      <w:isLgl/>
      <w:suff w:val="space"/>
      <w:lvlText w:val="表%1.%2-%8"/>
      <w:lvlJc w:val="center"/>
      <w:pPr>
        <w:tabs>
          <w:tab w:val="left" w:pos="0"/>
        </w:tabs>
        <w:ind w:left="630" w:leftChars="0" w:firstLine="0" w:firstLineChars="0"/>
      </w:pPr>
      <w:rPr>
        <w:rFonts w:hint="eastAsia" w:ascii="Times New Roman" w:hAnsi="Times New Roman" w:eastAsia="宋体" w:cs="宋体"/>
      </w:rPr>
    </w:lvl>
    <w:lvl w:ilvl="8" w:tentative="0">
      <w:start w:val="1"/>
      <w:numFmt w:val="decimal"/>
      <w:lvlRestart w:val="2"/>
      <w:pStyle w:val="47"/>
      <w:isLgl/>
      <w:suff w:val="space"/>
      <w:lvlText w:val="图%1.%2-%9"/>
      <w:lvlJc w:val="left"/>
      <w:pPr>
        <w:tabs>
          <w:tab w:val="left" w:pos="420"/>
        </w:tabs>
        <w:ind w:left="1583" w:hanging="1583"/>
      </w:pPr>
      <w:rPr>
        <w:rFonts w:hint="eastAsia" w:ascii="Times New Roman" w:hAnsi="Times New Roman" w:eastAsia="宋体" w:cs="宋体"/>
      </w:rPr>
    </w:lvl>
  </w:abstractNum>
  <w:num w:numId="1">
    <w:abstractNumId w:val="9"/>
  </w:num>
  <w:num w:numId="2">
    <w:abstractNumId w:val="6"/>
  </w:num>
  <w:num w:numId="3">
    <w:abstractNumId w:val="0"/>
  </w:num>
  <w:num w:numId="4">
    <w:abstractNumId w:val="5"/>
  </w:num>
  <w:num w:numId="5">
    <w:abstractNumId w:val="2"/>
  </w:num>
  <w:num w:numId="6">
    <w:abstractNumId w:val="8"/>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ODgxMGI5Yzg3MjZlOGMzZTU4NTc1ZGRiMWEwZmIifQ=="/>
  </w:docVars>
  <w:rsids>
    <w:rsidRoot w:val="00172A27"/>
    <w:rsid w:val="000044D7"/>
    <w:rsid w:val="000060B3"/>
    <w:rsid w:val="00010C32"/>
    <w:rsid w:val="00010D61"/>
    <w:rsid w:val="00013DB6"/>
    <w:rsid w:val="000150ED"/>
    <w:rsid w:val="00017225"/>
    <w:rsid w:val="000244E7"/>
    <w:rsid w:val="00027F64"/>
    <w:rsid w:val="00031A9B"/>
    <w:rsid w:val="00031EFE"/>
    <w:rsid w:val="00040EDE"/>
    <w:rsid w:val="00041B57"/>
    <w:rsid w:val="0004364B"/>
    <w:rsid w:val="000500AF"/>
    <w:rsid w:val="00051602"/>
    <w:rsid w:val="000566B6"/>
    <w:rsid w:val="0005675D"/>
    <w:rsid w:val="00057803"/>
    <w:rsid w:val="0006124E"/>
    <w:rsid w:val="00061B1F"/>
    <w:rsid w:val="00061C20"/>
    <w:rsid w:val="000629F7"/>
    <w:rsid w:val="000733C4"/>
    <w:rsid w:val="00074783"/>
    <w:rsid w:val="00077BD5"/>
    <w:rsid w:val="0008070B"/>
    <w:rsid w:val="000810AC"/>
    <w:rsid w:val="00081A02"/>
    <w:rsid w:val="00082231"/>
    <w:rsid w:val="000841D3"/>
    <w:rsid w:val="00085629"/>
    <w:rsid w:val="00092D38"/>
    <w:rsid w:val="00093075"/>
    <w:rsid w:val="0009377B"/>
    <w:rsid w:val="00094146"/>
    <w:rsid w:val="00094AEE"/>
    <w:rsid w:val="000A20C9"/>
    <w:rsid w:val="000A712D"/>
    <w:rsid w:val="000A76F9"/>
    <w:rsid w:val="000B0530"/>
    <w:rsid w:val="000B058F"/>
    <w:rsid w:val="000B369C"/>
    <w:rsid w:val="000B4467"/>
    <w:rsid w:val="000B4DB9"/>
    <w:rsid w:val="000C09AC"/>
    <w:rsid w:val="000C119D"/>
    <w:rsid w:val="000C1900"/>
    <w:rsid w:val="000C1EE7"/>
    <w:rsid w:val="000C2F92"/>
    <w:rsid w:val="000C3640"/>
    <w:rsid w:val="000C57F5"/>
    <w:rsid w:val="000C6D42"/>
    <w:rsid w:val="000C767F"/>
    <w:rsid w:val="000D03D3"/>
    <w:rsid w:val="000D0960"/>
    <w:rsid w:val="000D54D6"/>
    <w:rsid w:val="000D5A44"/>
    <w:rsid w:val="000E3ED2"/>
    <w:rsid w:val="000E4B00"/>
    <w:rsid w:val="001005DC"/>
    <w:rsid w:val="00100FD2"/>
    <w:rsid w:val="001014DC"/>
    <w:rsid w:val="00102E61"/>
    <w:rsid w:val="001062FE"/>
    <w:rsid w:val="001074DE"/>
    <w:rsid w:val="001075B4"/>
    <w:rsid w:val="00110E2B"/>
    <w:rsid w:val="001133B7"/>
    <w:rsid w:val="00114B58"/>
    <w:rsid w:val="00125D00"/>
    <w:rsid w:val="001260FF"/>
    <w:rsid w:val="0013091B"/>
    <w:rsid w:val="00131F42"/>
    <w:rsid w:val="001357F1"/>
    <w:rsid w:val="00140538"/>
    <w:rsid w:val="00140FA8"/>
    <w:rsid w:val="001418CB"/>
    <w:rsid w:val="00141D71"/>
    <w:rsid w:val="00142FEB"/>
    <w:rsid w:val="00143A2D"/>
    <w:rsid w:val="00145035"/>
    <w:rsid w:val="00145A41"/>
    <w:rsid w:val="00146B60"/>
    <w:rsid w:val="00151675"/>
    <w:rsid w:val="00154C1F"/>
    <w:rsid w:val="001573EA"/>
    <w:rsid w:val="00157435"/>
    <w:rsid w:val="00167BA7"/>
    <w:rsid w:val="00172A27"/>
    <w:rsid w:val="00173954"/>
    <w:rsid w:val="0017504D"/>
    <w:rsid w:val="00175895"/>
    <w:rsid w:val="001762F6"/>
    <w:rsid w:val="0017671A"/>
    <w:rsid w:val="00177422"/>
    <w:rsid w:val="00180EF4"/>
    <w:rsid w:val="00182E99"/>
    <w:rsid w:val="00182F24"/>
    <w:rsid w:val="00184590"/>
    <w:rsid w:val="001870D1"/>
    <w:rsid w:val="0018781E"/>
    <w:rsid w:val="0019262D"/>
    <w:rsid w:val="001968F8"/>
    <w:rsid w:val="001A0E98"/>
    <w:rsid w:val="001A1302"/>
    <w:rsid w:val="001A1944"/>
    <w:rsid w:val="001A1B35"/>
    <w:rsid w:val="001A48A2"/>
    <w:rsid w:val="001A6F61"/>
    <w:rsid w:val="001B3F5A"/>
    <w:rsid w:val="001B72B8"/>
    <w:rsid w:val="001B7EB8"/>
    <w:rsid w:val="001C2D59"/>
    <w:rsid w:val="001C3BF1"/>
    <w:rsid w:val="001C548D"/>
    <w:rsid w:val="001C69B3"/>
    <w:rsid w:val="001D4206"/>
    <w:rsid w:val="001D5595"/>
    <w:rsid w:val="001D59B0"/>
    <w:rsid w:val="001D7874"/>
    <w:rsid w:val="001D7F22"/>
    <w:rsid w:val="001E0F48"/>
    <w:rsid w:val="001E4C8D"/>
    <w:rsid w:val="001F0F17"/>
    <w:rsid w:val="001F1E07"/>
    <w:rsid w:val="001F3347"/>
    <w:rsid w:val="001F3702"/>
    <w:rsid w:val="001F49F6"/>
    <w:rsid w:val="001F69E4"/>
    <w:rsid w:val="001F7DE2"/>
    <w:rsid w:val="00201724"/>
    <w:rsid w:val="002042D4"/>
    <w:rsid w:val="002125B4"/>
    <w:rsid w:val="002155B8"/>
    <w:rsid w:val="00217661"/>
    <w:rsid w:val="00224839"/>
    <w:rsid w:val="002249B2"/>
    <w:rsid w:val="00225378"/>
    <w:rsid w:val="00226574"/>
    <w:rsid w:val="002278EC"/>
    <w:rsid w:val="0023280E"/>
    <w:rsid w:val="002377D1"/>
    <w:rsid w:val="002406E5"/>
    <w:rsid w:val="002452E1"/>
    <w:rsid w:val="00245A88"/>
    <w:rsid w:val="002506BC"/>
    <w:rsid w:val="00253756"/>
    <w:rsid w:val="00253F02"/>
    <w:rsid w:val="00254345"/>
    <w:rsid w:val="002545A7"/>
    <w:rsid w:val="002555A2"/>
    <w:rsid w:val="00256695"/>
    <w:rsid w:val="00264557"/>
    <w:rsid w:val="002701B7"/>
    <w:rsid w:val="0027359D"/>
    <w:rsid w:val="002805AB"/>
    <w:rsid w:val="002812C8"/>
    <w:rsid w:val="002814F1"/>
    <w:rsid w:val="00284204"/>
    <w:rsid w:val="00285085"/>
    <w:rsid w:val="00287861"/>
    <w:rsid w:val="00287A3B"/>
    <w:rsid w:val="00287BFF"/>
    <w:rsid w:val="00291773"/>
    <w:rsid w:val="00292C5F"/>
    <w:rsid w:val="002A168C"/>
    <w:rsid w:val="002A3DC7"/>
    <w:rsid w:val="002A4303"/>
    <w:rsid w:val="002A7B7D"/>
    <w:rsid w:val="002B14DB"/>
    <w:rsid w:val="002B2C5C"/>
    <w:rsid w:val="002B4159"/>
    <w:rsid w:val="002B49E2"/>
    <w:rsid w:val="002B7135"/>
    <w:rsid w:val="002B7B00"/>
    <w:rsid w:val="002B7C44"/>
    <w:rsid w:val="002C2B17"/>
    <w:rsid w:val="002C486B"/>
    <w:rsid w:val="002D1B33"/>
    <w:rsid w:val="002D24B4"/>
    <w:rsid w:val="002D36C8"/>
    <w:rsid w:val="002D3DD0"/>
    <w:rsid w:val="002E1F3A"/>
    <w:rsid w:val="002E298A"/>
    <w:rsid w:val="002F468E"/>
    <w:rsid w:val="002F677F"/>
    <w:rsid w:val="002F6A84"/>
    <w:rsid w:val="00301978"/>
    <w:rsid w:val="00301A3E"/>
    <w:rsid w:val="0030332C"/>
    <w:rsid w:val="003051C2"/>
    <w:rsid w:val="003105DA"/>
    <w:rsid w:val="00312296"/>
    <w:rsid w:val="00314F0E"/>
    <w:rsid w:val="003200F4"/>
    <w:rsid w:val="00320F8F"/>
    <w:rsid w:val="00321AC6"/>
    <w:rsid w:val="00321D8E"/>
    <w:rsid w:val="00325928"/>
    <w:rsid w:val="00332863"/>
    <w:rsid w:val="00332A3D"/>
    <w:rsid w:val="0033684D"/>
    <w:rsid w:val="00336FF9"/>
    <w:rsid w:val="00337B42"/>
    <w:rsid w:val="00340DA9"/>
    <w:rsid w:val="00341B42"/>
    <w:rsid w:val="0034348F"/>
    <w:rsid w:val="00351F64"/>
    <w:rsid w:val="00354BF1"/>
    <w:rsid w:val="00356653"/>
    <w:rsid w:val="003568FE"/>
    <w:rsid w:val="0035743F"/>
    <w:rsid w:val="00357647"/>
    <w:rsid w:val="00357BE2"/>
    <w:rsid w:val="00357C21"/>
    <w:rsid w:val="0036170C"/>
    <w:rsid w:val="003629A3"/>
    <w:rsid w:val="00366E0F"/>
    <w:rsid w:val="00371C4D"/>
    <w:rsid w:val="00375248"/>
    <w:rsid w:val="00376344"/>
    <w:rsid w:val="00376AEF"/>
    <w:rsid w:val="00377DA9"/>
    <w:rsid w:val="00381040"/>
    <w:rsid w:val="0038152B"/>
    <w:rsid w:val="00381A72"/>
    <w:rsid w:val="00383579"/>
    <w:rsid w:val="00384676"/>
    <w:rsid w:val="00386D64"/>
    <w:rsid w:val="00390857"/>
    <w:rsid w:val="003954FA"/>
    <w:rsid w:val="003971F9"/>
    <w:rsid w:val="00397C02"/>
    <w:rsid w:val="003A0C4E"/>
    <w:rsid w:val="003A4BF3"/>
    <w:rsid w:val="003A6D3A"/>
    <w:rsid w:val="003B1284"/>
    <w:rsid w:val="003B2260"/>
    <w:rsid w:val="003B420D"/>
    <w:rsid w:val="003B46BE"/>
    <w:rsid w:val="003C2F0A"/>
    <w:rsid w:val="003C335B"/>
    <w:rsid w:val="003C5606"/>
    <w:rsid w:val="003C6C16"/>
    <w:rsid w:val="003C6E78"/>
    <w:rsid w:val="003D27CC"/>
    <w:rsid w:val="003D476F"/>
    <w:rsid w:val="003D6C52"/>
    <w:rsid w:val="003D794D"/>
    <w:rsid w:val="003E3058"/>
    <w:rsid w:val="003E30EE"/>
    <w:rsid w:val="003E76A9"/>
    <w:rsid w:val="003F0809"/>
    <w:rsid w:val="003F24B7"/>
    <w:rsid w:val="003F6A8C"/>
    <w:rsid w:val="003F755C"/>
    <w:rsid w:val="003F75FD"/>
    <w:rsid w:val="004007F4"/>
    <w:rsid w:val="00403E9E"/>
    <w:rsid w:val="00406F01"/>
    <w:rsid w:val="0041430D"/>
    <w:rsid w:val="00415C4F"/>
    <w:rsid w:val="004163AF"/>
    <w:rsid w:val="004165E4"/>
    <w:rsid w:val="00416721"/>
    <w:rsid w:val="00416D50"/>
    <w:rsid w:val="00416FD5"/>
    <w:rsid w:val="00417772"/>
    <w:rsid w:val="00420E6A"/>
    <w:rsid w:val="004214B1"/>
    <w:rsid w:val="0042178A"/>
    <w:rsid w:val="00424290"/>
    <w:rsid w:val="00425697"/>
    <w:rsid w:val="00425A9E"/>
    <w:rsid w:val="00426D6B"/>
    <w:rsid w:val="00427601"/>
    <w:rsid w:val="00427737"/>
    <w:rsid w:val="00431E6C"/>
    <w:rsid w:val="00433CE7"/>
    <w:rsid w:val="00434CCC"/>
    <w:rsid w:val="00442F7A"/>
    <w:rsid w:val="0044384E"/>
    <w:rsid w:val="00452738"/>
    <w:rsid w:val="00452EB2"/>
    <w:rsid w:val="0045494B"/>
    <w:rsid w:val="00455C13"/>
    <w:rsid w:val="00456091"/>
    <w:rsid w:val="00460877"/>
    <w:rsid w:val="00464233"/>
    <w:rsid w:val="00465D27"/>
    <w:rsid w:val="00466321"/>
    <w:rsid w:val="00471427"/>
    <w:rsid w:val="00480B81"/>
    <w:rsid w:val="004826E8"/>
    <w:rsid w:val="00484B9B"/>
    <w:rsid w:val="004855F6"/>
    <w:rsid w:val="0048661E"/>
    <w:rsid w:val="004930FE"/>
    <w:rsid w:val="0049347D"/>
    <w:rsid w:val="00494670"/>
    <w:rsid w:val="004957F7"/>
    <w:rsid w:val="004977A7"/>
    <w:rsid w:val="004A22C0"/>
    <w:rsid w:val="004A3823"/>
    <w:rsid w:val="004B072F"/>
    <w:rsid w:val="004B4C3D"/>
    <w:rsid w:val="004C0992"/>
    <w:rsid w:val="004C24B9"/>
    <w:rsid w:val="004D03BC"/>
    <w:rsid w:val="004D1DEA"/>
    <w:rsid w:val="004D53C0"/>
    <w:rsid w:val="004D7269"/>
    <w:rsid w:val="004E6946"/>
    <w:rsid w:val="004F1301"/>
    <w:rsid w:val="004F1AB3"/>
    <w:rsid w:val="004F1AD8"/>
    <w:rsid w:val="004F7EF0"/>
    <w:rsid w:val="00501CB7"/>
    <w:rsid w:val="005039CB"/>
    <w:rsid w:val="0050558F"/>
    <w:rsid w:val="00506286"/>
    <w:rsid w:val="00510813"/>
    <w:rsid w:val="00511990"/>
    <w:rsid w:val="00511DE0"/>
    <w:rsid w:val="00514090"/>
    <w:rsid w:val="00514870"/>
    <w:rsid w:val="00514B9B"/>
    <w:rsid w:val="005155CE"/>
    <w:rsid w:val="005166DA"/>
    <w:rsid w:val="0051690D"/>
    <w:rsid w:val="00517F02"/>
    <w:rsid w:val="0052098F"/>
    <w:rsid w:val="00523E89"/>
    <w:rsid w:val="00524283"/>
    <w:rsid w:val="00524303"/>
    <w:rsid w:val="005252E8"/>
    <w:rsid w:val="005258A2"/>
    <w:rsid w:val="00530161"/>
    <w:rsid w:val="005332E5"/>
    <w:rsid w:val="005401AE"/>
    <w:rsid w:val="00540D9F"/>
    <w:rsid w:val="00541FBC"/>
    <w:rsid w:val="00542A31"/>
    <w:rsid w:val="00542E07"/>
    <w:rsid w:val="005441EE"/>
    <w:rsid w:val="00544E42"/>
    <w:rsid w:val="00545424"/>
    <w:rsid w:val="005502E5"/>
    <w:rsid w:val="0055192A"/>
    <w:rsid w:val="005524AB"/>
    <w:rsid w:val="005539A0"/>
    <w:rsid w:val="00554A7B"/>
    <w:rsid w:val="00554A98"/>
    <w:rsid w:val="0055572C"/>
    <w:rsid w:val="0056081F"/>
    <w:rsid w:val="0056106A"/>
    <w:rsid w:val="00562308"/>
    <w:rsid w:val="00562804"/>
    <w:rsid w:val="005630B8"/>
    <w:rsid w:val="00564EAF"/>
    <w:rsid w:val="00566256"/>
    <w:rsid w:val="00571A06"/>
    <w:rsid w:val="005720AE"/>
    <w:rsid w:val="00574266"/>
    <w:rsid w:val="00577718"/>
    <w:rsid w:val="00577855"/>
    <w:rsid w:val="00580EB8"/>
    <w:rsid w:val="00583880"/>
    <w:rsid w:val="00593870"/>
    <w:rsid w:val="00593C6F"/>
    <w:rsid w:val="00594D77"/>
    <w:rsid w:val="005969E4"/>
    <w:rsid w:val="00596E55"/>
    <w:rsid w:val="005A06B7"/>
    <w:rsid w:val="005A1759"/>
    <w:rsid w:val="005A23BB"/>
    <w:rsid w:val="005A611C"/>
    <w:rsid w:val="005A68A7"/>
    <w:rsid w:val="005B7084"/>
    <w:rsid w:val="005B7E0B"/>
    <w:rsid w:val="005C4544"/>
    <w:rsid w:val="005C5557"/>
    <w:rsid w:val="005C6079"/>
    <w:rsid w:val="005C6B61"/>
    <w:rsid w:val="005C6E58"/>
    <w:rsid w:val="005C6F05"/>
    <w:rsid w:val="005D143F"/>
    <w:rsid w:val="005D2AD3"/>
    <w:rsid w:val="005D36AB"/>
    <w:rsid w:val="005D42D4"/>
    <w:rsid w:val="005D6A8F"/>
    <w:rsid w:val="005E0E91"/>
    <w:rsid w:val="005E45AA"/>
    <w:rsid w:val="005E5417"/>
    <w:rsid w:val="005E6D12"/>
    <w:rsid w:val="005F32A7"/>
    <w:rsid w:val="005F65CD"/>
    <w:rsid w:val="005F678A"/>
    <w:rsid w:val="005F7DA6"/>
    <w:rsid w:val="00612E39"/>
    <w:rsid w:val="00614091"/>
    <w:rsid w:val="00617CC3"/>
    <w:rsid w:val="00620B0A"/>
    <w:rsid w:val="00621FB3"/>
    <w:rsid w:val="0062376A"/>
    <w:rsid w:val="006241B4"/>
    <w:rsid w:val="00626B64"/>
    <w:rsid w:val="006272DC"/>
    <w:rsid w:val="006309E7"/>
    <w:rsid w:val="00630EAA"/>
    <w:rsid w:val="00632DD4"/>
    <w:rsid w:val="00635A2C"/>
    <w:rsid w:val="006377A6"/>
    <w:rsid w:val="00637A3D"/>
    <w:rsid w:val="006411EF"/>
    <w:rsid w:val="00641E35"/>
    <w:rsid w:val="00650286"/>
    <w:rsid w:val="00656DE9"/>
    <w:rsid w:val="006572DD"/>
    <w:rsid w:val="00657F1A"/>
    <w:rsid w:val="00661F6F"/>
    <w:rsid w:val="006622C5"/>
    <w:rsid w:val="006672D3"/>
    <w:rsid w:val="00673BEF"/>
    <w:rsid w:val="006748B8"/>
    <w:rsid w:val="006775C3"/>
    <w:rsid w:val="006803E7"/>
    <w:rsid w:val="006821CB"/>
    <w:rsid w:val="00685593"/>
    <w:rsid w:val="006861A9"/>
    <w:rsid w:val="0069290A"/>
    <w:rsid w:val="00692B71"/>
    <w:rsid w:val="00694CDA"/>
    <w:rsid w:val="0069529F"/>
    <w:rsid w:val="0069775A"/>
    <w:rsid w:val="00697813"/>
    <w:rsid w:val="006A05C5"/>
    <w:rsid w:val="006A2F9F"/>
    <w:rsid w:val="006A3EE8"/>
    <w:rsid w:val="006A4002"/>
    <w:rsid w:val="006A6A7D"/>
    <w:rsid w:val="006A6A99"/>
    <w:rsid w:val="006A6F1A"/>
    <w:rsid w:val="006A72BF"/>
    <w:rsid w:val="006B03F2"/>
    <w:rsid w:val="006B1885"/>
    <w:rsid w:val="006B197D"/>
    <w:rsid w:val="006B37DC"/>
    <w:rsid w:val="006B4F68"/>
    <w:rsid w:val="006B5689"/>
    <w:rsid w:val="006C0592"/>
    <w:rsid w:val="006C272E"/>
    <w:rsid w:val="006C2DF8"/>
    <w:rsid w:val="006C3D18"/>
    <w:rsid w:val="006C52BF"/>
    <w:rsid w:val="006C5479"/>
    <w:rsid w:val="006C7F54"/>
    <w:rsid w:val="006D13B5"/>
    <w:rsid w:val="006D1B7A"/>
    <w:rsid w:val="006E12FF"/>
    <w:rsid w:val="006E1E7B"/>
    <w:rsid w:val="006E1FE5"/>
    <w:rsid w:val="006E2B7C"/>
    <w:rsid w:val="006E3839"/>
    <w:rsid w:val="006E4E7D"/>
    <w:rsid w:val="006E607E"/>
    <w:rsid w:val="006E6121"/>
    <w:rsid w:val="006E6229"/>
    <w:rsid w:val="006E68E5"/>
    <w:rsid w:val="006F4235"/>
    <w:rsid w:val="006F4B3C"/>
    <w:rsid w:val="006F67EF"/>
    <w:rsid w:val="00700434"/>
    <w:rsid w:val="007013BB"/>
    <w:rsid w:val="00706C5D"/>
    <w:rsid w:val="00711ABB"/>
    <w:rsid w:val="00712365"/>
    <w:rsid w:val="00712379"/>
    <w:rsid w:val="00713A0F"/>
    <w:rsid w:val="0071464A"/>
    <w:rsid w:val="007155D2"/>
    <w:rsid w:val="00715E44"/>
    <w:rsid w:val="007206CA"/>
    <w:rsid w:val="0072149F"/>
    <w:rsid w:val="0072691E"/>
    <w:rsid w:val="007270A1"/>
    <w:rsid w:val="00732922"/>
    <w:rsid w:val="0073444E"/>
    <w:rsid w:val="00744027"/>
    <w:rsid w:val="0074513C"/>
    <w:rsid w:val="00750323"/>
    <w:rsid w:val="0075162E"/>
    <w:rsid w:val="00754034"/>
    <w:rsid w:val="00756556"/>
    <w:rsid w:val="007570A8"/>
    <w:rsid w:val="0076052D"/>
    <w:rsid w:val="00761479"/>
    <w:rsid w:val="007618C4"/>
    <w:rsid w:val="007630CE"/>
    <w:rsid w:val="0076455E"/>
    <w:rsid w:val="007662BD"/>
    <w:rsid w:val="00767980"/>
    <w:rsid w:val="00770B19"/>
    <w:rsid w:val="007712CE"/>
    <w:rsid w:val="0077463F"/>
    <w:rsid w:val="00775B08"/>
    <w:rsid w:val="00780C6F"/>
    <w:rsid w:val="00781478"/>
    <w:rsid w:val="007836EA"/>
    <w:rsid w:val="00784CDA"/>
    <w:rsid w:val="007906C4"/>
    <w:rsid w:val="007940EA"/>
    <w:rsid w:val="00796411"/>
    <w:rsid w:val="007967E8"/>
    <w:rsid w:val="00796F67"/>
    <w:rsid w:val="007A2170"/>
    <w:rsid w:val="007A22BF"/>
    <w:rsid w:val="007A3323"/>
    <w:rsid w:val="007A6B91"/>
    <w:rsid w:val="007B3760"/>
    <w:rsid w:val="007B4B49"/>
    <w:rsid w:val="007B506A"/>
    <w:rsid w:val="007B72B8"/>
    <w:rsid w:val="007B7A58"/>
    <w:rsid w:val="007C0F2D"/>
    <w:rsid w:val="007C1109"/>
    <w:rsid w:val="007C21B5"/>
    <w:rsid w:val="007C21CE"/>
    <w:rsid w:val="007C39C9"/>
    <w:rsid w:val="007C453B"/>
    <w:rsid w:val="007D28A2"/>
    <w:rsid w:val="007E05AA"/>
    <w:rsid w:val="007E0EFD"/>
    <w:rsid w:val="007E11D2"/>
    <w:rsid w:val="007E49E5"/>
    <w:rsid w:val="007E4BD2"/>
    <w:rsid w:val="007E58F5"/>
    <w:rsid w:val="007E5A7E"/>
    <w:rsid w:val="007F0743"/>
    <w:rsid w:val="007F1787"/>
    <w:rsid w:val="007F1A14"/>
    <w:rsid w:val="007F5D15"/>
    <w:rsid w:val="00801393"/>
    <w:rsid w:val="00802F88"/>
    <w:rsid w:val="0080332F"/>
    <w:rsid w:val="008056A7"/>
    <w:rsid w:val="008109AB"/>
    <w:rsid w:val="0081293E"/>
    <w:rsid w:val="00812A66"/>
    <w:rsid w:val="00815465"/>
    <w:rsid w:val="00816122"/>
    <w:rsid w:val="00817E9A"/>
    <w:rsid w:val="00820597"/>
    <w:rsid w:val="00820F8F"/>
    <w:rsid w:val="008306BD"/>
    <w:rsid w:val="00831A80"/>
    <w:rsid w:val="00833743"/>
    <w:rsid w:val="00833CC0"/>
    <w:rsid w:val="008340A4"/>
    <w:rsid w:val="008342B6"/>
    <w:rsid w:val="008347C4"/>
    <w:rsid w:val="00834D1D"/>
    <w:rsid w:val="00837E78"/>
    <w:rsid w:val="00844986"/>
    <w:rsid w:val="0084520B"/>
    <w:rsid w:val="00846175"/>
    <w:rsid w:val="00856472"/>
    <w:rsid w:val="00860591"/>
    <w:rsid w:val="0086140A"/>
    <w:rsid w:val="008646BA"/>
    <w:rsid w:val="00866C83"/>
    <w:rsid w:val="0087131C"/>
    <w:rsid w:val="0087135F"/>
    <w:rsid w:val="00872D94"/>
    <w:rsid w:val="008741C4"/>
    <w:rsid w:val="00877FCF"/>
    <w:rsid w:val="00880364"/>
    <w:rsid w:val="008815CB"/>
    <w:rsid w:val="00883579"/>
    <w:rsid w:val="00885337"/>
    <w:rsid w:val="00885689"/>
    <w:rsid w:val="00886DC7"/>
    <w:rsid w:val="00891592"/>
    <w:rsid w:val="00891E9E"/>
    <w:rsid w:val="00893553"/>
    <w:rsid w:val="00893D06"/>
    <w:rsid w:val="00895C9A"/>
    <w:rsid w:val="008A2F68"/>
    <w:rsid w:val="008A3083"/>
    <w:rsid w:val="008A63FF"/>
    <w:rsid w:val="008B17A5"/>
    <w:rsid w:val="008B4FA6"/>
    <w:rsid w:val="008B5282"/>
    <w:rsid w:val="008B5446"/>
    <w:rsid w:val="008B6924"/>
    <w:rsid w:val="008B7C17"/>
    <w:rsid w:val="008C1E6E"/>
    <w:rsid w:val="008C2D01"/>
    <w:rsid w:val="008C40E6"/>
    <w:rsid w:val="008C689E"/>
    <w:rsid w:val="008D0F7A"/>
    <w:rsid w:val="008D1EB4"/>
    <w:rsid w:val="008D68E4"/>
    <w:rsid w:val="008E0506"/>
    <w:rsid w:val="008E0CFF"/>
    <w:rsid w:val="008E169E"/>
    <w:rsid w:val="008E28BC"/>
    <w:rsid w:val="008E34A0"/>
    <w:rsid w:val="008E5D6B"/>
    <w:rsid w:val="008E76F0"/>
    <w:rsid w:val="008F158B"/>
    <w:rsid w:val="008F15FE"/>
    <w:rsid w:val="008F2D29"/>
    <w:rsid w:val="008F3EFD"/>
    <w:rsid w:val="008F5187"/>
    <w:rsid w:val="008F60D8"/>
    <w:rsid w:val="008F6E35"/>
    <w:rsid w:val="008F6EB2"/>
    <w:rsid w:val="00902727"/>
    <w:rsid w:val="00902C2A"/>
    <w:rsid w:val="0090312B"/>
    <w:rsid w:val="009034FB"/>
    <w:rsid w:val="00903F6B"/>
    <w:rsid w:val="00905DCF"/>
    <w:rsid w:val="00906786"/>
    <w:rsid w:val="009110C4"/>
    <w:rsid w:val="0091186E"/>
    <w:rsid w:val="00912D18"/>
    <w:rsid w:val="0091736D"/>
    <w:rsid w:val="009268D1"/>
    <w:rsid w:val="00927ACB"/>
    <w:rsid w:val="0093037A"/>
    <w:rsid w:val="00930AD3"/>
    <w:rsid w:val="00931EEF"/>
    <w:rsid w:val="00934F08"/>
    <w:rsid w:val="0094154D"/>
    <w:rsid w:val="0094579C"/>
    <w:rsid w:val="00946ED7"/>
    <w:rsid w:val="00950F53"/>
    <w:rsid w:val="009513D1"/>
    <w:rsid w:val="00951439"/>
    <w:rsid w:val="0095155F"/>
    <w:rsid w:val="00954429"/>
    <w:rsid w:val="009563CE"/>
    <w:rsid w:val="00962D9D"/>
    <w:rsid w:val="00963589"/>
    <w:rsid w:val="00973F93"/>
    <w:rsid w:val="00973FCE"/>
    <w:rsid w:val="009760F1"/>
    <w:rsid w:val="00976328"/>
    <w:rsid w:val="0097680D"/>
    <w:rsid w:val="00977EAC"/>
    <w:rsid w:val="00980ACF"/>
    <w:rsid w:val="00982438"/>
    <w:rsid w:val="0098256A"/>
    <w:rsid w:val="009837A2"/>
    <w:rsid w:val="0098404C"/>
    <w:rsid w:val="00984EFB"/>
    <w:rsid w:val="00985283"/>
    <w:rsid w:val="00993133"/>
    <w:rsid w:val="00993585"/>
    <w:rsid w:val="00993935"/>
    <w:rsid w:val="00995992"/>
    <w:rsid w:val="0099731D"/>
    <w:rsid w:val="009A0241"/>
    <w:rsid w:val="009A03E5"/>
    <w:rsid w:val="009A0F3B"/>
    <w:rsid w:val="009A1BB4"/>
    <w:rsid w:val="009A1F39"/>
    <w:rsid w:val="009A2628"/>
    <w:rsid w:val="009A3200"/>
    <w:rsid w:val="009A3379"/>
    <w:rsid w:val="009A45BE"/>
    <w:rsid w:val="009A7CFB"/>
    <w:rsid w:val="009B0897"/>
    <w:rsid w:val="009B4AD9"/>
    <w:rsid w:val="009B5609"/>
    <w:rsid w:val="009B7BD9"/>
    <w:rsid w:val="009C7DD5"/>
    <w:rsid w:val="009D0FEE"/>
    <w:rsid w:val="009D1A93"/>
    <w:rsid w:val="009D2748"/>
    <w:rsid w:val="009D4E2B"/>
    <w:rsid w:val="009D77B2"/>
    <w:rsid w:val="009D79D6"/>
    <w:rsid w:val="009E18E4"/>
    <w:rsid w:val="009E227D"/>
    <w:rsid w:val="009E5019"/>
    <w:rsid w:val="009E5253"/>
    <w:rsid w:val="009E623D"/>
    <w:rsid w:val="009F2204"/>
    <w:rsid w:val="009F58F9"/>
    <w:rsid w:val="00A01AC5"/>
    <w:rsid w:val="00A04E90"/>
    <w:rsid w:val="00A04F1B"/>
    <w:rsid w:val="00A0501B"/>
    <w:rsid w:val="00A069FC"/>
    <w:rsid w:val="00A1108E"/>
    <w:rsid w:val="00A14947"/>
    <w:rsid w:val="00A16D19"/>
    <w:rsid w:val="00A20D6F"/>
    <w:rsid w:val="00A216F9"/>
    <w:rsid w:val="00A22342"/>
    <w:rsid w:val="00A2703B"/>
    <w:rsid w:val="00A27D49"/>
    <w:rsid w:val="00A322B4"/>
    <w:rsid w:val="00A32A83"/>
    <w:rsid w:val="00A3572D"/>
    <w:rsid w:val="00A368DB"/>
    <w:rsid w:val="00A41EB4"/>
    <w:rsid w:val="00A42273"/>
    <w:rsid w:val="00A423AA"/>
    <w:rsid w:val="00A444A9"/>
    <w:rsid w:val="00A44F0A"/>
    <w:rsid w:val="00A53220"/>
    <w:rsid w:val="00A53A1C"/>
    <w:rsid w:val="00A53EC6"/>
    <w:rsid w:val="00A54E5B"/>
    <w:rsid w:val="00A5520C"/>
    <w:rsid w:val="00A55C0F"/>
    <w:rsid w:val="00A5655A"/>
    <w:rsid w:val="00A56967"/>
    <w:rsid w:val="00A576C9"/>
    <w:rsid w:val="00A6159F"/>
    <w:rsid w:val="00A61FB3"/>
    <w:rsid w:val="00A703E5"/>
    <w:rsid w:val="00A72FBE"/>
    <w:rsid w:val="00A740FC"/>
    <w:rsid w:val="00A76CFF"/>
    <w:rsid w:val="00A80215"/>
    <w:rsid w:val="00A8386F"/>
    <w:rsid w:val="00A843C5"/>
    <w:rsid w:val="00A85B5B"/>
    <w:rsid w:val="00A8713F"/>
    <w:rsid w:val="00A87252"/>
    <w:rsid w:val="00A90BA1"/>
    <w:rsid w:val="00A90DCD"/>
    <w:rsid w:val="00A97846"/>
    <w:rsid w:val="00A97A9A"/>
    <w:rsid w:val="00A97F0F"/>
    <w:rsid w:val="00AA0417"/>
    <w:rsid w:val="00AA0671"/>
    <w:rsid w:val="00AA21DA"/>
    <w:rsid w:val="00AA2531"/>
    <w:rsid w:val="00AA3A21"/>
    <w:rsid w:val="00AA751B"/>
    <w:rsid w:val="00AB1E09"/>
    <w:rsid w:val="00AB2627"/>
    <w:rsid w:val="00AB5330"/>
    <w:rsid w:val="00AB7747"/>
    <w:rsid w:val="00AB7874"/>
    <w:rsid w:val="00AC017F"/>
    <w:rsid w:val="00AC14CE"/>
    <w:rsid w:val="00AC2A56"/>
    <w:rsid w:val="00AC49F5"/>
    <w:rsid w:val="00AC4D7A"/>
    <w:rsid w:val="00AD055E"/>
    <w:rsid w:val="00AD198C"/>
    <w:rsid w:val="00AD2054"/>
    <w:rsid w:val="00AD43D6"/>
    <w:rsid w:val="00AD47A7"/>
    <w:rsid w:val="00AD575B"/>
    <w:rsid w:val="00AD7338"/>
    <w:rsid w:val="00AE291D"/>
    <w:rsid w:val="00AE2BAC"/>
    <w:rsid w:val="00AE4E5E"/>
    <w:rsid w:val="00AE4FE1"/>
    <w:rsid w:val="00AE6A4E"/>
    <w:rsid w:val="00AF003F"/>
    <w:rsid w:val="00AF0CBF"/>
    <w:rsid w:val="00AF2082"/>
    <w:rsid w:val="00AF257F"/>
    <w:rsid w:val="00AF33CF"/>
    <w:rsid w:val="00AF4D50"/>
    <w:rsid w:val="00AF56FB"/>
    <w:rsid w:val="00AF6179"/>
    <w:rsid w:val="00AF754F"/>
    <w:rsid w:val="00B00D28"/>
    <w:rsid w:val="00B017EA"/>
    <w:rsid w:val="00B0330C"/>
    <w:rsid w:val="00B04662"/>
    <w:rsid w:val="00B07B3D"/>
    <w:rsid w:val="00B12080"/>
    <w:rsid w:val="00B128DD"/>
    <w:rsid w:val="00B1295A"/>
    <w:rsid w:val="00B12E88"/>
    <w:rsid w:val="00B16519"/>
    <w:rsid w:val="00B17FB0"/>
    <w:rsid w:val="00B2009E"/>
    <w:rsid w:val="00B20A45"/>
    <w:rsid w:val="00B22BFD"/>
    <w:rsid w:val="00B22C5C"/>
    <w:rsid w:val="00B24F30"/>
    <w:rsid w:val="00B253F3"/>
    <w:rsid w:val="00B30462"/>
    <w:rsid w:val="00B31ABF"/>
    <w:rsid w:val="00B3380D"/>
    <w:rsid w:val="00B33BE3"/>
    <w:rsid w:val="00B40BF0"/>
    <w:rsid w:val="00B43428"/>
    <w:rsid w:val="00B44183"/>
    <w:rsid w:val="00B4648B"/>
    <w:rsid w:val="00B47BC1"/>
    <w:rsid w:val="00B52557"/>
    <w:rsid w:val="00B531FE"/>
    <w:rsid w:val="00B535D5"/>
    <w:rsid w:val="00B53B5D"/>
    <w:rsid w:val="00B57FDE"/>
    <w:rsid w:val="00B6055E"/>
    <w:rsid w:val="00B60DDB"/>
    <w:rsid w:val="00B62049"/>
    <w:rsid w:val="00B6317D"/>
    <w:rsid w:val="00B63B6F"/>
    <w:rsid w:val="00B659A7"/>
    <w:rsid w:val="00B70EBE"/>
    <w:rsid w:val="00B71018"/>
    <w:rsid w:val="00B7144D"/>
    <w:rsid w:val="00B7723F"/>
    <w:rsid w:val="00B775C1"/>
    <w:rsid w:val="00B801AF"/>
    <w:rsid w:val="00B80534"/>
    <w:rsid w:val="00B8180B"/>
    <w:rsid w:val="00B8377A"/>
    <w:rsid w:val="00B8390D"/>
    <w:rsid w:val="00B839FB"/>
    <w:rsid w:val="00B8433C"/>
    <w:rsid w:val="00B87491"/>
    <w:rsid w:val="00B91147"/>
    <w:rsid w:val="00B95AAA"/>
    <w:rsid w:val="00B96EB4"/>
    <w:rsid w:val="00B9774A"/>
    <w:rsid w:val="00BA1F3E"/>
    <w:rsid w:val="00BA29E9"/>
    <w:rsid w:val="00BA7142"/>
    <w:rsid w:val="00BB1443"/>
    <w:rsid w:val="00BB237C"/>
    <w:rsid w:val="00BB2492"/>
    <w:rsid w:val="00BB41A3"/>
    <w:rsid w:val="00BB4E23"/>
    <w:rsid w:val="00BB7890"/>
    <w:rsid w:val="00BC32DC"/>
    <w:rsid w:val="00BC35B6"/>
    <w:rsid w:val="00BC6C7A"/>
    <w:rsid w:val="00BC7D6F"/>
    <w:rsid w:val="00BD1B51"/>
    <w:rsid w:val="00BD4596"/>
    <w:rsid w:val="00BE1405"/>
    <w:rsid w:val="00BE312D"/>
    <w:rsid w:val="00BE32F3"/>
    <w:rsid w:val="00BE4601"/>
    <w:rsid w:val="00BE7E86"/>
    <w:rsid w:val="00BF1C20"/>
    <w:rsid w:val="00C04FC1"/>
    <w:rsid w:val="00C0619C"/>
    <w:rsid w:val="00C10578"/>
    <w:rsid w:val="00C12D62"/>
    <w:rsid w:val="00C135BC"/>
    <w:rsid w:val="00C15C95"/>
    <w:rsid w:val="00C20E6A"/>
    <w:rsid w:val="00C211BC"/>
    <w:rsid w:val="00C24F0D"/>
    <w:rsid w:val="00C2596A"/>
    <w:rsid w:val="00C27537"/>
    <w:rsid w:val="00C328FE"/>
    <w:rsid w:val="00C33507"/>
    <w:rsid w:val="00C336C7"/>
    <w:rsid w:val="00C37C6E"/>
    <w:rsid w:val="00C4409D"/>
    <w:rsid w:val="00C44E72"/>
    <w:rsid w:val="00C45A06"/>
    <w:rsid w:val="00C4762A"/>
    <w:rsid w:val="00C47E5B"/>
    <w:rsid w:val="00C52DD6"/>
    <w:rsid w:val="00C572CE"/>
    <w:rsid w:val="00C61DEB"/>
    <w:rsid w:val="00C61E4B"/>
    <w:rsid w:val="00C621A8"/>
    <w:rsid w:val="00C64BFF"/>
    <w:rsid w:val="00C652B5"/>
    <w:rsid w:val="00C65AD9"/>
    <w:rsid w:val="00C65D27"/>
    <w:rsid w:val="00C67C87"/>
    <w:rsid w:val="00C67F8B"/>
    <w:rsid w:val="00C704E9"/>
    <w:rsid w:val="00C72ACE"/>
    <w:rsid w:val="00C763C9"/>
    <w:rsid w:val="00C77D12"/>
    <w:rsid w:val="00C80057"/>
    <w:rsid w:val="00C806E5"/>
    <w:rsid w:val="00C81FE5"/>
    <w:rsid w:val="00C82232"/>
    <w:rsid w:val="00C82913"/>
    <w:rsid w:val="00C906D8"/>
    <w:rsid w:val="00C91E1A"/>
    <w:rsid w:val="00C94135"/>
    <w:rsid w:val="00C972B1"/>
    <w:rsid w:val="00C978A8"/>
    <w:rsid w:val="00CA23ED"/>
    <w:rsid w:val="00CA2CCE"/>
    <w:rsid w:val="00CA43FD"/>
    <w:rsid w:val="00CA7EF8"/>
    <w:rsid w:val="00CB09CE"/>
    <w:rsid w:val="00CB184A"/>
    <w:rsid w:val="00CB5002"/>
    <w:rsid w:val="00CC152F"/>
    <w:rsid w:val="00CC2C19"/>
    <w:rsid w:val="00CC489B"/>
    <w:rsid w:val="00CC5CDD"/>
    <w:rsid w:val="00CC7B59"/>
    <w:rsid w:val="00CC7C9E"/>
    <w:rsid w:val="00CD0E6D"/>
    <w:rsid w:val="00CD2A33"/>
    <w:rsid w:val="00CD2BCD"/>
    <w:rsid w:val="00CD3A4C"/>
    <w:rsid w:val="00CE10E9"/>
    <w:rsid w:val="00CE2910"/>
    <w:rsid w:val="00CE5393"/>
    <w:rsid w:val="00CE6CD5"/>
    <w:rsid w:val="00CE7177"/>
    <w:rsid w:val="00CF2259"/>
    <w:rsid w:val="00CF3194"/>
    <w:rsid w:val="00CF36BE"/>
    <w:rsid w:val="00CF50BA"/>
    <w:rsid w:val="00CF6000"/>
    <w:rsid w:val="00CF78AF"/>
    <w:rsid w:val="00CF7E73"/>
    <w:rsid w:val="00D003F3"/>
    <w:rsid w:val="00D008F3"/>
    <w:rsid w:val="00D01B9C"/>
    <w:rsid w:val="00D0364F"/>
    <w:rsid w:val="00D038CB"/>
    <w:rsid w:val="00D06834"/>
    <w:rsid w:val="00D14F57"/>
    <w:rsid w:val="00D15112"/>
    <w:rsid w:val="00D15E6A"/>
    <w:rsid w:val="00D21454"/>
    <w:rsid w:val="00D2416B"/>
    <w:rsid w:val="00D245A4"/>
    <w:rsid w:val="00D2732C"/>
    <w:rsid w:val="00D308ED"/>
    <w:rsid w:val="00D31571"/>
    <w:rsid w:val="00D326AC"/>
    <w:rsid w:val="00D36D86"/>
    <w:rsid w:val="00D428AA"/>
    <w:rsid w:val="00D42B17"/>
    <w:rsid w:val="00D451A1"/>
    <w:rsid w:val="00D45BBF"/>
    <w:rsid w:val="00D50A34"/>
    <w:rsid w:val="00D525B9"/>
    <w:rsid w:val="00D53EFA"/>
    <w:rsid w:val="00D621AE"/>
    <w:rsid w:val="00D743B5"/>
    <w:rsid w:val="00D84242"/>
    <w:rsid w:val="00D86FB1"/>
    <w:rsid w:val="00D877C8"/>
    <w:rsid w:val="00D94A7C"/>
    <w:rsid w:val="00D95896"/>
    <w:rsid w:val="00D96B3D"/>
    <w:rsid w:val="00D97760"/>
    <w:rsid w:val="00D979F1"/>
    <w:rsid w:val="00DA3073"/>
    <w:rsid w:val="00DA38D9"/>
    <w:rsid w:val="00DB032D"/>
    <w:rsid w:val="00DB145B"/>
    <w:rsid w:val="00DB18E6"/>
    <w:rsid w:val="00DB2983"/>
    <w:rsid w:val="00DB3425"/>
    <w:rsid w:val="00DC1257"/>
    <w:rsid w:val="00DC38A6"/>
    <w:rsid w:val="00DC3A55"/>
    <w:rsid w:val="00DC3DC0"/>
    <w:rsid w:val="00DC5B2B"/>
    <w:rsid w:val="00DC6AB1"/>
    <w:rsid w:val="00DD318D"/>
    <w:rsid w:val="00DD6B72"/>
    <w:rsid w:val="00DD7536"/>
    <w:rsid w:val="00DE19EB"/>
    <w:rsid w:val="00DE5CB4"/>
    <w:rsid w:val="00DF217B"/>
    <w:rsid w:val="00DF2E12"/>
    <w:rsid w:val="00DF3633"/>
    <w:rsid w:val="00DF43B0"/>
    <w:rsid w:val="00DF514A"/>
    <w:rsid w:val="00DF6690"/>
    <w:rsid w:val="00DF6804"/>
    <w:rsid w:val="00E01990"/>
    <w:rsid w:val="00E02630"/>
    <w:rsid w:val="00E02C89"/>
    <w:rsid w:val="00E0358D"/>
    <w:rsid w:val="00E04323"/>
    <w:rsid w:val="00E070A2"/>
    <w:rsid w:val="00E1323E"/>
    <w:rsid w:val="00E16FEF"/>
    <w:rsid w:val="00E17158"/>
    <w:rsid w:val="00E17FF8"/>
    <w:rsid w:val="00E21B57"/>
    <w:rsid w:val="00E23E53"/>
    <w:rsid w:val="00E25546"/>
    <w:rsid w:val="00E2656A"/>
    <w:rsid w:val="00E2752D"/>
    <w:rsid w:val="00E2758C"/>
    <w:rsid w:val="00E330DA"/>
    <w:rsid w:val="00E36010"/>
    <w:rsid w:val="00E37E55"/>
    <w:rsid w:val="00E412D0"/>
    <w:rsid w:val="00E51F01"/>
    <w:rsid w:val="00E56322"/>
    <w:rsid w:val="00E60982"/>
    <w:rsid w:val="00E61CFA"/>
    <w:rsid w:val="00E62C62"/>
    <w:rsid w:val="00E62C94"/>
    <w:rsid w:val="00E654C1"/>
    <w:rsid w:val="00E65D97"/>
    <w:rsid w:val="00E71EEB"/>
    <w:rsid w:val="00E727E4"/>
    <w:rsid w:val="00E72A5A"/>
    <w:rsid w:val="00E73141"/>
    <w:rsid w:val="00E73354"/>
    <w:rsid w:val="00E7523A"/>
    <w:rsid w:val="00E8018A"/>
    <w:rsid w:val="00E82E20"/>
    <w:rsid w:val="00E843F0"/>
    <w:rsid w:val="00E86578"/>
    <w:rsid w:val="00E865C2"/>
    <w:rsid w:val="00E9242D"/>
    <w:rsid w:val="00E96BDF"/>
    <w:rsid w:val="00EA1BCE"/>
    <w:rsid w:val="00EA3264"/>
    <w:rsid w:val="00EA7761"/>
    <w:rsid w:val="00EB5255"/>
    <w:rsid w:val="00EB5C47"/>
    <w:rsid w:val="00EC0730"/>
    <w:rsid w:val="00EC2429"/>
    <w:rsid w:val="00EC332E"/>
    <w:rsid w:val="00ED0639"/>
    <w:rsid w:val="00ED20AB"/>
    <w:rsid w:val="00ED2FA8"/>
    <w:rsid w:val="00ED64CA"/>
    <w:rsid w:val="00EE0251"/>
    <w:rsid w:val="00EF2649"/>
    <w:rsid w:val="00EF3297"/>
    <w:rsid w:val="00EF380F"/>
    <w:rsid w:val="00EF4755"/>
    <w:rsid w:val="00EF5BA2"/>
    <w:rsid w:val="00EF7135"/>
    <w:rsid w:val="00F01B06"/>
    <w:rsid w:val="00F027DB"/>
    <w:rsid w:val="00F06167"/>
    <w:rsid w:val="00F06E9A"/>
    <w:rsid w:val="00F10742"/>
    <w:rsid w:val="00F14A7A"/>
    <w:rsid w:val="00F15CEA"/>
    <w:rsid w:val="00F16279"/>
    <w:rsid w:val="00F22985"/>
    <w:rsid w:val="00F2389E"/>
    <w:rsid w:val="00F26AB1"/>
    <w:rsid w:val="00F271E2"/>
    <w:rsid w:val="00F32FF8"/>
    <w:rsid w:val="00F33347"/>
    <w:rsid w:val="00F3383E"/>
    <w:rsid w:val="00F37BE6"/>
    <w:rsid w:val="00F40357"/>
    <w:rsid w:val="00F4099A"/>
    <w:rsid w:val="00F44E64"/>
    <w:rsid w:val="00F465A7"/>
    <w:rsid w:val="00F4666D"/>
    <w:rsid w:val="00F46F8E"/>
    <w:rsid w:val="00F50B7C"/>
    <w:rsid w:val="00F51ED4"/>
    <w:rsid w:val="00F52A8D"/>
    <w:rsid w:val="00F53303"/>
    <w:rsid w:val="00F550E6"/>
    <w:rsid w:val="00F575A4"/>
    <w:rsid w:val="00F5782B"/>
    <w:rsid w:val="00F63C0C"/>
    <w:rsid w:val="00F6462F"/>
    <w:rsid w:val="00F66529"/>
    <w:rsid w:val="00F70C59"/>
    <w:rsid w:val="00F72660"/>
    <w:rsid w:val="00F74345"/>
    <w:rsid w:val="00F755E6"/>
    <w:rsid w:val="00F759F3"/>
    <w:rsid w:val="00F75B94"/>
    <w:rsid w:val="00F80A0A"/>
    <w:rsid w:val="00F82B19"/>
    <w:rsid w:val="00F84D59"/>
    <w:rsid w:val="00F878E7"/>
    <w:rsid w:val="00F9212D"/>
    <w:rsid w:val="00F965DA"/>
    <w:rsid w:val="00F96819"/>
    <w:rsid w:val="00FA2391"/>
    <w:rsid w:val="00FA406A"/>
    <w:rsid w:val="00FB503A"/>
    <w:rsid w:val="00FB516C"/>
    <w:rsid w:val="00FB5674"/>
    <w:rsid w:val="00FB5F7E"/>
    <w:rsid w:val="00FB76CA"/>
    <w:rsid w:val="00FC24AD"/>
    <w:rsid w:val="00FC3895"/>
    <w:rsid w:val="00FC6A10"/>
    <w:rsid w:val="00FC79CB"/>
    <w:rsid w:val="00FD0236"/>
    <w:rsid w:val="00FD18F4"/>
    <w:rsid w:val="00FD26EE"/>
    <w:rsid w:val="00FD54DB"/>
    <w:rsid w:val="00FD619F"/>
    <w:rsid w:val="00FE1B8B"/>
    <w:rsid w:val="00FE2C4F"/>
    <w:rsid w:val="00FE532C"/>
    <w:rsid w:val="00FE5D81"/>
    <w:rsid w:val="00FE754F"/>
    <w:rsid w:val="00FE764F"/>
    <w:rsid w:val="00FF0CC8"/>
    <w:rsid w:val="00FF5B8C"/>
    <w:rsid w:val="01031C21"/>
    <w:rsid w:val="010B03A2"/>
    <w:rsid w:val="011473B7"/>
    <w:rsid w:val="011C4005"/>
    <w:rsid w:val="011F3044"/>
    <w:rsid w:val="01221997"/>
    <w:rsid w:val="01284C10"/>
    <w:rsid w:val="01290F7E"/>
    <w:rsid w:val="01312193"/>
    <w:rsid w:val="013159A7"/>
    <w:rsid w:val="01351B14"/>
    <w:rsid w:val="013637D1"/>
    <w:rsid w:val="01366D4C"/>
    <w:rsid w:val="01381965"/>
    <w:rsid w:val="013E4434"/>
    <w:rsid w:val="013F7DD9"/>
    <w:rsid w:val="01431A4A"/>
    <w:rsid w:val="01435C42"/>
    <w:rsid w:val="014741DA"/>
    <w:rsid w:val="01503F3D"/>
    <w:rsid w:val="01514167"/>
    <w:rsid w:val="01533DD0"/>
    <w:rsid w:val="01534D67"/>
    <w:rsid w:val="01570B0A"/>
    <w:rsid w:val="015772A4"/>
    <w:rsid w:val="0159126E"/>
    <w:rsid w:val="015D1E09"/>
    <w:rsid w:val="015D36C0"/>
    <w:rsid w:val="01626374"/>
    <w:rsid w:val="01635C49"/>
    <w:rsid w:val="01663DA5"/>
    <w:rsid w:val="0169049A"/>
    <w:rsid w:val="016C257C"/>
    <w:rsid w:val="016D6AC7"/>
    <w:rsid w:val="017642C4"/>
    <w:rsid w:val="01795324"/>
    <w:rsid w:val="01822C60"/>
    <w:rsid w:val="018B4D7A"/>
    <w:rsid w:val="018E7169"/>
    <w:rsid w:val="019404F8"/>
    <w:rsid w:val="019649B3"/>
    <w:rsid w:val="01994A5B"/>
    <w:rsid w:val="019978BC"/>
    <w:rsid w:val="019B0C01"/>
    <w:rsid w:val="01A249C3"/>
    <w:rsid w:val="01AA7D1B"/>
    <w:rsid w:val="01B14C06"/>
    <w:rsid w:val="01B711E2"/>
    <w:rsid w:val="01BA61B0"/>
    <w:rsid w:val="01BD17FD"/>
    <w:rsid w:val="01BD4C9A"/>
    <w:rsid w:val="01BF0BDA"/>
    <w:rsid w:val="01C963F3"/>
    <w:rsid w:val="01CC3FA0"/>
    <w:rsid w:val="01CC7C92"/>
    <w:rsid w:val="01D32DCE"/>
    <w:rsid w:val="01D81E3B"/>
    <w:rsid w:val="01D83D26"/>
    <w:rsid w:val="01DE3E81"/>
    <w:rsid w:val="01DE6CE9"/>
    <w:rsid w:val="01E11BC6"/>
    <w:rsid w:val="01E30724"/>
    <w:rsid w:val="01E32192"/>
    <w:rsid w:val="01E7050A"/>
    <w:rsid w:val="01E90844"/>
    <w:rsid w:val="01F27B47"/>
    <w:rsid w:val="01F32EBA"/>
    <w:rsid w:val="01FB408B"/>
    <w:rsid w:val="01FD42EF"/>
    <w:rsid w:val="01FF44CB"/>
    <w:rsid w:val="02005A7B"/>
    <w:rsid w:val="02005B8D"/>
    <w:rsid w:val="020C62E0"/>
    <w:rsid w:val="020E7BCB"/>
    <w:rsid w:val="02160F0D"/>
    <w:rsid w:val="021876EC"/>
    <w:rsid w:val="021B4775"/>
    <w:rsid w:val="021D3D2C"/>
    <w:rsid w:val="02284DF1"/>
    <w:rsid w:val="02290C40"/>
    <w:rsid w:val="022D6017"/>
    <w:rsid w:val="022E6257"/>
    <w:rsid w:val="022F7E4F"/>
    <w:rsid w:val="02304CB8"/>
    <w:rsid w:val="02340733"/>
    <w:rsid w:val="02353375"/>
    <w:rsid w:val="02436CFA"/>
    <w:rsid w:val="02532161"/>
    <w:rsid w:val="02532473"/>
    <w:rsid w:val="02570038"/>
    <w:rsid w:val="02570457"/>
    <w:rsid w:val="025A6E7A"/>
    <w:rsid w:val="025B3F76"/>
    <w:rsid w:val="026115F0"/>
    <w:rsid w:val="026659F0"/>
    <w:rsid w:val="02666686"/>
    <w:rsid w:val="02697903"/>
    <w:rsid w:val="026B1259"/>
    <w:rsid w:val="027A5940"/>
    <w:rsid w:val="027D47AD"/>
    <w:rsid w:val="02801D3F"/>
    <w:rsid w:val="028B583D"/>
    <w:rsid w:val="028E4DFF"/>
    <w:rsid w:val="029167E5"/>
    <w:rsid w:val="0293255D"/>
    <w:rsid w:val="029562D6"/>
    <w:rsid w:val="029E1F6C"/>
    <w:rsid w:val="029F53A6"/>
    <w:rsid w:val="02AE4C2A"/>
    <w:rsid w:val="02B0310F"/>
    <w:rsid w:val="02B153BE"/>
    <w:rsid w:val="02B55F34"/>
    <w:rsid w:val="02BB1EF3"/>
    <w:rsid w:val="02BF1304"/>
    <w:rsid w:val="02C26B15"/>
    <w:rsid w:val="02C82F21"/>
    <w:rsid w:val="02C8425D"/>
    <w:rsid w:val="02CD28BB"/>
    <w:rsid w:val="02D069A1"/>
    <w:rsid w:val="02D2318C"/>
    <w:rsid w:val="02D52B76"/>
    <w:rsid w:val="02D54924"/>
    <w:rsid w:val="02DB3646"/>
    <w:rsid w:val="02E81F09"/>
    <w:rsid w:val="02EC75E1"/>
    <w:rsid w:val="02ED10F0"/>
    <w:rsid w:val="02ED12BC"/>
    <w:rsid w:val="02F0175E"/>
    <w:rsid w:val="02F23728"/>
    <w:rsid w:val="02F54220"/>
    <w:rsid w:val="02F73C38"/>
    <w:rsid w:val="02F84D75"/>
    <w:rsid w:val="02F96569"/>
    <w:rsid w:val="02FF5E45"/>
    <w:rsid w:val="02FF7C6D"/>
    <w:rsid w:val="03035935"/>
    <w:rsid w:val="030560C6"/>
    <w:rsid w:val="030627CB"/>
    <w:rsid w:val="03065425"/>
    <w:rsid w:val="03074C27"/>
    <w:rsid w:val="03082EFC"/>
    <w:rsid w:val="031418F0"/>
    <w:rsid w:val="0317318F"/>
    <w:rsid w:val="031C2553"/>
    <w:rsid w:val="031C644F"/>
    <w:rsid w:val="03237D85"/>
    <w:rsid w:val="03265180"/>
    <w:rsid w:val="032A4C70"/>
    <w:rsid w:val="033112EF"/>
    <w:rsid w:val="03343D40"/>
    <w:rsid w:val="03345AEF"/>
    <w:rsid w:val="0337738D"/>
    <w:rsid w:val="03411FB9"/>
    <w:rsid w:val="03457CFC"/>
    <w:rsid w:val="03465822"/>
    <w:rsid w:val="034B38FA"/>
    <w:rsid w:val="03504809"/>
    <w:rsid w:val="03575C81"/>
    <w:rsid w:val="035D6367"/>
    <w:rsid w:val="035F4F1E"/>
    <w:rsid w:val="036D1E15"/>
    <w:rsid w:val="036F2B61"/>
    <w:rsid w:val="036F61FC"/>
    <w:rsid w:val="0371289F"/>
    <w:rsid w:val="037B371D"/>
    <w:rsid w:val="037F58E9"/>
    <w:rsid w:val="0382266C"/>
    <w:rsid w:val="0385748B"/>
    <w:rsid w:val="038756BD"/>
    <w:rsid w:val="038B270C"/>
    <w:rsid w:val="03925E4A"/>
    <w:rsid w:val="03926793"/>
    <w:rsid w:val="03991DF6"/>
    <w:rsid w:val="03993BA4"/>
    <w:rsid w:val="039A70F6"/>
    <w:rsid w:val="039D18E6"/>
    <w:rsid w:val="03A54299"/>
    <w:rsid w:val="03A74512"/>
    <w:rsid w:val="03A762C0"/>
    <w:rsid w:val="03A826E5"/>
    <w:rsid w:val="03B0291E"/>
    <w:rsid w:val="03B078E4"/>
    <w:rsid w:val="03B3086D"/>
    <w:rsid w:val="03B94246"/>
    <w:rsid w:val="03BB4C97"/>
    <w:rsid w:val="03C54999"/>
    <w:rsid w:val="03CF3A69"/>
    <w:rsid w:val="03D96696"/>
    <w:rsid w:val="03DC2C52"/>
    <w:rsid w:val="03DD6566"/>
    <w:rsid w:val="03E11877"/>
    <w:rsid w:val="03E71595"/>
    <w:rsid w:val="03E9062E"/>
    <w:rsid w:val="03E95DBD"/>
    <w:rsid w:val="03EA7B21"/>
    <w:rsid w:val="03EE34DF"/>
    <w:rsid w:val="03EE3EEF"/>
    <w:rsid w:val="03F90F5B"/>
    <w:rsid w:val="03F91619"/>
    <w:rsid w:val="03FA7FA9"/>
    <w:rsid w:val="03FF6831"/>
    <w:rsid w:val="0402799B"/>
    <w:rsid w:val="04042F63"/>
    <w:rsid w:val="04060002"/>
    <w:rsid w:val="04086A8E"/>
    <w:rsid w:val="040A58BD"/>
    <w:rsid w:val="040C0819"/>
    <w:rsid w:val="04115E30"/>
    <w:rsid w:val="041312FA"/>
    <w:rsid w:val="041548EB"/>
    <w:rsid w:val="04163DA0"/>
    <w:rsid w:val="041A2F36"/>
    <w:rsid w:val="042079B1"/>
    <w:rsid w:val="04253689"/>
    <w:rsid w:val="0426181E"/>
    <w:rsid w:val="042A2A20"/>
    <w:rsid w:val="04322347"/>
    <w:rsid w:val="04390EE3"/>
    <w:rsid w:val="043F474B"/>
    <w:rsid w:val="044624FA"/>
    <w:rsid w:val="04463D2B"/>
    <w:rsid w:val="044B1342"/>
    <w:rsid w:val="04541040"/>
    <w:rsid w:val="04541A21"/>
    <w:rsid w:val="045803CB"/>
    <w:rsid w:val="04581CB1"/>
    <w:rsid w:val="045A531B"/>
    <w:rsid w:val="045D1075"/>
    <w:rsid w:val="04674EF8"/>
    <w:rsid w:val="0467675D"/>
    <w:rsid w:val="046C3066"/>
    <w:rsid w:val="047069DC"/>
    <w:rsid w:val="047405BC"/>
    <w:rsid w:val="0478072F"/>
    <w:rsid w:val="0483664D"/>
    <w:rsid w:val="04893C18"/>
    <w:rsid w:val="048E317B"/>
    <w:rsid w:val="049525BD"/>
    <w:rsid w:val="0495629B"/>
    <w:rsid w:val="04992B5B"/>
    <w:rsid w:val="049C7160"/>
    <w:rsid w:val="049E533B"/>
    <w:rsid w:val="04A0376C"/>
    <w:rsid w:val="04A24703"/>
    <w:rsid w:val="04A24E62"/>
    <w:rsid w:val="04A37004"/>
    <w:rsid w:val="04A86794"/>
    <w:rsid w:val="04B3747D"/>
    <w:rsid w:val="04B844FD"/>
    <w:rsid w:val="04BA0275"/>
    <w:rsid w:val="04BC5CE3"/>
    <w:rsid w:val="04BD1B14"/>
    <w:rsid w:val="04C2712A"/>
    <w:rsid w:val="04C6380B"/>
    <w:rsid w:val="04CB5FDF"/>
    <w:rsid w:val="04D23E5A"/>
    <w:rsid w:val="04D806FC"/>
    <w:rsid w:val="04DB187B"/>
    <w:rsid w:val="04DD1649"/>
    <w:rsid w:val="04E2452E"/>
    <w:rsid w:val="04EE6171"/>
    <w:rsid w:val="04F574FF"/>
    <w:rsid w:val="04F95358"/>
    <w:rsid w:val="04F96FF0"/>
    <w:rsid w:val="04FC263C"/>
    <w:rsid w:val="05065269"/>
    <w:rsid w:val="050E236F"/>
    <w:rsid w:val="050F6813"/>
    <w:rsid w:val="051239A1"/>
    <w:rsid w:val="052E47BF"/>
    <w:rsid w:val="053E2C54"/>
    <w:rsid w:val="05483AD3"/>
    <w:rsid w:val="0548762F"/>
    <w:rsid w:val="054B711F"/>
    <w:rsid w:val="0550438A"/>
    <w:rsid w:val="0553688F"/>
    <w:rsid w:val="05551E3C"/>
    <w:rsid w:val="05592C3C"/>
    <w:rsid w:val="055E3FA0"/>
    <w:rsid w:val="056401E1"/>
    <w:rsid w:val="05654D72"/>
    <w:rsid w:val="05663F59"/>
    <w:rsid w:val="05685F23"/>
    <w:rsid w:val="056961A2"/>
    <w:rsid w:val="056A3A4A"/>
    <w:rsid w:val="056A57F8"/>
    <w:rsid w:val="056A6DF1"/>
    <w:rsid w:val="056D52E8"/>
    <w:rsid w:val="057C19CF"/>
    <w:rsid w:val="05816655"/>
    <w:rsid w:val="05835E44"/>
    <w:rsid w:val="058C785F"/>
    <w:rsid w:val="058F48A0"/>
    <w:rsid w:val="05900FAE"/>
    <w:rsid w:val="05973D2B"/>
    <w:rsid w:val="059A343D"/>
    <w:rsid w:val="059B00A7"/>
    <w:rsid w:val="059C5085"/>
    <w:rsid w:val="059C5BCD"/>
    <w:rsid w:val="059D2164"/>
    <w:rsid w:val="05A031FE"/>
    <w:rsid w:val="05AC3D16"/>
    <w:rsid w:val="05AF5900"/>
    <w:rsid w:val="05B22460"/>
    <w:rsid w:val="05B75BEB"/>
    <w:rsid w:val="05B9052D"/>
    <w:rsid w:val="05BC001D"/>
    <w:rsid w:val="05BD1DD8"/>
    <w:rsid w:val="05BD26FC"/>
    <w:rsid w:val="05BF5D55"/>
    <w:rsid w:val="05C173E2"/>
    <w:rsid w:val="05C82AA8"/>
    <w:rsid w:val="05D9472B"/>
    <w:rsid w:val="05DE1D42"/>
    <w:rsid w:val="05E55DA7"/>
    <w:rsid w:val="05EA4E20"/>
    <w:rsid w:val="05F20AC9"/>
    <w:rsid w:val="05F51EB9"/>
    <w:rsid w:val="05F577E4"/>
    <w:rsid w:val="05F61781"/>
    <w:rsid w:val="05F83EAE"/>
    <w:rsid w:val="05FB02F8"/>
    <w:rsid w:val="06043E9E"/>
    <w:rsid w:val="060A6FDB"/>
    <w:rsid w:val="0619625D"/>
    <w:rsid w:val="061E65E2"/>
    <w:rsid w:val="061F452A"/>
    <w:rsid w:val="0620235A"/>
    <w:rsid w:val="06233BF8"/>
    <w:rsid w:val="062E385C"/>
    <w:rsid w:val="062E734D"/>
    <w:rsid w:val="063577E2"/>
    <w:rsid w:val="063E7D85"/>
    <w:rsid w:val="064222D0"/>
    <w:rsid w:val="06426774"/>
    <w:rsid w:val="0644429B"/>
    <w:rsid w:val="06455DC2"/>
    <w:rsid w:val="06473D8B"/>
    <w:rsid w:val="06482387"/>
    <w:rsid w:val="06562815"/>
    <w:rsid w:val="0659586C"/>
    <w:rsid w:val="0662414E"/>
    <w:rsid w:val="06640499"/>
    <w:rsid w:val="066F0D8B"/>
    <w:rsid w:val="0673273B"/>
    <w:rsid w:val="06772656"/>
    <w:rsid w:val="06776FF6"/>
    <w:rsid w:val="06783F44"/>
    <w:rsid w:val="06787497"/>
    <w:rsid w:val="0680104B"/>
    <w:rsid w:val="06893E96"/>
    <w:rsid w:val="06950A28"/>
    <w:rsid w:val="06952D48"/>
    <w:rsid w:val="069550F6"/>
    <w:rsid w:val="0696086E"/>
    <w:rsid w:val="069A3EBB"/>
    <w:rsid w:val="069F7723"/>
    <w:rsid w:val="06A42F8B"/>
    <w:rsid w:val="06AC1E40"/>
    <w:rsid w:val="06B17456"/>
    <w:rsid w:val="06B66178"/>
    <w:rsid w:val="06B7530D"/>
    <w:rsid w:val="06B84C89"/>
    <w:rsid w:val="06C23411"/>
    <w:rsid w:val="06C471B8"/>
    <w:rsid w:val="06C9640A"/>
    <w:rsid w:val="06D53145"/>
    <w:rsid w:val="06D54CA5"/>
    <w:rsid w:val="06DF1E00"/>
    <w:rsid w:val="06E43569"/>
    <w:rsid w:val="06E710CA"/>
    <w:rsid w:val="06EE2458"/>
    <w:rsid w:val="06F04422"/>
    <w:rsid w:val="06F32E19"/>
    <w:rsid w:val="06F54C0E"/>
    <w:rsid w:val="06FC5AD8"/>
    <w:rsid w:val="06FD0C16"/>
    <w:rsid w:val="06FD4B00"/>
    <w:rsid w:val="07010901"/>
    <w:rsid w:val="07100621"/>
    <w:rsid w:val="07140111"/>
    <w:rsid w:val="071A6247"/>
    <w:rsid w:val="07265555"/>
    <w:rsid w:val="07267E44"/>
    <w:rsid w:val="07293586"/>
    <w:rsid w:val="07295285"/>
    <w:rsid w:val="072D35EB"/>
    <w:rsid w:val="073A744C"/>
    <w:rsid w:val="073B3F7A"/>
    <w:rsid w:val="073F54F1"/>
    <w:rsid w:val="07480E14"/>
    <w:rsid w:val="07550729"/>
    <w:rsid w:val="07571191"/>
    <w:rsid w:val="075C154C"/>
    <w:rsid w:val="07636392"/>
    <w:rsid w:val="076D7821"/>
    <w:rsid w:val="077000C1"/>
    <w:rsid w:val="077027BF"/>
    <w:rsid w:val="07740BAF"/>
    <w:rsid w:val="07770C56"/>
    <w:rsid w:val="077F1302"/>
    <w:rsid w:val="0781507A"/>
    <w:rsid w:val="07841615"/>
    <w:rsid w:val="07871073"/>
    <w:rsid w:val="078E5C48"/>
    <w:rsid w:val="07941252"/>
    <w:rsid w:val="07985E68"/>
    <w:rsid w:val="079E3E7E"/>
    <w:rsid w:val="07A322FF"/>
    <w:rsid w:val="07AB405C"/>
    <w:rsid w:val="07AC2B56"/>
    <w:rsid w:val="07AC4B4A"/>
    <w:rsid w:val="07AE4AEA"/>
    <w:rsid w:val="07B67872"/>
    <w:rsid w:val="07B90CB8"/>
    <w:rsid w:val="07BA3CB6"/>
    <w:rsid w:val="07BC60B3"/>
    <w:rsid w:val="07BD4AFA"/>
    <w:rsid w:val="07C531B9"/>
    <w:rsid w:val="07D04AFD"/>
    <w:rsid w:val="07D20941"/>
    <w:rsid w:val="07DF2BAA"/>
    <w:rsid w:val="07E42167"/>
    <w:rsid w:val="07E421F5"/>
    <w:rsid w:val="07E436C5"/>
    <w:rsid w:val="07EC5935"/>
    <w:rsid w:val="07FC35D5"/>
    <w:rsid w:val="07FE065A"/>
    <w:rsid w:val="07FE491D"/>
    <w:rsid w:val="07FE66CB"/>
    <w:rsid w:val="07FF70D4"/>
    <w:rsid w:val="08023599"/>
    <w:rsid w:val="08031F33"/>
    <w:rsid w:val="08057A5A"/>
    <w:rsid w:val="08177E0E"/>
    <w:rsid w:val="08224729"/>
    <w:rsid w:val="0822685D"/>
    <w:rsid w:val="082A3964"/>
    <w:rsid w:val="082D0D5E"/>
    <w:rsid w:val="0836736F"/>
    <w:rsid w:val="08393BA7"/>
    <w:rsid w:val="084367D4"/>
    <w:rsid w:val="08485B98"/>
    <w:rsid w:val="08491082"/>
    <w:rsid w:val="084A5733"/>
    <w:rsid w:val="084C7436"/>
    <w:rsid w:val="085F46B4"/>
    <w:rsid w:val="086C1887"/>
    <w:rsid w:val="086E23EC"/>
    <w:rsid w:val="086E3851"/>
    <w:rsid w:val="087A0447"/>
    <w:rsid w:val="08860018"/>
    <w:rsid w:val="0886648E"/>
    <w:rsid w:val="08872B64"/>
    <w:rsid w:val="088766C0"/>
    <w:rsid w:val="088E13EE"/>
    <w:rsid w:val="088F37C7"/>
    <w:rsid w:val="08924756"/>
    <w:rsid w:val="08927A28"/>
    <w:rsid w:val="08975A73"/>
    <w:rsid w:val="08976A82"/>
    <w:rsid w:val="089B216C"/>
    <w:rsid w:val="08AC25CB"/>
    <w:rsid w:val="08AE1E9F"/>
    <w:rsid w:val="08B17BE1"/>
    <w:rsid w:val="08B4633C"/>
    <w:rsid w:val="08B562F5"/>
    <w:rsid w:val="08B97F61"/>
    <w:rsid w:val="08BC2855"/>
    <w:rsid w:val="08BD6586"/>
    <w:rsid w:val="08C1646C"/>
    <w:rsid w:val="08C7739B"/>
    <w:rsid w:val="08D86F1C"/>
    <w:rsid w:val="08DE690B"/>
    <w:rsid w:val="08ED686D"/>
    <w:rsid w:val="08EE0192"/>
    <w:rsid w:val="08EE4992"/>
    <w:rsid w:val="08F33D56"/>
    <w:rsid w:val="08F55D20"/>
    <w:rsid w:val="09061CDB"/>
    <w:rsid w:val="09095327"/>
    <w:rsid w:val="0910671C"/>
    <w:rsid w:val="091270F8"/>
    <w:rsid w:val="091508CA"/>
    <w:rsid w:val="0917056E"/>
    <w:rsid w:val="091E602A"/>
    <w:rsid w:val="092217DD"/>
    <w:rsid w:val="09271EEA"/>
    <w:rsid w:val="09306D58"/>
    <w:rsid w:val="09336848"/>
    <w:rsid w:val="093A7294"/>
    <w:rsid w:val="093E197F"/>
    <w:rsid w:val="093F343F"/>
    <w:rsid w:val="0946032A"/>
    <w:rsid w:val="094E763E"/>
    <w:rsid w:val="09516776"/>
    <w:rsid w:val="0955056D"/>
    <w:rsid w:val="09650D30"/>
    <w:rsid w:val="0974300E"/>
    <w:rsid w:val="09784CC1"/>
    <w:rsid w:val="097B3C16"/>
    <w:rsid w:val="097D7547"/>
    <w:rsid w:val="097F55EA"/>
    <w:rsid w:val="0983157E"/>
    <w:rsid w:val="098350DA"/>
    <w:rsid w:val="0984499B"/>
    <w:rsid w:val="098451E2"/>
    <w:rsid w:val="09862E1C"/>
    <w:rsid w:val="098D18E2"/>
    <w:rsid w:val="09903C9B"/>
    <w:rsid w:val="09971C3C"/>
    <w:rsid w:val="09972933"/>
    <w:rsid w:val="09976F5B"/>
    <w:rsid w:val="099872E7"/>
    <w:rsid w:val="099A01B0"/>
    <w:rsid w:val="09A67019"/>
    <w:rsid w:val="09B4439A"/>
    <w:rsid w:val="09C2764F"/>
    <w:rsid w:val="09C33728"/>
    <w:rsid w:val="09C347D2"/>
    <w:rsid w:val="09C51AEE"/>
    <w:rsid w:val="09CD45A7"/>
    <w:rsid w:val="09DF0151"/>
    <w:rsid w:val="09DF6712"/>
    <w:rsid w:val="09EC6316"/>
    <w:rsid w:val="09F00295"/>
    <w:rsid w:val="09F0752D"/>
    <w:rsid w:val="09F10707"/>
    <w:rsid w:val="09F14739"/>
    <w:rsid w:val="09F215F6"/>
    <w:rsid w:val="09F63AFE"/>
    <w:rsid w:val="09F7191B"/>
    <w:rsid w:val="09F73401"/>
    <w:rsid w:val="09F775B4"/>
    <w:rsid w:val="0A0023A1"/>
    <w:rsid w:val="0A0077B9"/>
    <w:rsid w:val="0A0148F0"/>
    <w:rsid w:val="0A032F38"/>
    <w:rsid w:val="0A090190"/>
    <w:rsid w:val="0A0D78C6"/>
    <w:rsid w:val="0A122902"/>
    <w:rsid w:val="0A1246B0"/>
    <w:rsid w:val="0A1B3564"/>
    <w:rsid w:val="0A1C0257"/>
    <w:rsid w:val="0A21224E"/>
    <w:rsid w:val="0A263993"/>
    <w:rsid w:val="0A2A37A7"/>
    <w:rsid w:val="0A2C39C3"/>
    <w:rsid w:val="0A2D3AC2"/>
    <w:rsid w:val="0A2E773B"/>
    <w:rsid w:val="0A301556"/>
    <w:rsid w:val="0A3C1312"/>
    <w:rsid w:val="0A407F4A"/>
    <w:rsid w:val="0A454492"/>
    <w:rsid w:val="0A481E7F"/>
    <w:rsid w:val="0A49242C"/>
    <w:rsid w:val="0A516F86"/>
    <w:rsid w:val="0A5258D9"/>
    <w:rsid w:val="0A6740A8"/>
    <w:rsid w:val="0A6767AA"/>
    <w:rsid w:val="0A7274CC"/>
    <w:rsid w:val="0A784193"/>
    <w:rsid w:val="0A8259B1"/>
    <w:rsid w:val="0A884A60"/>
    <w:rsid w:val="0A886720"/>
    <w:rsid w:val="0A907017"/>
    <w:rsid w:val="0A981335"/>
    <w:rsid w:val="0A9817DB"/>
    <w:rsid w:val="0A984BB5"/>
    <w:rsid w:val="0A9C4C1B"/>
    <w:rsid w:val="0AA33AA0"/>
    <w:rsid w:val="0AA55524"/>
    <w:rsid w:val="0AA755DF"/>
    <w:rsid w:val="0AA856C0"/>
    <w:rsid w:val="0ABB1630"/>
    <w:rsid w:val="0ACA6D38"/>
    <w:rsid w:val="0ACC485F"/>
    <w:rsid w:val="0AD169DA"/>
    <w:rsid w:val="0AD772DE"/>
    <w:rsid w:val="0AE24082"/>
    <w:rsid w:val="0AE4604C"/>
    <w:rsid w:val="0AE61DC4"/>
    <w:rsid w:val="0AEE2A27"/>
    <w:rsid w:val="0AF53DB5"/>
    <w:rsid w:val="0AF73FD1"/>
    <w:rsid w:val="0AFA5870"/>
    <w:rsid w:val="0B09160F"/>
    <w:rsid w:val="0B0C10FF"/>
    <w:rsid w:val="0B0E7932"/>
    <w:rsid w:val="0B120D44"/>
    <w:rsid w:val="0B1676E4"/>
    <w:rsid w:val="0B1D330C"/>
    <w:rsid w:val="0B260413"/>
    <w:rsid w:val="0B2E5519"/>
    <w:rsid w:val="0B30290D"/>
    <w:rsid w:val="0B347497"/>
    <w:rsid w:val="0B357B6B"/>
    <w:rsid w:val="0B376726"/>
    <w:rsid w:val="0B3820A2"/>
    <w:rsid w:val="0B3F3282"/>
    <w:rsid w:val="0B41524D"/>
    <w:rsid w:val="0B440899"/>
    <w:rsid w:val="0B444D3D"/>
    <w:rsid w:val="0B492353"/>
    <w:rsid w:val="0B497A74"/>
    <w:rsid w:val="0B4F3EE4"/>
    <w:rsid w:val="0B580CA0"/>
    <w:rsid w:val="0B5A00BC"/>
    <w:rsid w:val="0B5D195B"/>
    <w:rsid w:val="0B5D5CE3"/>
    <w:rsid w:val="0B61144B"/>
    <w:rsid w:val="0B6B3E24"/>
    <w:rsid w:val="0B6C6BC1"/>
    <w:rsid w:val="0B6D4294"/>
    <w:rsid w:val="0B6E3B68"/>
    <w:rsid w:val="0B6F27AF"/>
    <w:rsid w:val="0B736D54"/>
    <w:rsid w:val="0B7F172C"/>
    <w:rsid w:val="0B854B0F"/>
    <w:rsid w:val="0B882E7B"/>
    <w:rsid w:val="0B887641"/>
    <w:rsid w:val="0B892750"/>
    <w:rsid w:val="0B8A42B3"/>
    <w:rsid w:val="0B901D30"/>
    <w:rsid w:val="0B9335CE"/>
    <w:rsid w:val="0B9428A2"/>
    <w:rsid w:val="0B9A2502"/>
    <w:rsid w:val="0BA6715E"/>
    <w:rsid w:val="0BA837F1"/>
    <w:rsid w:val="0BAB0918"/>
    <w:rsid w:val="0BB43C70"/>
    <w:rsid w:val="0BB71B42"/>
    <w:rsid w:val="0BBB4168"/>
    <w:rsid w:val="0BBF24FF"/>
    <w:rsid w:val="0BC65752"/>
    <w:rsid w:val="0BC67500"/>
    <w:rsid w:val="0BC7515D"/>
    <w:rsid w:val="0BC948B1"/>
    <w:rsid w:val="0BCA561A"/>
    <w:rsid w:val="0BD240F7"/>
    <w:rsid w:val="0BD27BF6"/>
    <w:rsid w:val="0BDD5322"/>
    <w:rsid w:val="0BE34248"/>
    <w:rsid w:val="0BE5207C"/>
    <w:rsid w:val="0BE539E8"/>
    <w:rsid w:val="0BF6421D"/>
    <w:rsid w:val="0BF95B27"/>
    <w:rsid w:val="0BFC73C5"/>
    <w:rsid w:val="0BFF537C"/>
    <w:rsid w:val="0C03314E"/>
    <w:rsid w:val="0C0A1AE2"/>
    <w:rsid w:val="0C175FAD"/>
    <w:rsid w:val="0C177116"/>
    <w:rsid w:val="0C1907D5"/>
    <w:rsid w:val="0C194C0B"/>
    <w:rsid w:val="0C1B5C6F"/>
    <w:rsid w:val="0C1E04B1"/>
    <w:rsid w:val="0C210BDA"/>
    <w:rsid w:val="0C24583E"/>
    <w:rsid w:val="0C2562F9"/>
    <w:rsid w:val="0C264F49"/>
    <w:rsid w:val="0C26538B"/>
    <w:rsid w:val="0C30706F"/>
    <w:rsid w:val="0C375EA8"/>
    <w:rsid w:val="0C3974BF"/>
    <w:rsid w:val="0C3B3C7D"/>
    <w:rsid w:val="0C3C492C"/>
    <w:rsid w:val="0C405504"/>
    <w:rsid w:val="0C47331D"/>
    <w:rsid w:val="0C475BCF"/>
    <w:rsid w:val="0C4D5B93"/>
    <w:rsid w:val="0C5A6B62"/>
    <w:rsid w:val="0C5D60B6"/>
    <w:rsid w:val="0C633433"/>
    <w:rsid w:val="0C6F07CA"/>
    <w:rsid w:val="0C707DF8"/>
    <w:rsid w:val="0C750F4B"/>
    <w:rsid w:val="0C752FB1"/>
    <w:rsid w:val="0C7927C4"/>
    <w:rsid w:val="0C796C68"/>
    <w:rsid w:val="0C7A1C57"/>
    <w:rsid w:val="0C7B1859"/>
    <w:rsid w:val="0C7B478E"/>
    <w:rsid w:val="0C7C270A"/>
    <w:rsid w:val="0C7E727A"/>
    <w:rsid w:val="0C807FF6"/>
    <w:rsid w:val="0C833643"/>
    <w:rsid w:val="0C85421C"/>
    <w:rsid w:val="0C871034"/>
    <w:rsid w:val="0C907472"/>
    <w:rsid w:val="0C965124"/>
    <w:rsid w:val="0C9F66CF"/>
    <w:rsid w:val="0CA10AFC"/>
    <w:rsid w:val="0CA32D23"/>
    <w:rsid w:val="0CAB2EAE"/>
    <w:rsid w:val="0CB5460A"/>
    <w:rsid w:val="0CB61638"/>
    <w:rsid w:val="0CB96281"/>
    <w:rsid w:val="0CBD6427"/>
    <w:rsid w:val="0CCB7DB3"/>
    <w:rsid w:val="0CCD7495"/>
    <w:rsid w:val="0CD46235"/>
    <w:rsid w:val="0CDB6FDB"/>
    <w:rsid w:val="0CDC06BB"/>
    <w:rsid w:val="0CDF2F6F"/>
    <w:rsid w:val="0CE328FF"/>
    <w:rsid w:val="0CED10CD"/>
    <w:rsid w:val="0CF26929"/>
    <w:rsid w:val="0CF93D55"/>
    <w:rsid w:val="0D004C93"/>
    <w:rsid w:val="0D0227BA"/>
    <w:rsid w:val="0D0A78C0"/>
    <w:rsid w:val="0D1129FD"/>
    <w:rsid w:val="0D1150F2"/>
    <w:rsid w:val="0D1424ED"/>
    <w:rsid w:val="0D145F83"/>
    <w:rsid w:val="0D1522B7"/>
    <w:rsid w:val="0D1653D3"/>
    <w:rsid w:val="0D1B16BD"/>
    <w:rsid w:val="0D1C0526"/>
    <w:rsid w:val="0D2210AE"/>
    <w:rsid w:val="0D2414F5"/>
    <w:rsid w:val="0D256754"/>
    <w:rsid w:val="0D297801"/>
    <w:rsid w:val="0D2C79FD"/>
    <w:rsid w:val="0D2F1884"/>
    <w:rsid w:val="0D33458A"/>
    <w:rsid w:val="0D3606B5"/>
    <w:rsid w:val="0D3B3F1D"/>
    <w:rsid w:val="0D3D37F2"/>
    <w:rsid w:val="0D431422"/>
    <w:rsid w:val="0D473A32"/>
    <w:rsid w:val="0D51729D"/>
    <w:rsid w:val="0D5A25F6"/>
    <w:rsid w:val="0D5B011C"/>
    <w:rsid w:val="0D5E339D"/>
    <w:rsid w:val="0D613984"/>
    <w:rsid w:val="0D6214AA"/>
    <w:rsid w:val="0D621C7D"/>
    <w:rsid w:val="0D624BAF"/>
    <w:rsid w:val="0D6B3773"/>
    <w:rsid w:val="0D755FFE"/>
    <w:rsid w:val="0D7A3989"/>
    <w:rsid w:val="0D7A7EA4"/>
    <w:rsid w:val="0D7B1B27"/>
    <w:rsid w:val="0D7B39BE"/>
    <w:rsid w:val="0D8060B9"/>
    <w:rsid w:val="0D8A61D3"/>
    <w:rsid w:val="0D9172AB"/>
    <w:rsid w:val="0D961154"/>
    <w:rsid w:val="0DA0092E"/>
    <w:rsid w:val="0DA6583B"/>
    <w:rsid w:val="0DBA12E6"/>
    <w:rsid w:val="0DBA7538"/>
    <w:rsid w:val="0DC27315"/>
    <w:rsid w:val="0DC65EBE"/>
    <w:rsid w:val="0DC65EDD"/>
    <w:rsid w:val="0DCF4D92"/>
    <w:rsid w:val="0DD24882"/>
    <w:rsid w:val="0DD759F4"/>
    <w:rsid w:val="0DD8176C"/>
    <w:rsid w:val="0DDE6877"/>
    <w:rsid w:val="0DE2767D"/>
    <w:rsid w:val="0DED346A"/>
    <w:rsid w:val="0DF5231E"/>
    <w:rsid w:val="0DF5338E"/>
    <w:rsid w:val="0DFD4F28"/>
    <w:rsid w:val="0E0019BA"/>
    <w:rsid w:val="0E0367E9"/>
    <w:rsid w:val="0E0C69F8"/>
    <w:rsid w:val="0E0E371C"/>
    <w:rsid w:val="0E0F3672"/>
    <w:rsid w:val="0E115619"/>
    <w:rsid w:val="0E1327A4"/>
    <w:rsid w:val="0E1529C0"/>
    <w:rsid w:val="0E1B7FD7"/>
    <w:rsid w:val="0E26072A"/>
    <w:rsid w:val="0E303DCA"/>
    <w:rsid w:val="0E356BBF"/>
    <w:rsid w:val="0E3746E5"/>
    <w:rsid w:val="0E39295C"/>
    <w:rsid w:val="0E3F5557"/>
    <w:rsid w:val="0E4669CF"/>
    <w:rsid w:val="0E4A3AEE"/>
    <w:rsid w:val="0E4B34AC"/>
    <w:rsid w:val="0E4C2056"/>
    <w:rsid w:val="0E507888"/>
    <w:rsid w:val="0E5E6115"/>
    <w:rsid w:val="0E654F27"/>
    <w:rsid w:val="0E666D78"/>
    <w:rsid w:val="0E673D73"/>
    <w:rsid w:val="0E6D762C"/>
    <w:rsid w:val="0E73034D"/>
    <w:rsid w:val="0E7771D7"/>
    <w:rsid w:val="0E793B97"/>
    <w:rsid w:val="0E7C2DCE"/>
    <w:rsid w:val="0E83018A"/>
    <w:rsid w:val="0E96765D"/>
    <w:rsid w:val="0E99714E"/>
    <w:rsid w:val="0E9D2B11"/>
    <w:rsid w:val="0E9D6C3E"/>
    <w:rsid w:val="0EA0228A"/>
    <w:rsid w:val="0EA33EF7"/>
    <w:rsid w:val="0EA74990"/>
    <w:rsid w:val="0EAA05FC"/>
    <w:rsid w:val="0EAB6D84"/>
    <w:rsid w:val="0EB67D00"/>
    <w:rsid w:val="0EB77E38"/>
    <w:rsid w:val="0EC07097"/>
    <w:rsid w:val="0ECC2D59"/>
    <w:rsid w:val="0ED1069F"/>
    <w:rsid w:val="0ED10E76"/>
    <w:rsid w:val="0ED75FF3"/>
    <w:rsid w:val="0ED76E18"/>
    <w:rsid w:val="0ED92472"/>
    <w:rsid w:val="0EDB32C2"/>
    <w:rsid w:val="0EDD346A"/>
    <w:rsid w:val="0EDE591C"/>
    <w:rsid w:val="0EE228A3"/>
    <w:rsid w:val="0EE25041"/>
    <w:rsid w:val="0EE51585"/>
    <w:rsid w:val="0EE52393"/>
    <w:rsid w:val="0EE654DD"/>
    <w:rsid w:val="0EE71826"/>
    <w:rsid w:val="0EEA5BFB"/>
    <w:rsid w:val="0EF41053"/>
    <w:rsid w:val="0EF600FC"/>
    <w:rsid w:val="0EF80318"/>
    <w:rsid w:val="0EF86860"/>
    <w:rsid w:val="0EFE0513"/>
    <w:rsid w:val="0EFE6510"/>
    <w:rsid w:val="0F0547E3"/>
    <w:rsid w:val="0F0A1DF9"/>
    <w:rsid w:val="0F0A4F36"/>
    <w:rsid w:val="0F0C3DC3"/>
    <w:rsid w:val="0F0E604F"/>
    <w:rsid w:val="0F13775A"/>
    <w:rsid w:val="0F1D21B0"/>
    <w:rsid w:val="0F1D38DB"/>
    <w:rsid w:val="0F2509E1"/>
    <w:rsid w:val="0F2E5AE8"/>
    <w:rsid w:val="0F3763CB"/>
    <w:rsid w:val="0F3A2647"/>
    <w:rsid w:val="0F3D21CF"/>
    <w:rsid w:val="0F4027BC"/>
    <w:rsid w:val="0F40581B"/>
    <w:rsid w:val="0F410892"/>
    <w:rsid w:val="0F4D4849"/>
    <w:rsid w:val="0F504D75"/>
    <w:rsid w:val="0F56503F"/>
    <w:rsid w:val="0F580DB7"/>
    <w:rsid w:val="0F5F45FE"/>
    <w:rsid w:val="0F5F7650"/>
    <w:rsid w:val="0F6045F2"/>
    <w:rsid w:val="0F6459AD"/>
    <w:rsid w:val="0F696B20"/>
    <w:rsid w:val="0F6B6D3C"/>
    <w:rsid w:val="0F6E05DA"/>
    <w:rsid w:val="0F706100"/>
    <w:rsid w:val="0F786D63"/>
    <w:rsid w:val="0F803E6A"/>
    <w:rsid w:val="0F843812"/>
    <w:rsid w:val="0F87344A"/>
    <w:rsid w:val="0F8A3E81"/>
    <w:rsid w:val="0F917E25"/>
    <w:rsid w:val="0F924F7F"/>
    <w:rsid w:val="0F9470FA"/>
    <w:rsid w:val="0F9638D0"/>
    <w:rsid w:val="0F97684E"/>
    <w:rsid w:val="0F9A112B"/>
    <w:rsid w:val="0FAB538A"/>
    <w:rsid w:val="0FAF0CB0"/>
    <w:rsid w:val="0FB51D65"/>
    <w:rsid w:val="0FBE2C88"/>
    <w:rsid w:val="0FBF4992"/>
    <w:rsid w:val="0FC05FDF"/>
    <w:rsid w:val="0FC65D20"/>
    <w:rsid w:val="0FC91CB4"/>
    <w:rsid w:val="0FC93A62"/>
    <w:rsid w:val="0FCD3553"/>
    <w:rsid w:val="0FD07339"/>
    <w:rsid w:val="0FD146C5"/>
    <w:rsid w:val="0FDA5C70"/>
    <w:rsid w:val="0FDD51C2"/>
    <w:rsid w:val="0FEB39D9"/>
    <w:rsid w:val="0FF60BFB"/>
    <w:rsid w:val="0FF91F75"/>
    <w:rsid w:val="0FFC0386"/>
    <w:rsid w:val="0FFC1742"/>
    <w:rsid w:val="100625C1"/>
    <w:rsid w:val="1013011B"/>
    <w:rsid w:val="10214329"/>
    <w:rsid w:val="10234F21"/>
    <w:rsid w:val="102A03A0"/>
    <w:rsid w:val="102E2AE3"/>
    <w:rsid w:val="10421006"/>
    <w:rsid w:val="10432474"/>
    <w:rsid w:val="10477DE2"/>
    <w:rsid w:val="10484987"/>
    <w:rsid w:val="10525806"/>
    <w:rsid w:val="1057025C"/>
    <w:rsid w:val="10586CA8"/>
    <w:rsid w:val="106169ED"/>
    <w:rsid w:val="1066305F"/>
    <w:rsid w:val="106B4B1A"/>
    <w:rsid w:val="106D2F64"/>
    <w:rsid w:val="10702130"/>
    <w:rsid w:val="10725EEA"/>
    <w:rsid w:val="10727C56"/>
    <w:rsid w:val="107647A0"/>
    <w:rsid w:val="10835914"/>
    <w:rsid w:val="108C1CE2"/>
    <w:rsid w:val="108C615E"/>
    <w:rsid w:val="108F6F4D"/>
    <w:rsid w:val="10976D85"/>
    <w:rsid w:val="109B089C"/>
    <w:rsid w:val="10A36062"/>
    <w:rsid w:val="10AA73F0"/>
    <w:rsid w:val="10B224C7"/>
    <w:rsid w:val="10B36533"/>
    <w:rsid w:val="10B62239"/>
    <w:rsid w:val="10B62EE4"/>
    <w:rsid w:val="10B63710"/>
    <w:rsid w:val="10B63FE7"/>
    <w:rsid w:val="10B65D95"/>
    <w:rsid w:val="10C078BD"/>
    <w:rsid w:val="10C336E4"/>
    <w:rsid w:val="10C34956"/>
    <w:rsid w:val="10C85AC8"/>
    <w:rsid w:val="10CD7582"/>
    <w:rsid w:val="10D43D2C"/>
    <w:rsid w:val="10D62C4F"/>
    <w:rsid w:val="10D80401"/>
    <w:rsid w:val="10D872D0"/>
    <w:rsid w:val="10DB5880"/>
    <w:rsid w:val="10E10521"/>
    <w:rsid w:val="10E13D97"/>
    <w:rsid w:val="10F10820"/>
    <w:rsid w:val="10F13271"/>
    <w:rsid w:val="10F26EA5"/>
    <w:rsid w:val="10F90377"/>
    <w:rsid w:val="10F95750"/>
    <w:rsid w:val="10FC5772"/>
    <w:rsid w:val="10FD1F0A"/>
    <w:rsid w:val="11016E0F"/>
    <w:rsid w:val="110472BA"/>
    <w:rsid w:val="11065765"/>
    <w:rsid w:val="110F6D61"/>
    <w:rsid w:val="111927C8"/>
    <w:rsid w:val="111C2F7A"/>
    <w:rsid w:val="112847B9"/>
    <w:rsid w:val="112C6B8F"/>
    <w:rsid w:val="112C7AF5"/>
    <w:rsid w:val="112C7CAB"/>
    <w:rsid w:val="1133021E"/>
    <w:rsid w:val="11337C03"/>
    <w:rsid w:val="11351DE6"/>
    <w:rsid w:val="1139527B"/>
    <w:rsid w:val="113C4CD1"/>
    <w:rsid w:val="113D2012"/>
    <w:rsid w:val="113D6807"/>
    <w:rsid w:val="113F5854"/>
    <w:rsid w:val="114026B7"/>
    <w:rsid w:val="11405448"/>
    <w:rsid w:val="11407FD1"/>
    <w:rsid w:val="11486486"/>
    <w:rsid w:val="11497CF6"/>
    <w:rsid w:val="114B3686"/>
    <w:rsid w:val="114C04A7"/>
    <w:rsid w:val="11506D23"/>
    <w:rsid w:val="115074B9"/>
    <w:rsid w:val="11551A52"/>
    <w:rsid w:val="115B693C"/>
    <w:rsid w:val="115E1DEE"/>
    <w:rsid w:val="116432A2"/>
    <w:rsid w:val="11643A43"/>
    <w:rsid w:val="11665CA1"/>
    <w:rsid w:val="116D479C"/>
    <w:rsid w:val="116E4122"/>
    <w:rsid w:val="1172671C"/>
    <w:rsid w:val="1176761B"/>
    <w:rsid w:val="11801A2F"/>
    <w:rsid w:val="118045F5"/>
    <w:rsid w:val="118C21B4"/>
    <w:rsid w:val="118E6D12"/>
    <w:rsid w:val="11912563"/>
    <w:rsid w:val="11940F05"/>
    <w:rsid w:val="11951E4E"/>
    <w:rsid w:val="119610D6"/>
    <w:rsid w:val="11973C1D"/>
    <w:rsid w:val="119F4A7B"/>
    <w:rsid w:val="11AB1672"/>
    <w:rsid w:val="11AD072E"/>
    <w:rsid w:val="11AE4CBE"/>
    <w:rsid w:val="11B524F0"/>
    <w:rsid w:val="11B9125B"/>
    <w:rsid w:val="11BA3663"/>
    <w:rsid w:val="11BD1AE3"/>
    <w:rsid w:val="11BF336F"/>
    <w:rsid w:val="11C1549D"/>
    <w:rsid w:val="11C27375"/>
    <w:rsid w:val="11C30D95"/>
    <w:rsid w:val="11C66D88"/>
    <w:rsid w:val="11CD727D"/>
    <w:rsid w:val="11D50FAE"/>
    <w:rsid w:val="11D81D3B"/>
    <w:rsid w:val="11D84431"/>
    <w:rsid w:val="11E06E41"/>
    <w:rsid w:val="11E32BE3"/>
    <w:rsid w:val="11E37E0A"/>
    <w:rsid w:val="11E7673F"/>
    <w:rsid w:val="11EC3A38"/>
    <w:rsid w:val="12025774"/>
    <w:rsid w:val="120312C4"/>
    <w:rsid w:val="12042B30"/>
    <w:rsid w:val="120B496E"/>
    <w:rsid w:val="120C4D1D"/>
    <w:rsid w:val="121277D8"/>
    <w:rsid w:val="12166C60"/>
    <w:rsid w:val="12173DEA"/>
    <w:rsid w:val="122371C4"/>
    <w:rsid w:val="12260B76"/>
    <w:rsid w:val="12367933"/>
    <w:rsid w:val="124037F5"/>
    <w:rsid w:val="12415B32"/>
    <w:rsid w:val="12423479"/>
    <w:rsid w:val="124B4C03"/>
    <w:rsid w:val="124F64A1"/>
    <w:rsid w:val="12502B3B"/>
    <w:rsid w:val="12584CB9"/>
    <w:rsid w:val="125D0492"/>
    <w:rsid w:val="125D2D63"/>
    <w:rsid w:val="126857B5"/>
    <w:rsid w:val="126B2BAF"/>
    <w:rsid w:val="127001C5"/>
    <w:rsid w:val="127203E1"/>
    <w:rsid w:val="12791770"/>
    <w:rsid w:val="12812F7B"/>
    <w:rsid w:val="1283614B"/>
    <w:rsid w:val="12847522"/>
    <w:rsid w:val="128B3915"/>
    <w:rsid w:val="128C1201"/>
    <w:rsid w:val="128E14A8"/>
    <w:rsid w:val="128E2FDB"/>
    <w:rsid w:val="12916AA6"/>
    <w:rsid w:val="129C545E"/>
    <w:rsid w:val="129E7212"/>
    <w:rsid w:val="12A8795F"/>
    <w:rsid w:val="12B37A9B"/>
    <w:rsid w:val="12B71B99"/>
    <w:rsid w:val="12C0286C"/>
    <w:rsid w:val="12C16C73"/>
    <w:rsid w:val="12D57132"/>
    <w:rsid w:val="12DC585B"/>
    <w:rsid w:val="12E04FE4"/>
    <w:rsid w:val="12F232D0"/>
    <w:rsid w:val="12F30695"/>
    <w:rsid w:val="12F4756B"/>
    <w:rsid w:val="12FB6FCB"/>
    <w:rsid w:val="12FC5EFD"/>
    <w:rsid w:val="130649E5"/>
    <w:rsid w:val="130725B8"/>
    <w:rsid w:val="13091A27"/>
    <w:rsid w:val="130A686C"/>
    <w:rsid w:val="130D57ED"/>
    <w:rsid w:val="131256EE"/>
    <w:rsid w:val="13147D53"/>
    <w:rsid w:val="1319085D"/>
    <w:rsid w:val="131B58EC"/>
    <w:rsid w:val="13250612"/>
    <w:rsid w:val="13252B32"/>
    <w:rsid w:val="13263708"/>
    <w:rsid w:val="132C233E"/>
    <w:rsid w:val="13337B71"/>
    <w:rsid w:val="133E106E"/>
    <w:rsid w:val="134168FD"/>
    <w:rsid w:val="134A4EBA"/>
    <w:rsid w:val="134B3EA6"/>
    <w:rsid w:val="134F24D1"/>
    <w:rsid w:val="13516249"/>
    <w:rsid w:val="13566748"/>
    <w:rsid w:val="13596E11"/>
    <w:rsid w:val="136476FE"/>
    <w:rsid w:val="136F4C00"/>
    <w:rsid w:val="13710699"/>
    <w:rsid w:val="137633A8"/>
    <w:rsid w:val="13841D40"/>
    <w:rsid w:val="13875453"/>
    <w:rsid w:val="13884F5B"/>
    <w:rsid w:val="138C102F"/>
    <w:rsid w:val="139300F1"/>
    <w:rsid w:val="13951726"/>
    <w:rsid w:val="139630E6"/>
    <w:rsid w:val="139B74C4"/>
    <w:rsid w:val="13A51DF8"/>
    <w:rsid w:val="13A66473"/>
    <w:rsid w:val="13A90FB1"/>
    <w:rsid w:val="13A97E33"/>
    <w:rsid w:val="13AA53E8"/>
    <w:rsid w:val="13AD2810"/>
    <w:rsid w:val="13B6042B"/>
    <w:rsid w:val="13B8757C"/>
    <w:rsid w:val="13BD7245"/>
    <w:rsid w:val="13C35E4E"/>
    <w:rsid w:val="13DA207F"/>
    <w:rsid w:val="13DA623E"/>
    <w:rsid w:val="13DA7FEC"/>
    <w:rsid w:val="13DE5507"/>
    <w:rsid w:val="13E1581F"/>
    <w:rsid w:val="13E16790"/>
    <w:rsid w:val="13E42C19"/>
    <w:rsid w:val="13E9022F"/>
    <w:rsid w:val="13ED1715"/>
    <w:rsid w:val="13EE5846"/>
    <w:rsid w:val="13EE708C"/>
    <w:rsid w:val="13F366E5"/>
    <w:rsid w:val="13F72D89"/>
    <w:rsid w:val="13F85EAD"/>
    <w:rsid w:val="13FA068E"/>
    <w:rsid w:val="13FA0EB0"/>
    <w:rsid w:val="13FD09D7"/>
    <w:rsid w:val="140831E2"/>
    <w:rsid w:val="140F69EF"/>
    <w:rsid w:val="141334FE"/>
    <w:rsid w:val="14137D1C"/>
    <w:rsid w:val="141E7449"/>
    <w:rsid w:val="141F4656"/>
    <w:rsid w:val="142474B9"/>
    <w:rsid w:val="14257900"/>
    <w:rsid w:val="142E37AA"/>
    <w:rsid w:val="14305E5E"/>
    <w:rsid w:val="14356565"/>
    <w:rsid w:val="14396509"/>
    <w:rsid w:val="143B6AC6"/>
    <w:rsid w:val="143C0390"/>
    <w:rsid w:val="1441006B"/>
    <w:rsid w:val="14496F20"/>
    <w:rsid w:val="144B3CAB"/>
    <w:rsid w:val="144E2788"/>
    <w:rsid w:val="145204CA"/>
    <w:rsid w:val="14531B4D"/>
    <w:rsid w:val="145C2705"/>
    <w:rsid w:val="14634486"/>
    <w:rsid w:val="14673E8A"/>
    <w:rsid w:val="1468329B"/>
    <w:rsid w:val="146F280C"/>
    <w:rsid w:val="147F2942"/>
    <w:rsid w:val="14814211"/>
    <w:rsid w:val="14904B4F"/>
    <w:rsid w:val="149363ED"/>
    <w:rsid w:val="14991C55"/>
    <w:rsid w:val="149E1A09"/>
    <w:rsid w:val="149E53A8"/>
    <w:rsid w:val="149E726C"/>
    <w:rsid w:val="14A779A2"/>
    <w:rsid w:val="14AB6958"/>
    <w:rsid w:val="14AC691B"/>
    <w:rsid w:val="14AE207C"/>
    <w:rsid w:val="14B60A59"/>
    <w:rsid w:val="14BA1BCC"/>
    <w:rsid w:val="14BB3567"/>
    <w:rsid w:val="14C276A9"/>
    <w:rsid w:val="14C50E0E"/>
    <w:rsid w:val="14C52A4A"/>
    <w:rsid w:val="14DD2C3C"/>
    <w:rsid w:val="14DF1632"/>
    <w:rsid w:val="14E60C13"/>
    <w:rsid w:val="14E86F37"/>
    <w:rsid w:val="14ED1FA1"/>
    <w:rsid w:val="14F96B98"/>
    <w:rsid w:val="14FE7D0A"/>
    <w:rsid w:val="150317C5"/>
    <w:rsid w:val="15062A62"/>
    <w:rsid w:val="150A5D36"/>
    <w:rsid w:val="150D1602"/>
    <w:rsid w:val="150F3CC6"/>
    <w:rsid w:val="15104ED0"/>
    <w:rsid w:val="1514752E"/>
    <w:rsid w:val="151632A6"/>
    <w:rsid w:val="151C1D06"/>
    <w:rsid w:val="152010FA"/>
    <w:rsid w:val="15211C2B"/>
    <w:rsid w:val="15225EAA"/>
    <w:rsid w:val="15273705"/>
    <w:rsid w:val="15273F9C"/>
    <w:rsid w:val="15280A08"/>
    <w:rsid w:val="152B494E"/>
    <w:rsid w:val="152C0D1B"/>
    <w:rsid w:val="152D21D3"/>
    <w:rsid w:val="1536685F"/>
    <w:rsid w:val="153800CF"/>
    <w:rsid w:val="1539337C"/>
    <w:rsid w:val="154047C7"/>
    <w:rsid w:val="1540687E"/>
    <w:rsid w:val="154F4A0A"/>
    <w:rsid w:val="15542020"/>
    <w:rsid w:val="155B515D"/>
    <w:rsid w:val="155D0ED5"/>
    <w:rsid w:val="155D7127"/>
    <w:rsid w:val="156009C5"/>
    <w:rsid w:val="15604521"/>
    <w:rsid w:val="15610299"/>
    <w:rsid w:val="1569600E"/>
    <w:rsid w:val="156B2D54"/>
    <w:rsid w:val="156C0FD0"/>
    <w:rsid w:val="1571358E"/>
    <w:rsid w:val="157C0F10"/>
    <w:rsid w:val="157F5AE9"/>
    <w:rsid w:val="158B1366"/>
    <w:rsid w:val="158C17BA"/>
    <w:rsid w:val="15933FC9"/>
    <w:rsid w:val="15945BD8"/>
    <w:rsid w:val="15A46B04"/>
    <w:rsid w:val="15A765F4"/>
    <w:rsid w:val="15AE34DE"/>
    <w:rsid w:val="15AE7982"/>
    <w:rsid w:val="15AF7257"/>
    <w:rsid w:val="15B27C83"/>
    <w:rsid w:val="15B4298A"/>
    <w:rsid w:val="15C076B6"/>
    <w:rsid w:val="15C2342E"/>
    <w:rsid w:val="15C86F27"/>
    <w:rsid w:val="15C90318"/>
    <w:rsid w:val="15C965B4"/>
    <w:rsid w:val="15D23CCD"/>
    <w:rsid w:val="15D47330"/>
    <w:rsid w:val="15D6261D"/>
    <w:rsid w:val="15E16159"/>
    <w:rsid w:val="15E44D75"/>
    <w:rsid w:val="15E52C78"/>
    <w:rsid w:val="15E55653"/>
    <w:rsid w:val="15EA5BD2"/>
    <w:rsid w:val="15ED4C0D"/>
    <w:rsid w:val="15F1161D"/>
    <w:rsid w:val="15F31284"/>
    <w:rsid w:val="15F8662E"/>
    <w:rsid w:val="15FD4107"/>
    <w:rsid w:val="15FE1933"/>
    <w:rsid w:val="1602382A"/>
    <w:rsid w:val="16087E1D"/>
    <w:rsid w:val="16100520"/>
    <w:rsid w:val="16104199"/>
    <w:rsid w:val="161720CF"/>
    <w:rsid w:val="16193209"/>
    <w:rsid w:val="161A7D77"/>
    <w:rsid w:val="16221331"/>
    <w:rsid w:val="16226BBD"/>
    <w:rsid w:val="162639BD"/>
    <w:rsid w:val="162714E3"/>
    <w:rsid w:val="164215E6"/>
    <w:rsid w:val="164C0F14"/>
    <w:rsid w:val="16525639"/>
    <w:rsid w:val="16552777"/>
    <w:rsid w:val="165D6CB3"/>
    <w:rsid w:val="16671013"/>
    <w:rsid w:val="167214D2"/>
    <w:rsid w:val="167A2A3F"/>
    <w:rsid w:val="167A7865"/>
    <w:rsid w:val="167E337C"/>
    <w:rsid w:val="167F12F4"/>
    <w:rsid w:val="16824E45"/>
    <w:rsid w:val="16870995"/>
    <w:rsid w:val="168801D3"/>
    <w:rsid w:val="168C6CAB"/>
    <w:rsid w:val="169104A3"/>
    <w:rsid w:val="16930926"/>
    <w:rsid w:val="169E17A5"/>
    <w:rsid w:val="16A17133"/>
    <w:rsid w:val="16A239F0"/>
    <w:rsid w:val="16A65C05"/>
    <w:rsid w:val="16A947D3"/>
    <w:rsid w:val="16A95FB0"/>
    <w:rsid w:val="16A97EE1"/>
    <w:rsid w:val="16AA3D7D"/>
    <w:rsid w:val="16AA5385"/>
    <w:rsid w:val="16AB2114"/>
    <w:rsid w:val="16B0772A"/>
    <w:rsid w:val="16B311A4"/>
    <w:rsid w:val="16B8519F"/>
    <w:rsid w:val="16BC3FE0"/>
    <w:rsid w:val="16BE6656"/>
    <w:rsid w:val="16C7125F"/>
    <w:rsid w:val="16C848EF"/>
    <w:rsid w:val="16CA07EC"/>
    <w:rsid w:val="16CA259A"/>
    <w:rsid w:val="16CC200A"/>
    <w:rsid w:val="16D37283"/>
    <w:rsid w:val="16D52CED"/>
    <w:rsid w:val="16DF7733"/>
    <w:rsid w:val="16E01DBD"/>
    <w:rsid w:val="16E77551"/>
    <w:rsid w:val="16EA0415"/>
    <w:rsid w:val="17041A51"/>
    <w:rsid w:val="17050E64"/>
    <w:rsid w:val="1706559C"/>
    <w:rsid w:val="170961D4"/>
    <w:rsid w:val="170A508C"/>
    <w:rsid w:val="171001C9"/>
    <w:rsid w:val="17123F41"/>
    <w:rsid w:val="17141A67"/>
    <w:rsid w:val="171D6F79"/>
    <w:rsid w:val="172311CA"/>
    <w:rsid w:val="1728765F"/>
    <w:rsid w:val="172E1F8A"/>
    <w:rsid w:val="173079FD"/>
    <w:rsid w:val="173C10D1"/>
    <w:rsid w:val="173D7ECA"/>
    <w:rsid w:val="17430B04"/>
    <w:rsid w:val="174312CB"/>
    <w:rsid w:val="17444901"/>
    <w:rsid w:val="174E0C78"/>
    <w:rsid w:val="174F1B03"/>
    <w:rsid w:val="1753361B"/>
    <w:rsid w:val="17540E4C"/>
    <w:rsid w:val="17556BAC"/>
    <w:rsid w:val="176302F9"/>
    <w:rsid w:val="1767428D"/>
    <w:rsid w:val="176C34D8"/>
    <w:rsid w:val="17701D14"/>
    <w:rsid w:val="17735226"/>
    <w:rsid w:val="1773582D"/>
    <w:rsid w:val="17740758"/>
    <w:rsid w:val="17763DC2"/>
    <w:rsid w:val="1779567C"/>
    <w:rsid w:val="177B5642"/>
    <w:rsid w:val="178065ED"/>
    <w:rsid w:val="17813E0E"/>
    <w:rsid w:val="17817AC7"/>
    <w:rsid w:val="17860A7E"/>
    <w:rsid w:val="1787048B"/>
    <w:rsid w:val="178C784F"/>
    <w:rsid w:val="17914E66"/>
    <w:rsid w:val="179928AA"/>
    <w:rsid w:val="179E26DB"/>
    <w:rsid w:val="17A032FB"/>
    <w:rsid w:val="17A10E21"/>
    <w:rsid w:val="17A821AF"/>
    <w:rsid w:val="17AB51FB"/>
    <w:rsid w:val="17AE3CDD"/>
    <w:rsid w:val="17B1375A"/>
    <w:rsid w:val="17B7090E"/>
    <w:rsid w:val="17B76721"/>
    <w:rsid w:val="17BD027B"/>
    <w:rsid w:val="17C90AA4"/>
    <w:rsid w:val="17CB2112"/>
    <w:rsid w:val="17CC6F89"/>
    <w:rsid w:val="17CE4184"/>
    <w:rsid w:val="17D564E4"/>
    <w:rsid w:val="17D734C7"/>
    <w:rsid w:val="17D75D7F"/>
    <w:rsid w:val="17DB2585"/>
    <w:rsid w:val="17DD454F"/>
    <w:rsid w:val="17E30D6D"/>
    <w:rsid w:val="17E94CA2"/>
    <w:rsid w:val="17EB07C7"/>
    <w:rsid w:val="17EB6C6C"/>
    <w:rsid w:val="17ED7AA9"/>
    <w:rsid w:val="17EE78BD"/>
    <w:rsid w:val="17F1593F"/>
    <w:rsid w:val="17F17FFA"/>
    <w:rsid w:val="18027B12"/>
    <w:rsid w:val="18027D54"/>
    <w:rsid w:val="180D4CD7"/>
    <w:rsid w:val="180F222F"/>
    <w:rsid w:val="1812011E"/>
    <w:rsid w:val="18136C2D"/>
    <w:rsid w:val="18147845"/>
    <w:rsid w:val="18185587"/>
    <w:rsid w:val="181F0AA9"/>
    <w:rsid w:val="18216A70"/>
    <w:rsid w:val="18250A27"/>
    <w:rsid w:val="18306AB5"/>
    <w:rsid w:val="183F0D66"/>
    <w:rsid w:val="18421907"/>
    <w:rsid w:val="18422604"/>
    <w:rsid w:val="18455C50"/>
    <w:rsid w:val="18475E6C"/>
    <w:rsid w:val="185D11EC"/>
    <w:rsid w:val="18624A54"/>
    <w:rsid w:val="186A0E96"/>
    <w:rsid w:val="18732EE3"/>
    <w:rsid w:val="187C3D68"/>
    <w:rsid w:val="188622FA"/>
    <w:rsid w:val="1887378A"/>
    <w:rsid w:val="188B7B07"/>
    <w:rsid w:val="188C3A80"/>
    <w:rsid w:val="188C7154"/>
    <w:rsid w:val="189440E7"/>
    <w:rsid w:val="189A30ED"/>
    <w:rsid w:val="189F624C"/>
    <w:rsid w:val="18AD3F21"/>
    <w:rsid w:val="18AD58E7"/>
    <w:rsid w:val="18B2778A"/>
    <w:rsid w:val="18B40068"/>
    <w:rsid w:val="18B43325"/>
    <w:rsid w:val="18BC1226"/>
    <w:rsid w:val="18C80D5B"/>
    <w:rsid w:val="18C96E4C"/>
    <w:rsid w:val="18CD45C3"/>
    <w:rsid w:val="18D07816"/>
    <w:rsid w:val="18D27471"/>
    <w:rsid w:val="18D45952"/>
    <w:rsid w:val="18D771F0"/>
    <w:rsid w:val="18E454B9"/>
    <w:rsid w:val="18E91412"/>
    <w:rsid w:val="18F356AC"/>
    <w:rsid w:val="18F470D3"/>
    <w:rsid w:val="18F720F3"/>
    <w:rsid w:val="18FE6837"/>
    <w:rsid w:val="18FF4051"/>
    <w:rsid w:val="190E2D74"/>
    <w:rsid w:val="190F158D"/>
    <w:rsid w:val="191061F1"/>
    <w:rsid w:val="19140BA8"/>
    <w:rsid w:val="19155A3E"/>
    <w:rsid w:val="19175E02"/>
    <w:rsid w:val="191E2F8B"/>
    <w:rsid w:val="19212BB3"/>
    <w:rsid w:val="192252A0"/>
    <w:rsid w:val="192F4E41"/>
    <w:rsid w:val="19306658"/>
    <w:rsid w:val="1932246C"/>
    <w:rsid w:val="19334B3D"/>
    <w:rsid w:val="1934019F"/>
    <w:rsid w:val="19352849"/>
    <w:rsid w:val="193622D8"/>
    <w:rsid w:val="193B39B3"/>
    <w:rsid w:val="193B6B04"/>
    <w:rsid w:val="193C1CDB"/>
    <w:rsid w:val="19432476"/>
    <w:rsid w:val="19457133"/>
    <w:rsid w:val="195070AB"/>
    <w:rsid w:val="19526C77"/>
    <w:rsid w:val="19545BF2"/>
    <w:rsid w:val="195645B9"/>
    <w:rsid w:val="19573E8D"/>
    <w:rsid w:val="195846A8"/>
    <w:rsid w:val="195A572B"/>
    <w:rsid w:val="19616685"/>
    <w:rsid w:val="19622F5E"/>
    <w:rsid w:val="19762565"/>
    <w:rsid w:val="1977008B"/>
    <w:rsid w:val="1977321F"/>
    <w:rsid w:val="197D38E3"/>
    <w:rsid w:val="19802744"/>
    <w:rsid w:val="19814DA7"/>
    <w:rsid w:val="198937BC"/>
    <w:rsid w:val="198B6D5B"/>
    <w:rsid w:val="198D3D53"/>
    <w:rsid w:val="198F49A9"/>
    <w:rsid w:val="199332F6"/>
    <w:rsid w:val="199926F8"/>
    <w:rsid w:val="19A90B8D"/>
    <w:rsid w:val="19A93778"/>
    <w:rsid w:val="19AC1C8E"/>
    <w:rsid w:val="19AC5F87"/>
    <w:rsid w:val="19AF7825"/>
    <w:rsid w:val="19B24CE4"/>
    <w:rsid w:val="19B46E78"/>
    <w:rsid w:val="19BE3F0C"/>
    <w:rsid w:val="19CB7118"/>
    <w:rsid w:val="19CF6119"/>
    <w:rsid w:val="19CF6B1C"/>
    <w:rsid w:val="19D12263"/>
    <w:rsid w:val="19D63004"/>
    <w:rsid w:val="19D76D7C"/>
    <w:rsid w:val="19DB686C"/>
    <w:rsid w:val="19DE3827"/>
    <w:rsid w:val="19DE56BA"/>
    <w:rsid w:val="19E21F67"/>
    <w:rsid w:val="19E60D5F"/>
    <w:rsid w:val="19EA1DF8"/>
    <w:rsid w:val="19EC0A79"/>
    <w:rsid w:val="19ED66F3"/>
    <w:rsid w:val="19EF5A99"/>
    <w:rsid w:val="19F77872"/>
    <w:rsid w:val="19FD1A2C"/>
    <w:rsid w:val="19FF1D60"/>
    <w:rsid w:val="1A004B69"/>
    <w:rsid w:val="1A044015"/>
    <w:rsid w:val="1A057015"/>
    <w:rsid w:val="1A0A53A3"/>
    <w:rsid w:val="1A0A5C1B"/>
    <w:rsid w:val="1A0C14D1"/>
    <w:rsid w:val="1A136006"/>
    <w:rsid w:val="1A1678A4"/>
    <w:rsid w:val="1A1A7675"/>
    <w:rsid w:val="1A1C66C0"/>
    <w:rsid w:val="1A253F8B"/>
    <w:rsid w:val="1A2C531A"/>
    <w:rsid w:val="1A2D7AAA"/>
    <w:rsid w:val="1A3E0932"/>
    <w:rsid w:val="1A3E4845"/>
    <w:rsid w:val="1A42393B"/>
    <w:rsid w:val="1A4239CB"/>
    <w:rsid w:val="1A4D6898"/>
    <w:rsid w:val="1A50725A"/>
    <w:rsid w:val="1A582E70"/>
    <w:rsid w:val="1A5A2DE1"/>
    <w:rsid w:val="1A5F6A15"/>
    <w:rsid w:val="1A6C1BBA"/>
    <w:rsid w:val="1A6E7F98"/>
    <w:rsid w:val="1A710E2A"/>
    <w:rsid w:val="1A714D3D"/>
    <w:rsid w:val="1A7A7E33"/>
    <w:rsid w:val="1A7B0F93"/>
    <w:rsid w:val="1A826D31"/>
    <w:rsid w:val="1A8962C8"/>
    <w:rsid w:val="1A8A3DEE"/>
    <w:rsid w:val="1A8B60F3"/>
    <w:rsid w:val="1A905843"/>
    <w:rsid w:val="1A96061B"/>
    <w:rsid w:val="1A995465"/>
    <w:rsid w:val="1A9A4026"/>
    <w:rsid w:val="1A9C647F"/>
    <w:rsid w:val="1A9F5AEC"/>
    <w:rsid w:val="1AA0767C"/>
    <w:rsid w:val="1AA1138B"/>
    <w:rsid w:val="1AAD45DE"/>
    <w:rsid w:val="1AB8095B"/>
    <w:rsid w:val="1ABA46D4"/>
    <w:rsid w:val="1ABC412F"/>
    <w:rsid w:val="1ABF7180"/>
    <w:rsid w:val="1ABF7F3C"/>
    <w:rsid w:val="1AC75042"/>
    <w:rsid w:val="1ACB4A8B"/>
    <w:rsid w:val="1ACB4B33"/>
    <w:rsid w:val="1ACF421E"/>
    <w:rsid w:val="1ACF4EEE"/>
    <w:rsid w:val="1AD75285"/>
    <w:rsid w:val="1AE532C2"/>
    <w:rsid w:val="1AE6371B"/>
    <w:rsid w:val="1AE75AAF"/>
    <w:rsid w:val="1AE87493"/>
    <w:rsid w:val="1AE92581"/>
    <w:rsid w:val="1AED4AA9"/>
    <w:rsid w:val="1AFA2B88"/>
    <w:rsid w:val="1AFA63AD"/>
    <w:rsid w:val="1AFC4CEC"/>
    <w:rsid w:val="1B046F80"/>
    <w:rsid w:val="1B0523FF"/>
    <w:rsid w:val="1B0B4F2F"/>
    <w:rsid w:val="1B0D6EF9"/>
    <w:rsid w:val="1B0E67CD"/>
    <w:rsid w:val="1B1436F0"/>
    <w:rsid w:val="1B234C9B"/>
    <w:rsid w:val="1B2840D9"/>
    <w:rsid w:val="1B2A7C8E"/>
    <w:rsid w:val="1B2B737F"/>
    <w:rsid w:val="1B3267B5"/>
    <w:rsid w:val="1B3A6F73"/>
    <w:rsid w:val="1B3E7FE4"/>
    <w:rsid w:val="1B40161D"/>
    <w:rsid w:val="1B410951"/>
    <w:rsid w:val="1B441859"/>
    <w:rsid w:val="1B45265B"/>
    <w:rsid w:val="1B4747B6"/>
    <w:rsid w:val="1B490E98"/>
    <w:rsid w:val="1B4D553A"/>
    <w:rsid w:val="1B4F12C0"/>
    <w:rsid w:val="1B522B5E"/>
    <w:rsid w:val="1B544B28"/>
    <w:rsid w:val="1B5508A0"/>
    <w:rsid w:val="1B5563F0"/>
    <w:rsid w:val="1B5565C8"/>
    <w:rsid w:val="1B5C1C2F"/>
    <w:rsid w:val="1B6606B1"/>
    <w:rsid w:val="1B682381"/>
    <w:rsid w:val="1B695789"/>
    <w:rsid w:val="1B732BA1"/>
    <w:rsid w:val="1B762CF0"/>
    <w:rsid w:val="1B7658E2"/>
    <w:rsid w:val="1B7D6BEA"/>
    <w:rsid w:val="1B8120B5"/>
    <w:rsid w:val="1B87021B"/>
    <w:rsid w:val="1B9F38C9"/>
    <w:rsid w:val="1BA20491"/>
    <w:rsid w:val="1BAA0AF2"/>
    <w:rsid w:val="1BAA0BEC"/>
    <w:rsid w:val="1BAC3E4E"/>
    <w:rsid w:val="1BAF1D5E"/>
    <w:rsid w:val="1BB14E59"/>
    <w:rsid w:val="1BBB416A"/>
    <w:rsid w:val="1BBD01E0"/>
    <w:rsid w:val="1BC83936"/>
    <w:rsid w:val="1BCB6AA7"/>
    <w:rsid w:val="1BCF4B8C"/>
    <w:rsid w:val="1BD14514"/>
    <w:rsid w:val="1BD417C5"/>
    <w:rsid w:val="1BD619E1"/>
    <w:rsid w:val="1BDC68CC"/>
    <w:rsid w:val="1BDE124D"/>
    <w:rsid w:val="1BE3033D"/>
    <w:rsid w:val="1BE7774A"/>
    <w:rsid w:val="1BEC092D"/>
    <w:rsid w:val="1BF30ADC"/>
    <w:rsid w:val="1BFB31F6"/>
    <w:rsid w:val="1BFC7309"/>
    <w:rsid w:val="1C0C4C1E"/>
    <w:rsid w:val="1C0C71B1"/>
    <w:rsid w:val="1C18299F"/>
    <w:rsid w:val="1C1E6EE4"/>
    <w:rsid w:val="1C250273"/>
    <w:rsid w:val="1C253471"/>
    <w:rsid w:val="1C38518D"/>
    <w:rsid w:val="1C3C426C"/>
    <w:rsid w:val="1C3E1334"/>
    <w:rsid w:val="1C4306F9"/>
    <w:rsid w:val="1C451E8D"/>
    <w:rsid w:val="1C4A101B"/>
    <w:rsid w:val="1C4E0858"/>
    <w:rsid w:val="1C4F52EF"/>
    <w:rsid w:val="1C592FF9"/>
    <w:rsid w:val="1C5D6CE6"/>
    <w:rsid w:val="1C5E7925"/>
    <w:rsid w:val="1C67332C"/>
    <w:rsid w:val="1C6D688A"/>
    <w:rsid w:val="1C6E7E6B"/>
    <w:rsid w:val="1C6F417C"/>
    <w:rsid w:val="1C71317B"/>
    <w:rsid w:val="1C751B4D"/>
    <w:rsid w:val="1C783E1E"/>
    <w:rsid w:val="1C796CC0"/>
    <w:rsid w:val="1C7D5C81"/>
    <w:rsid w:val="1C8165C7"/>
    <w:rsid w:val="1C827766"/>
    <w:rsid w:val="1C8925AF"/>
    <w:rsid w:val="1C8B186A"/>
    <w:rsid w:val="1C96041C"/>
    <w:rsid w:val="1C9E08E0"/>
    <w:rsid w:val="1CA34F4C"/>
    <w:rsid w:val="1CAA0778"/>
    <w:rsid w:val="1CAD4631"/>
    <w:rsid w:val="1CB17D58"/>
    <w:rsid w:val="1CB841CA"/>
    <w:rsid w:val="1CBD0BF0"/>
    <w:rsid w:val="1CC11027"/>
    <w:rsid w:val="1CC1746F"/>
    <w:rsid w:val="1CC31F3D"/>
    <w:rsid w:val="1CC45CDD"/>
    <w:rsid w:val="1CCA6B98"/>
    <w:rsid w:val="1CCE5D2E"/>
    <w:rsid w:val="1CCF6669"/>
    <w:rsid w:val="1CDA72AF"/>
    <w:rsid w:val="1CE04199"/>
    <w:rsid w:val="1CE161F5"/>
    <w:rsid w:val="1CE27781"/>
    <w:rsid w:val="1CE42735"/>
    <w:rsid w:val="1CE72814"/>
    <w:rsid w:val="1CE82086"/>
    <w:rsid w:val="1CEB326A"/>
    <w:rsid w:val="1CEB65DF"/>
    <w:rsid w:val="1CEC2B3E"/>
    <w:rsid w:val="1CF33784"/>
    <w:rsid w:val="1CF617BC"/>
    <w:rsid w:val="1CF917A7"/>
    <w:rsid w:val="1CFB15A0"/>
    <w:rsid w:val="1CFD070F"/>
    <w:rsid w:val="1D0600A4"/>
    <w:rsid w:val="1D076D5E"/>
    <w:rsid w:val="1D084214"/>
    <w:rsid w:val="1D0E0D07"/>
    <w:rsid w:val="1D126D38"/>
    <w:rsid w:val="1D152095"/>
    <w:rsid w:val="1D225A6E"/>
    <w:rsid w:val="1D270E9D"/>
    <w:rsid w:val="1D273A22"/>
    <w:rsid w:val="1D3342DB"/>
    <w:rsid w:val="1D36584D"/>
    <w:rsid w:val="1D4E4115"/>
    <w:rsid w:val="1D552DD9"/>
    <w:rsid w:val="1D571E02"/>
    <w:rsid w:val="1D5B4DC6"/>
    <w:rsid w:val="1D5F6196"/>
    <w:rsid w:val="1D6132A5"/>
    <w:rsid w:val="1D7165FD"/>
    <w:rsid w:val="1D794860"/>
    <w:rsid w:val="1D7B4A10"/>
    <w:rsid w:val="1D7B65A1"/>
    <w:rsid w:val="1D7C1643"/>
    <w:rsid w:val="1D7D4F81"/>
    <w:rsid w:val="1D7F16EB"/>
    <w:rsid w:val="1D814DB7"/>
    <w:rsid w:val="1D816DBF"/>
    <w:rsid w:val="1D862F93"/>
    <w:rsid w:val="1D8B05A9"/>
    <w:rsid w:val="1D8E56D5"/>
    <w:rsid w:val="1D8F38EF"/>
    <w:rsid w:val="1D90796E"/>
    <w:rsid w:val="1D917260"/>
    <w:rsid w:val="1D963C5A"/>
    <w:rsid w:val="1D9873A5"/>
    <w:rsid w:val="1D9A259A"/>
    <w:rsid w:val="1D9B34A2"/>
    <w:rsid w:val="1DA70300"/>
    <w:rsid w:val="1DAF315C"/>
    <w:rsid w:val="1DB25B36"/>
    <w:rsid w:val="1DB751AC"/>
    <w:rsid w:val="1DBC69B5"/>
    <w:rsid w:val="1DBD61A7"/>
    <w:rsid w:val="1DC31D56"/>
    <w:rsid w:val="1DC35F95"/>
    <w:rsid w:val="1DC37D43"/>
    <w:rsid w:val="1DC6338F"/>
    <w:rsid w:val="1DCB7E93"/>
    <w:rsid w:val="1DD31078"/>
    <w:rsid w:val="1DD91315"/>
    <w:rsid w:val="1DD957B9"/>
    <w:rsid w:val="1DD979BE"/>
    <w:rsid w:val="1DE047C6"/>
    <w:rsid w:val="1DE877AA"/>
    <w:rsid w:val="1DE93768"/>
    <w:rsid w:val="1DF75C3F"/>
    <w:rsid w:val="1DF84CBF"/>
    <w:rsid w:val="1DFB5164"/>
    <w:rsid w:val="1E036392"/>
    <w:rsid w:val="1E054CC9"/>
    <w:rsid w:val="1E067C30"/>
    <w:rsid w:val="1E0A3BC4"/>
    <w:rsid w:val="1E0C0B57"/>
    <w:rsid w:val="1E0C16EA"/>
    <w:rsid w:val="1E0D5462"/>
    <w:rsid w:val="1E115081"/>
    <w:rsid w:val="1E195BB5"/>
    <w:rsid w:val="1E1F222A"/>
    <w:rsid w:val="1E220F0E"/>
    <w:rsid w:val="1E2419AF"/>
    <w:rsid w:val="1E262080"/>
    <w:rsid w:val="1E2B113A"/>
    <w:rsid w:val="1E326C0D"/>
    <w:rsid w:val="1E342A1C"/>
    <w:rsid w:val="1E34479D"/>
    <w:rsid w:val="1E380731"/>
    <w:rsid w:val="1E392745"/>
    <w:rsid w:val="1E393859"/>
    <w:rsid w:val="1E3B1FCF"/>
    <w:rsid w:val="1E3D2E33"/>
    <w:rsid w:val="1E4221DE"/>
    <w:rsid w:val="1E52011B"/>
    <w:rsid w:val="1E526701"/>
    <w:rsid w:val="1E535688"/>
    <w:rsid w:val="1E537319"/>
    <w:rsid w:val="1E634270"/>
    <w:rsid w:val="1E6428E0"/>
    <w:rsid w:val="1E664002"/>
    <w:rsid w:val="1E674B72"/>
    <w:rsid w:val="1E727739"/>
    <w:rsid w:val="1E7A4110"/>
    <w:rsid w:val="1E7A43DA"/>
    <w:rsid w:val="1E7B6870"/>
    <w:rsid w:val="1E7E1EBC"/>
    <w:rsid w:val="1E7E3C6A"/>
    <w:rsid w:val="1E806D8A"/>
    <w:rsid w:val="1E831280"/>
    <w:rsid w:val="1E8759F3"/>
    <w:rsid w:val="1E8A260F"/>
    <w:rsid w:val="1E950C29"/>
    <w:rsid w:val="1E965B18"/>
    <w:rsid w:val="1E983954"/>
    <w:rsid w:val="1E9B246D"/>
    <w:rsid w:val="1E9C1F92"/>
    <w:rsid w:val="1E9C767B"/>
    <w:rsid w:val="1E9D139F"/>
    <w:rsid w:val="1EA27A4D"/>
    <w:rsid w:val="1EA41923"/>
    <w:rsid w:val="1EA825AB"/>
    <w:rsid w:val="1EAE2DD9"/>
    <w:rsid w:val="1EB57234"/>
    <w:rsid w:val="1EC43D73"/>
    <w:rsid w:val="1EC54878"/>
    <w:rsid w:val="1ECA1DD5"/>
    <w:rsid w:val="1ECA5FEF"/>
    <w:rsid w:val="1ECA6EAF"/>
    <w:rsid w:val="1ED0096A"/>
    <w:rsid w:val="1EDB2E6A"/>
    <w:rsid w:val="1EDD1822"/>
    <w:rsid w:val="1EDE67E5"/>
    <w:rsid w:val="1EE2069D"/>
    <w:rsid w:val="1EE30CEA"/>
    <w:rsid w:val="1EEF72D8"/>
    <w:rsid w:val="1EF1354B"/>
    <w:rsid w:val="1EF13911"/>
    <w:rsid w:val="1EF5217E"/>
    <w:rsid w:val="1EF740FB"/>
    <w:rsid w:val="1EFC175F"/>
    <w:rsid w:val="1EFF07F4"/>
    <w:rsid w:val="1F017D5D"/>
    <w:rsid w:val="1F081BD7"/>
    <w:rsid w:val="1F10520A"/>
    <w:rsid w:val="1F152820"/>
    <w:rsid w:val="1F196E7F"/>
    <w:rsid w:val="1F204D21"/>
    <w:rsid w:val="1F244811"/>
    <w:rsid w:val="1F2C5F1E"/>
    <w:rsid w:val="1F2D4DD8"/>
    <w:rsid w:val="1F30765A"/>
    <w:rsid w:val="1F310441"/>
    <w:rsid w:val="1F31742D"/>
    <w:rsid w:val="1F354072"/>
    <w:rsid w:val="1F3A5DE3"/>
    <w:rsid w:val="1F3F164B"/>
    <w:rsid w:val="1F4B6242"/>
    <w:rsid w:val="1F4E5D32"/>
    <w:rsid w:val="1F502710"/>
    <w:rsid w:val="1F511F82"/>
    <w:rsid w:val="1F51492C"/>
    <w:rsid w:val="1F63002C"/>
    <w:rsid w:val="1F64288F"/>
    <w:rsid w:val="1F7A63FD"/>
    <w:rsid w:val="1F7B1B7C"/>
    <w:rsid w:val="1F802E8E"/>
    <w:rsid w:val="1F817EB6"/>
    <w:rsid w:val="1F841754"/>
    <w:rsid w:val="1F8800CF"/>
    <w:rsid w:val="1F8A5DA8"/>
    <w:rsid w:val="1F8B1FA7"/>
    <w:rsid w:val="1F903C55"/>
    <w:rsid w:val="1F9C5E34"/>
    <w:rsid w:val="1F9D69FC"/>
    <w:rsid w:val="1F9E4E56"/>
    <w:rsid w:val="1FA47700"/>
    <w:rsid w:val="1FA90296"/>
    <w:rsid w:val="1FAF67D1"/>
    <w:rsid w:val="1FB2006F"/>
    <w:rsid w:val="1FB77434"/>
    <w:rsid w:val="1FB9734B"/>
    <w:rsid w:val="1FBB4BD6"/>
    <w:rsid w:val="1FC61FBB"/>
    <w:rsid w:val="1FCD4EA9"/>
    <w:rsid w:val="1FD10527"/>
    <w:rsid w:val="1FD47FE6"/>
    <w:rsid w:val="1FD9384E"/>
    <w:rsid w:val="1FDB3B0B"/>
    <w:rsid w:val="1FE548C7"/>
    <w:rsid w:val="1FE70AFA"/>
    <w:rsid w:val="1FE7539E"/>
    <w:rsid w:val="1FF97A4C"/>
    <w:rsid w:val="1FFB1A16"/>
    <w:rsid w:val="20052895"/>
    <w:rsid w:val="200B5F1D"/>
    <w:rsid w:val="201B3E66"/>
    <w:rsid w:val="201E3957"/>
    <w:rsid w:val="201F4F8C"/>
    <w:rsid w:val="20250841"/>
    <w:rsid w:val="202C4C92"/>
    <w:rsid w:val="20322F5E"/>
    <w:rsid w:val="20347C60"/>
    <w:rsid w:val="20365F39"/>
    <w:rsid w:val="2037160E"/>
    <w:rsid w:val="20450EE3"/>
    <w:rsid w:val="20466E53"/>
    <w:rsid w:val="204D5FEA"/>
    <w:rsid w:val="204E53F7"/>
    <w:rsid w:val="205245F4"/>
    <w:rsid w:val="20601879"/>
    <w:rsid w:val="20621A95"/>
    <w:rsid w:val="206524E5"/>
    <w:rsid w:val="20671BE0"/>
    <w:rsid w:val="20673EB8"/>
    <w:rsid w:val="206A26F8"/>
    <w:rsid w:val="206D3F96"/>
    <w:rsid w:val="206E6121"/>
    <w:rsid w:val="20775413"/>
    <w:rsid w:val="207B2B57"/>
    <w:rsid w:val="207B4905"/>
    <w:rsid w:val="208631DE"/>
    <w:rsid w:val="20947775"/>
    <w:rsid w:val="20963CB8"/>
    <w:rsid w:val="20A235B8"/>
    <w:rsid w:val="20A51982"/>
    <w:rsid w:val="20A65B06"/>
    <w:rsid w:val="20A7715D"/>
    <w:rsid w:val="20A81A1B"/>
    <w:rsid w:val="20AF683C"/>
    <w:rsid w:val="20B06D0A"/>
    <w:rsid w:val="20B07FB6"/>
    <w:rsid w:val="20B646FB"/>
    <w:rsid w:val="20B6593D"/>
    <w:rsid w:val="20B70619"/>
    <w:rsid w:val="20BD5F40"/>
    <w:rsid w:val="20C473D6"/>
    <w:rsid w:val="20C53DD2"/>
    <w:rsid w:val="20C61E70"/>
    <w:rsid w:val="20CB083F"/>
    <w:rsid w:val="20CF69FF"/>
    <w:rsid w:val="20D504B9"/>
    <w:rsid w:val="20D93FCC"/>
    <w:rsid w:val="20DB53A4"/>
    <w:rsid w:val="20DC7CCA"/>
    <w:rsid w:val="20DD736E"/>
    <w:rsid w:val="20E41F8D"/>
    <w:rsid w:val="20E83BDD"/>
    <w:rsid w:val="20EE157B"/>
    <w:rsid w:val="20EE50D7"/>
    <w:rsid w:val="20F11D81"/>
    <w:rsid w:val="20F14BC7"/>
    <w:rsid w:val="20F51A7A"/>
    <w:rsid w:val="20F6042F"/>
    <w:rsid w:val="20F956A3"/>
    <w:rsid w:val="20FD6F5D"/>
    <w:rsid w:val="210668C5"/>
    <w:rsid w:val="210C37AF"/>
    <w:rsid w:val="210C783E"/>
    <w:rsid w:val="210F504D"/>
    <w:rsid w:val="21107C54"/>
    <w:rsid w:val="21154D5A"/>
    <w:rsid w:val="21155E4F"/>
    <w:rsid w:val="21166A94"/>
    <w:rsid w:val="21167D9E"/>
    <w:rsid w:val="211846B7"/>
    <w:rsid w:val="21275C65"/>
    <w:rsid w:val="212C128C"/>
    <w:rsid w:val="212E5E1B"/>
    <w:rsid w:val="21303453"/>
    <w:rsid w:val="21303941"/>
    <w:rsid w:val="2136082C"/>
    <w:rsid w:val="213B74B1"/>
    <w:rsid w:val="213D54C1"/>
    <w:rsid w:val="213F5933"/>
    <w:rsid w:val="21435E4B"/>
    <w:rsid w:val="21442F49"/>
    <w:rsid w:val="21457588"/>
    <w:rsid w:val="214815A8"/>
    <w:rsid w:val="21486EDD"/>
    <w:rsid w:val="214B2529"/>
    <w:rsid w:val="215319AD"/>
    <w:rsid w:val="2153584A"/>
    <w:rsid w:val="21582E98"/>
    <w:rsid w:val="2159704D"/>
    <w:rsid w:val="215A2310"/>
    <w:rsid w:val="215C4736"/>
    <w:rsid w:val="215E639F"/>
    <w:rsid w:val="216B497A"/>
    <w:rsid w:val="216E7FC6"/>
    <w:rsid w:val="21702385"/>
    <w:rsid w:val="217575A6"/>
    <w:rsid w:val="21787096"/>
    <w:rsid w:val="217A775E"/>
    <w:rsid w:val="21837F15"/>
    <w:rsid w:val="21845A3B"/>
    <w:rsid w:val="21863561"/>
    <w:rsid w:val="21871088"/>
    <w:rsid w:val="218839EC"/>
    <w:rsid w:val="21921F06"/>
    <w:rsid w:val="21957C48"/>
    <w:rsid w:val="219A6A7B"/>
    <w:rsid w:val="219C2F65"/>
    <w:rsid w:val="219C6421"/>
    <w:rsid w:val="21A43E37"/>
    <w:rsid w:val="21A97250"/>
    <w:rsid w:val="21AA2DB3"/>
    <w:rsid w:val="21AD6D40"/>
    <w:rsid w:val="21B24356"/>
    <w:rsid w:val="21B70496"/>
    <w:rsid w:val="21BA76AF"/>
    <w:rsid w:val="21BC576A"/>
    <w:rsid w:val="21BF0821"/>
    <w:rsid w:val="21C010A5"/>
    <w:rsid w:val="21C91D49"/>
    <w:rsid w:val="21D01DDA"/>
    <w:rsid w:val="21D172DC"/>
    <w:rsid w:val="21D4251F"/>
    <w:rsid w:val="21D47F5E"/>
    <w:rsid w:val="21D534C8"/>
    <w:rsid w:val="21D9264D"/>
    <w:rsid w:val="21DE318A"/>
    <w:rsid w:val="21E14C3C"/>
    <w:rsid w:val="21E169EA"/>
    <w:rsid w:val="21E93AF0"/>
    <w:rsid w:val="21E95CE4"/>
    <w:rsid w:val="21EA27D2"/>
    <w:rsid w:val="21EC4122"/>
    <w:rsid w:val="21EF5B80"/>
    <w:rsid w:val="21F26B5D"/>
    <w:rsid w:val="21F73A2D"/>
    <w:rsid w:val="21F872EB"/>
    <w:rsid w:val="22023A3F"/>
    <w:rsid w:val="220A5F40"/>
    <w:rsid w:val="220C2FA2"/>
    <w:rsid w:val="22106C59"/>
    <w:rsid w:val="221072CF"/>
    <w:rsid w:val="22171248"/>
    <w:rsid w:val="2217240B"/>
    <w:rsid w:val="221F7512"/>
    <w:rsid w:val="222248DF"/>
    <w:rsid w:val="22230DB0"/>
    <w:rsid w:val="222D4B7C"/>
    <w:rsid w:val="22357465"/>
    <w:rsid w:val="223A511A"/>
    <w:rsid w:val="223B0D62"/>
    <w:rsid w:val="223B259E"/>
    <w:rsid w:val="224A27E1"/>
    <w:rsid w:val="224C6559"/>
    <w:rsid w:val="224D1A5F"/>
    <w:rsid w:val="224E784D"/>
    <w:rsid w:val="22525502"/>
    <w:rsid w:val="22525B39"/>
    <w:rsid w:val="22532A8E"/>
    <w:rsid w:val="2254426B"/>
    <w:rsid w:val="22576990"/>
    <w:rsid w:val="225777EA"/>
    <w:rsid w:val="225B679C"/>
    <w:rsid w:val="225C34E1"/>
    <w:rsid w:val="2265175A"/>
    <w:rsid w:val="226A4C31"/>
    <w:rsid w:val="226D64CF"/>
    <w:rsid w:val="226E1036"/>
    <w:rsid w:val="227D2BB6"/>
    <w:rsid w:val="227F4D69"/>
    <w:rsid w:val="228757AF"/>
    <w:rsid w:val="22885820"/>
    <w:rsid w:val="228D0920"/>
    <w:rsid w:val="228D0B2B"/>
    <w:rsid w:val="229E781B"/>
    <w:rsid w:val="22A0050B"/>
    <w:rsid w:val="22A13A6D"/>
    <w:rsid w:val="22A46395"/>
    <w:rsid w:val="22AB1C1C"/>
    <w:rsid w:val="22B365D8"/>
    <w:rsid w:val="22B9432E"/>
    <w:rsid w:val="22BB548D"/>
    <w:rsid w:val="22C205C9"/>
    <w:rsid w:val="22C32F28"/>
    <w:rsid w:val="22C34341"/>
    <w:rsid w:val="22CA56D0"/>
    <w:rsid w:val="22D121FB"/>
    <w:rsid w:val="22D12F89"/>
    <w:rsid w:val="22D9192F"/>
    <w:rsid w:val="22DA41CE"/>
    <w:rsid w:val="22DB78DD"/>
    <w:rsid w:val="22E83DA8"/>
    <w:rsid w:val="22E973C1"/>
    <w:rsid w:val="22EC5646"/>
    <w:rsid w:val="22ED71CD"/>
    <w:rsid w:val="22F0540B"/>
    <w:rsid w:val="22F46501"/>
    <w:rsid w:val="22F47480"/>
    <w:rsid w:val="22FC32BB"/>
    <w:rsid w:val="22FD4884"/>
    <w:rsid w:val="23010E45"/>
    <w:rsid w:val="2302130E"/>
    <w:rsid w:val="230339DB"/>
    <w:rsid w:val="23042C3F"/>
    <w:rsid w:val="23052BAC"/>
    <w:rsid w:val="230722D5"/>
    <w:rsid w:val="23093BF2"/>
    <w:rsid w:val="23151041"/>
    <w:rsid w:val="2318643B"/>
    <w:rsid w:val="23270F67"/>
    <w:rsid w:val="232B2612"/>
    <w:rsid w:val="23353491"/>
    <w:rsid w:val="23386ADD"/>
    <w:rsid w:val="23403BE4"/>
    <w:rsid w:val="23451001"/>
    <w:rsid w:val="234C2589"/>
    <w:rsid w:val="234D4382"/>
    <w:rsid w:val="234D5002"/>
    <w:rsid w:val="23502079"/>
    <w:rsid w:val="23580F2E"/>
    <w:rsid w:val="235C0A1E"/>
    <w:rsid w:val="235D4796"/>
    <w:rsid w:val="235E3DED"/>
    <w:rsid w:val="23624DB5"/>
    <w:rsid w:val="236E3309"/>
    <w:rsid w:val="237377C7"/>
    <w:rsid w:val="23753F06"/>
    <w:rsid w:val="237C2E6E"/>
    <w:rsid w:val="238345EB"/>
    <w:rsid w:val="23867849"/>
    <w:rsid w:val="2398654C"/>
    <w:rsid w:val="239B2269"/>
    <w:rsid w:val="239E6529"/>
    <w:rsid w:val="239F08A1"/>
    <w:rsid w:val="23A260EE"/>
    <w:rsid w:val="23A756FE"/>
    <w:rsid w:val="23A92B1C"/>
    <w:rsid w:val="23AD2A56"/>
    <w:rsid w:val="23AF3E8B"/>
    <w:rsid w:val="23AF726E"/>
    <w:rsid w:val="23B02B18"/>
    <w:rsid w:val="23B27A99"/>
    <w:rsid w:val="23B60FC1"/>
    <w:rsid w:val="23BC2D52"/>
    <w:rsid w:val="23C43527"/>
    <w:rsid w:val="23C74E66"/>
    <w:rsid w:val="23D06D16"/>
    <w:rsid w:val="23DA1B50"/>
    <w:rsid w:val="23DE1C48"/>
    <w:rsid w:val="23E05F11"/>
    <w:rsid w:val="23EC65F4"/>
    <w:rsid w:val="23ED3D6C"/>
    <w:rsid w:val="23FC3FAF"/>
    <w:rsid w:val="23FE6BEB"/>
    <w:rsid w:val="23FF584D"/>
    <w:rsid w:val="240074B3"/>
    <w:rsid w:val="240210CD"/>
    <w:rsid w:val="240A1454"/>
    <w:rsid w:val="240D0A6F"/>
    <w:rsid w:val="240E783E"/>
    <w:rsid w:val="2416517D"/>
    <w:rsid w:val="241C09BC"/>
    <w:rsid w:val="2426751B"/>
    <w:rsid w:val="24280900"/>
    <w:rsid w:val="242B1A8A"/>
    <w:rsid w:val="242F3360"/>
    <w:rsid w:val="24302E90"/>
    <w:rsid w:val="24305A06"/>
    <w:rsid w:val="24311EAA"/>
    <w:rsid w:val="24324FC7"/>
    <w:rsid w:val="24364169"/>
    <w:rsid w:val="24375129"/>
    <w:rsid w:val="243A62E1"/>
    <w:rsid w:val="24466FD8"/>
    <w:rsid w:val="244A2F6C"/>
    <w:rsid w:val="244D65B8"/>
    <w:rsid w:val="244D6BB4"/>
    <w:rsid w:val="24510B78"/>
    <w:rsid w:val="245636BF"/>
    <w:rsid w:val="24574D2F"/>
    <w:rsid w:val="24612064"/>
    <w:rsid w:val="24651B54"/>
    <w:rsid w:val="246B0A5C"/>
    <w:rsid w:val="246B2680"/>
    <w:rsid w:val="246F29D3"/>
    <w:rsid w:val="247213BB"/>
    <w:rsid w:val="247955FF"/>
    <w:rsid w:val="247A3BCF"/>
    <w:rsid w:val="247A4C9D"/>
    <w:rsid w:val="247D0F86"/>
    <w:rsid w:val="248C70E1"/>
    <w:rsid w:val="24901B57"/>
    <w:rsid w:val="24990604"/>
    <w:rsid w:val="249A18B6"/>
    <w:rsid w:val="249C4E4A"/>
    <w:rsid w:val="24A020FD"/>
    <w:rsid w:val="24A14A8B"/>
    <w:rsid w:val="24A55F24"/>
    <w:rsid w:val="24A972A7"/>
    <w:rsid w:val="24AA677E"/>
    <w:rsid w:val="24AC1531"/>
    <w:rsid w:val="24AF7273"/>
    <w:rsid w:val="24B01BD1"/>
    <w:rsid w:val="24B403E6"/>
    <w:rsid w:val="24BB0C9B"/>
    <w:rsid w:val="24BF09F7"/>
    <w:rsid w:val="24BF727F"/>
    <w:rsid w:val="24C26858"/>
    <w:rsid w:val="24C26FA6"/>
    <w:rsid w:val="24C51723"/>
    <w:rsid w:val="24C56B78"/>
    <w:rsid w:val="24C7636B"/>
    <w:rsid w:val="24CC1BD3"/>
    <w:rsid w:val="24D23759"/>
    <w:rsid w:val="24DE3A8A"/>
    <w:rsid w:val="24E16D01"/>
    <w:rsid w:val="24E4622E"/>
    <w:rsid w:val="24E83D02"/>
    <w:rsid w:val="24E842A0"/>
    <w:rsid w:val="24EF35A7"/>
    <w:rsid w:val="24F627AC"/>
    <w:rsid w:val="24F84776"/>
    <w:rsid w:val="24F86524"/>
    <w:rsid w:val="25012AC9"/>
    <w:rsid w:val="25023740"/>
    <w:rsid w:val="250E0B9D"/>
    <w:rsid w:val="25145328"/>
    <w:rsid w:val="25186BC6"/>
    <w:rsid w:val="251A0B90"/>
    <w:rsid w:val="251A395F"/>
    <w:rsid w:val="252206FC"/>
    <w:rsid w:val="252375A1"/>
    <w:rsid w:val="25266D60"/>
    <w:rsid w:val="25292B82"/>
    <w:rsid w:val="252D53FE"/>
    <w:rsid w:val="2530657B"/>
    <w:rsid w:val="25317C88"/>
    <w:rsid w:val="25322AEC"/>
    <w:rsid w:val="25355754"/>
    <w:rsid w:val="25384F68"/>
    <w:rsid w:val="25421E95"/>
    <w:rsid w:val="254701D7"/>
    <w:rsid w:val="254A0D4A"/>
    <w:rsid w:val="25506DE7"/>
    <w:rsid w:val="255B2F57"/>
    <w:rsid w:val="255F2A47"/>
    <w:rsid w:val="25642B1A"/>
    <w:rsid w:val="256718FC"/>
    <w:rsid w:val="256E2C8A"/>
    <w:rsid w:val="2575265A"/>
    <w:rsid w:val="25777D91"/>
    <w:rsid w:val="2579618A"/>
    <w:rsid w:val="257D111F"/>
    <w:rsid w:val="257F27A2"/>
    <w:rsid w:val="2580476C"/>
    <w:rsid w:val="2581437A"/>
    <w:rsid w:val="25826736"/>
    <w:rsid w:val="25867FD4"/>
    <w:rsid w:val="25884E57"/>
    <w:rsid w:val="25896B32"/>
    <w:rsid w:val="258B383C"/>
    <w:rsid w:val="259049AF"/>
    <w:rsid w:val="2593449F"/>
    <w:rsid w:val="259A582D"/>
    <w:rsid w:val="25A93CC2"/>
    <w:rsid w:val="25AC432A"/>
    <w:rsid w:val="25AF7C37"/>
    <w:rsid w:val="25BC7FE5"/>
    <w:rsid w:val="25C74149"/>
    <w:rsid w:val="25CA6327"/>
    <w:rsid w:val="25D32AED"/>
    <w:rsid w:val="25D532F5"/>
    <w:rsid w:val="25D7082F"/>
    <w:rsid w:val="25D91447"/>
    <w:rsid w:val="25E14378"/>
    <w:rsid w:val="25EC2D81"/>
    <w:rsid w:val="25EC3BAF"/>
    <w:rsid w:val="25ED78CC"/>
    <w:rsid w:val="25EE406E"/>
    <w:rsid w:val="25EE5B79"/>
    <w:rsid w:val="25EF6C49"/>
    <w:rsid w:val="25F80363"/>
    <w:rsid w:val="25FA33D7"/>
    <w:rsid w:val="25FA451E"/>
    <w:rsid w:val="25FB7DFA"/>
    <w:rsid w:val="25FC570B"/>
    <w:rsid w:val="25FD157D"/>
    <w:rsid w:val="26061115"/>
    <w:rsid w:val="260C1366"/>
    <w:rsid w:val="260C3BF8"/>
    <w:rsid w:val="26105AEF"/>
    <w:rsid w:val="261A696E"/>
    <w:rsid w:val="261D5164"/>
    <w:rsid w:val="261D5C26"/>
    <w:rsid w:val="261F1582"/>
    <w:rsid w:val="262275D1"/>
    <w:rsid w:val="26233A75"/>
    <w:rsid w:val="26290526"/>
    <w:rsid w:val="262923F6"/>
    <w:rsid w:val="262A010B"/>
    <w:rsid w:val="26326399"/>
    <w:rsid w:val="26345C82"/>
    <w:rsid w:val="26355556"/>
    <w:rsid w:val="26461511"/>
    <w:rsid w:val="26490757"/>
    <w:rsid w:val="264D0B0B"/>
    <w:rsid w:val="26527EB6"/>
    <w:rsid w:val="265500DB"/>
    <w:rsid w:val="26554BA2"/>
    <w:rsid w:val="26575089"/>
    <w:rsid w:val="265F23FB"/>
    <w:rsid w:val="26675339"/>
    <w:rsid w:val="266801EC"/>
    <w:rsid w:val="26707BFD"/>
    <w:rsid w:val="26730B70"/>
    <w:rsid w:val="267728FE"/>
    <w:rsid w:val="26773A40"/>
    <w:rsid w:val="26774667"/>
    <w:rsid w:val="26782D8B"/>
    <w:rsid w:val="267B4ABE"/>
    <w:rsid w:val="26802413"/>
    <w:rsid w:val="26881B2A"/>
    <w:rsid w:val="268868C6"/>
    <w:rsid w:val="268A3AF3"/>
    <w:rsid w:val="26937070"/>
    <w:rsid w:val="26993BB7"/>
    <w:rsid w:val="269A068B"/>
    <w:rsid w:val="26A01315"/>
    <w:rsid w:val="26A7372A"/>
    <w:rsid w:val="26AF70B6"/>
    <w:rsid w:val="26B0669F"/>
    <w:rsid w:val="26B172D2"/>
    <w:rsid w:val="26B25CB6"/>
    <w:rsid w:val="26C02C7C"/>
    <w:rsid w:val="26C22739"/>
    <w:rsid w:val="26C2719B"/>
    <w:rsid w:val="26C32B62"/>
    <w:rsid w:val="26C95C8A"/>
    <w:rsid w:val="26CD7731"/>
    <w:rsid w:val="26D37A9A"/>
    <w:rsid w:val="26D42FC1"/>
    <w:rsid w:val="26D751C9"/>
    <w:rsid w:val="26DD4469"/>
    <w:rsid w:val="26DD68A6"/>
    <w:rsid w:val="26DE174A"/>
    <w:rsid w:val="26DE799C"/>
    <w:rsid w:val="26E1252E"/>
    <w:rsid w:val="26E52AD8"/>
    <w:rsid w:val="26E72CF4"/>
    <w:rsid w:val="26E8614E"/>
    <w:rsid w:val="26EF1BA9"/>
    <w:rsid w:val="26F36771"/>
    <w:rsid w:val="26F6667B"/>
    <w:rsid w:val="26F75FB5"/>
    <w:rsid w:val="2702368A"/>
    <w:rsid w:val="27026F7D"/>
    <w:rsid w:val="270365B6"/>
    <w:rsid w:val="270D4219"/>
    <w:rsid w:val="27107C76"/>
    <w:rsid w:val="27182E78"/>
    <w:rsid w:val="271B0BF0"/>
    <w:rsid w:val="27201D62"/>
    <w:rsid w:val="272950BB"/>
    <w:rsid w:val="272C2E7E"/>
    <w:rsid w:val="2736379E"/>
    <w:rsid w:val="27364CD2"/>
    <w:rsid w:val="2738300C"/>
    <w:rsid w:val="2753038A"/>
    <w:rsid w:val="275E5EB1"/>
    <w:rsid w:val="2762425F"/>
    <w:rsid w:val="27645958"/>
    <w:rsid w:val="276A6AC7"/>
    <w:rsid w:val="276E51C4"/>
    <w:rsid w:val="277057A2"/>
    <w:rsid w:val="27734588"/>
    <w:rsid w:val="277463FD"/>
    <w:rsid w:val="277C5005"/>
    <w:rsid w:val="277C6476"/>
    <w:rsid w:val="277D0F63"/>
    <w:rsid w:val="277F117F"/>
    <w:rsid w:val="27811702"/>
    <w:rsid w:val="27871429"/>
    <w:rsid w:val="27894A00"/>
    <w:rsid w:val="278F0C96"/>
    <w:rsid w:val="27906EE8"/>
    <w:rsid w:val="2797250D"/>
    <w:rsid w:val="279F537D"/>
    <w:rsid w:val="279F712B"/>
    <w:rsid w:val="27A02EA3"/>
    <w:rsid w:val="27A50616"/>
    <w:rsid w:val="27A961FC"/>
    <w:rsid w:val="27B01338"/>
    <w:rsid w:val="27B349B0"/>
    <w:rsid w:val="27BA4E27"/>
    <w:rsid w:val="27BB69CA"/>
    <w:rsid w:val="27BC5F2F"/>
    <w:rsid w:val="27C052F3"/>
    <w:rsid w:val="27C528E9"/>
    <w:rsid w:val="27C83FC7"/>
    <w:rsid w:val="27CA2E76"/>
    <w:rsid w:val="27CA411A"/>
    <w:rsid w:val="27CB0C61"/>
    <w:rsid w:val="27CB36FC"/>
    <w:rsid w:val="27CB6172"/>
    <w:rsid w:val="27CB7F20"/>
    <w:rsid w:val="27CE64E0"/>
    <w:rsid w:val="27CF0D33"/>
    <w:rsid w:val="27D165A2"/>
    <w:rsid w:val="27D61381"/>
    <w:rsid w:val="27DA4607"/>
    <w:rsid w:val="27E15995"/>
    <w:rsid w:val="27E170DE"/>
    <w:rsid w:val="27E63962"/>
    <w:rsid w:val="27EC0339"/>
    <w:rsid w:val="27EC60E8"/>
    <w:rsid w:val="27ED066B"/>
    <w:rsid w:val="27F6220F"/>
    <w:rsid w:val="27F67CAD"/>
    <w:rsid w:val="27F8683B"/>
    <w:rsid w:val="27FC473B"/>
    <w:rsid w:val="27FC54C9"/>
    <w:rsid w:val="27FF5E1C"/>
    <w:rsid w:val="280A69B3"/>
    <w:rsid w:val="2815563F"/>
    <w:rsid w:val="28173165"/>
    <w:rsid w:val="28230735"/>
    <w:rsid w:val="28245882"/>
    <w:rsid w:val="282569DC"/>
    <w:rsid w:val="282910EA"/>
    <w:rsid w:val="28305FD5"/>
    <w:rsid w:val="28333D17"/>
    <w:rsid w:val="28341F69"/>
    <w:rsid w:val="283F06D6"/>
    <w:rsid w:val="28480BDC"/>
    <w:rsid w:val="28485A15"/>
    <w:rsid w:val="285056E3"/>
    <w:rsid w:val="28625A0D"/>
    <w:rsid w:val="286D40BC"/>
    <w:rsid w:val="286D547B"/>
    <w:rsid w:val="286E4893"/>
    <w:rsid w:val="287064F9"/>
    <w:rsid w:val="28711B50"/>
    <w:rsid w:val="28714E9D"/>
    <w:rsid w:val="2876140E"/>
    <w:rsid w:val="28803712"/>
    <w:rsid w:val="28836A4D"/>
    <w:rsid w:val="28844573"/>
    <w:rsid w:val="288A00A4"/>
    <w:rsid w:val="288D3427"/>
    <w:rsid w:val="289901CD"/>
    <w:rsid w:val="289A5B44"/>
    <w:rsid w:val="289A6CA9"/>
    <w:rsid w:val="289E0BEF"/>
    <w:rsid w:val="28A013AD"/>
    <w:rsid w:val="28A864B3"/>
    <w:rsid w:val="28AF7842"/>
    <w:rsid w:val="28B05368"/>
    <w:rsid w:val="28B90367"/>
    <w:rsid w:val="28BB5181"/>
    <w:rsid w:val="28C0181B"/>
    <w:rsid w:val="28C055AB"/>
    <w:rsid w:val="28C114CB"/>
    <w:rsid w:val="28C12636"/>
    <w:rsid w:val="28C6024F"/>
    <w:rsid w:val="28C82DA7"/>
    <w:rsid w:val="28CB3F50"/>
    <w:rsid w:val="28D41F8A"/>
    <w:rsid w:val="28D51396"/>
    <w:rsid w:val="28DB23E5"/>
    <w:rsid w:val="28E3573D"/>
    <w:rsid w:val="28E84B02"/>
    <w:rsid w:val="28E8751C"/>
    <w:rsid w:val="28EA6ACC"/>
    <w:rsid w:val="28EF40E2"/>
    <w:rsid w:val="290319E9"/>
    <w:rsid w:val="29037624"/>
    <w:rsid w:val="29051210"/>
    <w:rsid w:val="2912392D"/>
    <w:rsid w:val="291C47AB"/>
    <w:rsid w:val="291D29FD"/>
    <w:rsid w:val="291E49C7"/>
    <w:rsid w:val="29206EB8"/>
    <w:rsid w:val="292C0E92"/>
    <w:rsid w:val="2936586D"/>
    <w:rsid w:val="293A128F"/>
    <w:rsid w:val="293A2302"/>
    <w:rsid w:val="293F0FBC"/>
    <w:rsid w:val="29405A28"/>
    <w:rsid w:val="29407343"/>
    <w:rsid w:val="29422464"/>
    <w:rsid w:val="294A756A"/>
    <w:rsid w:val="294E705B"/>
    <w:rsid w:val="295313EB"/>
    <w:rsid w:val="29595666"/>
    <w:rsid w:val="295C2DFA"/>
    <w:rsid w:val="295D54F0"/>
    <w:rsid w:val="295E6B72"/>
    <w:rsid w:val="296543A4"/>
    <w:rsid w:val="29657F00"/>
    <w:rsid w:val="2967011C"/>
    <w:rsid w:val="29672844"/>
    <w:rsid w:val="296D0D14"/>
    <w:rsid w:val="296D5007"/>
    <w:rsid w:val="296D7A74"/>
    <w:rsid w:val="29714AD8"/>
    <w:rsid w:val="297621BD"/>
    <w:rsid w:val="29802F8C"/>
    <w:rsid w:val="298078CA"/>
    <w:rsid w:val="29844510"/>
    <w:rsid w:val="2984482A"/>
    <w:rsid w:val="29874881"/>
    <w:rsid w:val="298760C9"/>
    <w:rsid w:val="298E79EF"/>
    <w:rsid w:val="29944736"/>
    <w:rsid w:val="2995461C"/>
    <w:rsid w:val="29961F06"/>
    <w:rsid w:val="29985B65"/>
    <w:rsid w:val="299A404E"/>
    <w:rsid w:val="299F78B6"/>
    <w:rsid w:val="29A273A6"/>
    <w:rsid w:val="29A749BD"/>
    <w:rsid w:val="29B30428"/>
    <w:rsid w:val="29B36EBE"/>
    <w:rsid w:val="29B669AE"/>
    <w:rsid w:val="29B81A52"/>
    <w:rsid w:val="29B9024C"/>
    <w:rsid w:val="29BD3630"/>
    <w:rsid w:val="29C3473D"/>
    <w:rsid w:val="29C9116F"/>
    <w:rsid w:val="29CA2459"/>
    <w:rsid w:val="29CA4207"/>
    <w:rsid w:val="29CB7425"/>
    <w:rsid w:val="29D07A70"/>
    <w:rsid w:val="29D3130E"/>
    <w:rsid w:val="29D54687"/>
    <w:rsid w:val="29E03A2B"/>
    <w:rsid w:val="29E325E0"/>
    <w:rsid w:val="29E41AEB"/>
    <w:rsid w:val="29EA6657"/>
    <w:rsid w:val="29EC6874"/>
    <w:rsid w:val="29EC73FD"/>
    <w:rsid w:val="29F3375E"/>
    <w:rsid w:val="29F90863"/>
    <w:rsid w:val="29FD0655"/>
    <w:rsid w:val="2A006588"/>
    <w:rsid w:val="2A025360"/>
    <w:rsid w:val="2A027E45"/>
    <w:rsid w:val="2A0A2888"/>
    <w:rsid w:val="2A0C2A72"/>
    <w:rsid w:val="2A0C4820"/>
    <w:rsid w:val="2A0D0CC4"/>
    <w:rsid w:val="2A1173FF"/>
    <w:rsid w:val="2A17569E"/>
    <w:rsid w:val="2A181D54"/>
    <w:rsid w:val="2A187669"/>
    <w:rsid w:val="2A21197B"/>
    <w:rsid w:val="2A2360AA"/>
    <w:rsid w:val="2A247DBB"/>
    <w:rsid w:val="2A3224D8"/>
    <w:rsid w:val="2A32274B"/>
    <w:rsid w:val="2A355B25"/>
    <w:rsid w:val="2A3F154A"/>
    <w:rsid w:val="2A3F58D2"/>
    <w:rsid w:val="2A412F18"/>
    <w:rsid w:val="2A426494"/>
    <w:rsid w:val="2A452503"/>
    <w:rsid w:val="2A466501"/>
    <w:rsid w:val="2A4D2E68"/>
    <w:rsid w:val="2A506E02"/>
    <w:rsid w:val="2A515973"/>
    <w:rsid w:val="2A544870"/>
    <w:rsid w:val="2A5F0DF4"/>
    <w:rsid w:val="2A680DF1"/>
    <w:rsid w:val="2A6E1037"/>
    <w:rsid w:val="2A750617"/>
    <w:rsid w:val="2A7D3A62"/>
    <w:rsid w:val="2A7E3970"/>
    <w:rsid w:val="2A810D6A"/>
    <w:rsid w:val="2A834AE2"/>
    <w:rsid w:val="2A870664"/>
    <w:rsid w:val="2A915D79"/>
    <w:rsid w:val="2A924C61"/>
    <w:rsid w:val="2A932698"/>
    <w:rsid w:val="2A97058D"/>
    <w:rsid w:val="2A9D438D"/>
    <w:rsid w:val="2A9E4611"/>
    <w:rsid w:val="2A9F38FB"/>
    <w:rsid w:val="2A9F6557"/>
    <w:rsid w:val="2AA42CAA"/>
    <w:rsid w:val="2AA70541"/>
    <w:rsid w:val="2AA915E9"/>
    <w:rsid w:val="2AAB1450"/>
    <w:rsid w:val="2AAB37E8"/>
    <w:rsid w:val="2AAB7338"/>
    <w:rsid w:val="2AAE79DD"/>
    <w:rsid w:val="2AB0164F"/>
    <w:rsid w:val="2AB27175"/>
    <w:rsid w:val="2ABA24CE"/>
    <w:rsid w:val="2AD06880"/>
    <w:rsid w:val="2AD92954"/>
    <w:rsid w:val="2ADC2444"/>
    <w:rsid w:val="2AE86C56"/>
    <w:rsid w:val="2B005BEA"/>
    <w:rsid w:val="2B03039C"/>
    <w:rsid w:val="2B035C23"/>
    <w:rsid w:val="2B0F0198"/>
    <w:rsid w:val="2B116592"/>
    <w:rsid w:val="2B16676D"/>
    <w:rsid w:val="2B186F94"/>
    <w:rsid w:val="2B1A4D1A"/>
    <w:rsid w:val="2B1B28D9"/>
    <w:rsid w:val="2B1E642A"/>
    <w:rsid w:val="2B20129D"/>
    <w:rsid w:val="2B257DBC"/>
    <w:rsid w:val="2B320BC0"/>
    <w:rsid w:val="2B3C1ADC"/>
    <w:rsid w:val="2B3D7387"/>
    <w:rsid w:val="2B3E7185"/>
    <w:rsid w:val="2B4F2C16"/>
    <w:rsid w:val="2B512E32"/>
    <w:rsid w:val="2B5244B4"/>
    <w:rsid w:val="2B5869C9"/>
    <w:rsid w:val="2B594282"/>
    <w:rsid w:val="2B632B65"/>
    <w:rsid w:val="2B64300E"/>
    <w:rsid w:val="2B6D0F5F"/>
    <w:rsid w:val="2B715282"/>
    <w:rsid w:val="2B724877"/>
    <w:rsid w:val="2B746B21"/>
    <w:rsid w:val="2B8801B3"/>
    <w:rsid w:val="2B920D55"/>
    <w:rsid w:val="2B923DD2"/>
    <w:rsid w:val="2B942D1F"/>
    <w:rsid w:val="2B960845"/>
    <w:rsid w:val="2B9A2341"/>
    <w:rsid w:val="2BA32F62"/>
    <w:rsid w:val="2BA50A88"/>
    <w:rsid w:val="2BA74404"/>
    <w:rsid w:val="2BA936A8"/>
    <w:rsid w:val="2BAA42F0"/>
    <w:rsid w:val="2BB34EE4"/>
    <w:rsid w:val="2BB46CFE"/>
    <w:rsid w:val="2BB86CB1"/>
    <w:rsid w:val="2BBB64FD"/>
    <w:rsid w:val="2BC144F7"/>
    <w:rsid w:val="2BC2788C"/>
    <w:rsid w:val="2BC41856"/>
    <w:rsid w:val="2BC43604"/>
    <w:rsid w:val="2BC71AAA"/>
    <w:rsid w:val="2BCC7096"/>
    <w:rsid w:val="2BD220D6"/>
    <w:rsid w:val="2BD355F5"/>
    <w:rsid w:val="2BD414DD"/>
    <w:rsid w:val="2BD4296D"/>
    <w:rsid w:val="2BD74818"/>
    <w:rsid w:val="2BDC76D9"/>
    <w:rsid w:val="2BE05F64"/>
    <w:rsid w:val="2BE11407"/>
    <w:rsid w:val="2BE23A8A"/>
    <w:rsid w:val="2BEB3615"/>
    <w:rsid w:val="2BEF0CB6"/>
    <w:rsid w:val="2BF10171"/>
    <w:rsid w:val="2BF523C4"/>
    <w:rsid w:val="2BFD08C4"/>
    <w:rsid w:val="2BFF01D4"/>
    <w:rsid w:val="2C167BD8"/>
    <w:rsid w:val="2C2220D9"/>
    <w:rsid w:val="2C315A5A"/>
    <w:rsid w:val="2C347F55"/>
    <w:rsid w:val="2C3818FC"/>
    <w:rsid w:val="2C3F06C9"/>
    <w:rsid w:val="2C3F2B42"/>
    <w:rsid w:val="2C406BF4"/>
    <w:rsid w:val="2C4B1C25"/>
    <w:rsid w:val="2C4B2DF0"/>
    <w:rsid w:val="2C551528"/>
    <w:rsid w:val="2C55425C"/>
    <w:rsid w:val="2C566690"/>
    <w:rsid w:val="2C5A3803"/>
    <w:rsid w:val="2C5D5807"/>
    <w:rsid w:val="2C6D3C9C"/>
    <w:rsid w:val="2C766A33"/>
    <w:rsid w:val="2C7A1F15"/>
    <w:rsid w:val="2C7A413A"/>
    <w:rsid w:val="2C8221EC"/>
    <w:rsid w:val="2C866B0B"/>
    <w:rsid w:val="2C882884"/>
    <w:rsid w:val="2C8D1C48"/>
    <w:rsid w:val="2C911FBC"/>
    <w:rsid w:val="2C952D0F"/>
    <w:rsid w:val="2C9A6113"/>
    <w:rsid w:val="2C9C3242"/>
    <w:rsid w:val="2CA06BAE"/>
    <w:rsid w:val="2CA2761E"/>
    <w:rsid w:val="2CB0615A"/>
    <w:rsid w:val="2CB35427"/>
    <w:rsid w:val="2CB45C2B"/>
    <w:rsid w:val="2CC358D7"/>
    <w:rsid w:val="2CCD473A"/>
    <w:rsid w:val="2CD11238"/>
    <w:rsid w:val="2CD2219E"/>
    <w:rsid w:val="2CD31625"/>
    <w:rsid w:val="2CD952E7"/>
    <w:rsid w:val="2CE94728"/>
    <w:rsid w:val="2CEF3AF8"/>
    <w:rsid w:val="2CF47F19"/>
    <w:rsid w:val="2CF55A3F"/>
    <w:rsid w:val="2CF74F46"/>
    <w:rsid w:val="2CF96EAE"/>
    <w:rsid w:val="2CFA0383"/>
    <w:rsid w:val="2D031F0A"/>
    <w:rsid w:val="2D084189"/>
    <w:rsid w:val="2D0A3299"/>
    <w:rsid w:val="2D0B0DBF"/>
    <w:rsid w:val="2D0B6C44"/>
    <w:rsid w:val="2D0C5682"/>
    <w:rsid w:val="2D0D4B37"/>
    <w:rsid w:val="2D146319"/>
    <w:rsid w:val="2D1668CF"/>
    <w:rsid w:val="2D197980"/>
    <w:rsid w:val="2D1C4D7A"/>
    <w:rsid w:val="2D241E80"/>
    <w:rsid w:val="2D26209C"/>
    <w:rsid w:val="2D27711B"/>
    <w:rsid w:val="2D2A587C"/>
    <w:rsid w:val="2D2F2CFF"/>
    <w:rsid w:val="2D355E3C"/>
    <w:rsid w:val="2D3F12B8"/>
    <w:rsid w:val="2D4553C3"/>
    <w:rsid w:val="2D480265"/>
    <w:rsid w:val="2D4D438B"/>
    <w:rsid w:val="2D60001B"/>
    <w:rsid w:val="2D636E43"/>
    <w:rsid w:val="2D675A40"/>
    <w:rsid w:val="2D683990"/>
    <w:rsid w:val="2D6937A6"/>
    <w:rsid w:val="2D6B0926"/>
    <w:rsid w:val="2D6B1EBC"/>
    <w:rsid w:val="2D6E12D0"/>
    <w:rsid w:val="2D6E4118"/>
    <w:rsid w:val="2D706302"/>
    <w:rsid w:val="2D742C4B"/>
    <w:rsid w:val="2D755EB1"/>
    <w:rsid w:val="2D79127C"/>
    <w:rsid w:val="2D7D1DF3"/>
    <w:rsid w:val="2D7E7E55"/>
    <w:rsid w:val="2D7F2A1C"/>
    <w:rsid w:val="2D805468"/>
    <w:rsid w:val="2D8355C6"/>
    <w:rsid w:val="2D842B55"/>
    <w:rsid w:val="2D8437AD"/>
    <w:rsid w:val="2D86579F"/>
    <w:rsid w:val="2D872B3B"/>
    <w:rsid w:val="2D88240F"/>
    <w:rsid w:val="2D8B7A0C"/>
    <w:rsid w:val="2D937732"/>
    <w:rsid w:val="2D9B32A8"/>
    <w:rsid w:val="2D9E56F5"/>
    <w:rsid w:val="2DA52FC1"/>
    <w:rsid w:val="2DAA4A7C"/>
    <w:rsid w:val="2DB30528"/>
    <w:rsid w:val="2DB96A6D"/>
    <w:rsid w:val="2DBB2F77"/>
    <w:rsid w:val="2DBD3EFB"/>
    <w:rsid w:val="2DBE19E0"/>
    <w:rsid w:val="2DC110B7"/>
    <w:rsid w:val="2DCA2C53"/>
    <w:rsid w:val="2DCB7B61"/>
    <w:rsid w:val="2DCC49F2"/>
    <w:rsid w:val="2DD029B5"/>
    <w:rsid w:val="2DD478E8"/>
    <w:rsid w:val="2DDC2D6D"/>
    <w:rsid w:val="2DEC68DA"/>
    <w:rsid w:val="2DF02AE0"/>
    <w:rsid w:val="2DFB789B"/>
    <w:rsid w:val="2DFC2367"/>
    <w:rsid w:val="2E0425E4"/>
    <w:rsid w:val="2E0B376C"/>
    <w:rsid w:val="2E123228"/>
    <w:rsid w:val="2E133665"/>
    <w:rsid w:val="2E195B5E"/>
    <w:rsid w:val="2E2465DC"/>
    <w:rsid w:val="2E2A0C95"/>
    <w:rsid w:val="2E345F77"/>
    <w:rsid w:val="2E3D144C"/>
    <w:rsid w:val="2E3F6426"/>
    <w:rsid w:val="2E4232BB"/>
    <w:rsid w:val="2E4323D2"/>
    <w:rsid w:val="2E4E18AB"/>
    <w:rsid w:val="2E4F0A34"/>
    <w:rsid w:val="2E507B3E"/>
    <w:rsid w:val="2E513226"/>
    <w:rsid w:val="2E59753B"/>
    <w:rsid w:val="2E5A0250"/>
    <w:rsid w:val="2E6432DE"/>
    <w:rsid w:val="2E667F96"/>
    <w:rsid w:val="2E6C2FEE"/>
    <w:rsid w:val="2E70537D"/>
    <w:rsid w:val="2E71161D"/>
    <w:rsid w:val="2E717347"/>
    <w:rsid w:val="2E772BB0"/>
    <w:rsid w:val="2E794F93"/>
    <w:rsid w:val="2E7D05C6"/>
    <w:rsid w:val="2E804392"/>
    <w:rsid w:val="2E8226AB"/>
    <w:rsid w:val="2E8B4C27"/>
    <w:rsid w:val="2E975000"/>
    <w:rsid w:val="2E9F2106"/>
    <w:rsid w:val="2EA414CB"/>
    <w:rsid w:val="2EA6182F"/>
    <w:rsid w:val="2EA80FBB"/>
    <w:rsid w:val="2EA8720D"/>
    <w:rsid w:val="2EA93C02"/>
    <w:rsid w:val="2EB072CC"/>
    <w:rsid w:val="2EB12F93"/>
    <w:rsid w:val="2EB909D8"/>
    <w:rsid w:val="2EBC267F"/>
    <w:rsid w:val="2EBD0591"/>
    <w:rsid w:val="2EBF00B3"/>
    <w:rsid w:val="2EC456C9"/>
    <w:rsid w:val="2ECF0032"/>
    <w:rsid w:val="2ED4702A"/>
    <w:rsid w:val="2ED7364E"/>
    <w:rsid w:val="2ED74AE9"/>
    <w:rsid w:val="2EDC1467"/>
    <w:rsid w:val="2EDC1656"/>
    <w:rsid w:val="2EDF0755"/>
    <w:rsid w:val="2EE26B1C"/>
    <w:rsid w:val="2EE43FBD"/>
    <w:rsid w:val="2EEB534C"/>
    <w:rsid w:val="2EF54A21"/>
    <w:rsid w:val="2EF73D2C"/>
    <w:rsid w:val="2EF83000"/>
    <w:rsid w:val="2EF97A69"/>
    <w:rsid w:val="2EFE1143"/>
    <w:rsid w:val="2EFF4953"/>
    <w:rsid w:val="2EFF7082"/>
    <w:rsid w:val="2EFF793F"/>
    <w:rsid w:val="2F01691D"/>
    <w:rsid w:val="2F032695"/>
    <w:rsid w:val="2F130889"/>
    <w:rsid w:val="2F1F0748"/>
    <w:rsid w:val="2F2368B5"/>
    <w:rsid w:val="2F255896"/>
    <w:rsid w:val="2F285C58"/>
    <w:rsid w:val="2F300FB0"/>
    <w:rsid w:val="2F303006"/>
    <w:rsid w:val="2F34284F"/>
    <w:rsid w:val="2F395085"/>
    <w:rsid w:val="2F3A210B"/>
    <w:rsid w:val="2F3F643D"/>
    <w:rsid w:val="2F40308E"/>
    <w:rsid w:val="2F432A92"/>
    <w:rsid w:val="2F4A02C4"/>
    <w:rsid w:val="2F522CD5"/>
    <w:rsid w:val="2F586008"/>
    <w:rsid w:val="2F6157A7"/>
    <w:rsid w:val="2F6724CF"/>
    <w:rsid w:val="2F697F69"/>
    <w:rsid w:val="2F6B39AD"/>
    <w:rsid w:val="2F6C50DB"/>
    <w:rsid w:val="2F6E213C"/>
    <w:rsid w:val="2F7013AD"/>
    <w:rsid w:val="2F7075FF"/>
    <w:rsid w:val="2F722BE0"/>
    <w:rsid w:val="2F786B8B"/>
    <w:rsid w:val="2F7B0FD4"/>
    <w:rsid w:val="2F7D6131"/>
    <w:rsid w:val="2F880BDC"/>
    <w:rsid w:val="2F8A5853"/>
    <w:rsid w:val="2F990904"/>
    <w:rsid w:val="2F9A00CC"/>
    <w:rsid w:val="2F9B467C"/>
    <w:rsid w:val="2F9C6646"/>
    <w:rsid w:val="2F9F40F0"/>
    <w:rsid w:val="2FA06136"/>
    <w:rsid w:val="2FA10D67"/>
    <w:rsid w:val="2FA31782"/>
    <w:rsid w:val="2FAA48BF"/>
    <w:rsid w:val="2FAC6889"/>
    <w:rsid w:val="2FBC3E88"/>
    <w:rsid w:val="2FC87C4C"/>
    <w:rsid w:val="2FCB590C"/>
    <w:rsid w:val="2FCC0CD9"/>
    <w:rsid w:val="2FCD0BDE"/>
    <w:rsid w:val="2FCE2CA3"/>
    <w:rsid w:val="2FD065E6"/>
    <w:rsid w:val="2FD63906"/>
    <w:rsid w:val="2FD96870"/>
    <w:rsid w:val="2FDE0A0C"/>
    <w:rsid w:val="2FE04785"/>
    <w:rsid w:val="2FE06533"/>
    <w:rsid w:val="2FE3113A"/>
    <w:rsid w:val="2FE95B0A"/>
    <w:rsid w:val="2FF124EE"/>
    <w:rsid w:val="2FF47991"/>
    <w:rsid w:val="2FF63B4F"/>
    <w:rsid w:val="2FFC6C13"/>
    <w:rsid w:val="2FFE2E5D"/>
    <w:rsid w:val="30041638"/>
    <w:rsid w:val="300512D8"/>
    <w:rsid w:val="300A35B0"/>
    <w:rsid w:val="302063B0"/>
    <w:rsid w:val="302D7FD6"/>
    <w:rsid w:val="302E54F0"/>
    <w:rsid w:val="3036619F"/>
    <w:rsid w:val="3039582C"/>
    <w:rsid w:val="303B7C0D"/>
    <w:rsid w:val="303D3985"/>
    <w:rsid w:val="303E14AB"/>
    <w:rsid w:val="303F76FD"/>
    <w:rsid w:val="30413030"/>
    <w:rsid w:val="304271ED"/>
    <w:rsid w:val="30580BC9"/>
    <w:rsid w:val="3059427B"/>
    <w:rsid w:val="305C2FC6"/>
    <w:rsid w:val="305D500C"/>
    <w:rsid w:val="305F2FFB"/>
    <w:rsid w:val="306058C5"/>
    <w:rsid w:val="30631515"/>
    <w:rsid w:val="306453B6"/>
    <w:rsid w:val="30695770"/>
    <w:rsid w:val="307355F9"/>
    <w:rsid w:val="30753E90"/>
    <w:rsid w:val="30766E97"/>
    <w:rsid w:val="307C242D"/>
    <w:rsid w:val="307F3F9D"/>
    <w:rsid w:val="30801A0C"/>
    <w:rsid w:val="30890978"/>
    <w:rsid w:val="308B46F0"/>
    <w:rsid w:val="308C66BA"/>
    <w:rsid w:val="309644F8"/>
    <w:rsid w:val="309D61D2"/>
    <w:rsid w:val="30A026E0"/>
    <w:rsid w:val="30A25EDE"/>
    <w:rsid w:val="30A9726C"/>
    <w:rsid w:val="30B22B0F"/>
    <w:rsid w:val="30B34DB1"/>
    <w:rsid w:val="30B718E5"/>
    <w:rsid w:val="30C012E1"/>
    <w:rsid w:val="30C20DE2"/>
    <w:rsid w:val="30C37755"/>
    <w:rsid w:val="30CB2D3F"/>
    <w:rsid w:val="30D02C0F"/>
    <w:rsid w:val="30DB0A51"/>
    <w:rsid w:val="30DF4A3C"/>
    <w:rsid w:val="30E17496"/>
    <w:rsid w:val="30E402A4"/>
    <w:rsid w:val="30E43E01"/>
    <w:rsid w:val="30E91417"/>
    <w:rsid w:val="30ED7159"/>
    <w:rsid w:val="30ED79BA"/>
    <w:rsid w:val="30F10FED"/>
    <w:rsid w:val="30F30104"/>
    <w:rsid w:val="30FF50DE"/>
    <w:rsid w:val="310049FD"/>
    <w:rsid w:val="31091AB9"/>
    <w:rsid w:val="31101099"/>
    <w:rsid w:val="31114307"/>
    <w:rsid w:val="311470F2"/>
    <w:rsid w:val="311E2ED7"/>
    <w:rsid w:val="31215055"/>
    <w:rsid w:val="31280191"/>
    <w:rsid w:val="312863E3"/>
    <w:rsid w:val="31294B7E"/>
    <w:rsid w:val="312B176A"/>
    <w:rsid w:val="312D57A8"/>
    <w:rsid w:val="31375A5B"/>
    <w:rsid w:val="313E07C1"/>
    <w:rsid w:val="31402DA4"/>
    <w:rsid w:val="31453C03"/>
    <w:rsid w:val="31482D42"/>
    <w:rsid w:val="314A45AB"/>
    <w:rsid w:val="314B20D2"/>
    <w:rsid w:val="315148F7"/>
    <w:rsid w:val="31532E23"/>
    <w:rsid w:val="315619EE"/>
    <w:rsid w:val="31574153"/>
    <w:rsid w:val="315C449C"/>
    <w:rsid w:val="31644D19"/>
    <w:rsid w:val="316466C6"/>
    <w:rsid w:val="3179279B"/>
    <w:rsid w:val="317D360B"/>
    <w:rsid w:val="318E3088"/>
    <w:rsid w:val="31901E9C"/>
    <w:rsid w:val="31940792"/>
    <w:rsid w:val="319B6F8D"/>
    <w:rsid w:val="31A33CBC"/>
    <w:rsid w:val="31A61DD6"/>
    <w:rsid w:val="31AA6DF8"/>
    <w:rsid w:val="31AB2B70"/>
    <w:rsid w:val="31AE1873"/>
    <w:rsid w:val="31B82709"/>
    <w:rsid w:val="31BB0BC0"/>
    <w:rsid w:val="31BE5FE3"/>
    <w:rsid w:val="31C02740"/>
    <w:rsid w:val="31C0661C"/>
    <w:rsid w:val="31C14142"/>
    <w:rsid w:val="31C83EB2"/>
    <w:rsid w:val="31C872F8"/>
    <w:rsid w:val="31CF685F"/>
    <w:rsid w:val="31D05482"/>
    <w:rsid w:val="31D1502B"/>
    <w:rsid w:val="31D30B9E"/>
    <w:rsid w:val="31D8756B"/>
    <w:rsid w:val="31D976DD"/>
    <w:rsid w:val="31DA3958"/>
    <w:rsid w:val="31DF0A58"/>
    <w:rsid w:val="31E42C33"/>
    <w:rsid w:val="31EE68A5"/>
    <w:rsid w:val="31EF6F01"/>
    <w:rsid w:val="31F664E1"/>
    <w:rsid w:val="31F77B64"/>
    <w:rsid w:val="31F80B82"/>
    <w:rsid w:val="32035321"/>
    <w:rsid w:val="32087FC3"/>
    <w:rsid w:val="320B289A"/>
    <w:rsid w:val="320B2910"/>
    <w:rsid w:val="320F62E8"/>
    <w:rsid w:val="32140715"/>
    <w:rsid w:val="32144BB9"/>
    <w:rsid w:val="321921D0"/>
    <w:rsid w:val="321B63FB"/>
    <w:rsid w:val="321F3EBE"/>
    <w:rsid w:val="32204A65"/>
    <w:rsid w:val="32220EC5"/>
    <w:rsid w:val="32244DFC"/>
    <w:rsid w:val="322C509C"/>
    <w:rsid w:val="32316F1C"/>
    <w:rsid w:val="323A4CC3"/>
    <w:rsid w:val="323C1BAF"/>
    <w:rsid w:val="323D4FEB"/>
    <w:rsid w:val="323E39E4"/>
    <w:rsid w:val="32400B34"/>
    <w:rsid w:val="3241643E"/>
    <w:rsid w:val="324A2389"/>
    <w:rsid w:val="324D2459"/>
    <w:rsid w:val="324F3ED3"/>
    <w:rsid w:val="32512471"/>
    <w:rsid w:val="325154C6"/>
    <w:rsid w:val="32535D24"/>
    <w:rsid w:val="3265795A"/>
    <w:rsid w:val="32664ABA"/>
    <w:rsid w:val="326D0505"/>
    <w:rsid w:val="3273564B"/>
    <w:rsid w:val="327F0285"/>
    <w:rsid w:val="327F6CA0"/>
    <w:rsid w:val="32857CE4"/>
    <w:rsid w:val="3286409A"/>
    <w:rsid w:val="32897AE4"/>
    <w:rsid w:val="328E04C8"/>
    <w:rsid w:val="329055FB"/>
    <w:rsid w:val="32905708"/>
    <w:rsid w:val="32917FB8"/>
    <w:rsid w:val="32956EC4"/>
    <w:rsid w:val="3296737C"/>
    <w:rsid w:val="329A50BF"/>
    <w:rsid w:val="329E6876"/>
    <w:rsid w:val="32A35AD3"/>
    <w:rsid w:val="32A67A2B"/>
    <w:rsid w:val="32AB107A"/>
    <w:rsid w:val="32B74679"/>
    <w:rsid w:val="32BC3287"/>
    <w:rsid w:val="32C86FE3"/>
    <w:rsid w:val="32CB62C2"/>
    <w:rsid w:val="32CD0439"/>
    <w:rsid w:val="32CF7DD0"/>
    <w:rsid w:val="32D3412D"/>
    <w:rsid w:val="32D75F52"/>
    <w:rsid w:val="32DD31FD"/>
    <w:rsid w:val="32E12CEE"/>
    <w:rsid w:val="32E807C0"/>
    <w:rsid w:val="32EE0F67"/>
    <w:rsid w:val="32F347CF"/>
    <w:rsid w:val="32F742BF"/>
    <w:rsid w:val="32FD1952"/>
    <w:rsid w:val="32FF1F75"/>
    <w:rsid w:val="32FF3876"/>
    <w:rsid w:val="33016F58"/>
    <w:rsid w:val="3309758F"/>
    <w:rsid w:val="330B3EFF"/>
    <w:rsid w:val="330C0FF8"/>
    <w:rsid w:val="330C350E"/>
    <w:rsid w:val="330C6C9B"/>
    <w:rsid w:val="3310161C"/>
    <w:rsid w:val="331A77C2"/>
    <w:rsid w:val="331D1E52"/>
    <w:rsid w:val="331D7A9E"/>
    <w:rsid w:val="33284891"/>
    <w:rsid w:val="332C6426"/>
    <w:rsid w:val="3330157F"/>
    <w:rsid w:val="333015F2"/>
    <w:rsid w:val="33333A89"/>
    <w:rsid w:val="333742B3"/>
    <w:rsid w:val="33380434"/>
    <w:rsid w:val="333E6D47"/>
    <w:rsid w:val="33414383"/>
    <w:rsid w:val="33423532"/>
    <w:rsid w:val="33435756"/>
    <w:rsid w:val="334B6320"/>
    <w:rsid w:val="334E7C57"/>
    <w:rsid w:val="33525999"/>
    <w:rsid w:val="33550FE6"/>
    <w:rsid w:val="33572FB0"/>
    <w:rsid w:val="3361798A"/>
    <w:rsid w:val="336442B8"/>
    <w:rsid w:val="336D0FFA"/>
    <w:rsid w:val="337771AE"/>
    <w:rsid w:val="33784CD4"/>
    <w:rsid w:val="33865058"/>
    <w:rsid w:val="338B4A07"/>
    <w:rsid w:val="338D4C23"/>
    <w:rsid w:val="338E62A6"/>
    <w:rsid w:val="33993129"/>
    <w:rsid w:val="33A0249C"/>
    <w:rsid w:val="33AF4B9A"/>
    <w:rsid w:val="33B51A84"/>
    <w:rsid w:val="33B57CD6"/>
    <w:rsid w:val="33C43F6C"/>
    <w:rsid w:val="33C7011B"/>
    <w:rsid w:val="33C76CDC"/>
    <w:rsid w:val="33CB74FA"/>
    <w:rsid w:val="33D16FF0"/>
    <w:rsid w:val="33D26ADA"/>
    <w:rsid w:val="33D6196F"/>
    <w:rsid w:val="33D934D4"/>
    <w:rsid w:val="33DC34B5"/>
    <w:rsid w:val="33DE0FDB"/>
    <w:rsid w:val="33DE56E7"/>
    <w:rsid w:val="33E660E2"/>
    <w:rsid w:val="33E77129"/>
    <w:rsid w:val="33FE2F6A"/>
    <w:rsid w:val="34017DC6"/>
    <w:rsid w:val="340E07E5"/>
    <w:rsid w:val="34120C85"/>
    <w:rsid w:val="34235BF7"/>
    <w:rsid w:val="342F02AC"/>
    <w:rsid w:val="342F5CDB"/>
    <w:rsid w:val="343261D9"/>
    <w:rsid w:val="34347D82"/>
    <w:rsid w:val="34352622"/>
    <w:rsid w:val="3437693D"/>
    <w:rsid w:val="34382F9E"/>
    <w:rsid w:val="34480B4A"/>
    <w:rsid w:val="344F012B"/>
    <w:rsid w:val="344F04C2"/>
    <w:rsid w:val="345179FF"/>
    <w:rsid w:val="34525525"/>
    <w:rsid w:val="34640C62"/>
    <w:rsid w:val="34645984"/>
    <w:rsid w:val="346911EC"/>
    <w:rsid w:val="346A0AC1"/>
    <w:rsid w:val="346C1981"/>
    <w:rsid w:val="347E456C"/>
    <w:rsid w:val="34854D79"/>
    <w:rsid w:val="348B1D21"/>
    <w:rsid w:val="34963664"/>
    <w:rsid w:val="349744F2"/>
    <w:rsid w:val="349A13A6"/>
    <w:rsid w:val="349D4D61"/>
    <w:rsid w:val="34A165BD"/>
    <w:rsid w:val="34A8146D"/>
    <w:rsid w:val="34A841CD"/>
    <w:rsid w:val="34A915E9"/>
    <w:rsid w:val="34A9783B"/>
    <w:rsid w:val="34AE3693"/>
    <w:rsid w:val="34B02F5C"/>
    <w:rsid w:val="34B359E3"/>
    <w:rsid w:val="34B73989"/>
    <w:rsid w:val="34B8182C"/>
    <w:rsid w:val="34BC2275"/>
    <w:rsid w:val="34C06933"/>
    <w:rsid w:val="34C127B3"/>
    <w:rsid w:val="34C47A32"/>
    <w:rsid w:val="34C67823"/>
    <w:rsid w:val="34CD158B"/>
    <w:rsid w:val="34D128EE"/>
    <w:rsid w:val="34DA1D12"/>
    <w:rsid w:val="34E152F0"/>
    <w:rsid w:val="34E50618"/>
    <w:rsid w:val="34E52D2A"/>
    <w:rsid w:val="34E83EDF"/>
    <w:rsid w:val="34EC50F6"/>
    <w:rsid w:val="34ED7EF4"/>
    <w:rsid w:val="34EE7003"/>
    <w:rsid w:val="34F17BD2"/>
    <w:rsid w:val="34F31C6D"/>
    <w:rsid w:val="34F32864"/>
    <w:rsid w:val="34F76C00"/>
    <w:rsid w:val="34F9181E"/>
    <w:rsid w:val="34FD1F97"/>
    <w:rsid w:val="34FD7B87"/>
    <w:rsid w:val="34FF745B"/>
    <w:rsid w:val="35006496"/>
    <w:rsid w:val="35011425"/>
    <w:rsid w:val="35061BEB"/>
    <w:rsid w:val="350835B7"/>
    <w:rsid w:val="350B5E00"/>
    <w:rsid w:val="35162618"/>
    <w:rsid w:val="351A26AD"/>
    <w:rsid w:val="351A5B50"/>
    <w:rsid w:val="351A6687"/>
    <w:rsid w:val="351C625F"/>
    <w:rsid w:val="35280B04"/>
    <w:rsid w:val="35284ED7"/>
    <w:rsid w:val="352B64A2"/>
    <w:rsid w:val="35302879"/>
    <w:rsid w:val="353273FC"/>
    <w:rsid w:val="35336A8F"/>
    <w:rsid w:val="35352E7D"/>
    <w:rsid w:val="3536285A"/>
    <w:rsid w:val="35414E83"/>
    <w:rsid w:val="3547587F"/>
    <w:rsid w:val="35497529"/>
    <w:rsid w:val="354B26A0"/>
    <w:rsid w:val="3550415A"/>
    <w:rsid w:val="3555351F"/>
    <w:rsid w:val="355C48AD"/>
    <w:rsid w:val="355D3F38"/>
    <w:rsid w:val="355F439E"/>
    <w:rsid w:val="3562499E"/>
    <w:rsid w:val="35660394"/>
    <w:rsid w:val="356653D8"/>
    <w:rsid w:val="356B2D42"/>
    <w:rsid w:val="356C7BB0"/>
    <w:rsid w:val="357716E7"/>
    <w:rsid w:val="35775243"/>
    <w:rsid w:val="35777939"/>
    <w:rsid w:val="35797DA0"/>
    <w:rsid w:val="357A2F85"/>
    <w:rsid w:val="357A3318"/>
    <w:rsid w:val="357E0CC8"/>
    <w:rsid w:val="357F234A"/>
    <w:rsid w:val="3583008C"/>
    <w:rsid w:val="358362DE"/>
    <w:rsid w:val="35841462"/>
    <w:rsid w:val="358418FF"/>
    <w:rsid w:val="3586192A"/>
    <w:rsid w:val="358B5193"/>
    <w:rsid w:val="358C5FA8"/>
    <w:rsid w:val="359C73A0"/>
    <w:rsid w:val="359E4828"/>
    <w:rsid w:val="35A91D73"/>
    <w:rsid w:val="35AD5109"/>
    <w:rsid w:val="35B263A1"/>
    <w:rsid w:val="35B46497"/>
    <w:rsid w:val="35B6666C"/>
    <w:rsid w:val="35BC359E"/>
    <w:rsid w:val="35BE79BB"/>
    <w:rsid w:val="35C10BB4"/>
    <w:rsid w:val="35C15DF1"/>
    <w:rsid w:val="35C80195"/>
    <w:rsid w:val="35C975B9"/>
    <w:rsid w:val="35CA46A7"/>
    <w:rsid w:val="35CC0677"/>
    <w:rsid w:val="35CD1307"/>
    <w:rsid w:val="35CD57AB"/>
    <w:rsid w:val="35CE6E2D"/>
    <w:rsid w:val="35D46B3A"/>
    <w:rsid w:val="35D54660"/>
    <w:rsid w:val="35D5682F"/>
    <w:rsid w:val="35DA584C"/>
    <w:rsid w:val="35DC279E"/>
    <w:rsid w:val="35DE3514"/>
    <w:rsid w:val="35EA13B3"/>
    <w:rsid w:val="35EA1EB9"/>
    <w:rsid w:val="35ED7BFB"/>
    <w:rsid w:val="35EF5721"/>
    <w:rsid w:val="35F25212"/>
    <w:rsid w:val="35F57E0B"/>
    <w:rsid w:val="35F81A92"/>
    <w:rsid w:val="35FC1BEC"/>
    <w:rsid w:val="360311CD"/>
    <w:rsid w:val="36074A7F"/>
    <w:rsid w:val="36074B6F"/>
    <w:rsid w:val="36121410"/>
    <w:rsid w:val="36131B0B"/>
    <w:rsid w:val="3614411B"/>
    <w:rsid w:val="36154A5C"/>
    <w:rsid w:val="361A4A58"/>
    <w:rsid w:val="36280C33"/>
    <w:rsid w:val="362A5FE2"/>
    <w:rsid w:val="36356EAC"/>
    <w:rsid w:val="363650FE"/>
    <w:rsid w:val="363C023B"/>
    <w:rsid w:val="363D4742"/>
    <w:rsid w:val="36405F1E"/>
    <w:rsid w:val="36462E68"/>
    <w:rsid w:val="3647517A"/>
    <w:rsid w:val="36484E32"/>
    <w:rsid w:val="364A4237"/>
    <w:rsid w:val="364A6DFC"/>
    <w:rsid w:val="36520DD3"/>
    <w:rsid w:val="36523A27"/>
    <w:rsid w:val="36577C54"/>
    <w:rsid w:val="365B2DB7"/>
    <w:rsid w:val="366F0610"/>
    <w:rsid w:val="367529DA"/>
    <w:rsid w:val="367914A0"/>
    <w:rsid w:val="36794FEB"/>
    <w:rsid w:val="367C137F"/>
    <w:rsid w:val="368C4D1E"/>
    <w:rsid w:val="368D02E5"/>
    <w:rsid w:val="368E0642"/>
    <w:rsid w:val="36910587"/>
    <w:rsid w:val="36923549"/>
    <w:rsid w:val="36962041"/>
    <w:rsid w:val="36963DEF"/>
    <w:rsid w:val="36B57D03"/>
    <w:rsid w:val="36B75FBF"/>
    <w:rsid w:val="36BA433B"/>
    <w:rsid w:val="36BD0C45"/>
    <w:rsid w:val="36C22631"/>
    <w:rsid w:val="36C3068E"/>
    <w:rsid w:val="36CD0C7C"/>
    <w:rsid w:val="36D13079"/>
    <w:rsid w:val="36D26D1E"/>
    <w:rsid w:val="36D668E1"/>
    <w:rsid w:val="36E27034"/>
    <w:rsid w:val="36E83F1F"/>
    <w:rsid w:val="36F4364C"/>
    <w:rsid w:val="36F9749B"/>
    <w:rsid w:val="36FA4E0F"/>
    <w:rsid w:val="36FF7BE6"/>
    <w:rsid w:val="37031712"/>
    <w:rsid w:val="37040D59"/>
    <w:rsid w:val="370945C1"/>
    <w:rsid w:val="370D0427"/>
    <w:rsid w:val="370F16D6"/>
    <w:rsid w:val="37130057"/>
    <w:rsid w:val="3713451D"/>
    <w:rsid w:val="37162EF3"/>
    <w:rsid w:val="371B2546"/>
    <w:rsid w:val="371C7816"/>
    <w:rsid w:val="371F7D04"/>
    <w:rsid w:val="37210568"/>
    <w:rsid w:val="37242211"/>
    <w:rsid w:val="372431A9"/>
    <w:rsid w:val="37265173"/>
    <w:rsid w:val="372D7FF2"/>
    <w:rsid w:val="373D070E"/>
    <w:rsid w:val="373D3165"/>
    <w:rsid w:val="374750E9"/>
    <w:rsid w:val="374B2E2B"/>
    <w:rsid w:val="374D7016"/>
    <w:rsid w:val="375515B4"/>
    <w:rsid w:val="37596BE7"/>
    <w:rsid w:val="375B2943"/>
    <w:rsid w:val="37611701"/>
    <w:rsid w:val="376173AC"/>
    <w:rsid w:val="37620175"/>
    <w:rsid w:val="37634349"/>
    <w:rsid w:val="376D0D73"/>
    <w:rsid w:val="3774188A"/>
    <w:rsid w:val="37814BF8"/>
    <w:rsid w:val="378241E9"/>
    <w:rsid w:val="37863E63"/>
    <w:rsid w:val="378A6E0D"/>
    <w:rsid w:val="37910ACC"/>
    <w:rsid w:val="379272E6"/>
    <w:rsid w:val="37950385"/>
    <w:rsid w:val="37971BCD"/>
    <w:rsid w:val="37991DE9"/>
    <w:rsid w:val="379C0B45"/>
    <w:rsid w:val="37A02291"/>
    <w:rsid w:val="37A66995"/>
    <w:rsid w:val="37A8202C"/>
    <w:rsid w:val="37A94BA2"/>
    <w:rsid w:val="37AD1E60"/>
    <w:rsid w:val="37B6264F"/>
    <w:rsid w:val="37BB326A"/>
    <w:rsid w:val="37C4498C"/>
    <w:rsid w:val="37C7616F"/>
    <w:rsid w:val="37C869EA"/>
    <w:rsid w:val="37D13BC6"/>
    <w:rsid w:val="37D20015"/>
    <w:rsid w:val="37D344AD"/>
    <w:rsid w:val="37D70BC3"/>
    <w:rsid w:val="37D72911"/>
    <w:rsid w:val="37D83F93"/>
    <w:rsid w:val="37D96F9C"/>
    <w:rsid w:val="37DA5909"/>
    <w:rsid w:val="37DD32E2"/>
    <w:rsid w:val="37E00298"/>
    <w:rsid w:val="37E1109A"/>
    <w:rsid w:val="37E1553E"/>
    <w:rsid w:val="37E2174F"/>
    <w:rsid w:val="37E56DDC"/>
    <w:rsid w:val="37E80261"/>
    <w:rsid w:val="37EB3CC7"/>
    <w:rsid w:val="37ED7F1C"/>
    <w:rsid w:val="37EE37B7"/>
    <w:rsid w:val="37F20084"/>
    <w:rsid w:val="37F33DCA"/>
    <w:rsid w:val="38005022"/>
    <w:rsid w:val="38013777"/>
    <w:rsid w:val="38022469"/>
    <w:rsid w:val="380234E6"/>
    <w:rsid w:val="380413BF"/>
    <w:rsid w:val="38087231"/>
    <w:rsid w:val="380D0444"/>
    <w:rsid w:val="38187C25"/>
    <w:rsid w:val="382362EA"/>
    <w:rsid w:val="38273AE0"/>
    <w:rsid w:val="3828047D"/>
    <w:rsid w:val="382B2F5D"/>
    <w:rsid w:val="382D3204"/>
    <w:rsid w:val="382F26B3"/>
    <w:rsid w:val="383A5E3D"/>
    <w:rsid w:val="383E473E"/>
    <w:rsid w:val="38415FDC"/>
    <w:rsid w:val="38417D8A"/>
    <w:rsid w:val="38430930"/>
    <w:rsid w:val="38507965"/>
    <w:rsid w:val="3851621F"/>
    <w:rsid w:val="38561A88"/>
    <w:rsid w:val="38575800"/>
    <w:rsid w:val="386121DB"/>
    <w:rsid w:val="3863358F"/>
    <w:rsid w:val="3864073E"/>
    <w:rsid w:val="386B727B"/>
    <w:rsid w:val="386D0B7F"/>
    <w:rsid w:val="387328C9"/>
    <w:rsid w:val="387719FE"/>
    <w:rsid w:val="387800A4"/>
    <w:rsid w:val="38795776"/>
    <w:rsid w:val="387D27B9"/>
    <w:rsid w:val="38822931"/>
    <w:rsid w:val="388B64BB"/>
    <w:rsid w:val="388D2FD0"/>
    <w:rsid w:val="388F0AF6"/>
    <w:rsid w:val="389142C7"/>
    <w:rsid w:val="389205E6"/>
    <w:rsid w:val="38966296"/>
    <w:rsid w:val="389A1363"/>
    <w:rsid w:val="389B1F7E"/>
    <w:rsid w:val="389E09C9"/>
    <w:rsid w:val="38AC16A8"/>
    <w:rsid w:val="38B16CBE"/>
    <w:rsid w:val="38B302F9"/>
    <w:rsid w:val="38B36EDA"/>
    <w:rsid w:val="38B77CE5"/>
    <w:rsid w:val="38B95B73"/>
    <w:rsid w:val="38BC0459"/>
    <w:rsid w:val="38BD198E"/>
    <w:rsid w:val="38BE091C"/>
    <w:rsid w:val="38BE13DB"/>
    <w:rsid w:val="38C24E46"/>
    <w:rsid w:val="38C8225A"/>
    <w:rsid w:val="38C92167"/>
    <w:rsid w:val="38C9319D"/>
    <w:rsid w:val="38CA1425"/>
    <w:rsid w:val="38CA4224"/>
    <w:rsid w:val="38CF14E1"/>
    <w:rsid w:val="38CF183A"/>
    <w:rsid w:val="38D37892"/>
    <w:rsid w:val="38D91725"/>
    <w:rsid w:val="38E51487"/>
    <w:rsid w:val="38E65DD9"/>
    <w:rsid w:val="38EC7CF6"/>
    <w:rsid w:val="38F12CD3"/>
    <w:rsid w:val="38F142C0"/>
    <w:rsid w:val="38F17A02"/>
    <w:rsid w:val="38F244C5"/>
    <w:rsid w:val="38F31085"/>
    <w:rsid w:val="38F372D7"/>
    <w:rsid w:val="38F375F3"/>
    <w:rsid w:val="38F80D91"/>
    <w:rsid w:val="38F94775"/>
    <w:rsid w:val="38FC0F83"/>
    <w:rsid w:val="38FD1F03"/>
    <w:rsid w:val="39101DFC"/>
    <w:rsid w:val="39111E53"/>
    <w:rsid w:val="39162FC5"/>
    <w:rsid w:val="391B682D"/>
    <w:rsid w:val="391F7852"/>
    <w:rsid w:val="39203E44"/>
    <w:rsid w:val="392971ED"/>
    <w:rsid w:val="392A2FD2"/>
    <w:rsid w:val="392C29C6"/>
    <w:rsid w:val="392E47B3"/>
    <w:rsid w:val="3930052B"/>
    <w:rsid w:val="39325651"/>
    <w:rsid w:val="39333B77"/>
    <w:rsid w:val="39375D39"/>
    <w:rsid w:val="39395293"/>
    <w:rsid w:val="39396CB4"/>
    <w:rsid w:val="393D0552"/>
    <w:rsid w:val="39405540"/>
    <w:rsid w:val="39407539"/>
    <w:rsid w:val="39413A79"/>
    <w:rsid w:val="394C2E8B"/>
    <w:rsid w:val="39504729"/>
    <w:rsid w:val="3954364C"/>
    <w:rsid w:val="3956042C"/>
    <w:rsid w:val="3962620A"/>
    <w:rsid w:val="39676327"/>
    <w:rsid w:val="39680F50"/>
    <w:rsid w:val="396E3AC2"/>
    <w:rsid w:val="396E4BAF"/>
    <w:rsid w:val="397612EC"/>
    <w:rsid w:val="397A79F8"/>
    <w:rsid w:val="397C551E"/>
    <w:rsid w:val="3986495F"/>
    <w:rsid w:val="398E34A3"/>
    <w:rsid w:val="39916D64"/>
    <w:rsid w:val="399D7242"/>
    <w:rsid w:val="39A405D1"/>
    <w:rsid w:val="39AD1BA6"/>
    <w:rsid w:val="39B36C56"/>
    <w:rsid w:val="39B3709D"/>
    <w:rsid w:val="39B60304"/>
    <w:rsid w:val="39BA6046"/>
    <w:rsid w:val="39BB7972"/>
    <w:rsid w:val="39CB2002"/>
    <w:rsid w:val="39CB3DB0"/>
    <w:rsid w:val="39D07618"/>
    <w:rsid w:val="39D61F9D"/>
    <w:rsid w:val="39D776C2"/>
    <w:rsid w:val="39D80764"/>
    <w:rsid w:val="39DB7B85"/>
    <w:rsid w:val="39DF133D"/>
    <w:rsid w:val="39DF3CFF"/>
    <w:rsid w:val="39E35864"/>
    <w:rsid w:val="39E85508"/>
    <w:rsid w:val="39EC2F80"/>
    <w:rsid w:val="39EE64DB"/>
    <w:rsid w:val="39F72DF7"/>
    <w:rsid w:val="39FE4185"/>
    <w:rsid w:val="39FF1CAB"/>
    <w:rsid w:val="39FF7EFD"/>
    <w:rsid w:val="3A096AFB"/>
    <w:rsid w:val="3A0A7CB4"/>
    <w:rsid w:val="3A123FB6"/>
    <w:rsid w:val="3A1A0893"/>
    <w:rsid w:val="3A2160C5"/>
    <w:rsid w:val="3A267DA8"/>
    <w:rsid w:val="3A2B0CF2"/>
    <w:rsid w:val="3A2F2590"/>
    <w:rsid w:val="3A2F518E"/>
    <w:rsid w:val="3A3E2F27"/>
    <w:rsid w:val="3A43603C"/>
    <w:rsid w:val="3A464844"/>
    <w:rsid w:val="3A467FF1"/>
    <w:rsid w:val="3A4F1AB9"/>
    <w:rsid w:val="3A507036"/>
    <w:rsid w:val="3A524858"/>
    <w:rsid w:val="3A533F40"/>
    <w:rsid w:val="3A6F6E31"/>
    <w:rsid w:val="3A7C32FC"/>
    <w:rsid w:val="3A80292E"/>
    <w:rsid w:val="3A872856"/>
    <w:rsid w:val="3A8B353F"/>
    <w:rsid w:val="3A8D72B7"/>
    <w:rsid w:val="3A9458DE"/>
    <w:rsid w:val="3A96260F"/>
    <w:rsid w:val="3A975DF9"/>
    <w:rsid w:val="3A9E3272"/>
    <w:rsid w:val="3AA0503A"/>
    <w:rsid w:val="3AA20FB4"/>
    <w:rsid w:val="3AA24006"/>
    <w:rsid w:val="3AA33AB5"/>
    <w:rsid w:val="3AA83D03"/>
    <w:rsid w:val="3AB577B2"/>
    <w:rsid w:val="3AB900AC"/>
    <w:rsid w:val="3ABB2076"/>
    <w:rsid w:val="3ABB3E24"/>
    <w:rsid w:val="3AC151B3"/>
    <w:rsid w:val="3AC3717D"/>
    <w:rsid w:val="3AC54CA3"/>
    <w:rsid w:val="3AD60C5E"/>
    <w:rsid w:val="3ADD6E62"/>
    <w:rsid w:val="3AE22668"/>
    <w:rsid w:val="3AE5322D"/>
    <w:rsid w:val="3AE570F3"/>
    <w:rsid w:val="3AE96BE3"/>
    <w:rsid w:val="3AEA4709"/>
    <w:rsid w:val="3AEB7108"/>
    <w:rsid w:val="3AF10756"/>
    <w:rsid w:val="3AF47336"/>
    <w:rsid w:val="3AF84CC0"/>
    <w:rsid w:val="3AFE1F63"/>
    <w:rsid w:val="3B027CA5"/>
    <w:rsid w:val="3B037579"/>
    <w:rsid w:val="3B0449E1"/>
    <w:rsid w:val="3B051B7D"/>
    <w:rsid w:val="3B091033"/>
    <w:rsid w:val="3B1663F2"/>
    <w:rsid w:val="3B166E68"/>
    <w:rsid w:val="3B190B4B"/>
    <w:rsid w:val="3B220A43"/>
    <w:rsid w:val="3B27171D"/>
    <w:rsid w:val="3B273268"/>
    <w:rsid w:val="3B293484"/>
    <w:rsid w:val="3B2A2D58"/>
    <w:rsid w:val="3B2C087E"/>
    <w:rsid w:val="3B362B15"/>
    <w:rsid w:val="3B3763D1"/>
    <w:rsid w:val="3B3812C8"/>
    <w:rsid w:val="3B3A078A"/>
    <w:rsid w:val="3B3F32BB"/>
    <w:rsid w:val="3B3F4A55"/>
    <w:rsid w:val="3B4200A1"/>
    <w:rsid w:val="3B4756B8"/>
    <w:rsid w:val="3B4958D4"/>
    <w:rsid w:val="3B4F19D5"/>
    <w:rsid w:val="3B57144D"/>
    <w:rsid w:val="3B573045"/>
    <w:rsid w:val="3B633E12"/>
    <w:rsid w:val="3B716BD9"/>
    <w:rsid w:val="3B7B4F7B"/>
    <w:rsid w:val="3B893F22"/>
    <w:rsid w:val="3B8E32E7"/>
    <w:rsid w:val="3B936ECA"/>
    <w:rsid w:val="3B954675"/>
    <w:rsid w:val="3B9652DE"/>
    <w:rsid w:val="3B98214E"/>
    <w:rsid w:val="3B9B6A03"/>
    <w:rsid w:val="3B9D79CE"/>
    <w:rsid w:val="3B9F54F4"/>
    <w:rsid w:val="3BA23236"/>
    <w:rsid w:val="3BA6165B"/>
    <w:rsid w:val="3BA64AD4"/>
    <w:rsid w:val="3BAC5E63"/>
    <w:rsid w:val="3BB0325D"/>
    <w:rsid w:val="3BB07701"/>
    <w:rsid w:val="3BB07762"/>
    <w:rsid w:val="3BB52F69"/>
    <w:rsid w:val="3BB54A60"/>
    <w:rsid w:val="3BB96A86"/>
    <w:rsid w:val="3BBC42F8"/>
    <w:rsid w:val="3BBC60A6"/>
    <w:rsid w:val="3BC66F24"/>
    <w:rsid w:val="3BC75D9D"/>
    <w:rsid w:val="3BC9680D"/>
    <w:rsid w:val="3BD94C62"/>
    <w:rsid w:val="3BDB619B"/>
    <w:rsid w:val="3BE15B0C"/>
    <w:rsid w:val="3BE23632"/>
    <w:rsid w:val="3BE56A31"/>
    <w:rsid w:val="3BE62D0E"/>
    <w:rsid w:val="3BE76F29"/>
    <w:rsid w:val="3BF21AC7"/>
    <w:rsid w:val="3BF221EF"/>
    <w:rsid w:val="3BF377E9"/>
    <w:rsid w:val="3BFC46F4"/>
    <w:rsid w:val="3BFD046C"/>
    <w:rsid w:val="3C0B0DDB"/>
    <w:rsid w:val="3C0B59C6"/>
    <w:rsid w:val="3C1321A5"/>
    <w:rsid w:val="3C1E5153"/>
    <w:rsid w:val="3C202B7C"/>
    <w:rsid w:val="3C2123AD"/>
    <w:rsid w:val="3C257806"/>
    <w:rsid w:val="3C293F6F"/>
    <w:rsid w:val="3C2F6E1E"/>
    <w:rsid w:val="3C300842"/>
    <w:rsid w:val="3C3420E0"/>
    <w:rsid w:val="3C366A87"/>
    <w:rsid w:val="3C370A88"/>
    <w:rsid w:val="3C413397"/>
    <w:rsid w:val="3C4542ED"/>
    <w:rsid w:val="3C4937DA"/>
    <w:rsid w:val="3C4B7F1D"/>
    <w:rsid w:val="3C4F10AF"/>
    <w:rsid w:val="3C4F64BA"/>
    <w:rsid w:val="3C526F10"/>
    <w:rsid w:val="3C5344AD"/>
    <w:rsid w:val="3C5526D7"/>
    <w:rsid w:val="3C5C1637"/>
    <w:rsid w:val="3C5E715D"/>
    <w:rsid w:val="3C706E90"/>
    <w:rsid w:val="3C771D3C"/>
    <w:rsid w:val="3C7B5B5E"/>
    <w:rsid w:val="3C7C5835"/>
    <w:rsid w:val="3C7D4FFA"/>
    <w:rsid w:val="3C7E77FF"/>
    <w:rsid w:val="3C832524"/>
    <w:rsid w:val="3C8B3CCA"/>
    <w:rsid w:val="3C8E79DF"/>
    <w:rsid w:val="3C925059"/>
    <w:rsid w:val="3C93000D"/>
    <w:rsid w:val="3C9943C8"/>
    <w:rsid w:val="3CA803D8"/>
    <w:rsid w:val="3CAA23A2"/>
    <w:rsid w:val="3CB17EE6"/>
    <w:rsid w:val="3CB44FCF"/>
    <w:rsid w:val="3CBA2232"/>
    <w:rsid w:val="3CBB45AF"/>
    <w:rsid w:val="3CBE016E"/>
    <w:rsid w:val="3CC1149A"/>
    <w:rsid w:val="3CC35212"/>
    <w:rsid w:val="3CC855A0"/>
    <w:rsid w:val="3CD029E3"/>
    <w:rsid w:val="3CD76F0F"/>
    <w:rsid w:val="3CDA245A"/>
    <w:rsid w:val="3CE31410"/>
    <w:rsid w:val="3CF0088C"/>
    <w:rsid w:val="3CF278A5"/>
    <w:rsid w:val="3CF81052"/>
    <w:rsid w:val="3CF962AB"/>
    <w:rsid w:val="3CFC3141"/>
    <w:rsid w:val="3D011E26"/>
    <w:rsid w:val="3D0137C6"/>
    <w:rsid w:val="3D031AB2"/>
    <w:rsid w:val="3D0A1093"/>
    <w:rsid w:val="3D0E59F4"/>
    <w:rsid w:val="3D0F737F"/>
    <w:rsid w:val="3D121CF5"/>
    <w:rsid w:val="3D123BCB"/>
    <w:rsid w:val="3D191E32"/>
    <w:rsid w:val="3D1E06B7"/>
    <w:rsid w:val="3D1E257B"/>
    <w:rsid w:val="3D1E68EC"/>
    <w:rsid w:val="3D1F7CE1"/>
    <w:rsid w:val="3D203927"/>
    <w:rsid w:val="3D204412"/>
    <w:rsid w:val="3D225E7D"/>
    <w:rsid w:val="3D25186F"/>
    <w:rsid w:val="3D271C45"/>
    <w:rsid w:val="3D286406"/>
    <w:rsid w:val="3D2C2DB7"/>
    <w:rsid w:val="3D2E3046"/>
    <w:rsid w:val="3D2E3DBF"/>
    <w:rsid w:val="3D3478E0"/>
    <w:rsid w:val="3D3507B9"/>
    <w:rsid w:val="3D3879AE"/>
    <w:rsid w:val="3D3B749E"/>
    <w:rsid w:val="3D3C1B2E"/>
    <w:rsid w:val="3D415C93"/>
    <w:rsid w:val="3D427D5D"/>
    <w:rsid w:val="3D452ED7"/>
    <w:rsid w:val="3D4C4A76"/>
    <w:rsid w:val="3D4D5B5D"/>
    <w:rsid w:val="3D4E5423"/>
    <w:rsid w:val="3D4E79D0"/>
    <w:rsid w:val="3D574181"/>
    <w:rsid w:val="3D5C3985"/>
    <w:rsid w:val="3D605AF2"/>
    <w:rsid w:val="3D695DB9"/>
    <w:rsid w:val="3D6E33D0"/>
    <w:rsid w:val="3D74650C"/>
    <w:rsid w:val="3D7606D4"/>
    <w:rsid w:val="3D7B4A66"/>
    <w:rsid w:val="3D8D1617"/>
    <w:rsid w:val="3D8D609A"/>
    <w:rsid w:val="3D9372DA"/>
    <w:rsid w:val="3D9425AC"/>
    <w:rsid w:val="3D974EEA"/>
    <w:rsid w:val="3D9A2417"/>
    <w:rsid w:val="3D9A7546"/>
    <w:rsid w:val="3D9C11F7"/>
    <w:rsid w:val="3D9D1F07"/>
    <w:rsid w:val="3DA037A5"/>
    <w:rsid w:val="3DA07301"/>
    <w:rsid w:val="3DAB63D2"/>
    <w:rsid w:val="3DB039E8"/>
    <w:rsid w:val="3DB159B2"/>
    <w:rsid w:val="3DB9425A"/>
    <w:rsid w:val="3DBB238D"/>
    <w:rsid w:val="3DBB771F"/>
    <w:rsid w:val="3DBF1E7D"/>
    <w:rsid w:val="3DBF668A"/>
    <w:rsid w:val="3DCD3FB6"/>
    <w:rsid w:val="3DCD678F"/>
    <w:rsid w:val="3DCE3E6E"/>
    <w:rsid w:val="3DD516A1"/>
    <w:rsid w:val="3DDE0603"/>
    <w:rsid w:val="3DE546C0"/>
    <w:rsid w:val="3DE6740A"/>
    <w:rsid w:val="3DE95753"/>
    <w:rsid w:val="3DE95C9F"/>
    <w:rsid w:val="3DEB6956"/>
    <w:rsid w:val="3DEC2EB6"/>
    <w:rsid w:val="3DEC562A"/>
    <w:rsid w:val="3DF25DB9"/>
    <w:rsid w:val="3DF820F2"/>
    <w:rsid w:val="3DF93DE0"/>
    <w:rsid w:val="3DF96E3A"/>
    <w:rsid w:val="3DFE25E4"/>
    <w:rsid w:val="3DFF102B"/>
    <w:rsid w:val="3E01686C"/>
    <w:rsid w:val="3E0344B3"/>
    <w:rsid w:val="3E0556A4"/>
    <w:rsid w:val="3E104487"/>
    <w:rsid w:val="3E121833"/>
    <w:rsid w:val="3E1321C9"/>
    <w:rsid w:val="3E156429"/>
    <w:rsid w:val="3E157254"/>
    <w:rsid w:val="3E157CEF"/>
    <w:rsid w:val="3E18333B"/>
    <w:rsid w:val="3E1A70B4"/>
    <w:rsid w:val="3E1C107E"/>
    <w:rsid w:val="3E26540F"/>
    <w:rsid w:val="3E285C74"/>
    <w:rsid w:val="3E292D54"/>
    <w:rsid w:val="3E29379B"/>
    <w:rsid w:val="3E2C2EB4"/>
    <w:rsid w:val="3E3068D7"/>
    <w:rsid w:val="3E321294"/>
    <w:rsid w:val="3E330175"/>
    <w:rsid w:val="3E35213F"/>
    <w:rsid w:val="3E3839DE"/>
    <w:rsid w:val="3E3A1504"/>
    <w:rsid w:val="3E3C050B"/>
    <w:rsid w:val="3E432C35"/>
    <w:rsid w:val="3E4660FB"/>
    <w:rsid w:val="3E4800C5"/>
    <w:rsid w:val="3E4B1963"/>
    <w:rsid w:val="3E566CAD"/>
    <w:rsid w:val="3E57744F"/>
    <w:rsid w:val="3E596C01"/>
    <w:rsid w:val="3E5973BD"/>
    <w:rsid w:val="3E5B104F"/>
    <w:rsid w:val="3E5D51F2"/>
    <w:rsid w:val="3E5F093C"/>
    <w:rsid w:val="3E6C59E0"/>
    <w:rsid w:val="3E707F93"/>
    <w:rsid w:val="3E74081F"/>
    <w:rsid w:val="3E776588"/>
    <w:rsid w:val="3E80785E"/>
    <w:rsid w:val="3E8611F6"/>
    <w:rsid w:val="3E8D4B08"/>
    <w:rsid w:val="3E990920"/>
    <w:rsid w:val="3E9E5F37"/>
    <w:rsid w:val="3EA37367"/>
    <w:rsid w:val="3EA6303D"/>
    <w:rsid w:val="3EA64DEB"/>
    <w:rsid w:val="3EAF1EF2"/>
    <w:rsid w:val="3EB62B11"/>
    <w:rsid w:val="3EB92D70"/>
    <w:rsid w:val="3EB94B1E"/>
    <w:rsid w:val="3EC731D4"/>
    <w:rsid w:val="3ECF128B"/>
    <w:rsid w:val="3ED075D4"/>
    <w:rsid w:val="3ED5122D"/>
    <w:rsid w:val="3ED65299"/>
    <w:rsid w:val="3EDA0523"/>
    <w:rsid w:val="3EE17BD1"/>
    <w:rsid w:val="3EE576C2"/>
    <w:rsid w:val="3EEA664C"/>
    <w:rsid w:val="3EEC4EF4"/>
    <w:rsid w:val="3EEC6CA2"/>
    <w:rsid w:val="3EEE3144"/>
    <w:rsid w:val="3EF21DDE"/>
    <w:rsid w:val="3EF47905"/>
    <w:rsid w:val="3EF66EFD"/>
    <w:rsid w:val="3EFC2C5D"/>
    <w:rsid w:val="3EFD0EAF"/>
    <w:rsid w:val="3EFF5D23"/>
    <w:rsid w:val="3F0264C5"/>
    <w:rsid w:val="3F034D2F"/>
    <w:rsid w:val="3F051B12"/>
    <w:rsid w:val="3F052E6A"/>
    <w:rsid w:val="3F125FDD"/>
    <w:rsid w:val="3F1862FB"/>
    <w:rsid w:val="3F1C079E"/>
    <w:rsid w:val="3F1C5311"/>
    <w:rsid w:val="3F204B9E"/>
    <w:rsid w:val="3F217C2E"/>
    <w:rsid w:val="3F233CB4"/>
    <w:rsid w:val="3F2C3542"/>
    <w:rsid w:val="3F2C64D9"/>
    <w:rsid w:val="3F2F3033"/>
    <w:rsid w:val="3F334164"/>
    <w:rsid w:val="3F3B19D7"/>
    <w:rsid w:val="3F3D222A"/>
    <w:rsid w:val="3F402B4A"/>
    <w:rsid w:val="3F406FEE"/>
    <w:rsid w:val="3F43263A"/>
    <w:rsid w:val="3F4737E3"/>
    <w:rsid w:val="3F4A39C9"/>
    <w:rsid w:val="3F5201EC"/>
    <w:rsid w:val="3F5406C8"/>
    <w:rsid w:val="3F5C0AB7"/>
    <w:rsid w:val="3F5D7C9F"/>
    <w:rsid w:val="3F636838"/>
    <w:rsid w:val="3F6B34B2"/>
    <w:rsid w:val="3F7171A7"/>
    <w:rsid w:val="3F7667DD"/>
    <w:rsid w:val="3F781B55"/>
    <w:rsid w:val="3F7B1DD4"/>
    <w:rsid w:val="3F827B6A"/>
    <w:rsid w:val="3F8539F8"/>
    <w:rsid w:val="3F8C2AC6"/>
    <w:rsid w:val="3F8E13F7"/>
    <w:rsid w:val="3F9115F7"/>
    <w:rsid w:val="3F917849"/>
    <w:rsid w:val="3F932A3E"/>
    <w:rsid w:val="3F9B06C8"/>
    <w:rsid w:val="3F9C31D5"/>
    <w:rsid w:val="3F9D61EE"/>
    <w:rsid w:val="3FA01B56"/>
    <w:rsid w:val="3FA04B59"/>
    <w:rsid w:val="3FA060B2"/>
    <w:rsid w:val="3FA22B90"/>
    <w:rsid w:val="3FA23805"/>
    <w:rsid w:val="3FA431BC"/>
    <w:rsid w:val="3FB12A0C"/>
    <w:rsid w:val="3FB157F6"/>
    <w:rsid w:val="3FB322F2"/>
    <w:rsid w:val="3FB377C0"/>
    <w:rsid w:val="3FB6105E"/>
    <w:rsid w:val="3FB77239"/>
    <w:rsid w:val="3FC4377B"/>
    <w:rsid w:val="3FC50A7D"/>
    <w:rsid w:val="3FCE0156"/>
    <w:rsid w:val="3FCF509C"/>
    <w:rsid w:val="3FD17EB9"/>
    <w:rsid w:val="3FDB69E9"/>
    <w:rsid w:val="3FE47979"/>
    <w:rsid w:val="3FE81FE4"/>
    <w:rsid w:val="3FEA6678"/>
    <w:rsid w:val="3FEB6F5A"/>
    <w:rsid w:val="3FED06D0"/>
    <w:rsid w:val="3FEE6A4A"/>
    <w:rsid w:val="3FF04570"/>
    <w:rsid w:val="3FFB4CC3"/>
    <w:rsid w:val="3FFC33CA"/>
    <w:rsid w:val="3FFC6AA9"/>
    <w:rsid w:val="4000567F"/>
    <w:rsid w:val="40074D52"/>
    <w:rsid w:val="400778EE"/>
    <w:rsid w:val="40077B0C"/>
    <w:rsid w:val="400A0B15"/>
    <w:rsid w:val="400C0C7E"/>
    <w:rsid w:val="4012492F"/>
    <w:rsid w:val="401631E4"/>
    <w:rsid w:val="401A15ED"/>
    <w:rsid w:val="401C2B1D"/>
    <w:rsid w:val="402045AD"/>
    <w:rsid w:val="402B1A4C"/>
    <w:rsid w:val="402E32EA"/>
    <w:rsid w:val="40324B88"/>
    <w:rsid w:val="40377318"/>
    <w:rsid w:val="40381597"/>
    <w:rsid w:val="40384243"/>
    <w:rsid w:val="404034E5"/>
    <w:rsid w:val="40407284"/>
    <w:rsid w:val="40416B7A"/>
    <w:rsid w:val="40420B44"/>
    <w:rsid w:val="404448BC"/>
    <w:rsid w:val="40452963"/>
    <w:rsid w:val="40460BE0"/>
    <w:rsid w:val="404B102A"/>
    <w:rsid w:val="404C569E"/>
    <w:rsid w:val="40575D69"/>
    <w:rsid w:val="405A5E8D"/>
    <w:rsid w:val="40604C5C"/>
    <w:rsid w:val="40644F5E"/>
    <w:rsid w:val="406805AA"/>
    <w:rsid w:val="406E7B8B"/>
    <w:rsid w:val="40754A75"/>
    <w:rsid w:val="4079782F"/>
    <w:rsid w:val="407A535C"/>
    <w:rsid w:val="407A6407"/>
    <w:rsid w:val="407C5E04"/>
    <w:rsid w:val="407E5835"/>
    <w:rsid w:val="407F58F4"/>
    <w:rsid w:val="407F76A2"/>
    <w:rsid w:val="408171DD"/>
    <w:rsid w:val="408B7F60"/>
    <w:rsid w:val="40907B01"/>
    <w:rsid w:val="409D1DE9"/>
    <w:rsid w:val="40A23744"/>
    <w:rsid w:val="40A37834"/>
    <w:rsid w:val="40A40C06"/>
    <w:rsid w:val="40A92F82"/>
    <w:rsid w:val="40AA20F5"/>
    <w:rsid w:val="40AF61D9"/>
    <w:rsid w:val="40BF0A0C"/>
    <w:rsid w:val="40BF6053"/>
    <w:rsid w:val="40C96B6F"/>
    <w:rsid w:val="40CA3013"/>
    <w:rsid w:val="40CD0775"/>
    <w:rsid w:val="40CD3EC6"/>
    <w:rsid w:val="40D73D29"/>
    <w:rsid w:val="40D91077"/>
    <w:rsid w:val="40DA0D7C"/>
    <w:rsid w:val="40DB5E0B"/>
    <w:rsid w:val="40DD183E"/>
    <w:rsid w:val="40DE6ABE"/>
    <w:rsid w:val="40E37C31"/>
    <w:rsid w:val="40E4515D"/>
    <w:rsid w:val="40E816EB"/>
    <w:rsid w:val="40ED7D5D"/>
    <w:rsid w:val="40F91D6E"/>
    <w:rsid w:val="40F94291"/>
    <w:rsid w:val="40FE2CBD"/>
    <w:rsid w:val="410236AA"/>
    <w:rsid w:val="41032081"/>
    <w:rsid w:val="411249BA"/>
    <w:rsid w:val="411307DB"/>
    <w:rsid w:val="41195D48"/>
    <w:rsid w:val="411C0819"/>
    <w:rsid w:val="41292928"/>
    <w:rsid w:val="41293E29"/>
    <w:rsid w:val="412D35A2"/>
    <w:rsid w:val="412F2E76"/>
    <w:rsid w:val="412F731A"/>
    <w:rsid w:val="41367318"/>
    <w:rsid w:val="41417FFF"/>
    <w:rsid w:val="41441235"/>
    <w:rsid w:val="41450AB0"/>
    <w:rsid w:val="41457A05"/>
    <w:rsid w:val="41472271"/>
    <w:rsid w:val="414A5F02"/>
    <w:rsid w:val="414B3D42"/>
    <w:rsid w:val="414C345E"/>
    <w:rsid w:val="414C3B4A"/>
    <w:rsid w:val="41596145"/>
    <w:rsid w:val="415C79E3"/>
    <w:rsid w:val="415D5C35"/>
    <w:rsid w:val="415E6EB8"/>
    <w:rsid w:val="416A65A4"/>
    <w:rsid w:val="416A7B46"/>
    <w:rsid w:val="416B0A29"/>
    <w:rsid w:val="41727207"/>
    <w:rsid w:val="41780CC1"/>
    <w:rsid w:val="418307EA"/>
    <w:rsid w:val="41886A2A"/>
    <w:rsid w:val="41A33677"/>
    <w:rsid w:val="41A55B96"/>
    <w:rsid w:val="41B1305B"/>
    <w:rsid w:val="41B51804"/>
    <w:rsid w:val="41BE02D2"/>
    <w:rsid w:val="41C0099D"/>
    <w:rsid w:val="41C23074"/>
    <w:rsid w:val="41CA69ED"/>
    <w:rsid w:val="41CE08E1"/>
    <w:rsid w:val="41CF0D50"/>
    <w:rsid w:val="41E35DF5"/>
    <w:rsid w:val="41E579D9"/>
    <w:rsid w:val="41E842F0"/>
    <w:rsid w:val="41F67E38"/>
    <w:rsid w:val="41FA1ECF"/>
    <w:rsid w:val="41FC1FB4"/>
    <w:rsid w:val="41FD51B5"/>
    <w:rsid w:val="41FF4F3E"/>
    <w:rsid w:val="4200449D"/>
    <w:rsid w:val="42024A2E"/>
    <w:rsid w:val="42054C8C"/>
    <w:rsid w:val="42075BA1"/>
    <w:rsid w:val="42083FDA"/>
    <w:rsid w:val="42113E21"/>
    <w:rsid w:val="4211578B"/>
    <w:rsid w:val="42140FEB"/>
    <w:rsid w:val="42167A81"/>
    <w:rsid w:val="42214167"/>
    <w:rsid w:val="42295B17"/>
    <w:rsid w:val="422B7AE1"/>
    <w:rsid w:val="422F6EA6"/>
    <w:rsid w:val="4232248C"/>
    <w:rsid w:val="42366486"/>
    <w:rsid w:val="423A3BCC"/>
    <w:rsid w:val="423A41C8"/>
    <w:rsid w:val="424262B6"/>
    <w:rsid w:val="424741EF"/>
    <w:rsid w:val="424E57D2"/>
    <w:rsid w:val="4251718A"/>
    <w:rsid w:val="425828A0"/>
    <w:rsid w:val="425A03C6"/>
    <w:rsid w:val="425C413F"/>
    <w:rsid w:val="425F2679"/>
    <w:rsid w:val="425F2F04"/>
    <w:rsid w:val="42611755"/>
    <w:rsid w:val="42642FF3"/>
    <w:rsid w:val="426A131F"/>
    <w:rsid w:val="42701998"/>
    <w:rsid w:val="42757563"/>
    <w:rsid w:val="428216CB"/>
    <w:rsid w:val="4288188D"/>
    <w:rsid w:val="428A301F"/>
    <w:rsid w:val="42903DE8"/>
    <w:rsid w:val="42925DB2"/>
    <w:rsid w:val="42935686"/>
    <w:rsid w:val="429531AD"/>
    <w:rsid w:val="429815E1"/>
    <w:rsid w:val="429827B8"/>
    <w:rsid w:val="42996501"/>
    <w:rsid w:val="42AC04F6"/>
    <w:rsid w:val="42AC54A2"/>
    <w:rsid w:val="42B26C49"/>
    <w:rsid w:val="42B52012"/>
    <w:rsid w:val="42BB0811"/>
    <w:rsid w:val="42C03047"/>
    <w:rsid w:val="42CE36A7"/>
    <w:rsid w:val="42D107B5"/>
    <w:rsid w:val="42D77201"/>
    <w:rsid w:val="42DA1507"/>
    <w:rsid w:val="42DE0CD7"/>
    <w:rsid w:val="42DE16E9"/>
    <w:rsid w:val="42E102FD"/>
    <w:rsid w:val="42E12404"/>
    <w:rsid w:val="42E15A85"/>
    <w:rsid w:val="42EB32CE"/>
    <w:rsid w:val="42EB54C2"/>
    <w:rsid w:val="42EF4FB3"/>
    <w:rsid w:val="42F500EF"/>
    <w:rsid w:val="42FF5749"/>
    <w:rsid w:val="4303099F"/>
    <w:rsid w:val="430A1DED"/>
    <w:rsid w:val="430D78DE"/>
    <w:rsid w:val="430E71C5"/>
    <w:rsid w:val="43165E98"/>
    <w:rsid w:val="431F43AB"/>
    <w:rsid w:val="432056A2"/>
    <w:rsid w:val="43212B41"/>
    <w:rsid w:val="43272395"/>
    <w:rsid w:val="43287AED"/>
    <w:rsid w:val="432945B7"/>
    <w:rsid w:val="432B1D63"/>
    <w:rsid w:val="432E715D"/>
    <w:rsid w:val="433131AA"/>
    <w:rsid w:val="43362BE2"/>
    <w:rsid w:val="43370708"/>
    <w:rsid w:val="4339622E"/>
    <w:rsid w:val="433A6FE6"/>
    <w:rsid w:val="433C2D74"/>
    <w:rsid w:val="433D3357"/>
    <w:rsid w:val="4344348C"/>
    <w:rsid w:val="43457534"/>
    <w:rsid w:val="434626F9"/>
    <w:rsid w:val="43480868"/>
    <w:rsid w:val="43490FBF"/>
    <w:rsid w:val="43493C8E"/>
    <w:rsid w:val="434951B8"/>
    <w:rsid w:val="43500374"/>
    <w:rsid w:val="4350713C"/>
    <w:rsid w:val="43595962"/>
    <w:rsid w:val="4365093B"/>
    <w:rsid w:val="436653E0"/>
    <w:rsid w:val="436F39FE"/>
    <w:rsid w:val="437012C7"/>
    <w:rsid w:val="43762FDE"/>
    <w:rsid w:val="4377078F"/>
    <w:rsid w:val="437B54F6"/>
    <w:rsid w:val="437D25BE"/>
    <w:rsid w:val="43851C29"/>
    <w:rsid w:val="43862537"/>
    <w:rsid w:val="43935C63"/>
    <w:rsid w:val="439B0BA5"/>
    <w:rsid w:val="439C056B"/>
    <w:rsid w:val="439D2DFF"/>
    <w:rsid w:val="439E791E"/>
    <w:rsid w:val="43A318F9"/>
    <w:rsid w:val="43AA712C"/>
    <w:rsid w:val="43AC3866"/>
    <w:rsid w:val="43B54465"/>
    <w:rsid w:val="43B6162D"/>
    <w:rsid w:val="43B81849"/>
    <w:rsid w:val="43B835F7"/>
    <w:rsid w:val="43C02452"/>
    <w:rsid w:val="43C060B4"/>
    <w:rsid w:val="43C4431A"/>
    <w:rsid w:val="43CA332A"/>
    <w:rsid w:val="43CC0E50"/>
    <w:rsid w:val="43CC52F4"/>
    <w:rsid w:val="43D321DE"/>
    <w:rsid w:val="43D538CD"/>
    <w:rsid w:val="43DB04B6"/>
    <w:rsid w:val="43DD12AF"/>
    <w:rsid w:val="43DE21E6"/>
    <w:rsid w:val="43E4263E"/>
    <w:rsid w:val="43EE526A"/>
    <w:rsid w:val="43F263DD"/>
    <w:rsid w:val="43FB34E3"/>
    <w:rsid w:val="43FF6F09"/>
    <w:rsid w:val="44044A8E"/>
    <w:rsid w:val="44092ED5"/>
    <w:rsid w:val="440A2717"/>
    <w:rsid w:val="440B4568"/>
    <w:rsid w:val="440D3860"/>
    <w:rsid w:val="440E0C53"/>
    <w:rsid w:val="44150E0F"/>
    <w:rsid w:val="441E11B4"/>
    <w:rsid w:val="442361AF"/>
    <w:rsid w:val="44240C8C"/>
    <w:rsid w:val="442472A6"/>
    <w:rsid w:val="442713A6"/>
    <w:rsid w:val="44276F7A"/>
    <w:rsid w:val="442944F4"/>
    <w:rsid w:val="44296A60"/>
    <w:rsid w:val="442A0C98"/>
    <w:rsid w:val="44306E23"/>
    <w:rsid w:val="44357A2E"/>
    <w:rsid w:val="443B0AC0"/>
    <w:rsid w:val="44432F4C"/>
    <w:rsid w:val="444404EC"/>
    <w:rsid w:val="44507EC5"/>
    <w:rsid w:val="4452415D"/>
    <w:rsid w:val="4453331F"/>
    <w:rsid w:val="44557097"/>
    <w:rsid w:val="445950D3"/>
    <w:rsid w:val="445A2900"/>
    <w:rsid w:val="445F3A72"/>
    <w:rsid w:val="44615A3C"/>
    <w:rsid w:val="446217B4"/>
    <w:rsid w:val="446D2A1D"/>
    <w:rsid w:val="446E419E"/>
    <w:rsid w:val="4470786A"/>
    <w:rsid w:val="44773DC7"/>
    <w:rsid w:val="44794362"/>
    <w:rsid w:val="448F1469"/>
    <w:rsid w:val="44906321"/>
    <w:rsid w:val="44935E12"/>
    <w:rsid w:val="449B6F13"/>
    <w:rsid w:val="449F47B6"/>
    <w:rsid w:val="44A0089A"/>
    <w:rsid w:val="44A037CE"/>
    <w:rsid w:val="44AB543F"/>
    <w:rsid w:val="44AE0556"/>
    <w:rsid w:val="44AE0E14"/>
    <w:rsid w:val="44B060EA"/>
    <w:rsid w:val="44B33DBE"/>
    <w:rsid w:val="44B81283"/>
    <w:rsid w:val="44B951CC"/>
    <w:rsid w:val="44B95661"/>
    <w:rsid w:val="44BA6EFA"/>
    <w:rsid w:val="44C04D73"/>
    <w:rsid w:val="44C36FED"/>
    <w:rsid w:val="44C42B6A"/>
    <w:rsid w:val="44C47D79"/>
    <w:rsid w:val="44C90381"/>
    <w:rsid w:val="44CD14E0"/>
    <w:rsid w:val="44D83825"/>
    <w:rsid w:val="44D83E07"/>
    <w:rsid w:val="44E126D9"/>
    <w:rsid w:val="44E65F41"/>
    <w:rsid w:val="44E96119"/>
    <w:rsid w:val="44F04F4B"/>
    <w:rsid w:val="44F20B0B"/>
    <w:rsid w:val="44F63EA4"/>
    <w:rsid w:val="44F71A43"/>
    <w:rsid w:val="44FE772F"/>
    <w:rsid w:val="4509658E"/>
    <w:rsid w:val="45097E82"/>
    <w:rsid w:val="450B6A36"/>
    <w:rsid w:val="450D1347"/>
    <w:rsid w:val="450E38CC"/>
    <w:rsid w:val="45153463"/>
    <w:rsid w:val="451A10CB"/>
    <w:rsid w:val="451E4D0E"/>
    <w:rsid w:val="45244CBC"/>
    <w:rsid w:val="45274794"/>
    <w:rsid w:val="452E5F4C"/>
    <w:rsid w:val="45321187"/>
    <w:rsid w:val="453273D9"/>
    <w:rsid w:val="45356EC9"/>
    <w:rsid w:val="453663E9"/>
    <w:rsid w:val="4537652B"/>
    <w:rsid w:val="453C3DB3"/>
    <w:rsid w:val="453F26E9"/>
    <w:rsid w:val="454366FA"/>
    <w:rsid w:val="454D26FF"/>
    <w:rsid w:val="45505F06"/>
    <w:rsid w:val="4555317F"/>
    <w:rsid w:val="45557BBB"/>
    <w:rsid w:val="455A2E42"/>
    <w:rsid w:val="455B4933"/>
    <w:rsid w:val="455F51E8"/>
    <w:rsid w:val="45603F46"/>
    <w:rsid w:val="45612018"/>
    <w:rsid w:val="45660E30"/>
    <w:rsid w:val="457903DE"/>
    <w:rsid w:val="45804F31"/>
    <w:rsid w:val="45835E86"/>
    <w:rsid w:val="458946E9"/>
    <w:rsid w:val="458D056E"/>
    <w:rsid w:val="458D0DE9"/>
    <w:rsid w:val="45925536"/>
    <w:rsid w:val="45934AF7"/>
    <w:rsid w:val="459E4A6E"/>
    <w:rsid w:val="45A26510"/>
    <w:rsid w:val="45A47C0E"/>
    <w:rsid w:val="45A51959"/>
    <w:rsid w:val="45A86E84"/>
    <w:rsid w:val="45AD70E0"/>
    <w:rsid w:val="45B1409B"/>
    <w:rsid w:val="45B918A8"/>
    <w:rsid w:val="45BD2F79"/>
    <w:rsid w:val="45C5024D"/>
    <w:rsid w:val="45D466E2"/>
    <w:rsid w:val="45DB7BF3"/>
    <w:rsid w:val="45E20144"/>
    <w:rsid w:val="45E948B1"/>
    <w:rsid w:val="45EB6494"/>
    <w:rsid w:val="45F97EF6"/>
    <w:rsid w:val="45FA05BD"/>
    <w:rsid w:val="45FD55EE"/>
    <w:rsid w:val="46070113"/>
    <w:rsid w:val="46082702"/>
    <w:rsid w:val="460E1FB1"/>
    <w:rsid w:val="460F3276"/>
    <w:rsid w:val="461525E2"/>
    <w:rsid w:val="46177F8F"/>
    <w:rsid w:val="46184820"/>
    <w:rsid w:val="462250EE"/>
    <w:rsid w:val="462A3742"/>
    <w:rsid w:val="462B41E2"/>
    <w:rsid w:val="462B6B5F"/>
    <w:rsid w:val="46320AF8"/>
    <w:rsid w:val="46323946"/>
    <w:rsid w:val="46390CCA"/>
    <w:rsid w:val="463A326F"/>
    <w:rsid w:val="46410F44"/>
    <w:rsid w:val="464C1083"/>
    <w:rsid w:val="46530654"/>
    <w:rsid w:val="465515D1"/>
    <w:rsid w:val="465731F4"/>
    <w:rsid w:val="46577FD6"/>
    <w:rsid w:val="46584C1D"/>
    <w:rsid w:val="465B318B"/>
    <w:rsid w:val="465E69B3"/>
    <w:rsid w:val="465F62BF"/>
    <w:rsid w:val="46641814"/>
    <w:rsid w:val="466510E8"/>
    <w:rsid w:val="466E1DD9"/>
    <w:rsid w:val="4674629A"/>
    <w:rsid w:val="467C75E4"/>
    <w:rsid w:val="467E1892"/>
    <w:rsid w:val="467F21AA"/>
    <w:rsid w:val="468365B4"/>
    <w:rsid w:val="46845A12"/>
    <w:rsid w:val="4685178A"/>
    <w:rsid w:val="46875502"/>
    <w:rsid w:val="46937228"/>
    <w:rsid w:val="4695545A"/>
    <w:rsid w:val="4697266F"/>
    <w:rsid w:val="46A458E3"/>
    <w:rsid w:val="46A936CA"/>
    <w:rsid w:val="46AB08C9"/>
    <w:rsid w:val="46B05C97"/>
    <w:rsid w:val="46B67B95"/>
    <w:rsid w:val="46C16C66"/>
    <w:rsid w:val="46C276CE"/>
    <w:rsid w:val="46C934D7"/>
    <w:rsid w:val="46CB755E"/>
    <w:rsid w:val="46CC1FB3"/>
    <w:rsid w:val="46CE4EDF"/>
    <w:rsid w:val="46D4544D"/>
    <w:rsid w:val="46D76D9C"/>
    <w:rsid w:val="46D83FB0"/>
    <w:rsid w:val="46D841BD"/>
    <w:rsid w:val="46D955A7"/>
    <w:rsid w:val="46E66013"/>
    <w:rsid w:val="46E722AE"/>
    <w:rsid w:val="46F2715E"/>
    <w:rsid w:val="46F30DEA"/>
    <w:rsid w:val="46F414DE"/>
    <w:rsid w:val="46F5246C"/>
    <w:rsid w:val="46FA1788"/>
    <w:rsid w:val="46FC5594"/>
    <w:rsid w:val="46FD4400"/>
    <w:rsid w:val="46FD6EB4"/>
    <w:rsid w:val="46FE3577"/>
    <w:rsid w:val="47003815"/>
    <w:rsid w:val="470657DD"/>
    <w:rsid w:val="470B4B04"/>
    <w:rsid w:val="470E79D1"/>
    <w:rsid w:val="47133957"/>
    <w:rsid w:val="4717258D"/>
    <w:rsid w:val="471A0124"/>
    <w:rsid w:val="471C616E"/>
    <w:rsid w:val="471F1BB5"/>
    <w:rsid w:val="472461ED"/>
    <w:rsid w:val="472B0583"/>
    <w:rsid w:val="472E2D47"/>
    <w:rsid w:val="4739367F"/>
    <w:rsid w:val="4739549D"/>
    <w:rsid w:val="473D3E13"/>
    <w:rsid w:val="474214B7"/>
    <w:rsid w:val="474433F3"/>
    <w:rsid w:val="47455236"/>
    <w:rsid w:val="474B29D4"/>
    <w:rsid w:val="4757001C"/>
    <w:rsid w:val="475C24EB"/>
    <w:rsid w:val="475F5F7C"/>
    <w:rsid w:val="476067BD"/>
    <w:rsid w:val="47611807"/>
    <w:rsid w:val="4767462D"/>
    <w:rsid w:val="477A1772"/>
    <w:rsid w:val="477B4A45"/>
    <w:rsid w:val="478302A1"/>
    <w:rsid w:val="47840D6F"/>
    <w:rsid w:val="47881934"/>
    <w:rsid w:val="478A7058"/>
    <w:rsid w:val="478C7274"/>
    <w:rsid w:val="479000C6"/>
    <w:rsid w:val="479223B1"/>
    <w:rsid w:val="479B1265"/>
    <w:rsid w:val="47A07E0C"/>
    <w:rsid w:val="47A24FAA"/>
    <w:rsid w:val="47A311C0"/>
    <w:rsid w:val="47B10C28"/>
    <w:rsid w:val="47B5004D"/>
    <w:rsid w:val="47B651CB"/>
    <w:rsid w:val="47B95B8F"/>
    <w:rsid w:val="47D25DFF"/>
    <w:rsid w:val="47D26E0C"/>
    <w:rsid w:val="47D64431"/>
    <w:rsid w:val="47D875B4"/>
    <w:rsid w:val="47D909D6"/>
    <w:rsid w:val="47E0311C"/>
    <w:rsid w:val="47E3640F"/>
    <w:rsid w:val="47EB15FB"/>
    <w:rsid w:val="47F93485"/>
    <w:rsid w:val="47FA426E"/>
    <w:rsid w:val="47FB4CF8"/>
    <w:rsid w:val="47FB7F56"/>
    <w:rsid w:val="48055B08"/>
    <w:rsid w:val="480C5CBF"/>
    <w:rsid w:val="480E14BE"/>
    <w:rsid w:val="48142DC6"/>
    <w:rsid w:val="481B11CD"/>
    <w:rsid w:val="4822140C"/>
    <w:rsid w:val="48240658"/>
    <w:rsid w:val="4824230B"/>
    <w:rsid w:val="482569A2"/>
    <w:rsid w:val="48313978"/>
    <w:rsid w:val="483403BD"/>
    <w:rsid w:val="48343954"/>
    <w:rsid w:val="483901D6"/>
    <w:rsid w:val="483B5DF0"/>
    <w:rsid w:val="48425B85"/>
    <w:rsid w:val="484C255F"/>
    <w:rsid w:val="484F69EF"/>
    <w:rsid w:val="48531B40"/>
    <w:rsid w:val="48547155"/>
    <w:rsid w:val="48547666"/>
    <w:rsid w:val="485674E5"/>
    <w:rsid w:val="485730A2"/>
    <w:rsid w:val="48584752"/>
    <w:rsid w:val="485D29BF"/>
    <w:rsid w:val="485F17DF"/>
    <w:rsid w:val="48643D4D"/>
    <w:rsid w:val="486A0C38"/>
    <w:rsid w:val="486F3400"/>
    <w:rsid w:val="4870272E"/>
    <w:rsid w:val="48806453"/>
    <w:rsid w:val="48885E0A"/>
    <w:rsid w:val="488A3ABB"/>
    <w:rsid w:val="488F1EE9"/>
    <w:rsid w:val="489108BA"/>
    <w:rsid w:val="48926F12"/>
    <w:rsid w:val="4893018E"/>
    <w:rsid w:val="48934632"/>
    <w:rsid w:val="48946DE5"/>
    <w:rsid w:val="489E7916"/>
    <w:rsid w:val="48AD7568"/>
    <w:rsid w:val="48B10A89"/>
    <w:rsid w:val="48BF0F83"/>
    <w:rsid w:val="48C464DC"/>
    <w:rsid w:val="48D47A82"/>
    <w:rsid w:val="48D6451F"/>
    <w:rsid w:val="48D8725E"/>
    <w:rsid w:val="48DD765B"/>
    <w:rsid w:val="48DF1625"/>
    <w:rsid w:val="48E91EBC"/>
    <w:rsid w:val="48E924A4"/>
    <w:rsid w:val="48E97BAB"/>
    <w:rsid w:val="48EA3157"/>
    <w:rsid w:val="48EB1D78"/>
    <w:rsid w:val="48EE5521"/>
    <w:rsid w:val="48F45F58"/>
    <w:rsid w:val="48F826E7"/>
    <w:rsid w:val="48FD385A"/>
    <w:rsid w:val="49042E3A"/>
    <w:rsid w:val="490966A2"/>
    <w:rsid w:val="490E1F0B"/>
    <w:rsid w:val="490E5DC7"/>
    <w:rsid w:val="49145FD1"/>
    <w:rsid w:val="491C0184"/>
    <w:rsid w:val="4925660E"/>
    <w:rsid w:val="49285078"/>
    <w:rsid w:val="49295ED6"/>
    <w:rsid w:val="49326638"/>
    <w:rsid w:val="49364AC1"/>
    <w:rsid w:val="49366D6C"/>
    <w:rsid w:val="493A35E1"/>
    <w:rsid w:val="493D6C54"/>
    <w:rsid w:val="493F3E72"/>
    <w:rsid w:val="494219FE"/>
    <w:rsid w:val="494476DB"/>
    <w:rsid w:val="494B0A69"/>
    <w:rsid w:val="494B3BCB"/>
    <w:rsid w:val="494C03A8"/>
    <w:rsid w:val="49507E2D"/>
    <w:rsid w:val="495518E8"/>
    <w:rsid w:val="49556190"/>
    <w:rsid w:val="49577C74"/>
    <w:rsid w:val="495913D8"/>
    <w:rsid w:val="49614A25"/>
    <w:rsid w:val="49630A38"/>
    <w:rsid w:val="496911ED"/>
    <w:rsid w:val="49695393"/>
    <w:rsid w:val="496F7DF4"/>
    <w:rsid w:val="49796F4A"/>
    <w:rsid w:val="49843F7B"/>
    <w:rsid w:val="49883415"/>
    <w:rsid w:val="498A77E3"/>
    <w:rsid w:val="49914BE6"/>
    <w:rsid w:val="49956188"/>
    <w:rsid w:val="49967F1D"/>
    <w:rsid w:val="49975A5C"/>
    <w:rsid w:val="499A197B"/>
    <w:rsid w:val="499A554C"/>
    <w:rsid w:val="49A95790"/>
    <w:rsid w:val="49AE2DA6"/>
    <w:rsid w:val="49B11E26"/>
    <w:rsid w:val="49BC1967"/>
    <w:rsid w:val="49C01457"/>
    <w:rsid w:val="49C16F7D"/>
    <w:rsid w:val="49CB410E"/>
    <w:rsid w:val="49D22F38"/>
    <w:rsid w:val="49D7054F"/>
    <w:rsid w:val="49DA0653"/>
    <w:rsid w:val="49DA2C21"/>
    <w:rsid w:val="49DC1DE3"/>
    <w:rsid w:val="49DC7715"/>
    <w:rsid w:val="49DE01D4"/>
    <w:rsid w:val="49DF2CFA"/>
    <w:rsid w:val="49E82C88"/>
    <w:rsid w:val="49EA0282"/>
    <w:rsid w:val="49EA2030"/>
    <w:rsid w:val="49EB7487"/>
    <w:rsid w:val="49F337A2"/>
    <w:rsid w:val="49FC5C1D"/>
    <w:rsid w:val="49FD10A7"/>
    <w:rsid w:val="4A017DD0"/>
    <w:rsid w:val="4A02055D"/>
    <w:rsid w:val="4A023139"/>
    <w:rsid w:val="4A034605"/>
    <w:rsid w:val="4A044293"/>
    <w:rsid w:val="4A047074"/>
    <w:rsid w:val="4A050C18"/>
    <w:rsid w:val="4A061ED2"/>
    <w:rsid w:val="4A111CB3"/>
    <w:rsid w:val="4A113A61"/>
    <w:rsid w:val="4A123335"/>
    <w:rsid w:val="4A17094B"/>
    <w:rsid w:val="4A181CD1"/>
    <w:rsid w:val="4A184976"/>
    <w:rsid w:val="4A1A56BC"/>
    <w:rsid w:val="4A1E617D"/>
    <w:rsid w:val="4A210E8F"/>
    <w:rsid w:val="4A227A1C"/>
    <w:rsid w:val="4A230EA0"/>
    <w:rsid w:val="4A2319E6"/>
    <w:rsid w:val="4A253068"/>
    <w:rsid w:val="4A2A68D0"/>
    <w:rsid w:val="4A2F3EE7"/>
    <w:rsid w:val="4A314103"/>
    <w:rsid w:val="4A3572D7"/>
    <w:rsid w:val="4A385328"/>
    <w:rsid w:val="4A3D0A1C"/>
    <w:rsid w:val="4A461E3D"/>
    <w:rsid w:val="4A4831FA"/>
    <w:rsid w:val="4A4A1D57"/>
    <w:rsid w:val="4A4C6847"/>
    <w:rsid w:val="4A50597B"/>
    <w:rsid w:val="4A5120AF"/>
    <w:rsid w:val="4A530A8D"/>
    <w:rsid w:val="4A595E27"/>
    <w:rsid w:val="4A5B4CDC"/>
    <w:rsid w:val="4A6515E6"/>
    <w:rsid w:val="4A653DAC"/>
    <w:rsid w:val="4A674244"/>
    <w:rsid w:val="4A6B226D"/>
    <w:rsid w:val="4A6C194E"/>
    <w:rsid w:val="4A6F1947"/>
    <w:rsid w:val="4A707442"/>
    <w:rsid w:val="4A710AA3"/>
    <w:rsid w:val="4A71143E"/>
    <w:rsid w:val="4A740312"/>
    <w:rsid w:val="4A767D68"/>
    <w:rsid w:val="4A7B576F"/>
    <w:rsid w:val="4A7B712C"/>
    <w:rsid w:val="4A7D2EA4"/>
    <w:rsid w:val="4A7E06C0"/>
    <w:rsid w:val="4A895CED"/>
    <w:rsid w:val="4A897999"/>
    <w:rsid w:val="4A8A6E3A"/>
    <w:rsid w:val="4A8D0910"/>
    <w:rsid w:val="4A8F4E20"/>
    <w:rsid w:val="4A9106FD"/>
    <w:rsid w:val="4A9224F4"/>
    <w:rsid w:val="4A9C3A16"/>
    <w:rsid w:val="4AA9419A"/>
    <w:rsid w:val="4AAC3789"/>
    <w:rsid w:val="4ABE06BB"/>
    <w:rsid w:val="4AC00FE3"/>
    <w:rsid w:val="4AC163C2"/>
    <w:rsid w:val="4AC46D25"/>
    <w:rsid w:val="4ACB3D7C"/>
    <w:rsid w:val="4ACB7475"/>
    <w:rsid w:val="4ACE1952"/>
    <w:rsid w:val="4ACF1226"/>
    <w:rsid w:val="4AD0601C"/>
    <w:rsid w:val="4AD2721F"/>
    <w:rsid w:val="4AD54880"/>
    <w:rsid w:val="4AE66C9B"/>
    <w:rsid w:val="4AEA2F72"/>
    <w:rsid w:val="4AF34F14"/>
    <w:rsid w:val="4AF561A9"/>
    <w:rsid w:val="4AFD386D"/>
    <w:rsid w:val="4B02784D"/>
    <w:rsid w:val="4B0521F5"/>
    <w:rsid w:val="4B0E61F2"/>
    <w:rsid w:val="4B195AFD"/>
    <w:rsid w:val="4B1A1EC0"/>
    <w:rsid w:val="4B1A561A"/>
    <w:rsid w:val="4B1C04F1"/>
    <w:rsid w:val="4B241572"/>
    <w:rsid w:val="4B2477C4"/>
    <w:rsid w:val="4B2A4224"/>
    <w:rsid w:val="4B2C05D3"/>
    <w:rsid w:val="4B2D169E"/>
    <w:rsid w:val="4B300EE9"/>
    <w:rsid w:val="4B3043BA"/>
    <w:rsid w:val="4B3612A5"/>
    <w:rsid w:val="4B367C72"/>
    <w:rsid w:val="4B3C4B1F"/>
    <w:rsid w:val="4B410375"/>
    <w:rsid w:val="4B413ED2"/>
    <w:rsid w:val="4B484598"/>
    <w:rsid w:val="4B4E0392"/>
    <w:rsid w:val="4B4E2A92"/>
    <w:rsid w:val="4B50680B"/>
    <w:rsid w:val="4B510C36"/>
    <w:rsid w:val="4B5138BB"/>
    <w:rsid w:val="4B5736F5"/>
    <w:rsid w:val="4B5B0D5A"/>
    <w:rsid w:val="4B5D16B0"/>
    <w:rsid w:val="4B624F0F"/>
    <w:rsid w:val="4B663938"/>
    <w:rsid w:val="4B69167A"/>
    <w:rsid w:val="4B693428"/>
    <w:rsid w:val="4B6B0A45"/>
    <w:rsid w:val="4B6D116B"/>
    <w:rsid w:val="4B6E5086"/>
    <w:rsid w:val="4B772F07"/>
    <w:rsid w:val="4B7901ED"/>
    <w:rsid w:val="4B7A3887"/>
    <w:rsid w:val="4B7C576C"/>
    <w:rsid w:val="4B801973"/>
    <w:rsid w:val="4B8957F1"/>
    <w:rsid w:val="4B8A0D3C"/>
    <w:rsid w:val="4B8F3CDB"/>
    <w:rsid w:val="4B92472D"/>
    <w:rsid w:val="4B9762C0"/>
    <w:rsid w:val="4B991F60"/>
    <w:rsid w:val="4B9B1698"/>
    <w:rsid w:val="4BA076B7"/>
    <w:rsid w:val="4BA83F51"/>
    <w:rsid w:val="4BAB3A41"/>
    <w:rsid w:val="4BAD47E4"/>
    <w:rsid w:val="4BB85F8B"/>
    <w:rsid w:val="4BBC3ECC"/>
    <w:rsid w:val="4BC32EDC"/>
    <w:rsid w:val="4BC67321"/>
    <w:rsid w:val="4BD21234"/>
    <w:rsid w:val="4BD21F77"/>
    <w:rsid w:val="4BF123A7"/>
    <w:rsid w:val="4BF34FB9"/>
    <w:rsid w:val="4BF86145"/>
    <w:rsid w:val="4C001FDF"/>
    <w:rsid w:val="4C0513A3"/>
    <w:rsid w:val="4C0C1D79"/>
    <w:rsid w:val="4C0F7AEF"/>
    <w:rsid w:val="4C194E4E"/>
    <w:rsid w:val="4C1D5FF9"/>
    <w:rsid w:val="4C25357F"/>
    <w:rsid w:val="4C2C208C"/>
    <w:rsid w:val="4C2C652A"/>
    <w:rsid w:val="4C2E7C1C"/>
    <w:rsid w:val="4C39729F"/>
    <w:rsid w:val="4C3C1AD4"/>
    <w:rsid w:val="4C3E2B07"/>
    <w:rsid w:val="4C403D10"/>
    <w:rsid w:val="4C417685"/>
    <w:rsid w:val="4C436F46"/>
    <w:rsid w:val="4C4634D7"/>
    <w:rsid w:val="4C4675FE"/>
    <w:rsid w:val="4C4A0649"/>
    <w:rsid w:val="4C4B4FE8"/>
    <w:rsid w:val="4C520360"/>
    <w:rsid w:val="4C545E87"/>
    <w:rsid w:val="4C5479B0"/>
    <w:rsid w:val="4C5C1239"/>
    <w:rsid w:val="4C5D11DF"/>
    <w:rsid w:val="4C6571B8"/>
    <w:rsid w:val="4C6E5C70"/>
    <w:rsid w:val="4C7179D7"/>
    <w:rsid w:val="4C7C718B"/>
    <w:rsid w:val="4C7D53DD"/>
    <w:rsid w:val="4C7E5ECA"/>
    <w:rsid w:val="4C7F49C9"/>
    <w:rsid w:val="4C8526AF"/>
    <w:rsid w:val="4C854292"/>
    <w:rsid w:val="4C876AA5"/>
    <w:rsid w:val="4C8D3147"/>
    <w:rsid w:val="4C975D73"/>
    <w:rsid w:val="4C993E74"/>
    <w:rsid w:val="4C9B3A49"/>
    <w:rsid w:val="4C9B5863"/>
    <w:rsid w:val="4CA30BBC"/>
    <w:rsid w:val="4CAA1F4A"/>
    <w:rsid w:val="4CAB32E3"/>
    <w:rsid w:val="4CB62B2D"/>
    <w:rsid w:val="4CB85EE9"/>
    <w:rsid w:val="4CC23686"/>
    <w:rsid w:val="4CC254E6"/>
    <w:rsid w:val="4CC92607"/>
    <w:rsid w:val="4CCB737A"/>
    <w:rsid w:val="4CCF19B1"/>
    <w:rsid w:val="4CCF58EA"/>
    <w:rsid w:val="4CD17B99"/>
    <w:rsid w:val="4CD7651E"/>
    <w:rsid w:val="4CDC5ED5"/>
    <w:rsid w:val="4CE21E44"/>
    <w:rsid w:val="4CE44DB6"/>
    <w:rsid w:val="4CEA4ADF"/>
    <w:rsid w:val="4CEC7770"/>
    <w:rsid w:val="4CED3B14"/>
    <w:rsid w:val="4CF136D5"/>
    <w:rsid w:val="4CF938F5"/>
    <w:rsid w:val="4CFC657A"/>
    <w:rsid w:val="4D006D97"/>
    <w:rsid w:val="4D027E1D"/>
    <w:rsid w:val="4D072EF9"/>
    <w:rsid w:val="4D073FAA"/>
    <w:rsid w:val="4D0B0C3B"/>
    <w:rsid w:val="4D0C5369"/>
    <w:rsid w:val="4D0E00FB"/>
    <w:rsid w:val="4D0E6A52"/>
    <w:rsid w:val="4D101778"/>
    <w:rsid w:val="4D176606"/>
    <w:rsid w:val="4D1846D0"/>
    <w:rsid w:val="4D221AE1"/>
    <w:rsid w:val="4D2717ED"/>
    <w:rsid w:val="4D2939AA"/>
    <w:rsid w:val="4D2D1641"/>
    <w:rsid w:val="4D326766"/>
    <w:rsid w:val="4D341814"/>
    <w:rsid w:val="4D355CB8"/>
    <w:rsid w:val="4D384E95"/>
    <w:rsid w:val="4D3B3F70"/>
    <w:rsid w:val="4D3D10E9"/>
    <w:rsid w:val="4D4375FC"/>
    <w:rsid w:val="4D4555F6"/>
    <w:rsid w:val="4D4E0723"/>
    <w:rsid w:val="4D5C3245"/>
    <w:rsid w:val="4D5E064B"/>
    <w:rsid w:val="4D622825"/>
    <w:rsid w:val="4D643CDE"/>
    <w:rsid w:val="4D6A0A55"/>
    <w:rsid w:val="4D6E11CA"/>
    <w:rsid w:val="4D6E4D26"/>
    <w:rsid w:val="4D6F454C"/>
    <w:rsid w:val="4D7465DE"/>
    <w:rsid w:val="4D7C0195"/>
    <w:rsid w:val="4D7E2637"/>
    <w:rsid w:val="4D8131B7"/>
    <w:rsid w:val="4D846871"/>
    <w:rsid w:val="4D870D8D"/>
    <w:rsid w:val="4D870E9B"/>
    <w:rsid w:val="4D8B4139"/>
    <w:rsid w:val="4D8F743A"/>
    <w:rsid w:val="4D977BC7"/>
    <w:rsid w:val="4D993218"/>
    <w:rsid w:val="4D9F18C1"/>
    <w:rsid w:val="4DA0163A"/>
    <w:rsid w:val="4DAC584E"/>
    <w:rsid w:val="4DAE7818"/>
    <w:rsid w:val="4DB03590"/>
    <w:rsid w:val="4DB55A2C"/>
    <w:rsid w:val="4DC1579E"/>
    <w:rsid w:val="4DC1754C"/>
    <w:rsid w:val="4DD612B3"/>
    <w:rsid w:val="4DDB0D98"/>
    <w:rsid w:val="4DDB4BBC"/>
    <w:rsid w:val="4DDE00FE"/>
    <w:rsid w:val="4DDF54F9"/>
    <w:rsid w:val="4DE44086"/>
    <w:rsid w:val="4DE52D23"/>
    <w:rsid w:val="4DEB6377"/>
    <w:rsid w:val="4DEC4FB0"/>
    <w:rsid w:val="4DED0138"/>
    <w:rsid w:val="4DEF53A0"/>
    <w:rsid w:val="4DF12BD9"/>
    <w:rsid w:val="4DF27705"/>
    <w:rsid w:val="4DF33B05"/>
    <w:rsid w:val="4DF83498"/>
    <w:rsid w:val="4DFF1E8B"/>
    <w:rsid w:val="4E02343A"/>
    <w:rsid w:val="4E075D8A"/>
    <w:rsid w:val="4E08517B"/>
    <w:rsid w:val="4E131240"/>
    <w:rsid w:val="4E21078A"/>
    <w:rsid w:val="4E217FEA"/>
    <w:rsid w:val="4E234B23"/>
    <w:rsid w:val="4E261AA5"/>
    <w:rsid w:val="4E2B1EB6"/>
    <w:rsid w:val="4E2D46F7"/>
    <w:rsid w:val="4E2D6F34"/>
    <w:rsid w:val="4E2F5F0F"/>
    <w:rsid w:val="4E3046D1"/>
    <w:rsid w:val="4E382BE8"/>
    <w:rsid w:val="4E395334"/>
    <w:rsid w:val="4E3A621D"/>
    <w:rsid w:val="4E3B6791"/>
    <w:rsid w:val="4E3C3076"/>
    <w:rsid w:val="4E3C4E24"/>
    <w:rsid w:val="4E4B5067"/>
    <w:rsid w:val="4E4C150B"/>
    <w:rsid w:val="4E4D2773"/>
    <w:rsid w:val="4E524648"/>
    <w:rsid w:val="4E586B64"/>
    <w:rsid w:val="4E593C28"/>
    <w:rsid w:val="4E5D650F"/>
    <w:rsid w:val="4E612ADD"/>
    <w:rsid w:val="4E637DE8"/>
    <w:rsid w:val="4E680C1E"/>
    <w:rsid w:val="4E6A527E"/>
    <w:rsid w:val="4E6C5482"/>
    <w:rsid w:val="4E6F7F33"/>
    <w:rsid w:val="4E760168"/>
    <w:rsid w:val="4E772300"/>
    <w:rsid w:val="4E7F6E5E"/>
    <w:rsid w:val="4E824F2D"/>
    <w:rsid w:val="4E8A5B90"/>
    <w:rsid w:val="4E905954"/>
    <w:rsid w:val="4E9A5E2F"/>
    <w:rsid w:val="4E9B3F1C"/>
    <w:rsid w:val="4EAD187E"/>
    <w:rsid w:val="4EB26E94"/>
    <w:rsid w:val="4EB32F14"/>
    <w:rsid w:val="4EB52124"/>
    <w:rsid w:val="4EC00FAD"/>
    <w:rsid w:val="4EC12B2C"/>
    <w:rsid w:val="4EC13C9E"/>
    <w:rsid w:val="4EC41DC4"/>
    <w:rsid w:val="4EC61D60"/>
    <w:rsid w:val="4EC80E89"/>
    <w:rsid w:val="4EC866B8"/>
    <w:rsid w:val="4ECC6D94"/>
    <w:rsid w:val="4ED22589"/>
    <w:rsid w:val="4ED35661"/>
    <w:rsid w:val="4EE94FAC"/>
    <w:rsid w:val="4EEA4174"/>
    <w:rsid w:val="4EEA4880"/>
    <w:rsid w:val="4EED611E"/>
    <w:rsid w:val="4EF16274"/>
    <w:rsid w:val="4EF86F9D"/>
    <w:rsid w:val="4EFE3C60"/>
    <w:rsid w:val="4F0079E0"/>
    <w:rsid w:val="4F086393"/>
    <w:rsid w:val="4F0C2B5C"/>
    <w:rsid w:val="4F0C42E9"/>
    <w:rsid w:val="4F0D1B7B"/>
    <w:rsid w:val="4F15559D"/>
    <w:rsid w:val="4F165675"/>
    <w:rsid w:val="4F1A33B7"/>
    <w:rsid w:val="4F235F46"/>
    <w:rsid w:val="4F290873"/>
    <w:rsid w:val="4F2A01EE"/>
    <w:rsid w:val="4F2B2B76"/>
    <w:rsid w:val="4F310701"/>
    <w:rsid w:val="4F372CC3"/>
    <w:rsid w:val="4F3854C4"/>
    <w:rsid w:val="4F391364"/>
    <w:rsid w:val="4F3B7C8E"/>
    <w:rsid w:val="4F3D0E54"/>
    <w:rsid w:val="4F3E697A"/>
    <w:rsid w:val="4F400944"/>
    <w:rsid w:val="4F42646A"/>
    <w:rsid w:val="4F586DEA"/>
    <w:rsid w:val="4F5950E5"/>
    <w:rsid w:val="4F5D4C99"/>
    <w:rsid w:val="4F651160"/>
    <w:rsid w:val="4F701D2A"/>
    <w:rsid w:val="4F710AFD"/>
    <w:rsid w:val="4F734E61"/>
    <w:rsid w:val="4F756840"/>
    <w:rsid w:val="4F7A5DF1"/>
    <w:rsid w:val="4F7E0975"/>
    <w:rsid w:val="4F86410B"/>
    <w:rsid w:val="4F871DE5"/>
    <w:rsid w:val="4F8C3B89"/>
    <w:rsid w:val="4F8E5B53"/>
    <w:rsid w:val="4F953265"/>
    <w:rsid w:val="4F9843DC"/>
    <w:rsid w:val="4F9D0C0C"/>
    <w:rsid w:val="4FA03191"/>
    <w:rsid w:val="4FA71BCA"/>
    <w:rsid w:val="4FAA3277"/>
    <w:rsid w:val="4FAA51A5"/>
    <w:rsid w:val="4FAA530F"/>
    <w:rsid w:val="4FAB7475"/>
    <w:rsid w:val="4FAD5FDA"/>
    <w:rsid w:val="4FB258BC"/>
    <w:rsid w:val="4FB8672C"/>
    <w:rsid w:val="4FBA20F2"/>
    <w:rsid w:val="4FBC621D"/>
    <w:rsid w:val="4FBD3D43"/>
    <w:rsid w:val="4FC220E3"/>
    <w:rsid w:val="4FC43323"/>
    <w:rsid w:val="4FC62A8C"/>
    <w:rsid w:val="4FC772AC"/>
    <w:rsid w:val="4FC926E8"/>
    <w:rsid w:val="4FCA3829"/>
    <w:rsid w:val="4FCF4503"/>
    <w:rsid w:val="4FD5400F"/>
    <w:rsid w:val="4FE1650A"/>
    <w:rsid w:val="4FE20F0D"/>
    <w:rsid w:val="4FE51552"/>
    <w:rsid w:val="4FE575A3"/>
    <w:rsid w:val="4FED6FA2"/>
    <w:rsid w:val="4FF17F6E"/>
    <w:rsid w:val="4FF534DD"/>
    <w:rsid w:val="4FF712F5"/>
    <w:rsid w:val="4FFA4F97"/>
    <w:rsid w:val="4FFC486B"/>
    <w:rsid w:val="4FFD305E"/>
    <w:rsid w:val="4FFE4A87"/>
    <w:rsid w:val="50085545"/>
    <w:rsid w:val="5012408F"/>
    <w:rsid w:val="50132425"/>
    <w:rsid w:val="50151DD1"/>
    <w:rsid w:val="501A5E6C"/>
    <w:rsid w:val="501E3E9C"/>
    <w:rsid w:val="501E5494"/>
    <w:rsid w:val="502618E8"/>
    <w:rsid w:val="50295500"/>
    <w:rsid w:val="502C0397"/>
    <w:rsid w:val="5032028D"/>
    <w:rsid w:val="50373AF5"/>
    <w:rsid w:val="50377F99"/>
    <w:rsid w:val="50402532"/>
    <w:rsid w:val="50493828"/>
    <w:rsid w:val="504A1A7A"/>
    <w:rsid w:val="504D307D"/>
    <w:rsid w:val="504F7091"/>
    <w:rsid w:val="50500441"/>
    <w:rsid w:val="50504C4B"/>
    <w:rsid w:val="50593A6B"/>
    <w:rsid w:val="50597678"/>
    <w:rsid w:val="505E37B1"/>
    <w:rsid w:val="50696E2E"/>
    <w:rsid w:val="507B4F96"/>
    <w:rsid w:val="507C3BFE"/>
    <w:rsid w:val="507C775A"/>
    <w:rsid w:val="508036EE"/>
    <w:rsid w:val="50850D04"/>
    <w:rsid w:val="5086130F"/>
    <w:rsid w:val="508B0EE7"/>
    <w:rsid w:val="508B5BEF"/>
    <w:rsid w:val="508E2890"/>
    <w:rsid w:val="508E3509"/>
    <w:rsid w:val="50926F7D"/>
    <w:rsid w:val="509C6E7C"/>
    <w:rsid w:val="509E1DC6"/>
    <w:rsid w:val="50A15412"/>
    <w:rsid w:val="50B33A15"/>
    <w:rsid w:val="50C9527D"/>
    <w:rsid w:val="50D106E5"/>
    <w:rsid w:val="50D37CC2"/>
    <w:rsid w:val="50D54727"/>
    <w:rsid w:val="50D650BC"/>
    <w:rsid w:val="50D77086"/>
    <w:rsid w:val="50DA1089"/>
    <w:rsid w:val="50DB6B76"/>
    <w:rsid w:val="50E33C7D"/>
    <w:rsid w:val="50E377D9"/>
    <w:rsid w:val="50E7551B"/>
    <w:rsid w:val="50E772C9"/>
    <w:rsid w:val="50F30636"/>
    <w:rsid w:val="50F44A9D"/>
    <w:rsid w:val="50F6575E"/>
    <w:rsid w:val="50FE5D3D"/>
    <w:rsid w:val="510A6DE4"/>
    <w:rsid w:val="510C6A50"/>
    <w:rsid w:val="510F4A72"/>
    <w:rsid w:val="510F6820"/>
    <w:rsid w:val="51152F96"/>
    <w:rsid w:val="511610B5"/>
    <w:rsid w:val="5119398D"/>
    <w:rsid w:val="511D718F"/>
    <w:rsid w:val="512027DB"/>
    <w:rsid w:val="512322CB"/>
    <w:rsid w:val="512353A3"/>
    <w:rsid w:val="512646CD"/>
    <w:rsid w:val="512D4760"/>
    <w:rsid w:val="512D4762"/>
    <w:rsid w:val="51304D2D"/>
    <w:rsid w:val="51346287"/>
    <w:rsid w:val="514143E2"/>
    <w:rsid w:val="51432280"/>
    <w:rsid w:val="51457355"/>
    <w:rsid w:val="51517C3A"/>
    <w:rsid w:val="51532795"/>
    <w:rsid w:val="51563C65"/>
    <w:rsid w:val="515661FD"/>
    <w:rsid w:val="515C49C2"/>
    <w:rsid w:val="515E2011"/>
    <w:rsid w:val="5162104E"/>
    <w:rsid w:val="516613C8"/>
    <w:rsid w:val="51736DAF"/>
    <w:rsid w:val="517C75D2"/>
    <w:rsid w:val="517D5E7F"/>
    <w:rsid w:val="51840FBC"/>
    <w:rsid w:val="51844B18"/>
    <w:rsid w:val="51860D3F"/>
    <w:rsid w:val="5187285A"/>
    <w:rsid w:val="518C1C1F"/>
    <w:rsid w:val="518C5779"/>
    <w:rsid w:val="51960CEF"/>
    <w:rsid w:val="51975088"/>
    <w:rsid w:val="519A258E"/>
    <w:rsid w:val="51A61F98"/>
    <w:rsid w:val="51B010A1"/>
    <w:rsid w:val="51B27247"/>
    <w:rsid w:val="51B35558"/>
    <w:rsid w:val="51B50CE4"/>
    <w:rsid w:val="51B578E7"/>
    <w:rsid w:val="51B7313F"/>
    <w:rsid w:val="51B940F4"/>
    <w:rsid w:val="51BF3DA2"/>
    <w:rsid w:val="51C04E17"/>
    <w:rsid w:val="51C27D36"/>
    <w:rsid w:val="51C554AF"/>
    <w:rsid w:val="51C710A1"/>
    <w:rsid w:val="51C732EE"/>
    <w:rsid w:val="51D13AD5"/>
    <w:rsid w:val="51DD06CC"/>
    <w:rsid w:val="51DD214D"/>
    <w:rsid w:val="51E001DA"/>
    <w:rsid w:val="51E11F6A"/>
    <w:rsid w:val="51EC4E24"/>
    <w:rsid w:val="51F60A51"/>
    <w:rsid w:val="51F6353C"/>
    <w:rsid w:val="51F872B4"/>
    <w:rsid w:val="51FA5EEB"/>
    <w:rsid w:val="51FC6DA4"/>
    <w:rsid w:val="51FE0D6E"/>
    <w:rsid w:val="51FE786D"/>
    <w:rsid w:val="51FF0643"/>
    <w:rsid w:val="51FF7084"/>
    <w:rsid w:val="52045688"/>
    <w:rsid w:val="5212175A"/>
    <w:rsid w:val="521656D1"/>
    <w:rsid w:val="521A0616"/>
    <w:rsid w:val="521C7446"/>
    <w:rsid w:val="521D6E27"/>
    <w:rsid w:val="521F2376"/>
    <w:rsid w:val="521F2A93"/>
    <w:rsid w:val="52253BD5"/>
    <w:rsid w:val="52265350"/>
    <w:rsid w:val="52267AA3"/>
    <w:rsid w:val="52304CA0"/>
    <w:rsid w:val="523A78CD"/>
    <w:rsid w:val="523C1897"/>
    <w:rsid w:val="523F1387"/>
    <w:rsid w:val="52444D2C"/>
    <w:rsid w:val="524E02C5"/>
    <w:rsid w:val="52500E9E"/>
    <w:rsid w:val="525151DD"/>
    <w:rsid w:val="525B64F6"/>
    <w:rsid w:val="525C2209"/>
    <w:rsid w:val="52610D67"/>
    <w:rsid w:val="5263737E"/>
    <w:rsid w:val="52640B80"/>
    <w:rsid w:val="5264494A"/>
    <w:rsid w:val="526A7CDF"/>
    <w:rsid w:val="526B217C"/>
    <w:rsid w:val="526D37FE"/>
    <w:rsid w:val="527208FC"/>
    <w:rsid w:val="527805D2"/>
    <w:rsid w:val="527C5B30"/>
    <w:rsid w:val="527F0D08"/>
    <w:rsid w:val="52872F5F"/>
    <w:rsid w:val="528A1A8A"/>
    <w:rsid w:val="528B5F65"/>
    <w:rsid w:val="528C06A5"/>
    <w:rsid w:val="528C45CC"/>
    <w:rsid w:val="529214B7"/>
    <w:rsid w:val="52950FA7"/>
    <w:rsid w:val="5295500F"/>
    <w:rsid w:val="52981582"/>
    <w:rsid w:val="52A5743C"/>
    <w:rsid w:val="52A642BD"/>
    <w:rsid w:val="52AB48FB"/>
    <w:rsid w:val="52AE4AE4"/>
    <w:rsid w:val="52B21B59"/>
    <w:rsid w:val="52B534C8"/>
    <w:rsid w:val="52BA27BB"/>
    <w:rsid w:val="52BD36EC"/>
    <w:rsid w:val="52C535BF"/>
    <w:rsid w:val="52CB2EA1"/>
    <w:rsid w:val="52CB3281"/>
    <w:rsid w:val="52D424A3"/>
    <w:rsid w:val="52D7511B"/>
    <w:rsid w:val="52D764AD"/>
    <w:rsid w:val="52DA4A7E"/>
    <w:rsid w:val="52EF6909"/>
    <w:rsid w:val="52F32B1B"/>
    <w:rsid w:val="52F43F1F"/>
    <w:rsid w:val="52F775D7"/>
    <w:rsid w:val="52F932E4"/>
    <w:rsid w:val="52FE08FA"/>
    <w:rsid w:val="53001CBD"/>
    <w:rsid w:val="530524D1"/>
    <w:rsid w:val="530B7849"/>
    <w:rsid w:val="530C1887"/>
    <w:rsid w:val="530F6FAB"/>
    <w:rsid w:val="53165ACD"/>
    <w:rsid w:val="5323375D"/>
    <w:rsid w:val="532365B3"/>
    <w:rsid w:val="5326046A"/>
    <w:rsid w:val="53290398"/>
    <w:rsid w:val="53291D44"/>
    <w:rsid w:val="532A03F7"/>
    <w:rsid w:val="53345D64"/>
    <w:rsid w:val="53367966"/>
    <w:rsid w:val="53385ED7"/>
    <w:rsid w:val="533B7DA0"/>
    <w:rsid w:val="53513120"/>
    <w:rsid w:val="53536C33"/>
    <w:rsid w:val="53536E98"/>
    <w:rsid w:val="535449BE"/>
    <w:rsid w:val="53590226"/>
    <w:rsid w:val="535A6478"/>
    <w:rsid w:val="535B2858"/>
    <w:rsid w:val="535D3873"/>
    <w:rsid w:val="535E75EB"/>
    <w:rsid w:val="53603363"/>
    <w:rsid w:val="53746F88"/>
    <w:rsid w:val="53755688"/>
    <w:rsid w:val="53760DD8"/>
    <w:rsid w:val="537868DB"/>
    <w:rsid w:val="537B678C"/>
    <w:rsid w:val="53832456"/>
    <w:rsid w:val="53867734"/>
    <w:rsid w:val="538B008B"/>
    <w:rsid w:val="538F0EB4"/>
    <w:rsid w:val="53906AF0"/>
    <w:rsid w:val="5391176E"/>
    <w:rsid w:val="53924AD9"/>
    <w:rsid w:val="539354E6"/>
    <w:rsid w:val="5394222F"/>
    <w:rsid w:val="53963229"/>
    <w:rsid w:val="539E0C5C"/>
    <w:rsid w:val="53A039CC"/>
    <w:rsid w:val="53A1505A"/>
    <w:rsid w:val="53A176F2"/>
    <w:rsid w:val="53A33245"/>
    <w:rsid w:val="53AA20F6"/>
    <w:rsid w:val="53AA69BC"/>
    <w:rsid w:val="53AC65A8"/>
    <w:rsid w:val="53AE40CE"/>
    <w:rsid w:val="53B2032E"/>
    <w:rsid w:val="53B74085"/>
    <w:rsid w:val="53BC0303"/>
    <w:rsid w:val="53BC2C8F"/>
    <w:rsid w:val="53C03D13"/>
    <w:rsid w:val="53C3156D"/>
    <w:rsid w:val="53CE6E32"/>
    <w:rsid w:val="53D42E9C"/>
    <w:rsid w:val="53D722CD"/>
    <w:rsid w:val="53DA6B55"/>
    <w:rsid w:val="53E13EF1"/>
    <w:rsid w:val="53F73CC7"/>
    <w:rsid w:val="53F81F38"/>
    <w:rsid w:val="53FE377E"/>
    <w:rsid w:val="540177F1"/>
    <w:rsid w:val="5403095E"/>
    <w:rsid w:val="54063E08"/>
    <w:rsid w:val="540722D6"/>
    <w:rsid w:val="540C5299"/>
    <w:rsid w:val="54115E18"/>
    <w:rsid w:val="541224FD"/>
    <w:rsid w:val="541B1C18"/>
    <w:rsid w:val="541B7982"/>
    <w:rsid w:val="54212E7B"/>
    <w:rsid w:val="54224ABC"/>
    <w:rsid w:val="5426587E"/>
    <w:rsid w:val="54297BF9"/>
    <w:rsid w:val="542C43EF"/>
    <w:rsid w:val="542C65D7"/>
    <w:rsid w:val="54300F87"/>
    <w:rsid w:val="54311940"/>
    <w:rsid w:val="543437E8"/>
    <w:rsid w:val="54343E0A"/>
    <w:rsid w:val="54361761"/>
    <w:rsid w:val="54367A9B"/>
    <w:rsid w:val="543D1818"/>
    <w:rsid w:val="54402158"/>
    <w:rsid w:val="54442658"/>
    <w:rsid w:val="54461839"/>
    <w:rsid w:val="54464BBC"/>
    <w:rsid w:val="54495C05"/>
    <w:rsid w:val="544A35EC"/>
    <w:rsid w:val="544D2410"/>
    <w:rsid w:val="54531554"/>
    <w:rsid w:val="5454733B"/>
    <w:rsid w:val="54571DEF"/>
    <w:rsid w:val="545C0DEF"/>
    <w:rsid w:val="546267E5"/>
    <w:rsid w:val="5464633E"/>
    <w:rsid w:val="546724CF"/>
    <w:rsid w:val="54761616"/>
    <w:rsid w:val="547D3F6F"/>
    <w:rsid w:val="547F222C"/>
    <w:rsid w:val="548070A5"/>
    <w:rsid w:val="548331D0"/>
    <w:rsid w:val="54882AE2"/>
    <w:rsid w:val="548B7A74"/>
    <w:rsid w:val="549E2395"/>
    <w:rsid w:val="54A66005"/>
    <w:rsid w:val="54AA5156"/>
    <w:rsid w:val="54B02B7F"/>
    <w:rsid w:val="54B139D4"/>
    <w:rsid w:val="54B9075C"/>
    <w:rsid w:val="54B95421"/>
    <w:rsid w:val="54BA2F6A"/>
    <w:rsid w:val="54BE2761"/>
    <w:rsid w:val="54BF230B"/>
    <w:rsid w:val="54C25410"/>
    <w:rsid w:val="54C31DFB"/>
    <w:rsid w:val="54C41444"/>
    <w:rsid w:val="54C4542D"/>
    <w:rsid w:val="54C625D1"/>
    <w:rsid w:val="54C94F38"/>
    <w:rsid w:val="54CF69F2"/>
    <w:rsid w:val="54DC0F5A"/>
    <w:rsid w:val="54DF070E"/>
    <w:rsid w:val="54E0475B"/>
    <w:rsid w:val="54E2628C"/>
    <w:rsid w:val="54F16968"/>
    <w:rsid w:val="54F73313"/>
    <w:rsid w:val="54F80955"/>
    <w:rsid w:val="5502690E"/>
    <w:rsid w:val="550565D4"/>
    <w:rsid w:val="55081F04"/>
    <w:rsid w:val="55083CB2"/>
    <w:rsid w:val="55102B67"/>
    <w:rsid w:val="55126BCE"/>
    <w:rsid w:val="55191A1B"/>
    <w:rsid w:val="551D6150"/>
    <w:rsid w:val="551E34D6"/>
    <w:rsid w:val="55230AEC"/>
    <w:rsid w:val="55264138"/>
    <w:rsid w:val="552A00CC"/>
    <w:rsid w:val="552A3C28"/>
    <w:rsid w:val="552B79A7"/>
    <w:rsid w:val="552C3FC0"/>
    <w:rsid w:val="552D3719"/>
    <w:rsid w:val="553108D0"/>
    <w:rsid w:val="55342CF9"/>
    <w:rsid w:val="55344AA7"/>
    <w:rsid w:val="553625CD"/>
    <w:rsid w:val="553E0825"/>
    <w:rsid w:val="553E6AE1"/>
    <w:rsid w:val="554271C4"/>
    <w:rsid w:val="554525D7"/>
    <w:rsid w:val="55452810"/>
    <w:rsid w:val="554A22E8"/>
    <w:rsid w:val="554A42CB"/>
    <w:rsid w:val="554E679D"/>
    <w:rsid w:val="555170A7"/>
    <w:rsid w:val="555313D1"/>
    <w:rsid w:val="555B1898"/>
    <w:rsid w:val="556F3D31"/>
    <w:rsid w:val="55713605"/>
    <w:rsid w:val="55747BA2"/>
    <w:rsid w:val="5576721A"/>
    <w:rsid w:val="557E6A07"/>
    <w:rsid w:val="55801A9A"/>
    <w:rsid w:val="55842EA5"/>
    <w:rsid w:val="5587536D"/>
    <w:rsid w:val="558B3AB9"/>
    <w:rsid w:val="558E406F"/>
    <w:rsid w:val="558F2CFC"/>
    <w:rsid w:val="55965FBE"/>
    <w:rsid w:val="559B174B"/>
    <w:rsid w:val="559D264C"/>
    <w:rsid w:val="55A0038E"/>
    <w:rsid w:val="55A559A5"/>
    <w:rsid w:val="55A863DE"/>
    <w:rsid w:val="55AA2FBB"/>
    <w:rsid w:val="55AD03B6"/>
    <w:rsid w:val="55AF2380"/>
    <w:rsid w:val="55AF412E"/>
    <w:rsid w:val="55B53A58"/>
    <w:rsid w:val="55B77F4B"/>
    <w:rsid w:val="55BB22CC"/>
    <w:rsid w:val="55BD5D60"/>
    <w:rsid w:val="55C0534A"/>
    <w:rsid w:val="55C45E2B"/>
    <w:rsid w:val="55C66E05"/>
    <w:rsid w:val="55CA2593"/>
    <w:rsid w:val="55CA55F7"/>
    <w:rsid w:val="55CD1223"/>
    <w:rsid w:val="55CE0CF4"/>
    <w:rsid w:val="55CE6CAA"/>
    <w:rsid w:val="55CF4C1F"/>
    <w:rsid w:val="55D04FA7"/>
    <w:rsid w:val="55E41916"/>
    <w:rsid w:val="55E7347A"/>
    <w:rsid w:val="55E860FF"/>
    <w:rsid w:val="55EA2C6D"/>
    <w:rsid w:val="55F14DEF"/>
    <w:rsid w:val="55F72C7F"/>
    <w:rsid w:val="55F935FB"/>
    <w:rsid w:val="55FB55C5"/>
    <w:rsid w:val="55FD133D"/>
    <w:rsid w:val="55FF100C"/>
    <w:rsid w:val="56020701"/>
    <w:rsid w:val="56045FCA"/>
    <w:rsid w:val="56073F6A"/>
    <w:rsid w:val="56097CE2"/>
    <w:rsid w:val="560E6A1A"/>
    <w:rsid w:val="5611195D"/>
    <w:rsid w:val="56161C92"/>
    <w:rsid w:val="56193438"/>
    <w:rsid w:val="561C7481"/>
    <w:rsid w:val="561F5757"/>
    <w:rsid w:val="56242D6E"/>
    <w:rsid w:val="562468CA"/>
    <w:rsid w:val="56251B57"/>
    <w:rsid w:val="56316AFA"/>
    <w:rsid w:val="56352885"/>
    <w:rsid w:val="56356D29"/>
    <w:rsid w:val="563A2710"/>
    <w:rsid w:val="56494582"/>
    <w:rsid w:val="565151E5"/>
    <w:rsid w:val="56575846"/>
    <w:rsid w:val="56575CED"/>
    <w:rsid w:val="5659026C"/>
    <w:rsid w:val="565C2507"/>
    <w:rsid w:val="565D1DDC"/>
    <w:rsid w:val="56672A0E"/>
    <w:rsid w:val="566A4EFD"/>
    <w:rsid w:val="567158A4"/>
    <w:rsid w:val="567333AD"/>
    <w:rsid w:val="567B1C1A"/>
    <w:rsid w:val="567C04B4"/>
    <w:rsid w:val="567C094D"/>
    <w:rsid w:val="568140A3"/>
    <w:rsid w:val="56835CE6"/>
    <w:rsid w:val="56867584"/>
    <w:rsid w:val="56890E23"/>
    <w:rsid w:val="56921A85"/>
    <w:rsid w:val="56956DCB"/>
    <w:rsid w:val="56982E14"/>
    <w:rsid w:val="569956F7"/>
    <w:rsid w:val="569C1432"/>
    <w:rsid w:val="569C36DF"/>
    <w:rsid w:val="569D6990"/>
    <w:rsid w:val="569F1F43"/>
    <w:rsid w:val="56A3487D"/>
    <w:rsid w:val="56A74DC4"/>
    <w:rsid w:val="56AC0382"/>
    <w:rsid w:val="56AC3CDF"/>
    <w:rsid w:val="56B22A9C"/>
    <w:rsid w:val="56B52866"/>
    <w:rsid w:val="56B67742"/>
    <w:rsid w:val="56BC6B02"/>
    <w:rsid w:val="56C60329"/>
    <w:rsid w:val="56C835DF"/>
    <w:rsid w:val="56CA56C3"/>
    <w:rsid w:val="56CE1E94"/>
    <w:rsid w:val="56D05411"/>
    <w:rsid w:val="56DF3F35"/>
    <w:rsid w:val="56E46059"/>
    <w:rsid w:val="56EC5303"/>
    <w:rsid w:val="56EE10A3"/>
    <w:rsid w:val="56EE6C55"/>
    <w:rsid w:val="56EF512A"/>
    <w:rsid w:val="56FB2053"/>
    <w:rsid w:val="570105FA"/>
    <w:rsid w:val="570A502D"/>
    <w:rsid w:val="570B1838"/>
    <w:rsid w:val="570B2A97"/>
    <w:rsid w:val="57160908"/>
    <w:rsid w:val="5717642E"/>
    <w:rsid w:val="571F3872"/>
    <w:rsid w:val="571F75A1"/>
    <w:rsid w:val="57212E09"/>
    <w:rsid w:val="572161FB"/>
    <w:rsid w:val="57250B4B"/>
    <w:rsid w:val="57285B2E"/>
    <w:rsid w:val="57367FFF"/>
    <w:rsid w:val="573C5AC9"/>
    <w:rsid w:val="573F27EE"/>
    <w:rsid w:val="57496D0D"/>
    <w:rsid w:val="574C257C"/>
    <w:rsid w:val="57550131"/>
    <w:rsid w:val="57645C46"/>
    <w:rsid w:val="57664CC0"/>
    <w:rsid w:val="57672F12"/>
    <w:rsid w:val="576D604E"/>
    <w:rsid w:val="57711FE2"/>
    <w:rsid w:val="57737563"/>
    <w:rsid w:val="57767D76"/>
    <w:rsid w:val="57776ECD"/>
    <w:rsid w:val="57780CFE"/>
    <w:rsid w:val="57832CCF"/>
    <w:rsid w:val="57834D3C"/>
    <w:rsid w:val="578404A0"/>
    <w:rsid w:val="578C7B66"/>
    <w:rsid w:val="578E4942"/>
    <w:rsid w:val="5792131B"/>
    <w:rsid w:val="579730CB"/>
    <w:rsid w:val="57A5242C"/>
    <w:rsid w:val="57AE1152"/>
    <w:rsid w:val="57AE732C"/>
    <w:rsid w:val="57AF2B0B"/>
    <w:rsid w:val="57AF7361"/>
    <w:rsid w:val="57B72A76"/>
    <w:rsid w:val="57BF6098"/>
    <w:rsid w:val="57C3426C"/>
    <w:rsid w:val="57C53D6A"/>
    <w:rsid w:val="57C71C02"/>
    <w:rsid w:val="57C71CB3"/>
    <w:rsid w:val="57CE1F93"/>
    <w:rsid w:val="57D63138"/>
    <w:rsid w:val="57D63150"/>
    <w:rsid w:val="57DB2C59"/>
    <w:rsid w:val="57E24C8E"/>
    <w:rsid w:val="57E336E2"/>
    <w:rsid w:val="57E52089"/>
    <w:rsid w:val="57E834F2"/>
    <w:rsid w:val="57E83927"/>
    <w:rsid w:val="57E952BD"/>
    <w:rsid w:val="57EA58F1"/>
    <w:rsid w:val="57F25858"/>
    <w:rsid w:val="57F61771"/>
    <w:rsid w:val="57F945DA"/>
    <w:rsid w:val="57FC74D7"/>
    <w:rsid w:val="58044C05"/>
    <w:rsid w:val="58082A96"/>
    <w:rsid w:val="580A07AE"/>
    <w:rsid w:val="580C5867"/>
    <w:rsid w:val="58100309"/>
    <w:rsid w:val="58134E48"/>
    <w:rsid w:val="581D38D8"/>
    <w:rsid w:val="581D7C2B"/>
    <w:rsid w:val="58235A2F"/>
    <w:rsid w:val="582D6EF7"/>
    <w:rsid w:val="58354DBE"/>
    <w:rsid w:val="583733E0"/>
    <w:rsid w:val="583A40A4"/>
    <w:rsid w:val="58457402"/>
    <w:rsid w:val="58470B61"/>
    <w:rsid w:val="5848477E"/>
    <w:rsid w:val="584A2FE9"/>
    <w:rsid w:val="584E630F"/>
    <w:rsid w:val="58546B0D"/>
    <w:rsid w:val="58580AAD"/>
    <w:rsid w:val="58586CFE"/>
    <w:rsid w:val="585A61E3"/>
    <w:rsid w:val="585E52F5"/>
    <w:rsid w:val="585F2561"/>
    <w:rsid w:val="5866766D"/>
    <w:rsid w:val="58732438"/>
    <w:rsid w:val="587B2367"/>
    <w:rsid w:val="587E56A8"/>
    <w:rsid w:val="588040E3"/>
    <w:rsid w:val="5882405C"/>
    <w:rsid w:val="588418A2"/>
    <w:rsid w:val="588743D1"/>
    <w:rsid w:val="5887701A"/>
    <w:rsid w:val="58902C7A"/>
    <w:rsid w:val="58907086"/>
    <w:rsid w:val="58A55427"/>
    <w:rsid w:val="58A75590"/>
    <w:rsid w:val="58AB6E2E"/>
    <w:rsid w:val="58AF08B9"/>
    <w:rsid w:val="58B303D9"/>
    <w:rsid w:val="58B46E42"/>
    <w:rsid w:val="58B66C14"/>
    <w:rsid w:val="58B71C77"/>
    <w:rsid w:val="58B93701"/>
    <w:rsid w:val="58BA1767"/>
    <w:rsid w:val="58BA34E5"/>
    <w:rsid w:val="58BC728D"/>
    <w:rsid w:val="58BF6D7E"/>
    <w:rsid w:val="58C1067D"/>
    <w:rsid w:val="58C6010C"/>
    <w:rsid w:val="58CC0C6F"/>
    <w:rsid w:val="58CE59D8"/>
    <w:rsid w:val="58D17379"/>
    <w:rsid w:val="58D36323"/>
    <w:rsid w:val="58D64704"/>
    <w:rsid w:val="58D80F93"/>
    <w:rsid w:val="58DF54BF"/>
    <w:rsid w:val="58E275DE"/>
    <w:rsid w:val="58E47841"/>
    <w:rsid w:val="58E53B80"/>
    <w:rsid w:val="58EA21E6"/>
    <w:rsid w:val="58EB36CF"/>
    <w:rsid w:val="58EC457C"/>
    <w:rsid w:val="58F534DF"/>
    <w:rsid w:val="58FC29EF"/>
    <w:rsid w:val="58FD15E8"/>
    <w:rsid w:val="58FE4A19"/>
    <w:rsid w:val="59026058"/>
    <w:rsid w:val="59080725"/>
    <w:rsid w:val="5909243F"/>
    <w:rsid w:val="590B5B1F"/>
    <w:rsid w:val="590C4F59"/>
    <w:rsid w:val="591744C4"/>
    <w:rsid w:val="591C0D62"/>
    <w:rsid w:val="59254E33"/>
    <w:rsid w:val="59260BAB"/>
    <w:rsid w:val="592B4413"/>
    <w:rsid w:val="592D018B"/>
    <w:rsid w:val="592E0C4E"/>
    <w:rsid w:val="592F3EA4"/>
    <w:rsid w:val="59332F66"/>
    <w:rsid w:val="593B35D7"/>
    <w:rsid w:val="59417793"/>
    <w:rsid w:val="59425A14"/>
    <w:rsid w:val="59441031"/>
    <w:rsid w:val="59444C41"/>
    <w:rsid w:val="59492413"/>
    <w:rsid w:val="5952151D"/>
    <w:rsid w:val="59557213"/>
    <w:rsid w:val="59570D64"/>
    <w:rsid w:val="595B6AA6"/>
    <w:rsid w:val="595D004C"/>
    <w:rsid w:val="595E20F3"/>
    <w:rsid w:val="59601E20"/>
    <w:rsid w:val="59617E35"/>
    <w:rsid w:val="596209A6"/>
    <w:rsid w:val="596266FC"/>
    <w:rsid w:val="59647D01"/>
    <w:rsid w:val="596544AE"/>
    <w:rsid w:val="596671F9"/>
    <w:rsid w:val="597653C7"/>
    <w:rsid w:val="597A6C86"/>
    <w:rsid w:val="5980222F"/>
    <w:rsid w:val="598B6C60"/>
    <w:rsid w:val="598C74CC"/>
    <w:rsid w:val="598D50F3"/>
    <w:rsid w:val="599716A2"/>
    <w:rsid w:val="59975605"/>
    <w:rsid w:val="5999291B"/>
    <w:rsid w:val="59A33FA9"/>
    <w:rsid w:val="59A53CE1"/>
    <w:rsid w:val="59A73A9A"/>
    <w:rsid w:val="59AA25E2"/>
    <w:rsid w:val="59AC62AE"/>
    <w:rsid w:val="59AD3C12"/>
    <w:rsid w:val="59B30690"/>
    <w:rsid w:val="59B44408"/>
    <w:rsid w:val="59B45AF6"/>
    <w:rsid w:val="59B63CDD"/>
    <w:rsid w:val="59B83EF9"/>
    <w:rsid w:val="59C0439F"/>
    <w:rsid w:val="59C7413C"/>
    <w:rsid w:val="59D40607"/>
    <w:rsid w:val="59D453B7"/>
    <w:rsid w:val="59D625D1"/>
    <w:rsid w:val="59D975AF"/>
    <w:rsid w:val="59E06223"/>
    <w:rsid w:val="59E24AD2"/>
    <w:rsid w:val="59E469F1"/>
    <w:rsid w:val="59E720E8"/>
    <w:rsid w:val="59E806C7"/>
    <w:rsid w:val="59E92304"/>
    <w:rsid w:val="59EA607C"/>
    <w:rsid w:val="59EA6202"/>
    <w:rsid w:val="59EC5950"/>
    <w:rsid w:val="59EC76FE"/>
    <w:rsid w:val="59EE791A"/>
    <w:rsid w:val="59F52A3C"/>
    <w:rsid w:val="59F60CF8"/>
    <w:rsid w:val="59F667CF"/>
    <w:rsid w:val="59FC75C2"/>
    <w:rsid w:val="5A012C99"/>
    <w:rsid w:val="5A02695A"/>
    <w:rsid w:val="5A032C9A"/>
    <w:rsid w:val="5A0C4199"/>
    <w:rsid w:val="5A0D37E5"/>
    <w:rsid w:val="5A0F1829"/>
    <w:rsid w:val="5A204604"/>
    <w:rsid w:val="5A2359F1"/>
    <w:rsid w:val="5A2F1CE1"/>
    <w:rsid w:val="5A307D4C"/>
    <w:rsid w:val="5A33532D"/>
    <w:rsid w:val="5A335D71"/>
    <w:rsid w:val="5A367015"/>
    <w:rsid w:val="5A3A1ABA"/>
    <w:rsid w:val="5A3C31EA"/>
    <w:rsid w:val="5A3D07F3"/>
    <w:rsid w:val="5A403A28"/>
    <w:rsid w:val="5A432D36"/>
    <w:rsid w:val="5A596479"/>
    <w:rsid w:val="5A5B4884"/>
    <w:rsid w:val="5A5C55A1"/>
    <w:rsid w:val="5A5D05FC"/>
    <w:rsid w:val="5A5D684E"/>
    <w:rsid w:val="5A627044"/>
    <w:rsid w:val="5A663955"/>
    <w:rsid w:val="5A731BCE"/>
    <w:rsid w:val="5A795B68"/>
    <w:rsid w:val="5A7D2CE7"/>
    <w:rsid w:val="5A8262B5"/>
    <w:rsid w:val="5A847860"/>
    <w:rsid w:val="5A851901"/>
    <w:rsid w:val="5A8913F1"/>
    <w:rsid w:val="5A8A0299"/>
    <w:rsid w:val="5A8B5169"/>
    <w:rsid w:val="5A8D5F7D"/>
    <w:rsid w:val="5A8F3BA2"/>
    <w:rsid w:val="5A9349DC"/>
    <w:rsid w:val="5A9F0C15"/>
    <w:rsid w:val="5AA52BC1"/>
    <w:rsid w:val="5AA56D82"/>
    <w:rsid w:val="5AA85B39"/>
    <w:rsid w:val="5AA91A93"/>
    <w:rsid w:val="5AB346C0"/>
    <w:rsid w:val="5AB84E76"/>
    <w:rsid w:val="5ABB4D72"/>
    <w:rsid w:val="5ABE2233"/>
    <w:rsid w:val="5AC226A1"/>
    <w:rsid w:val="5AC462A3"/>
    <w:rsid w:val="5AC938EB"/>
    <w:rsid w:val="5AC97A40"/>
    <w:rsid w:val="5ACE2473"/>
    <w:rsid w:val="5AD54636"/>
    <w:rsid w:val="5AD563E4"/>
    <w:rsid w:val="5AD96BC3"/>
    <w:rsid w:val="5ADA39FB"/>
    <w:rsid w:val="5ADC3C17"/>
    <w:rsid w:val="5ADD4AE8"/>
    <w:rsid w:val="5ADD7DC6"/>
    <w:rsid w:val="5ADF6F3A"/>
    <w:rsid w:val="5ADF7263"/>
    <w:rsid w:val="5AE27234"/>
    <w:rsid w:val="5AE34FA5"/>
    <w:rsid w:val="5AE63D07"/>
    <w:rsid w:val="5AE87C8F"/>
    <w:rsid w:val="5AEA47A1"/>
    <w:rsid w:val="5AEB3E5A"/>
    <w:rsid w:val="5AED0425"/>
    <w:rsid w:val="5AF93724"/>
    <w:rsid w:val="5AFC62B9"/>
    <w:rsid w:val="5AFF3461"/>
    <w:rsid w:val="5AFF4DB0"/>
    <w:rsid w:val="5B0C743C"/>
    <w:rsid w:val="5B0D75A3"/>
    <w:rsid w:val="5B144CB3"/>
    <w:rsid w:val="5B1A64ED"/>
    <w:rsid w:val="5B1C04B7"/>
    <w:rsid w:val="5B1F58B2"/>
    <w:rsid w:val="5B215D77"/>
    <w:rsid w:val="5B21787C"/>
    <w:rsid w:val="5B234BF3"/>
    <w:rsid w:val="5B2358BC"/>
    <w:rsid w:val="5B275B22"/>
    <w:rsid w:val="5B2D6220"/>
    <w:rsid w:val="5B2F1F99"/>
    <w:rsid w:val="5B332A87"/>
    <w:rsid w:val="5B3C2A37"/>
    <w:rsid w:val="5B3E455E"/>
    <w:rsid w:val="5B440E4E"/>
    <w:rsid w:val="5B463948"/>
    <w:rsid w:val="5B541A2E"/>
    <w:rsid w:val="5B5E462C"/>
    <w:rsid w:val="5B624BBB"/>
    <w:rsid w:val="5B627E52"/>
    <w:rsid w:val="5B630E90"/>
    <w:rsid w:val="5B66495E"/>
    <w:rsid w:val="5B6D0D13"/>
    <w:rsid w:val="5B6F4A8B"/>
    <w:rsid w:val="5B74506C"/>
    <w:rsid w:val="5B773003"/>
    <w:rsid w:val="5B7A4083"/>
    <w:rsid w:val="5B7C2BC9"/>
    <w:rsid w:val="5B7C7CA2"/>
    <w:rsid w:val="5B8027F4"/>
    <w:rsid w:val="5B804E56"/>
    <w:rsid w:val="5B811B57"/>
    <w:rsid w:val="5B8C4407"/>
    <w:rsid w:val="5B907F2B"/>
    <w:rsid w:val="5B953DC6"/>
    <w:rsid w:val="5B96763D"/>
    <w:rsid w:val="5B9B5880"/>
    <w:rsid w:val="5BA04C44"/>
    <w:rsid w:val="5BA62408"/>
    <w:rsid w:val="5BA97648"/>
    <w:rsid w:val="5BBA5D5A"/>
    <w:rsid w:val="5BBB382C"/>
    <w:rsid w:val="5BBB7CD0"/>
    <w:rsid w:val="5BBE6D09"/>
    <w:rsid w:val="5BBE7621"/>
    <w:rsid w:val="5BBE7690"/>
    <w:rsid w:val="5BC00810"/>
    <w:rsid w:val="5BC528FD"/>
    <w:rsid w:val="5BC71E54"/>
    <w:rsid w:val="5BCA7F13"/>
    <w:rsid w:val="5BD237B0"/>
    <w:rsid w:val="5BD243D6"/>
    <w:rsid w:val="5BD74251"/>
    <w:rsid w:val="5BD806E6"/>
    <w:rsid w:val="5BD95648"/>
    <w:rsid w:val="5BDD1924"/>
    <w:rsid w:val="5BDF5D95"/>
    <w:rsid w:val="5BE20302"/>
    <w:rsid w:val="5BE72873"/>
    <w:rsid w:val="5BF14C2E"/>
    <w:rsid w:val="5BFE7528"/>
    <w:rsid w:val="5C001082"/>
    <w:rsid w:val="5C0A0D6D"/>
    <w:rsid w:val="5C0A6FBD"/>
    <w:rsid w:val="5C0C4088"/>
    <w:rsid w:val="5C1328D2"/>
    <w:rsid w:val="5C174686"/>
    <w:rsid w:val="5C1816B2"/>
    <w:rsid w:val="5C193E44"/>
    <w:rsid w:val="5C1D6295"/>
    <w:rsid w:val="5C1F025F"/>
    <w:rsid w:val="5C205BBF"/>
    <w:rsid w:val="5C242E11"/>
    <w:rsid w:val="5C2C1351"/>
    <w:rsid w:val="5C321615"/>
    <w:rsid w:val="5C390BF5"/>
    <w:rsid w:val="5C3F05AC"/>
    <w:rsid w:val="5C45176F"/>
    <w:rsid w:val="5C471339"/>
    <w:rsid w:val="5C5A7650"/>
    <w:rsid w:val="5C68451B"/>
    <w:rsid w:val="5C693F03"/>
    <w:rsid w:val="5C6D1040"/>
    <w:rsid w:val="5C7560D1"/>
    <w:rsid w:val="5C831C5C"/>
    <w:rsid w:val="5C86060B"/>
    <w:rsid w:val="5C88709C"/>
    <w:rsid w:val="5C8B5A45"/>
    <w:rsid w:val="5C901F0C"/>
    <w:rsid w:val="5C902F0B"/>
    <w:rsid w:val="5C9522CF"/>
    <w:rsid w:val="5C981DBF"/>
    <w:rsid w:val="5C9F70ED"/>
    <w:rsid w:val="5CA70254"/>
    <w:rsid w:val="5CA97B29"/>
    <w:rsid w:val="5CAE15E3"/>
    <w:rsid w:val="5CB169DD"/>
    <w:rsid w:val="5CB36BF9"/>
    <w:rsid w:val="5CB817EE"/>
    <w:rsid w:val="5CBA2C4C"/>
    <w:rsid w:val="5CBA7D0C"/>
    <w:rsid w:val="5CC06FCC"/>
    <w:rsid w:val="5CC11316"/>
    <w:rsid w:val="5CC3098C"/>
    <w:rsid w:val="5CCE2189"/>
    <w:rsid w:val="5CD379A9"/>
    <w:rsid w:val="5CDA23D8"/>
    <w:rsid w:val="5CDE61E5"/>
    <w:rsid w:val="5CE46DB3"/>
    <w:rsid w:val="5CEC3A93"/>
    <w:rsid w:val="5CEC747F"/>
    <w:rsid w:val="5CF54B1C"/>
    <w:rsid w:val="5CFD5DA4"/>
    <w:rsid w:val="5D002B6A"/>
    <w:rsid w:val="5D0204D6"/>
    <w:rsid w:val="5D094A6B"/>
    <w:rsid w:val="5D0A2889"/>
    <w:rsid w:val="5D0E2082"/>
    <w:rsid w:val="5D101956"/>
    <w:rsid w:val="5D107BA8"/>
    <w:rsid w:val="5D1256CE"/>
    <w:rsid w:val="5D131446"/>
    <w:rsid w:val="5D1717AF"/>
    <w:rsid w:val="5D1A4582"/>
    <w:rsid w:val="5D1C5CC2"/>
    <w:rsid w:val="5D1C7811"/>
    <w:rsid w:val="5D1F7DEB"/>
    <w:rsid w:val="5D2116BF"/>
    <w:rsid w:val="5D250E31"/>
    <w:rsid w:val="5D2740BB"/>
    <w:rsid w:val="5D2746F8"/>
    <w:rsid w:val="5D293816"/>
    <w:rsid w:val="5D323FC2"/>
    <w:rsid w:val="5D372F58"/>
    <w:rsid w:val="5D373386"/>
    <w:rsid w:val="5D375134"/>
    <w:rsid w:val="5D3B07BB"/>
    <w:rsid w:val="5D3B0F8C"/>
    <w:rsid w:val="5D3C099D"/>
    <w:rsid w:val="5D3C6BEF"/>
    <w:rsid w:val="5D3D29AA"/>
    <w:rsid w:val="5D3E4715"/>
    <w:rsid w:val="5D3E7A82"/>
    <w:rsid w:val="5D470B36"/>
    <w:rsid w:val="5D526250"/>
    <w:rsid w:val="5D535CE6"/>
    <w:rsid w:val="5D567CEE"/>
    <w:rsid w:val="5D57778A"/>
    <w:rsid w:val="5D6241BC"/>
    <w:rsid w:val="5D627360"/>
    <w:rsid w:val="5D6E48CE"/>
    <w:rsid w:val="5D74760D"/>
    <w:rsid w:val="5D7A7717"/>
    <w:rsid w:val="5D7B7E30"/>
    <w:rsid w:val="5D7C0182"/>
    <w:rsid w:val="5D7E7207"/>
    <w:rsid w:val="5D942D30"/>
    <w:rsid w:val="5D9B1B67"/>
    <w:rsid w:val="5DA36273"/>
    <w:rsid w:val="5DAC246E"/>
    <w:rsid w:val="5DB42C29"/>
    <w:rsid w:val="5DB449D7"/>
    <w:rsid w:val="5DBB1E62"/>
    <w:rsid w:val="5DC11BD4"/>
    <w:rsid w:val="5DC32E6C"/>
    <w:rsid w:val="5DC42740"/>
    <w:rsid w:val="5DC759B6"/>
    <w:rsid w:val="5DC961C2"/>
    <w:rsid w:val="5DCD5A99"/>
    <w:rsid w:val="5DD337FE"/>
    <w:rsid w:val="5DDB29D0"/>
    <w:rsid w:val="5DDC3F2E"/>
    <w:rsid w:val="5DE401C7"/>
    <w:rsid w:val="5DEA0758"/>
    <w:rsid w:val="5DEE4B0E"/>
    <w:rsid w:val="5DEF78BB"/>
    <w:rsid w:val="5DF3340F"/>
    <w:rsid w:val="5DF96318"/>
    <w:rsid w:val="5E001ACF"/>
    <w:rsid w:val="5E077FA7"/>
    <w:rsid w:val="5E08087F"/>
    <w:rsid w:val="5E0D034B"/>
    <w:rsid w:val="5E1436C8"/>
    <w:rsid w:val="5E195986"/>
    <w:rsid w:val="5E1B7EF2"/>
    <w:rsid w:val="5E1C257C"/>
    <w:rsid w:val="5E1E4DF0"/>
    <w:rsid w:val="5E1F60A7"/>
    <w:rsid w:val="5E2356B9"/>
    <w:rsid w:val="5E2467F1"/>
    <w:rsid w:val="5E2A4C99"/>
    <w:rsid w:val="5E352B67"/>
    <w:rsid w:val="5E370582"/>
    <w:rsid w:val="5E381A9C"/>
    <w:rsid w:val="5E3B6AAD"/>
    <w:rsid w:val="5E4A70E9"/>
    <w:rsid w:val="5E4F4700"/>
    <w:rsid w:val="5E565A8E"/>
    <w:rsid w:val="5E577F63"/>
    <w:rsid w:val="5E631F59"/>
    <w:rsid w:val="5E635D82"/>
    <w:rsid w:val="5E6957C1"/>
    <w:rsid w:val="5E730575"/>
    <w:rsid w:val="5E761C8C"/>
    <w:rsid w:val="5E7674DE"/>
    <w:rsid w:val="5E79083D"/>
    <w:rsid w:val="5E800D5D"/>
    <w:rsid w:val="5E89726E"/>
    <w:rsid w:val="5E8A5738"/>
    <w:rsid w:val="5E987791"/>
    <w:rsid w:val="5E9F464C"/>
    <w:rsid w:val="5E9F7435"/>
    <w:rsid w:val="5EA66A16"/>
    <w:rsid w:val="5EA902B4"/>
    <w:rsid w:val="5EAF155F"/>
    <w:rsid w:val="5EB033F0"/>
    <w:rsid w:val="5EB036B2"/>
    <w:rsid w:val="5EC62C14"/>
    <w:rsid w:val="5EC7073A"/>
    <w:rsid w:val="5EC944B2"/>
    <w:rsid w:val="5ECB647C"/>
    <w:rsid w:val="5ECC7AFE"/>
    <w:rsid w:val="5ED30271"/>
    <w:rsid w:val="5ED370DF"/>
    <w:rsid w:val="5EDE0D40"/>
    <w:rsid w:val="5EE027E7"/>
    <w:rsid w:val="5EE22D04"/>
    <w:rsid w:val="5EE475E4"/>
    <w:rsid w:val="5EE55333"/>
    <w:rsid w:val="5EEC6D75"/>
    <w:rsid w:val="5EF07C91"/>
    <w:rsid w:val="5EF37781"/>
    <w:rsid w:val="5EF37937"/>
    <w:rsid w:val="5EFC134A"/>
    <w:rsid w:val="5EFE5DC1"/>
    <w:rsid w:val="5EFF5A75"/>
    <w:rsid w:val="5F014E9D"/>
    <w:rsid w:val="5F071428"/>
    <w:rsid w:val="5F0965A4"/>
    <w:rsid w:val="5F0B0D18"/>
    <w:rsid w:val="5F1A2B43"/>
    <w:rsid w:val="5F1F1FF6"/>
    <w:rsid w:val="5F2218B2"/>
    <w:rsid w:val="5F2B6F1B"/>
    <w:rsid w:val="5F2D2C93"/>
    <w:rsid w:val="5F311D58"/>
    <w:rsid w:val="5F3B05DC"/>
    <w:rsid w:val="5F3E3C5B"/>
    <w:rsid w:val="5F401D9B"/>
    <w:rsid w:val="5F41214C"/>
    <w:rsid w:val="5F431FA1"/>
    <w:rsid w:val="5F461238"/>
    <w:rsid w:val="5F462387"/>
    <w:rsid w:val="5F4A106A"/>
    <w:rsid w:val="5F4B022D"/>
    <w:rsid w:val="5F4B4919"/>
    <w:rsid w:val="5F506981"/>
    <w:rsid w:val="5F530220"/>
    <w:rsid w:val="5F5650DC"/>
    <w:rsid w:val="5F5875E4"/>
    <w:rsid w:val="5F592D36"/>
    <w:rsid w:val="5F595ACD"/>
    <w:rsid w:val="5F5C6189"/>
    <w:rsid w:val="5F5F1038"/>
    <w:rsid w:val="5F6B4CCF"/>
    <w:rsid w:val="5F7A2EE8"/>
    <w:rsid w:val="5F7E529D"/>
    <w:rsid w:val="5F864151"/>
    <w:rsid w:val="5F8A052F"/>
    <w:rsid w:val="5F8F1018"/>
    <w:rsid w:val="5F9525E6"/>
    <w:rsid w:val="5F9862CA"/>
    <w:rsid w:val="5FA32F55"/>
    <w:rsid w:val="5FB7255D"/>
    <w:rsid w:val="5FB837BB"/>
    <w:rsid w:val="5FBF31B3"/>
    <w:rsid w:val="5FC222E6"/>
    <w:rsid w:val="5FC259CE"/>
    <w:rsid w:val="5FC4308B"/>
    <w:rsid w:val="5FCF3D4A"/>
    <w:rsid w:val="5FD01870"/>
    <w:rsid w:val="5FD0361E"/>
    <w:rsid w:val="5FD255E8"/>
    <w:rsid w:val="5FD46A15"/>
    <w:rsid w:val="5FD924D3"/>
    <w:rsid w:val="5FE532A2"/>
    <w:rsid w:val="5FF21651"/>
    <w:rsid w:val="5FF67529"/>
    <w:rsid w:val="5FFC4413"/>
    <w:rsid w:val="5FFD5996"/>
    <w:rsid w:val="6008100A"/>
    <w:rsid w:val="60103799"/>
    <w:rsid w:val="6017749F"/>
    <w:rsid w:val="60177B46"/>
    <w:rsid w:val="60180706"/>
    <w:rsid w:val="601B6F8F"/>
    <w:rsid w:val="601C3E3D"/>
    <w:rsid w:val="601E25DC"/>
    <w:rsid w:val="60200102"/>
    <w:rsid w:val="60234096"/>
    <w:rsid w:val="602A28EC"/>
    <w:rsid w:val="602C11A0"/>
    <w:rsid w:val="60365B77"/>
    <w:rsid w:val="603C3B9C"/>
    <w:rsid w:val="604069F6"/>
    <w:rsid w:val="604638E0"/>
    <w:rsid w:val="60473184"/>
    <w:rsid w:val="60483AFC"/>
    <w:rsid w:val="604A517F"/>
    <w:rsid w:val="604F4E8B"/>
    <w:rsid w:val="60522285"/>
    <w:rsid w:val="60593614"/>
    <w:rsid w:val="60620269"/>
    <w:rsid w:val="6065020A"/>
    <w:rsid w:val="60656AB9"/>
    <w:rsid w:val="60673F83"/>
    <w:rsid w:val="60681AA9"/>
    <w:rsid w:val="60695F4D"/>
    <w:rsid w:val="606A5D6B"/>
    <w:rsid w:val="6072639B"/>
    <w:rsid w:val="60757447"/>
    <w:rsid w:val="607937C9"/>
    <w:rsid w:val="60793CB6"/>
    <w:rsid w:val="607E12CC"/>
    <w:rsid w:val="60803296"/>
    <w:rsid w:val="60891CF4"/>
    <w:rsid w:val="608A127E"/>
    <w:rsid w:val="608F19AC"/>
    <w:rsid w:val="60910267"/>
    <w:rsid w:val="60967917"/>
    <w:rsid w:val="609D307B"/>
    <w:rsid w:val="60A356C4"/>
    <w:rsid w:val="60A95C2E"/>
    <w:rsid w:val="60A978E8"/>
    <w:rsid w:val="60B50F97"/>
    <w:rsid w:val="60B8658C"/>
    <w:rsid w:val="60BC7E74"/>
    <w:rsid w:val="60BD1060"/>
    <w:rsid w:val="60BE2043"/>
    <w:rsid w:val="60BE791B"/>
    <w:rsid w:val="60C04175"/>
    <w:rsid w:val="60C82547"/>
    <w:rsid w:val="60CC405A"/>
    <w:rsid w:val="60CD3C52"/>
    <w:rsid w:val="60CE5484"/>
    <w:rsid w:val="60D63372"/>
    <w:rsid w:val="60DB1612"/>
    <w:rsid w:val="60DC7029"/>
    <w:rsid w:val="60DD4245"/>
    <w:rsid w:val="60DE1591"/>
    <w:rsid w:val="60E44846"/>
    <w:rsid w:val="60E44EAB"/>
    <w:rsid w:val="60F35816"/>
    <w:rsid w:val="60F94C01"/>
    <w:rsid w:val="60FD75AC"/>
    <w:rsid w:val="61006F0C"/>
    <w:rsid w:val="611052AA"/>
    <w:rsid w:val="611759A9"/>
    <w:rsid w:val="61197766"/>
    <w:rsid w:val="61202383"/>
    <w:rsid w:val="61232F88"/>
    <w:rsid w:val="612956DC"/>
    <w:rsid w:val="612D2848"/>
    <w:rsid w:val="612E4AA0"/>
    <w:rsid w:val="612F0A64"/>
    <w:rsid w:val="61357BDD"/>
    <w:rsid w:val="613B0F6B"/>
    <w:rsid w:val="614442C4"/>
    <w:rsid w:val="614C27B6"/>
    <w:rsid w:val="614E4127"/>
    <w:rsid w:val="61544139"/>
    <w:rsid w:val="615A5895"/>
    <w:rsid w:val="615A6E64"/>
    <w:rsid w:val="615E1FB9"/>
    <w:rsid w:val="61616C24"/>
    <w:rsid w:val="616404C2"/>
    <w:rsid w:val="61646714"/>
    <w:rsid w:val="616473E7"/>
    <w:rsid w:val="61676CFF"/>
    <w:rsid w:val="616B1851"/>
    <w:rsid w:val="616B68A3"/>
    <w:rsid w:val="616C0976"/>
    <w:rsid w:val="616F4356"/>
    <w:rsid w:val="617240E5"/>
    <w:rsid w:val="617C404C"/>
    <w:rsid w:val="61811074"/>
    <w:rsid w:val="61832254"/>
    <w:rsid w:val="618531C6"/>
    <w:rsid w:val="618A197E"/>
    <w:rsid w:val="61926DDD"/>
    <w:rsid w:val="61930DA7"/>
    <w:rsid w:val="61932B55"/>
    <w:rsid w:val="619472BB"/>
    <w:rsid w:val="61955C36"/>
    <w:rsid w:val="619A4975"/>
    <w:rsid w:val="619B3FD0"/>
    <w:rsid w:val="619C7C5C"/>
    <w:rsid w:val="61A30D8A"/>
    <w:rsid w:val="61A30FEA"/>
    <w:rsid w:val="61A56C12"/>
    <w:rsid w:val="61AB4343"/>
    <w:rsid w:val="61AE5BF4"/>
    <w:rsid w:val="61AF3E33"/>
    <w:rsid w:val="61B551C2"/>
    <w:rsid w:val="61B62A43"/>
    <w:rsid w:val="61BC02FE"/>
    <w:rsid w:val="61BD1D0E"/>
    <w:rsid w:val="61C176C2"/>
    <w:rsid w:val="61C53F19"/>
    <w:rsid w:val="61C6117D"/>
    <w:rsid w:val="61C83B57"/>
    <w:rsid w:val="61CC33D5"/>
    <w:rsid w:val="61CD11EB"/>
    <w:rsid w:val="61CD42B9"/>
    <w:rsid w:val="61CF1677"/>
    <w:rsid w:val="61CF1FFF"/>
    <w:rsid w:val="61D17319"/>
    <w:rsid w:val="61D75E21"/>
    <w:rsid w:val="61D85AC9"/>
    <w:rsid w:val="61DE1F28"/>
    <w:rsid w:val="61E215D8"/>
    <w:rsid w:val="61E76A46"/>
    <w:rsid w:val="61E83787"/>
    <w:rsid w:val="61FB7C8E"/>
    <w:rsid w:val="61FC06FB"/>
    <w:rsid w:val="62064265"/>
    <w:rsid w:val="620677CB"/>
    <w:rsid w:val="620815C8"/>
    <w:rsid w:val="620A72BB"/>
    <w:rsid w:val="620D6DAC"/>
    <w:rsid w:val="620F40B1"/>
    <w:rsid w:val="6213047A"/>
    <w:rsid w:val="62181EE6"/>
    <w:rsid w:val="62183792"/>
    <w:rsid w:val="621A6DD3"/>
    <w:rsid w:val="621B3775"/>
    <w:rsid w:val="622540F5"/>
    <w:rsid w:val="622B0FE0"/>
    <w:rsid w:val="622C6B78"/>
    <w:rsid w:val="62362CF4"/>
    <w:rsid w:val="62364782"/>
    <w:rsid w:val="623720B9"/>
    <w:rsid w:val="62404A8B"/>
    <w:rsid w:val="62414596"/>
    <w:rsid w:val="62415380"/>
    <w:rsid w:val="62481B92"/>
    <w:rsid w:val="624C4E55"/>
    <w:rsid w:val="624E0893"/>
    <w:rsid w:val="624E70B1"/>
    <w:rsid w:val="624F1172"/>
    <w:rsid w:val="625209B9"/>
    <w:rsid w:val="6252656D"/>
    <w:rsid w:val="62614A02"/>
    <w:rsid w:val="62634C1E"/>
    <w:rsid w:val="626369CC"/>
    <w:rsid w:val="626A1B08"/>
    <w:rsid w:val="626D2023"/>
    <w:rsid w:val="627209BD"/>
    <w:rsid w:val="62771F43"/>
    <w:rsid w:val="627838A0"/>
    <w:rsid w:val="62797F9D"/>
    <w:rsid w:val="627D7A8D"/>
    <w:rsid w:val="627E51DA"/>
    <w:rsid w:val="628030DA"/>
    <w:rsid w:val="62850A57"/>
    <w:rsid w:val="62862181"/>
    <w:rsid w:val="628816D8"/>
    <w:rsid w:val="628E1C9B"/>
    <w:rsid w:val="629C4DF2"/>
    <w:rsid w:val="629D3E15"/>
    <w:rsid w:val="62A0552A"/>
    <w:rsid w:val="62AA1DB0"/>
    <w:rsid w:val="62AC4080"/>
    <w:rsid w:val="62AF7E63"/>
    <w:rsid w:val="62B2525D"/>
    <w:rsid w:val="62B52802"/>
    <w:rsid w:val="62B611F1"/>
    <w:rsid w:val="62B936C9"/>
    <w:rsid w:val="62B965EC"/>
    <w:rsid w:val="62C31A76"/>
    <w:rsid w:val="62C70274"/>
    <w:rsid w:val="62C92CD3"/>
    <w:rsid w:val="62CD2097"/>
    <w:rsid w:val="62CF6AAF"/>
    <w:rsid w:val="62D11B87"/>
    <w:rsid w:val="62D13935"/>
    <w:rsid w:val="62D152C3"/>
    <w:rsid w:val="62D172D1"/>
    <w:rsid w:val="62D33B51"/>
    <w:rsid w:val="62D358FF"/>
    <w:rsid w:val="62E0001C"/>
    <w:rsid w:val="62E12624"/>
    <w:rsid w:val="62E775FD"/>
    <w:rsid w:val="62E8203F"/>
    <w:rsid w:val="62F31AFE"/>
    <w:rsid w:val="62F53AC8"/>
    <w:rsid w:val="62F615EE"/>
    <w:rsid w:val="62FA7330"/>
    <w:rsid w:val="62FD2D46"/>
    <w:rsid w:val="62FD5FB9"/>
    <w:rsid w:val="63043D0B"/>
    <w:rsid w:val="6306709B"/>
    <w:rsid w:val="630A3E66"/>
    <w:rsid w:val="630E06E5"/>
    <w:rsid w:val="63165FA7"/>
    <w:rsid w:val="632074AD"/>
    <w:rsid w:val="63212267"/>
    <w:rsid w:val="63215906"/>
    <w:rsid w:val="632225B3"/>
    <w:rsid w:val="63293771"/>
    <w:rsid w:val="632B4E06"/>
    <w:rsid w:val="632B64E7"/>
    <w:rsid w:val="632E0D88"/>
    <w:rsid w:val="6330580C"/>
    <w:rsid w:val="63340929"/>
    <w:rsid w:val="633649C0"/>
    <w:rsid w:val="63387A26"/>
    <w:rsid w:val="633914DA"/>
    <w:rsid w:val="633C08FC"/>
    <w:rsid w:val="633E1A60"/>
    <w:rsid w:val="63416D0D"/>
    <w:rsid w:val="634217E8"/>
    <w:rsid w:val="634265E1"/>
    <w:rsid w:val="634B7B8C"/>
    <w:rsid w:val="634E64FC"/>
    <w:rsid w:val="63544194"/>
    <w:rsid w:val="63590869"/>
    <w:rsid w:val="635F3637"/>
    <w:rsid w:val="63647883"/>
    <w:rsid w:val="6367429A"/>
    <w:rsid w:val="63683A4C"/>
    <w:rsid w:val="636B3D8A"/>
    <w:rsid w:val="636F233B"/>
    <w:rsid w:val="637013A0"/>
    <w:rsid w:val="637A7682"/>
    <w:rsid w:val="638552A0"/>
    <w:rsid w:val="638769CE"/>
    <w:rsid w:val="638E55D2"/>
    <w:rsid w:val="6394356A"/>
    <w:rsid w:val="63944097"/>
    <w:rsid w:val="6397692D"/>
    <w:rsid w:val="63983766"/>
    <w:rsid w:val="639A01CB"/>
    <w:rsid w:val="639D1DD4"/>
    <w:rsid w:val="63A33228"/>
    <w:rsid w:val="63A64DC2"/>
    <w:rsid w:val="63A70B3A"/>
    <w:rsid w:val="63A977B9"/>
    <w:rsid w:val="63B02335"/>
    <w:rsid w:val="63B279CD"/>
    <w:rsid w:val="63B51154"/>
    <w:rsid w:val="63B82D47"/>
    <w:rsid w:val="63B91E59"/>
    <w:rsid w:val="63BC45E5"/>
    <w:rsid w:val="63BD210C"/>
    <w:rsid w:val="63C4067C"/>
    <w:rsid w:val="63C61B2C"/>
    <w:rsid w:val="63C65464"/>
    <w:rsid w:val="63CC234F"/>
    <w:rsid w:val="63D00091"/>
    <w:rsid w:val="63D40BE9"/>
    <w:rsid w:val="63D95197"/>
    <w:rsid w:val="63DD4B50"/>
    <w:rsid w:val="63DD630A"/>
    <w:rsid w:val="63E678B4"/>
    <w:rsid w:val="63EA2D09"/>
    <w:rsid w:val="63EB3B94"/>
    <w:rsid w:val="63EB4ECB"/>
    <w:rsid w:val="63F05DFF"/>
    <w:rsid w:val="63F10BEA"/>
    <w:rsid w:val="63F23BEA"/>
    <w:rsid w:val="63F975E8"/>
    <w:rsid w:val="63FF2724"/>
    <w:rsid w:val="64007E18"/>
    <w:rsid w:val="640146EE"/>
    <w:rsid w:val="64074BCA"/>
    <w:rsid w:val="640B49E2"/>
    <w:rsid w:val="640D4E41"/>
    <w:rsid w:val="640E2967"/>
    <w:rsid w:val="64102431"/>
    <w:rsid w:val="641066DF"/>
    <w:rsid w:val="64173EFA"/>
    <w:rsid w:val="641C5084"/>
    <w:rsid w:val="64242A33"/>
    <w:rsid w:val="64265F03"/>
    <w:rsid w:val="64267CB1"/>
    <w:rsid w:val="64285135"/>
    <w:rsid w:val="642E5A0B"/>
    <w:rsid w:val="642F125B"/>
    <w:rsid w:val="642F3009"/>
    <w:rsid w:val="642F7E17"/>
    <w:rsid w:val="643322BC"/>
    <w:rsid w:val="643A375C"/>
    <w:rsid w:val="643E39FE"/>
    <w:rsid w:val="644279E6"/>
    <w:rsid w:val="64446389"/>
    <w:rsid w:val="64452F49"/>
    <w:rsid w:val="64456942"/>
    <w:rsid w:val="64493D8F"/>
    <w:rsid w:val="644D47F0"/>
    <w:rsid w:val="644F3738"/>
    <w:rsid w:val="64520AA6"/>
    <w:rsid w:val="64671BB7"/>
    <w:rsid w:val="647A41C3"/>
    <w:rsid w:val="64840F16"/>
    <w:rsid w:val="64851E32"/>
    <w:rsid w:val="64882719"/>
    <w:rsid w:val="648A46E4"/>
    <w:rsid w:val="64902B9E"/>
    <w:rsid w:val="649C61C5"/>
    <w:rsid w:val="64A31301"/>
    <w:rsid w:val="64A42741"/>
    <w:rsid w:val="64A5243A"/>
    <w:rsid w:val="64AD03D2"/>
    <w:rsid w:val="64AD2180"/>
    <w:rsid w:val="64B654D9"/>
    <w:rsid w:val="64B81251"/>
    <w:rsid w:val="64BD0615"/>
    <w:rsid w:val="64C574CA"/>
    <w:rsid w:val="64C9520C"/>
    <w:rsid w:val="64CC6AAA"/>
    <w:rsid w:val="64CF02FD"/>
    <w:rsid w:val="64D040DE"/>
    <w:rsid w:val="64D12312"/>
    <w:rsid w:val="64D21BE7"/>
    <w:rsid w:val="64D74D2B"/>
    <w:rsid w:val="64DC3E60"/>
    <w:rsid w:val="64DD2A65"/>
    <w:rsid w:val="64E14E42"/>
    <w:rsid w:val="64F46001"/>
    <w:rsid w:val="64F47195"/>
    <w:rsid w:val="64F531DE"/>
    <w:rsid w:val="64FE29DC"/>
    <w:rsid w:val="65011063"/>
    <w:rsid w:val="650457AB"/>
    <w:rsid w:val="650758DA"/>
    <w:rsid w:val="65167D25"/>
    <w:rsid w:val="65172C25"/>
    <w:rsid w:val="651E1886"/>
    <w:rsid w:val="65247DB9"/>
    <w:rsid w:val="65273CE0"/>
    <w:rsid w:val="652E506F"/>
    <w:rsid w:val="65310A80"/>
    <w:rsid w:val="6531690D"/>
    <w:rsid w:val="65317D45"/>
    <w:rsid w:val="65335EBC"/>
    <w:rsid w:val="65373578"/>
    <w:rsid w:val="6538351C"/>
    <w:rsid w:val="65462432"/>
    <w:rsid w:val="65462486"/>
    <w:rsid w:val="654B3ABF"/>
    <w:rsid w:val="654F3237"/>
    <w:rsid w:val="65517B28"/>
    <w:rsid w:val="655814EA"/>
    <w:rsid w:val="65604E14"/>
    <w:rsid w:val="65644F35"/>
    <w:rsid w:val="65660CAD"/>
    <w:rsid w:val="656B46CF"/>
    <w:rsid w:val="6578453C"/>
    <w:rsid w:val="657E40B7"/>
    <w:rsid w:val="657F77F3"/>
    <w:rsid w:val="658C6239"/>
    <w:rsid w:val="65944F19"/>
    <w:rsid w:val="65962C14"/>
    <w:rsid w:val="659A6BA8"/>
    <w:rsid w:val="65A272E6"/>
    <w:rsid w:val="65A92947"/>
    <w:rsid w:val="65AA7839"/>
    <w:rsid w:val="65AF18EF"/>
    <w:rsid w:val="65AF24FC"/>
    <w:rsid w:val="65B16484"/>
    <w:rsid w:val="65B242C1"/>
    <w:rsid w:val="65B337C6"/>
    <w:rsid w:val="65B41636"/>
    <w:rsid w:val="65B904AF"/>
    <w:rsid w:val="65BF28C0"/>
    <w:rsid w:val="65C14135"/>
    <w:rsid w:val="65C31EBF"/>
    <w:rsid w:val="65CB0B10"/>
    <w:rsid w:val="65D329DC"/>
    <w:rsid w:val="65D9563C"/>
    <w:rsid w:val="65DB3657"/>
    <w:rsid w:val="65DB6AE0"/>
    <w:rsid w:val="65DC6B33"/>
    <w:rsid w:val="65E12D89"/>
    <w:rsid w:val="65E816C2"/>
    <w:rsid w:val="65E971E8"/>
    <w:rsid w:val="65EC0A86"/>
    <w:rsid w:val="65EF0514"/>
    <w:rsid w:val="65FF6A0B"/>
    <w:rsid w:val="66063F8F"/>
    <w:rsid w:val="6607107C"/>
    <w:rsid w:val="660D2ED6"/>
    <w:rsid w:val="66112C08"/>
    <w:rsid w:val="66184BA2"/>
    <w:rsid w:val="661C5916"/>
    <w:rsid w:val="661F70AE"/>
    <w:rsid w:val="661F7830"/>
    <w:rsid w:val="66240220"/>
    <w:rsid w:val="66264306"/>
    <w:rsid w:val="66320B8F"/>
    <w:rsid w:val="66391F1D"/>
    <w:rsid w:val="663A7A43"/>
    <w:rsid w:val="66483D36"/>
    <w:rsid w:val="66503996"/>
    <w:rsid w:val="66575337"/>
    <w:rsid w:val="66596BBD"/>
    <w:rsid w:val="665C20B0"/>
    <w:rsid w:val="665C3D4F"/>
    <w:rsid w:val="666A0292"/>
    <w:rsid w:val="666B10DF"/>
    <w:rsid w:val="666E38DB"/>
    <w:rsid w:val="66714F40"/>
    <w:rsid w:val="66763171"/>
    <w:rsid w:val="667B0788"/>
    <w:rsid w:val="66810A05"/>
    <w:rsid w:val="66833198"/>
    <w:rsid w:val="66855E09"/>
    <w:rsid w:val="668607FC"/>
    <w:rsid w:val="66860EDB"/>
    <w:rsid w:val="668641F4"/>
    <w:rsid w:val="668A09CB"/>
    <w:rsid w:val="668F5FE1"/>
    <w:rsid w:val="6695111E"/>
    <w:rsid w:val="669D40AB"/>
    <w:rsid w:val="66A370CE"/>
    <w:rsid w:val="66A718E0"/>
    <w:rsid w:val="66A80E51"/>
    <w:rsid w:val="66AA4BC9"/>
    <w:rsid w:val="66AE3BEE"/>
    <w:rsid w:val="66C33EDD"/>
    <w:rsid w:val="66C36B8F"/>
    <w:rsid w:val="66C51AAB"/>
    <w:rsid w:val="66C9098F"/>
    <w:rsid w:val="66CD4D5B"/>
    <w:rsid w:val="66CD74EB"/>
    <w:rsid w:val="66D41C46"/>
    <w:rsid w:val="66DA706A"/>
    <w:rsid w:val="66DF6717"/>
    <w:rsid w:val="66E414EA"/>
    <w:rsid w:val="66E873CE"/>
    <w:rsid w:val="66F300FB"/>
    <w:rsid w:val="66F5632C"/>
    <w:rsid w:val="6703152B"/>
    <w:rsid w:val="670503E1"/>
    <w:rsid w:val="67073DC9"/>
    <w:rsid w:val="670752CC"/>
    <w:rsid w:val="670F7122"/>
    <w:rsid w:val="67141D0B"/>
    <w:rsid w:val="671708C5"/>
    <w:rsid w:val="67185FD7"/>
    <w:rsid w:val="67191D4F"/>
    <w:rsid w:val="671F124A"/>
    <w:rsid w:val="67206C39"/>
    <w:rsid w:val="6722070B"/>
    <w:rsid w:val="672524A2"/>
    <w:rsid w:val="67266558"/>
    <w:rsid w:val="67283D40"/>
    <w:rsid w:val="672D1356"/>
    <w:rsid w:val="67392CCC"/>
    <w:rsid w:val="67397CFB"/>
    <w:rsid w:val="673C2122"/>
    <w:rsid w:val="674067A8"/>
    <w:rsid w:val="67452246"/>
    <w:rsid w:val="6746005A"/>
    <w:rsid w:val="67467072"/>
    <w:rsid w:val="674D150B"/>
    <w:rsid w:val="674D2CD2"/>
    <w:rsid w:val="67554EF5"/>
    <w:rsid w:val="67586027"/>
    <w:rsid w:val="67590DCC"/>
    <w:rsid w:val="675A3185"/>
    <w:rsid w:val="675D091D"/>
    <w:rsid w:val="675E7762"/>
    <w:rsid w:val="67626C3F"/>
    <w:rsid w:val="67627252"/>
    <w:rsid w:val="67696832"/>
    <w:rsid w:val="67696CD9"/>
    <w:rsid w:val="67704709"/>
    <w:rsid w:val="67715E8D"/>
    <w:rsid w:val="67750BD7"/>
    <w:rsid w:val="6778132C"/>
    <w:rsid w:val="677A33C6"/>
    <w:rsid w:val="67890C82"/>
    <w:rsid w:val="678C42CF"/>
    <w:rsid w:val="67900263"/>
    <w:rsid w:val="67922539"/>
    <w:rsid w:val="679B09B6"/>
    <w:rsid w:val="679B2764"/>
    <w:rsid w:val="679D028A"/>
    <w:rsid w:val="679D5376"/>
    <w:rsid w:val="679F0344"/>
    <w:rsid w:val="679F4002"/>
    <w:rsid w:val="67A23AF2"/>
    <w:rsid w:val="67A41618"/>
    <w:rsid w:val="67A4786A"/>
    <w:rsid w:val="67AC671F"/>
    <w:rsid w:val="67AE343A"/>
    <w:rsid w:val="67BD43F3"/>
    <w:rsid w:val="67C0431C"/>
    <w:rsid w:val="67C32A17"/>
    <w:rsid w:val="67CA4DF7"/>
    <w:rsid w:val="67D03B42"/>
    <w:rsid w:val="67D124CC"/>
    <w:rsid w:val="67D55C76"/>
    <w:rsid w:val="67D619EE"/>
    <w:rsid w:val="67D63D90"/>
    <w:rsid w:val="67DF6AF4"/>
    <w:rsid w:val="67E20393"/>
    <w:rsid w:val="67E61E8E"/>
    <w:rsid w:val="67E73BFB"/>
    <w:rsid w:val="67E91721"/>
    <w:rsid w:val="67EC20DF"/>
    <w:rsid w:val="67F818B5"/>
    <w:rsid w:val="67FF0F45"/>
    <w:rsid w:val="680102C6"/>
    <w:rsid w:val="68040309"/>
    <w:rsid w:val="68071393"/>
    <w:rsid w:val="680C5410"/>
    <w:rsid w:val="680D18B3"/>
    <w:rsid w:val="681744E0"/>
    <w:rsid w:val="681F6961"/>
    <w:rsid w:val="6828049B"/>
    <w:rsid w:val="68282344"/>
    <w:rsid w:val="683055A2"/>
    <w:rsid w:val="68306927"/>
    <w:rsid w:val="68354966"/>
    <w:rsid w:val="683573B6"/>
    <w:rsid w:val="6837248C"/>
    <w:rsid w:val="683E1412"/>
    <w:rsid w:val="68403510"/>
    <w:rsid w:val="6844104D"/>
    <w:rsid w:val="684A5B95"/>
    <w:rsid w:val="684B5F38"/>
    <w:rsid w:val="684D33EC"/>
    <w:rsid w:val="68540C60"/>
    <w:rsid w:val="6856731C"/>
    <w:rsid w:val="685814FE"/>
    <w:rsid w:val="68594E4C"/>
    <w:rsid w:val="68596203"/>
    <w:rsid w:val="685B394F"/>
    <w:rsid w:val="68610A2F"/>
    <w:rsid w:val="68641968"/>
    <w:rsid w:val="68646FFA"/>
    <w:rsid w:val="68671EE0"/>
    <w:rsid w:val="686D4DEE"/>
    <w:rsid w:val="686F13BE"/>
    <w:rsid w:val="686F5A57"/>
    <w:rsid w:val="686F7E78"/>
    <w:rsid w:val="68705C18"/>
    <w:rsid w:val="687436E1"/>
    <w:rsid w:val="687950AD"/>
    <w:rsid w:val="687C5E39"/>
    <w:rsid w:val="687E455F"/>
    <w:rsid w:val="68805514"/>
    <w:rsid w:val="68815DFE"/>
    <w:rsid w:val="688356D2"/>
    <w:rsid w:val="688651C2"/>
    <w:rsid w:val="68880F3A"/>
    <w:rsid w:val="688F20D7"/>
    <w:rsid w:val="688F37FD"/>
    <w:rsid w:val="68956452"/>
    <w:rsid w:val="689859A9"/>
    <w:rsid w:val="689E42BA"/>
    <w:rsid w:val="68A85138"/>
    <w:rsid w:val="68AA0F63"/>
    <w:rsid w:val="68AA7102"/>
    <w:rsid w:val="68AB2848"/>
    <w:rsid w:val="68B41D2F"/>
    <w:rsid w:val="68B453BE"/>
    <w:rsid w:val="68B94F26"/>
    <w:rsid w:val="68BF05A2"/>
    <w:rsid w:val="68D26659"/>
    <w:rsid w:val="68D42C30"/>
    <w:rsid w:val="68D75A1D"/>
    <w:rsid w:val="68DA22C3"/>
    <w:rsid w:val="68DC0F20"/>
    <w:rsid w:val="68E56022"/>
    <w:rsid w:val="68E57CC1"/>
    <w:rsid w:val="68E73D10"/>
    <w:rsid w:val="68F465CF"/>
    <w:rsid w:val="68FC7CF6"/>
    <w:rsid w:val="690744A3"/>
    <w:rsid w:val="690B1079"/>
    <w:rsid w:val="69126547"/>
    <w:rsid w:val="691714D9"/>
    <w:rsid w:val="691A3DDD"/>
    <w:rsid w:val="691B3B5C"/>
    <w:rsid w:val="691F66E4"/>
    <w:rsid w:val="692236F6"/>
    <w:rsid w:val="692755F0"/>
    <w:rsid w:val="692844CB"/>
    <w:rsid w:val="692A3144"/>
    <w:rsid w:val="692F4203"/>
    <w:rsid w:val="692F4396"/>
    <w:rsid w:val="69316E2F"/>
    <w:rsid w:val="69407A67"/>
    <w:rsid w:val="69485A1A"/>
    <w:rsid w:val="69485C04"/>
    <w:rsid w:val="694E2071"/>
    <w:rsid w:val="69505C13"/>
    <w:rsid w:val="695312C2"/>
    <w:rsid w:val="695706BC"/>
    <w:rsid w:val="695B03FD"/>
    <w:rsid w:val="695B6F1E"/>
    <w:rsid w:val="6962178B"/>
    <w:rsid w:val="6965127B"/>
    <w:rsid w:val="696F20FA"/>
    <w:rsid w:val="69766163"/>
    <w:rsid w:val="697935EC"/>
    <w:rsid w:val="69796AD5"/>
    <w:rsid w:val="697A3B33"/>
    <w:rsid w:val="697B284D"/>
    <w:rsid w:val="697E3764"/>
    <w:rsid w:val="69825989"/>
    <w:rsid w:val="69876A11"/>
    <w:rsid w:val="698C2047"/>
    <w:rsid w:val="698C6808"/>
    <w:rsid w:val="698E317B"/>
    <w:rsid w:val="698E6A48"/>
    <w:rsid w:val="69935DE8"/>
    <w:rsid w:val="699B47B0"/>
    <w:rsid w:val="69A00505"/>
    <w:rsid w:val="69AA5E2F"/>
    <w:rsid w:val="69AD1ECC"/>
    <w:rsid w:val="69AE33EB"/>
    <w:rsid w:val="69B1626F"/>
    <w:rsid w:val="69B60CCC"/>
    <w:rsid w:val="69B73F18"/>
    <w:rsid w:val="69B93291"/>
    <w:rsid w:val="69C2047C"/>
    <w:rsid w:val="69C53AC8"/>
    <w:rsid w:val="69C8232E"/>
    <w:rsid w:val="69CB37D4"/>
    <w:rsid w:val="69CB51EC"/>
    <w:rsid w:val="69D17924"/>
    <w:rsid w:val="69D44760"/>
    <w:rsid w:val="69DC0762"/>
    <w:rsid w:val="69DC778F"/>
    <w:rsid w:val="69E11605"/>
    <w:rsid w:val="69E8794F"/>
    <w:rsid w:val="69EA2BD4"/>
    <w:rsid w:val="69EE7718"/>
    <w:rsid w:val="69F14A8C"/>
    <w:rsid w:val="69F3202B"/>
    <w:rsid w:val="69F8149D"/>
    <w:rsid w:val="69FF2A4C"/>
    <w:rsid w:val="6A095D5D"/>
    <w:rsid w:val="6A0F07A6"/>
    <w:rsid w:val="6A136F29"/>
    <w:rsid w:val="6A1A15F6"/>
    <w:rsid w:val="6A211646"/>
    <w:rsid w:val="6A243C24"/>
    <w:rsid w:val="6A281DDE"/>
    <w:rsid w:val="6A2C6AE5"/>
    <w:rsid w:val="6A2E28DA"/>
    <w:rsid w:val="6A346104"/>
    <w:rsid w:val="6A3550F2"/>
    <w:rsid w:val="6A3D3FA6"/>
    <w:rsid w:val="6A3F1ACC"/>
    <w:rsid w:val="6A46714C"/>
    <w:rsid w:val="6A475A9B"/>
    <w:rsid w:val="6A4D7232"/>
    <w:rsid w:val="6A4E2025"/>
    <w:rsid w:val="6A520EC7"/>
    <w:rsid w:val="6A537326"/>
    <w:rsid w:val="6A563A62"/>
    <w:rsid w:val="6A57356D"/>
    <w:rsid w:val="6A58046F"/>
    <w:rsid w:val="6A58493C"/>
    <w:rsid w:val="6A64789D"/>
    <w:rsid w:val="6A6652AB"/>
    <w:rsid w:val="6A687B43"/>
    <w:rsid w:val="6A697D3C"/>
    <w:rsid w:val="6A6C5840"/>
    <w:rsid w:val="6A721EA2"/>
    <w:rsid w:val="6A7379C8"/>
    <w:rsid w:val="6A757BBE"/>
    <w:rsid w:val="6A7960E5"/>
    <w:rsid w:val="6A815C41"/>
    <w:rsid w:val="6A9364EA"/>
    <w:rsid w:val="6A9A4F55"/>
    <w:rsid w:val="6A9C0897"/>
    <w:rsid w:val="6AA81420"/>
    <w:rsid w:val="6AAD2EDA"/>
    <w:rsid w:val="6AAD4C88"/>
    <w:rsid w:val="6AAE4347"/>
    <w:rsid w:val="6AB46016"/>
    <w:rsid w:val="6AB51D8E"/>
    <w:rsid w:val="6ABA55F7"/>
    <w:rsid w:val="6ABC61BB"/>
    <w:rsid w:val="6AC43927"/>
    <w:rsid w:val="6AC47324"/>
    <w:rsid w:val="6AC527E9"/>
    <w:rsid w:val="6ACB3360"/>
    <w:rsid w:val="6AD12253"/>
    <w:rsid w:val="6AD27DC4"/>
    <w:rsid w:val="6AD67A27"/>
    <w:rsid w:val="6AD77F57"/>
    <w:rsid w:val="6ADC7038"/>
    <w:rsid w:val="6ADF06DE"/>
    <w:rsid w:val="6AE04D82"/>
    <w:rsid w:val="6AE47CB9"/>
    <w:rsid w:val="6AE85D4F"/>
    <w:rsid w:val="6AEA5F00"/>
    <w:rsid w:val="6AEB755E"/>
    <w:rsid w:val="6AED32D6"/>
    <w:rsid w:val="6AF87E20"/>
    <w:rsid w:val="6AFA3F1E"/>
    <w:rsid w:val="6AFB4456"/>
    <w:rsid w:val="6AFC0403"/>
    <w:rsid w:val="6B030D4C"/>
    <w:rsid w:val="6B0638BC"/>
    <w:rsid w:val="6B0D1BCA"/>
    <w:rsid w:val="6B106FC5"/>
    <w:rsid w:val="6B151AB7"/>
    <w:rsid w:val="6B1C5EE7"/>
    <w:rsid w:val="6B1E16E2"/>
    <w:rsid w:val="6B21527D"/>
    <w:rsid w:val="6B227A82"/>
    <w:rsid w:val="6B233926"/>
    <w:rsid w:val="6B250CC2"/>
    <w:rsid w:val="6B264A3A"/>
    <w:rsid w:val="6B2C2051"/>
    <w:rsid w:val="6B322639"/>
    <w:rsid w:val="6B332CDE"/>
    <w:rsid w:val="6B3F1BC1"/>
    <w:rsid w:val="6B4078AA"/>
    <w:rsid w:val="6B4B22CA"/>
    <w:rsid w:val="6B4B4D56"/>
    <w:rsid w:val="6B4D0B82"/>
    <w:rsid w:val="6B546DA9"/>
    <w:rsid w:val="6B657A90"/>
    <w:rsid w:val="6B693C73"/>
    <w:rsid w:val="6B6D7F88"/>
    <w:rsid w:val="6B723553"/>
    <w:rsid w:val="6B7C16E9"/>
    <w:rsid w:val="6B8222FA"/>
    <w:rsid w:val="6B8474C6"/>
    <w:rsid w:val="6B8B1B3D"/>
    <w:rsid w:val="6B8E4D79"/>
    <w:rsid w:val="6B8E7D54"/>
    <w:rsid w:val="6B953331"/>
    <w:rsid w:val="6B9B0F84"/>
    <w:rsid w:val="6B9C01C8"/>
    <w:rsid w:val="6B9C0CC3"/>
    <w:rsid w:val="6B9E1CDF"/>
    <w:rsid w:val="6B9F653B"/>
    <w:rsid w:val="6BA047ED"/>
    <w:rsid w:val="6BA240C1"/>
    <w:rsid w:val="6BB0083E"/>
    <w:rsid w:val="6BB10A4A"/>
    <w:rsid w:val="6BB8040C"/>
    <w:rsid w:val="6BBB5A1F"/>
    <w:rsid w:val="6BBD0EFB"/>
    <w:rsid w:val="6BC02799"/>
    <w:rsid w:val="6BC1683A"/>
    <w:rsid w:val="6BC54708"/>
    <w:rsid w:val="6BCB05F1"/>
    <w:rsid w:val="6BCD120B"/>
    <w:rsid w:val="6BD050D2"/>
    <w:rsid w:val="6BD10A6B"/>
    <w:rsid w:val="6BD140C6"/>
    <w:rsid w:val="6BDC1388"/>
    <w:rsid w:val="6BE0108D"/>
    <w:rsid w:val="6BE16873"/>
    <w:rsid w:val="6BE4292B"/>
    <w:rsid w:val="6BE57FCF"/>
    <w:rsid w:val="6BEB1F0C"/>
    <w:rsid w:val="6BEC17E0"/>
    <w:rsid w:val="6BED5AC6"/>
    <w:rsid w:val="6BF426B9"/>
    <w:rsid w:val="6BF572A8"/>
    <w:rsid w:val="6BF6440D"/>
    <w:rsid w:val="6BF7178C"/>
    <w:rsid w:val="6BF74882"/>
    <w:rsid w:val="6BF87D40"/>
    <w:rsid w:val="6C021E4C"/>
    <w:rsid w:val="6C0307C0"/>
    <w:rsid w:val="6C053A5D"/>
    <w:rsid w:val="6C083AA7"/>
    <w:rsid w:val="6C0B605F"/>
    <w:rsid w:val="6C0B664D"/>
    <w:rsid w:val="6C0F5C50"/>
    <w:rsid w:val="6C11698D"/>
    <w:rsid w:val="6C1B56FB"/>
    <w:rsid w:val="6C20148A"/>
    <w:rsid w:val="6C225202"/>
    <w:rsid w:val="6C2840CC"/>
    <w:rsid w:val="6C2947E2"/>
    <w:rsid w:val="6C332C64"/>
    <w:rsid w:val="6C3917ED"/>
    <w:rsid w:val="6C3C0ACD"/>
    <w:rsid w:val="6C420F8A"/>
    <w:rsid w:val="6C423AF6"/>
    <w:rsid w:val="6C425506"/>
    <w:rsid w:val="6C4674C2"/>
    <w:rsid w:val="6C47110C"/>
    <w:rsid w:val="6C494258"/>
    <w:rsid w:val="6C4C54AA"/>
    <w:rsid w:val="6C4C64C1"/>
    <w:rsid w:val="6C4F379E"/>
    <w:rsid w:val="6C507FC1"/>
    <w:rsid w:val="6C527544"/>
    <w:rsid w:val="6C564EB1"/>
    <w:rsid w:val="6C587073"/>
    <w:rsid w:val="6C5B6EDA"/>
    <w:rsid w:val="6C5F0204"/>
    <w:rsid w:val="6C630EC1"/>
    <w:rsid w:val="6C636C38"/>
    <w:rsid w:val="6C67530A"/>
    <w:rsid w:val="6C6E0447"/>
    <w:rsid w:val="6C730E20"/>
    <w:rsid w:val="6C7468CE"/>
    <w:rsid w:val="6C747658"/>
    <w:rsid w:val="6C747B66"/>
    <w:rsid w:val="6C7B0E38"/>
    <w:rsid w:val="6C7E2CAC"/>
    <w:rsid w:val="6C7F2654"/>
    <w:rsid w:val="6C832144"/>
    <w:rsid w:val="6C884B18"/>
    <w:rsid w:val="6C88775B"/>
    <w:rsid w:val="6C907761"/>
    <w:rsid w:val="6C9327EC"/>
    <w:rsid w:val="6C97174C"/>
    <w:rsid w:val="6C9A748E"/>
    <w:rsid w:val="6CA35327"/>
    <w:rsid w:val="6CA74554"/>
    <w:rsid w:val="6CA9147F"/>
    <w:rsid w:val="6CAC2DE0"/>
    <w:rsid w:val="6CAF118B"/>
    <w:rsid w:val="6CB30550"/>
    <w:rsid w:val="6CBA0AE5"/>
    <w:rsid w:val="6CBC56D8"/>
    <w:rsid w:val="6CBE3029"/>
    <w:rsid w:val="6CBE5C36"/>
    <w:rsid w:val="6CBF4040"/>
    <w:rsid w:val="6CC12C6C"/>
    <w:rsid w:val="6CC31F64"/>
    <w:rsid w:val="6CCF37A9"/>
    <w:rsid w:val="6CD1113C"/>
    <w:rsid w:val="6CD208AF"/>
    <w:rsid w:val="6CDE737B"/>
    <w:rsid w:val="6CE34991"/>
    <w:rsid w:val="6CE84D5A"/>
    <w:rsid w:val="6CEB48D8"/>
    <w:rsid w:val="6CFC3B75"/>
    <w:rsid w:val="6CFC710B"/>
    <w:rsid w:val="6CFF5543"/>
    <w:rsid w:val="6D06067F"/>
    <w:rsid w:val="6D064B23"/>
    <w:rsid w:val="6D0936FF"/>
    <w:rsid w:val="6D0B3EE8"/>
    <w:rsid w:val="6D0C7A1B"/>
    <w:rsid w:val="6D185B70"/>
    <w:rsid w:val="6D190260"/>
    <w:rsid w:val="6D195F0B"/>
    <w:rsid w:val="6D2A3396"/>
    <w:rsid w:val="6D2E6300"/>
    <w:rsid w:val="6D355868"/>
    <w:rsid w:val="6D371181"/>
    <w:rsid w:val="6D396CA7"/>
    <w:rsid w:val="6D3A3386"/>
    <w:rsid w:val="6D411C47"/>
    <w:rsid w:val="6D426A89"/>
    <w:rsid w:val="6D467BCA"/>
    <w:rsid w:val="6D480C98"/>
    <w:rsid w:val="6D484EBB"/>
    <w:rsid w:val="6D4D4500"/>
    <w:rsid w:val="6D4E3E17"/>
    <w:rsid w:val="6D4F30B5"/>
    <w:rsid w:val="6D521B17"/>
    <w:rsid w:val="6D5B4E6F"/>
    <w:rsid w:val="6D5E1042"/>
    <w:rsid w:val="6D610E81"/>
    <w:rsid w:val="6D64426C"/>
    <w:rsid w:val="6D686AB5"/>
    <w:rsid w:val="6D6F226E"/>
    <w:rsid w:val="6D710D5E"/>
    <w:rsid w:val="6D742357"/>
    <w:rsid w:val="6D7777CF"/>
    <w:rsid w:val="6D7C6D55"/>
    <w:rsid w:val="6D8343C6"/>
    <w:rsid w:val="6D8445D4"/>
    <w:rsid w:val="6D944304"/>
    <w:rsid w:val="6D956B6F"/>
    <w:rsid w:val="6D9640F9"/>
    <w:rsid w:val="6DA32372"/>
    <w:rsid w:val="6DA42E20"/>
    <w:rsid w:val="6DA67457"/>
    <w:rsid w:val="6DB34098"/>
    <w:rsid w:val="6DB545B6"/>
    <w:rsid w:val="6DB85411"/>
    <w:rsid w:val="6DB92C24"/>
    <w:rsid w:val="6DBE0F5A"/>
    <w:rsid w:val="6DBE53FE"/>
    <w:rsid w:val="6DC45291"/>
    <w:rsid w:val="6DCA5B51"/>
    <w:rsid w:val="6DCD0545"/>
    <w:rsid w:val="6DCE3893"/>
    <w:rsid w:val="6DD4077E"/>
    <w:rsid w:val="6DD61F24"/>
    <w:rsid w:val="6DD62748"/>
    <w:rsid w:val="6DD671D0"/>
    <w:rsid w:val="6DD8201C"/>
    <w:rsid w:val="6DD96F04"/>
    <w:rsid w:val="6DDE33AA"/>
    <w:rsid w:val="6DDF784E"/>
    <w:rsid w:val="6DE02FB4"/>
    <w:rsid w:val="6DE05374"/>
    <w:rsid w:val="6DE23187"/>
    <w:rsid w:val="6DF04A43"/>
    <w:rsid w:val="6DF42BCE"/>
    <w:rsid w:val="6DFF1C9E"/>
    <w:rsid w:val="6E032E11"/>
    <w:rsid w:val="6E040C1C"/>
    <w:rsid w:val="6E0A0B02"/>
    <w:rsid w:val="6E0D7A5D"/>
    <w:rsid w:val="6E10538A"/>
    <w:rsid w:val="6E134A97"/>
    <w:rsid w:val="6E14501E"/>
    <w:rsid w:val="6E146AD4"/>
    <w:rsid w:val="6E193A72"/>
    <w:rsid w:val="6E1B45FE"/>
    <w:rsid w:val="6E1B63AC"/>
    <w:rsid w:val="6E2434B3"/>
    <w:rsid w:val="6E26547D"/>
    <w:rsid w:val="6E313045"/>
    <w:rsid w:val="6E350903"/>
    <w:rsid w:val="6E364F94"/>
    <w:rsid w:val="6E396833"/>
    <w:rsid w:val="6E3B6A4F"/>
    <w:rsid w:val="6E3C0915"/>
    <w:rsid w:val="6E3D732E"/>
    <w:rsid w:val="6E405E13"/>
    <w:rsid w:val="6E414065"/>
    <w:rsid w:val="6E4476B1"/>
    <w:rsid w:val="6E5033BD"/>
    <w:rsid w:val="6E514CED"/>
    <w:rsid w:val="6E5242A4"/>
    <w:rsid w:val="6E536DC3"/>
    <w:rsid w:val="6E5B57C7"/>
    <w:rsid w:val="6E627D5C"/>
    <w:rsid w:val="6E675DDE"/>
    <w:rsid w:val="6E70494A"/>
    <w:rsid w:val="6E737F96"/>
    <w:rsid w:val="6E794BE2"/>
    <w:rsid w:val="6E7F4B8D"/>
    <w:rsid w:val="6E812DDF"/>
    <w:rsid w:val="6E847E6D"/>
    <w:rsid w:val="6E8A79E7"/>
    <w:rsid w:val="6E9C37BB"/>
    <w:rsid w:val="6E9D3265"/>
    <w:rsid w:val="6E9D68A1"/>
    <w:rsid w:val="6E9F5CC8"/>
    <w:rsid w:val="6EA2087C"/>
    <w:rsid w:val="6EA51021"/>
    <w:rsid w:val="6EA55B53"/>
    <w:rsid w:val="6EA97E5C"/>
    <w:rsid w:val="6EAE2C78"/>
    <w:rsid w:val="6EB011EB"/>
    <w:rsid w:val="6EB07C51"/>
    <w:rsid w:val="6EB563D5"/>
    <w:rsid w:val="6EB760D5"/>
    <w:rsid w:val="6EB84B2A"/>
    <w:rsid w:val="6EC16F54"/>
    <w:rsid w:val="6EC24A7A"/>
    <w:rsid w:val="6ECB392F"/>
    <w:rsid w:val="6ECD2CC0"/>
    <w:rsid w:val="6ED30E58"/>
    <w:rsid w:val="6ED44ED9"/>
    <w:rsid w:val="6ED8429D"/>
    <w:rsid w:val="6ED92677"/>
    <w:rsid w:val="6EDB59B8"/>
    <w:rsid w:val="6EE3000B"/>
    <w:rsid w:val="6EEB3FD1"/>
    <w:rsid w:val="6EEC4B1B"/>
    <w:rsid w:val="6EED435F"/>
    <w:rsid w:val="6EF83C44"/>
    <w:rsid w:val="6EFC61DE"/>
    <w:rsid w:val="6EFE2DFA"/>
    <w:rsid w:val="6F011A46"/>
    <w:rsid w:val="6F0137F4"/>
    <w:rsid w:val="6F042205"/>
    <w:rsid w:val="6F045092"/>
    <w:rsid w:val="6F0B4673"/>
    <w:rsid w:val="6F147FEC"/>
    <w:rsid w:val="6F1A6664"/>
    <w:rsid w:val="6F1B6B22"/>
    <w:rsid w:val="6F1E6154"/>
    <w:rsid w:val="6F225983"/>
    <w:rsid w:val="6F265009"/>
    <w:rsid w:val="6F2B6AC3"/>
    <w:rsid w:val="6F2C7A72"/>
    <w:rsid w:val="6F2D1032"/>
    <w:rsid w:val="6F2F7846"/>
    <w:rsid w:val="6F321C00"/>
    <w:rsid w:val="6F327E52"/>
    <w:rsid w:val="6F40683E"/>
    <w:rsid w:val="6F445933"/>
    <w:rsid w:val="6F4E60E8"/>
    <w:rsid w:val="6F5112B1"/>
    <w:rsid w:val="6F524050"/>
    <w:rsid w:val="6F570744"/>
    <w:rsid w:val="6F5B73A8"/>
    <w:rsid w:val="6F5D1B11"/>
    <w:rsid w:val="6F5D1B9D"/>
    <w:rsid w:val="6F5D3D19"/>
    <w:rsid w:val="6F616DF1"/>
    <w:rsid w:val="6F667AFB"/>
    <w:rsid w:val="6F6B4515"/>
    <w:rsid w:val="6F6D7514"/>
    <w:rsid w:val="6F723E97"/>
    <w:rsid w:val="6F745D74"/>
    <w:rsid w:val="6F7B4147"/>
    <w:rsid w:val="6F7B65A5"/>
    <w:rsid w:val="6F854425"/>
    <w:rsid w:val="6F8700E6"/>
    <w:rsid w:val="6F941206"/>
    <w:rsid w:val="6F9F0ABE"/>
    <w:rsid w:val="6FA26D85"/>
    <w:rsid w:val="6FA50565"/>
    <w:rsid w:val="6FA819D5"/>
    <w:rsid w:val="6FAC19B2"/>
    <w:rsid w:val="6FAF14A2"/>
    <w:rsid w:val="6FAF4FFE"/>
    <w:rsid w:val="6FB17D13"/>
    <w:rsid w:val="6FB72105"/>
    <w:rsid w:val="6FBD3BBF"/>
    <w:rsid w:val="6FC01963"/>
    <w:rsid w:val="6FC62348"/>
    <w:rsid w:val="6FCA1E38"/>
    <w:rsid w:val="6FCA62DC"/>
    <w:rsid w:val="6FD15114"/>
    <w:rsid w:val="6FD26359"/>
    <w:rsid w:val="6FD74CF9"/>
    <w:rsid w:val="6FD9651F"/>
    <w:rsid w:val="6FDD0EAC"/>
    <w:rsid w:val="6FE0340A"/>
    <w:rsid w:val="6FEA4288"/>
    <w:rsid w:val="6FEC7DD1"/>
    <w:rsid w:val="6FEF6EA6"/>
    <w:rsid w:val="6FF033C7"/>
    <w:rsid w:val="6FF135A7"/>
    <w:rsid w:val="6FF535A2"/>
    <w:rsid w:val="6FF60E7F"/>
    <w:rsid w:val="6FF670D1"/>
    <w:rsid w:val="6FFC4540"/>
    <w:rsid w:val="6FFC5590"/>
    <w:rsid w:val="70001E65"/>
    <w:rsid w:val="7004359C"/>
    <w:rsid w:val="700510C2"/>
    <w:rsid w:val="70052FBB"/>
    <w:rsid w:val="700C2451"/>
    <w:rsid w:val="700E61C9"/>
    <w:rsid w:val="7016666F"/>
    <w:rsid w:val="701745A0"/>
    <w:rsid w:val="701A2DBF"/>
    <w:rsid w:val="701A42C0"/>
    <w:rsid w:val="7024431E"/>
    <w:rsid w:val="7024575A"/>
    <w:rsid w:val="702B14E6"/>
    <w:rsid w:val="70327D62"/>
    <w:rsid w:val="70333E81"/>
    <w:rsid w:val="7047080D"/>
    <w:rsid w:val="70473A56"/>
    <w:rsid w:val="704A2F79"/>
    <w:rsid w:val="704A4B4A"/>
    <w:rsid w:val="704B29AE"/>
    <w:rsid w:val="705D2420"/>
    <w:rsid w:val="70604239"/>
    <w:rsid w:val="70611A79"/>
    <w:rsid w:val="70622B6A"/>
    <w:rsid w:val="706B26F6"/>
    <w:rsid w:val="706B471C"/>
    <w:rsid w:val="706D1DD0"/>
    <w:rsid w:val="707161D5"/>
    <w:rsid w:val="707634ED"/>
    <w:rsid w:val="707A1ADB"/>
    <w:rsid w:val="707B75D6"/>
    <w:rsid w:val="708259FC"/>
    <w:rsid w:val="70856B87"/>
    <w:rsid w:val="7086485C"/>
    <w:rsid w:val="70871AD7"/>
    <w:rsid w:val="7088272A"/>
    <w:rsid w:val="708855C3"/>
    <w:rsid w:val="708C37BF"/>
    <w:rsid w:val="709064CB"/>
    <w:rsid w:val="709443EB"/>
    <w:rsid w:val="70952446"/>
    <w:rsid w:val="7095411B"/>
    <w:rsid w:val="709D1624"/>
    <w:rsid w:val="70A258B7"/>
    <w:rsid w:val="70AE130D"/>
    <w:rsid w:val="70AE2C6B"/>
    <w:rsid w:val="70B14535"/>
    <w:rsid w:val="70B758D6"/>
    <w:rsid w:val="70BC3F26"/>
    <w:rsid w:val="70BC5C25"/>
    <w:rsid w:val="70BC660F"/>
    <w:rsid w:val="70BF4F56"/>
    <w:rsid w:val="70C07FE0"/>
    <w:rsid w:val="70C8281B"/>
    <w:rsid w:val="70C920F0"/>
    <w:rsid w:val="70C956B0"/>
    <w:rsid w:val="70CB38B7"/>
    <w:rsid w:val="70CD6C36"/>
    <w:rsid w:val="70CF0326"/>
    <w:rsid w:val="70D016D0"/>
    <w:rsid w:val="70D34F79"/>
    <w:rsid w:val="70D527EE"/>
    <w:rsid w:val="70D6602F"/>
    <w:rsid w:val="70D70CB1"/>
    <w:rsid w:val="70E17439"/>
    <w:rsid w:val="70EF250C"/>
    <w:rsid w:val="70F116B0"/>
    <w:rsid w:val="70F70BFC"/>
    <w:rsid w:val="70FD580E"/>
    <w:rsid w:val="70FE165F"/>
    <w:rsid w:val="7100498F"/>
    <w:rsid w:val="71020599"/>
    <w:rsid w:val="71025602"/>
    <w:rsid w:val="710540F1"/>
    <w:rsid w:val="71107D1F"/>
    <w:rsid w:val="71147849"/>
    <w:rsid w:val="711F4406"/>
    <w:rsid w:val="71237A52"/>
    <w:rsid w:val="71242AF6"/>
    <w:rsid w:val="712612F0"/>
    <w:rsid w:val="71295B87"/>
    <w:rsid w:val="712D0A98"/>
    <w:rsid w:val="71357E6F"/>
    <w:rsid w:val="7140061E"/>
    <w:rsid w:val="714A1482"/>
    <w:rsid w:val="714A76D4"/>
    <w:rsid w:val="714B6AB1"/>
    <w:rsid w:val="714F1A78"/>
    <w:rsid w:val="71507188"/>
    <w:rsid w:val="71523E71"/>
    <w:rsid w:val="715440AF"/>
    <w:rsid w:val="715B5300"/>
    <w:rsid w:val="715C7408"/>
    <w:rsid w:val="71711ECE"/>
    <w:rsid w:val="717E737E"/>
    <w:rsid w:val="71860688"/>
    <w:rsid w:val="718D7451"/>
    <w:rsid w:val="7199712F"/>
    <w:rsid w:val="719A3A8C"/>
    <w:rsid w:val="719A4F45"/>
    <w:rsid w:val="71A10C5A"/>
    <w:rsid w:val="71A62431"/>
    <w:rsid w:val="71A87F57"/>
    <w:rsid w:val="71AD37BF"/>
    <w:rsid w:val="71AE309E"/>
    <w:rsid w:val="71B03679"/>
    <w:rsid w:val="71B21B83"/>
    <w:rsid w:val="71B3226A"/>
    <w:rsid w:val="71B7463E"/>
    <w:rsid w:val="71BB3875"/>
    <w:rsid w:val="71C00396"/>
    <w:rsid w:val="71C01745"/>
    <w:rsid w:val="71C22860"/>
    <w:rsid w:val="71D222BD"/>
    <w:rsid w:val="71D27F8A"/>
    <w:rsid w:val="71D77D60"/>
    <w:rsid w:val="71D95ABC"/>
    <w:rsid w:val="71D97213"/>
    <w:rsid w:val="71DD7AC1"/>
    <w:rsid w:val="71E54A92"/>
    <w:rsid w:val="71E7296F"/>
    <w:rsid w:val="71EA4432"/>
    <w:rsid w:val="71EF132F"/>
    <w:rsid w:val="71F118FE"/>
    <w:rsid w:val="71F30E81"/>
    <w:rsid w:val="71F32978"/>
    <w:rsid w:val="71F633B8"/>
    <w:rsid w:val="71F92EA9"/>
    <w:rsid w:val="7206680A"/>
    <w:rsid w:val="7207153E"/>
    <w:rsid w:val="72075BBE"/>
    <w:rsid w:val="720C2BDC"/>
    <w:rsid w:val="720D425E"/>
    <w:rsid w:val="720F7FD6"/>
    <w:rsid w:val="7227551A"/>
    <w:rsid w:val="72285514"/>
    <w:rsid w:val="722C34ED"/>
    <w:rsid w:val="722D66AE"/>
    <w:rsid w:val="722D72D6"/>
    <w:rsid w:val="722F1A94"/>
    <w:rsid w:val="72307D49"/>
    <w:rsid w:val="72343EE1"/>
    <w:rsid w:val="7235622E"/>
    <w:rsid w:val="723C018B"/>
    <w:rsid w:val="723E07D8"/>
    <w:rsid w:val="723E08BB"/>
    <w:rsid w:val="724539F8"/>
    <w:rsid w:val="724578BC"/>
    <w:rsid w:val="724E6D50"/>
    <w:rsid w:val="724F0F55"/>
    <w:rsid w:val="72553024"/>
    <w:rsid w:val="725560EA"/>
    <w:rsid w:val="725A07B6"/>
    <w:rsid w:val="725D0E4E"/>
    <w:rsid w:val="725E2516"/>
    <w:rsid w:val="72620A4E"/>
    <w:rsid w:val="726A7902"/>
    <w:rsid w:val="726C71D7"/>
    <w:rsid w:val="726E73F3"/>
    <w:rsid w:val="7270316B"/>
    <w:rsid w:val="727350C6"/>
    <w:rsid w:val="727506AD"/>
    <w:rsid w:val="72797301"/>
    <w:rsid w:val="727B2178"/>
    <w:rsid w:val="727C14DD"/>
    <w:rsid w:val="727C3800"/>
    <w:rsid w:val="727E6F0A"/>
    <w:rsid w:val="72810D31"/>
    <w:rsid w:val="728468F7"/>
    <w:rsid w:val="72897D89"/>
    <w:rsid w:val="728A58AF"/>
    <w:rsid w:val="728B1D53"/>
    <w:rsid w:val="728C5898"/>
    <w:rsid w:val="728D0BCE"/>
    <w:rsid w:val="728F1117"/>
    <w:rsid w:val="7298446F"/>
    <w:rsid w:val="72987FCC"/>
    <w:rsid w:val="7299722C"/>
    <w:rsid w:val="729B64BC"/>
    <w:rsid w:val="72A10155"/>
    <w:rsid w:val="72A11576"/>
    <w:rsid w:val="72A20E4A"/>
    <w:rsid w:val="72A252EE"/>
    <w:rsid w:val="72A66B8C"/>
    <w:rsid w:val="72AA50AE"/>
    <w:rsid w:val="72AE0E98"/>
    <w:rsid w:val="72B1108D"/>
    <w:rsid w:val="72B172DF"/>
    <w:rsid w:val="72BA30C7"/>
    <w:rsid w:val="72BD38CB"/>
    <w:rsid w:val="72C7744F"/>
    <w:rsid w:val="72C9287B"/>
    <w:rsid w:val="72CB0EC5"/>
    <w:rsid w:val="72CC4119"/>
    <w:rsid w:val="72D27981"/>
    <w:rsid w:val="72D31915"/>
    <w:rsid w:val="72D609D7"/>
    <w:rsid w:val="72D74F98"/>
    <w:rsid w:val="72EF4A6F"/>
    <w:rsid w:val="73021314"/>
    <w:rsid w:val="73045661"/>
    <w:rsid w:val="73063468"/>
    <w:rsid w:val="73093C85"/>
    <w:rsid w:val="730E59D8"/>
    <w:rsid w:val="73122968"/>
    <w:rsid w:val="731B43AB"/>
    <w:rsid w:val="731F5D5E"/>
    <w:rsid w:val="7320405D"/>
    <w:rsid w:val="73214465"/>
    <w:rsid w:val="73216977"/>
    <w:rsid w:val="73251266"/>
    <w:rsid w:val="73263829"/>
    <w:rsid w:val="73292630"/>
    <w:rsid w:val="732B7092"/>
    <w:rsid w:val="73337CF4"/>
    <w:rsid w:val="73361E3A"/>
    <w:rsid w:val="733777E5"/>
    <w:rsid w:val="733C4E98"/>
    <w:rsid w:val="733E5017"/>
    <w:rsid w:val="734105D0"/>
    <w:rsid w:val="7342107F"/>
    <w:rsid w:val="7343581A"/>
    <w:rsid w:val="73463ECB"/>
    <w:rsid w:val="7349294A"/>
    <w:rsid w:val="73494758"/>
    <w:rsid w:val="734B14E2"/>
    <w:rsid w:val="734D5DB1"/>
    <w:rsid w:val="73551CF6"/>
    <w:rsid w:val="7357396F"/>
    <w:rsid w:val="735E01CF"/>
    <w:rsid w:val="7360798C"/>
    <w:rsid w:val="73683E42"/>
    <w:rsid w:val="736E51D0"/>
    <w:rsid w:val="736F3422"/>
    <w:rsid w:val="7370719A"/>
    <w:rsid w:val="73722F12"/>
    <w:rsid w:val="73724CC1"/>
    <w:rsid w:val="737B1503"/>
    <w:rsid w:val="73880040"/>
    <w:rsid w:val="738E5E29"/>
    <w:rsid w:val="73903399"/>
    <w:rsid w:val="73903C8D"/>
    <w:rsid w:val="7393089D"/>
    <w:rsid w:val="73942E89"/>
    <w:rsid w:val="73983C24"/>
    <w:rsid w:val="73A65E31"/>
    <w:rsid w:val="73A94CE3"/>
    <w:rsid w:val="73B06CF5"/>
    <w:rsid w:val="73BC1BA6"/>
    <w:rsid w:val="73C3376E"/>
    <w:rsid w:val="73C51AD5"/>
    <w:rsid w:val="73C5522F"/>
    <w:rsid w:val="73C7469B"/>
    <w:rsid w:val="73C8056E"/>
    <w:rsid w:val="73C80B76"/>
    <w:rsid w:val="73CF5C6F"/>
    <w:rsid w:val="73D24856"/>
    <w:rsid w:val="73D61646"/>
    <w:rsid w:val="73E120A3"/>
    <w:rsid w:val="73E81FA9"/>
    <w:rsid w:val="73E9464B"/>
    <w:rsid w:val="73EB4C4F"/>
    <w:rsid w:val="73ED2A0E"/>
    <w:rsid w:val="73EE0034"/>
    <w:rsid w:val="73EF3D7E"/>
    <w:rsid w:val="73F213AB"/>
    <w:rsid w:val="73F6488E"/>
    <w:rsid w:val="73FB4CB6"/>
    <w:rsid w:val="7407365B"/>
    <w:rsid w:val="740873D3"/>
    <w:rsid w:val="7416389E"/>
    <w:rsid w:val="741E2752"/>
    <w:rsid w:val="741E793C"/>
    <w:rsid w:val="74222528"/>
    <w:rsid w:val="742F670E"/>
    <w:rsid w:val="743326A2"/>
    <w:rsid w:val="743C0E2B"/>
    <w:rsid w:val="743C5F09"/>
    <w:rsid w:val="743D6C43"/>
    <w:rsid w:val="74412611"/>
    <w:rsid w:val="74420371"/>
    <w:rsid w:val="74463A57"/>
    <w:rsid w:val="74542E8B"/>
    <w:rsid w:val="745439F0"/>
    <w:rsid w:val="74560447"/>
    <w:rsid w:val="745A07ED"/>
    <w:rsid w:val="745C1741"/>
    <w:rsid w:val="745D14CD"/>
    <w:rsid w:val="745E3944"/>
    <w:rsid w:val="74640AAD"/>
    <w:rsid w:val="746B5893"/>
    <w:rsid w:val="746E3096"/>
    <w:rsid w:val="74793E2D"/>
    <w:rsid w:val="747B7BA5"/>
    <w:rsid w:val="747D6759"/>
    <w:rsid w:val="7487479C"/>
    <w:rsid w:val="748C1DB2"/>
    <w:rsid w:val="748C3B60"/>
    <w:rsid w:val="748F0CA1"/>
    <w:rsid w:val="74922CC2"/>
    <w:rsid w:val="749D16C4"/>
    <w:rsid w:val="74A74054"/>
    <w:rsid w:val="74AE7F7A"/>
    <w:rsid w:val="74B26CA0"/>
    <w:rsid w:val="74B3476A"/>
    <w:rsid w:val="74B60BDD"/>
    <w:rsid w:val="74B82BA7"/>
    <w:rsid w:val="74B86703"/>
    <w:rsid w:val="74B937A2"/>
    <w:rsid w:val="74BD01BD"/>
    <w:rsid w:val="74C002E8"/>
    <w:rsid w:val="74C0720A"/>
    <w:rsid w:val="74C65252"/>
    <w:rsid w:val="74DB7B36"/>
    <w:rsid w:val="74E0311C"/>
    <w:rsid w:val="74E05C5A"/>
    <w:rsid w:val="74E2144F"/>
    <w:rsid w:val="74E602A5"/>
    <w:rsid w:val="74E73AF3"/>
    <w:rsid w:val="74E85F78"/>
    <w:rsid w:val="74FE790A"/>
    <w:rsid w:val="75023E22"/>
    <w:rsid w:val="75093403"/>
    <w:rsid w:val="75114065"/>
    <w:rsid w:val="75155F2F"/>
    <w:rsid w:val="75173422"/>
    <w:rsid w:val="75187F68"/>
    <w:rsid w:val="75261896"/>
    <w:rsid w:val="75271ADB"/>
    <w:rsid w:val="752E2E69"/>
    <w:rsid w:val="752F7239"/>
    <w:rsid w:val="753C7334"/>
    <w:rsid w:val="75432889"/>
    <w:rsid w:val="7547624C"/>
    <w:rsid w:val="7553467E"/>
    <w:rsid w:val="75556648"/>
    <w:rsid w:val="75563DE9"/>
    <w:rsid w:val="7557416E"/>
    <w:rsid w:val="755C3532"/>
    <w:rsid w:val="755D56CA"/>
    <w:rsid w:val="7561323F"/>
    <w:rsid w:val="75616D9B"/>
    <w:rsid w:val="75630BE3"/>
    <w:rsid w:val="75630D65"/>
    <w:rsid w:val="756845CD"/>
    <w:rsid w:val="756939EE"/>
    <w:rsid w:val="756B7C19"/>
    <w:rsid w:val="757765BE"/>
    <w:rsid w:val="75792336"/>
    <w:rsid w:val="7579698A"/>
    <w:rsid w:val="757F0471"/>
    <w:rsid w:val="75823A34"/>
    <w:rsid w:val="758525CD"/>
    <w:rsid w:val="75991DD3"/>
    <w:rsid w:val="759E3B7B"/>
    <w:rsid w:val="75A4312B"/>
    <w:rsid w:val="75A768DA"/>
    <w:rsid w:val="75AB270C"/>
    <w:rsid w:val="75B02F5C"/>
    <w:rsid w:val="75B0387E"/>
    <w:rsid w:val="75B23A9A"/>
    <w:rsid w:val="75BA1B6E"/>
    <w:rsid w:val="75BC2223"/>
    <w:rsid w:val="75BE243F"/>
    <w:rsid w:val="75BE5F9B"/>
    <w:rsid w:val="75C06DDC"/>
    <w:rsid w:val="75C14B91"/>
    <w:rsid w:val="75C314B9"/>
    <w:rsid w:val="75C75614"/>
    <w:rsid w:val="75C94940"/>
    <w:rsid w:val="75D77BEA"/>
    <w:rsid w:val="75DB08AC"/>
    <w:rsid w:val="75DB165A"/>
    <w:rsid w:val="75E15FAD"/>
    <w:rsid w:val="75E5499B"/>
    <w:rsid w:val="75E7638A"/>
    <w:rsid w:val="75E7791A"/>
    <w:rsid w:val="75EC7227"/>
    <w:rsid w:val="75EF084A"/>
    <w:rsid w:val="75F145C2"/>
    <w:rsid w:val="75F63F3A"/>
    <w:rsid w:val="75FB2AD6"/>
    <w:rsid w:val="75FB71EF"/>
    <w:rsid w:val="75FC4D15"/>
    <w:rsid w:val="75FD4D73"/>
    <w:rsid w:val="76004806"/>
    <w:rsid w:val="76045C08"/>
    <w:rsid w:val="76053BCA"/>
    <w:rsid w:val="760836BA"/>
    <w:rsid w:val="76096858"/>
    <w:rsid w:val="760F59F0"/>
    <w:rsid w:val="76196862"/>
    <w:rsid w:val="761B5E70"/>
    <w:rsid w:val="761C14AF"/>
    <w:rsid w:val="761F3F13"/>
    <w:rsid w:val="76226F35"/>
    <w:rsid w:val="76227814"/>
    <w:rsid w:val="7635099D"/>
    <w:rsid w:val="76372875"/>
    <w:rsid w:val="76391AC6"/>
    <w:rsid w:val="763D7808"/>
    <w:rsid w:val="763E0E8A"/>
    <w:rsid w:val="7641561A"/>
    <w:rsid w:val="764B552E"/>
    <w:rsid w:val="764E6AD3"/>
    <w:rsid w:val="764F753B"/>
    <w:rsid w:val="76500C84"/>
    <w:rsid w:val="76503571"/>
    <w:rsid w:val="76516E0F"/>
    <w:rsid w:val="76532D99"/>
    <w:rsid w:val="76555F5A"/>
    <w:rsid w:val="765863F0"/>
    <w:rsid w:val="76595CC4"/>
    <w:rsid w:val="765B1A3C"/>
    <w:rsid w:val="765E4736"/>
    <w:rsid w:val="76654669"/>
    <w:rsid w:val="76666712"/>
    <w:rsid w:val="766D6E76"/>
    <w:rsid w:val="76726D86"/>
    <w:rsid w:val="767717AF"/>
    <w:rsid w:val="767825EE"/>
    <w:rsid w:val="767D7C04"/>
    <w:rsid w:val="76854EC0"/>
    <w:rsid w:val="76880357"/>
    <w:rsid w:val="768B609B"/>
    <w:rsid w:val="769211D6"/>
    <w:rsid w:val="76936B2F"/>
    <w:rsid w:val="769907B6"/>
    <w:rsid w:val="769A5E93"/>
    <w:rsid w:val="76A62091"/>
    <w:rsid w:val="76A90E52"/>
    <w:rsid w:val="76AC04E9"/>
    <w:rsid w:val="76AC62C1"/>
    <w:rsid w:val="76B01037"/>
    <w:rsid w:val="76BC72B4"/>
    <w:rsid w:val="76BF646F"/>
    <w:rsid w:val="76C570F0"/>
    <w:rsid w:val="76C67745"/>
    <w:rsid w:val="76C802F8"/>
    <w:rsid w:val="76CD24B2"/>
    <w:rsid w:val="76CF41D8"/>
    <w:rsid w:val="76D0242A"/>
    <w:rsid w:val="76D57A40"/>
    <w:rsid w:val="76DF7DC1"/>
    <w:rsid w:val="76E74CCF"/>
    <w:rsid w:val="76E85717"/>
    <w:rsid w:val="76E97048"/>
    <w:rsid w:val="76F00FF8"/>
    <w:rsid w:val="76F55000"/>
    <w:rsid w:val="76F824BC"/>
    <w:rsid w:val="76F854DD"/>
    <w:rsid w:val="76F9750B"/>
    <w:rsid w:val="76FA1DA2"/>
    <w:rsid w:val="76FC1C39"/>
    <w:rsid w:val="77006DD1"/>
    <w:rsid w:val="77072987"/>
    <w:rsid w:val="77073C31"/>
    <w:rsid w:val="77091498"/>
    <w:rsid w:val="770E2F52"/>
    <w:rsid w:val="771F2A69"/>
    <w:rsid w:val="77250B48"/>
    <w:rsid w:val="77271598"/>
    <w:rsid w:val="772B58B2"/>
    <w:rsid w:val="77305033"/>
    <w:rsid w:val="77334C37"/>
    <w:rsid w:val="773804C7"/>
    <w:rsid w:val="773F4EBA"/>
    <w:rsid w:val="77414717"/>
    <w:rsid w:val="774150D6"/>
    <w:rsid w:val="77422BFC"/>
    <w:rsid w:val="77493394"/>
    <w:rsid w:val="774E2C56"/>
    <w:rsid w:val="774F52A3"/>
    <w:rsid w:val="77514BED"/>
    <w:rsid w:val="77517FDB"/>
    <w:rsid w:val="775546DD"/>
    <w:rsid w:val="775D7DE6"/>
    <w:rsid w:val="77664B3C"/>
    <w:rsid w:val="77731007"/>
    <w:rsid w:val="77732816"/>
    <w:rsid w:val="77756B2D"/>
    <w:rsid w:val="77762421"/>
    <w:rsid w:val="778063F1"/>
    <w:rsid w:val="7782124A"/>
    <w:rsid w:val="77847601"/>
    <w:rsid w:val="778F3FED"/>
    <w:rsid w:val="778F7D5F"/>
    <w:rsid w:val="779807BE"/>
    <w:rsid w:val="779F1915"/>
    <w:rsid w:val="779F1DFC"/>
    <w:rsid w:val="77A0511A"/>
    <w:rsid w:val="77A0522A"/>
    <w:rsid w:val="77B04009"/>
    <w:rsid w:val="77B56B1F"/>
    <w:rsid w:val="77BF5FFA"/>
    <w:rsid w:val="77C57C02"/>
    <w:rsid w:val="77C61018"/>
    <w:rsid w:val="77CB2BF1"/>
    <w:rsid w:val="77CD4BBB"/>
    <w:rsid w:val="77D41B61"/>
    <w:rsid w:val="77DC4BB9"/>
    <w:rsid w:val="77DE2A7C"/>
    <w:rsid w:val="77DE6580"/>
    <w:rsid w:val="77F4039A"/>
    <w:rsid w:val="77F43800"/>
    <w:rsid w:val="780103C1"/>
    <w:rsid w:val="78054355"/>
    <w:rsid w:val="780B56E4"/>
    <w:rsid w:val="780C6C3C"/>
    <w:rsid w:val="780F09F4"/>
    <w:rsid w:val="780F62B6"/>
    <w:rsid w:val="781118D9"/>
    <w:rsid w:val="781547E3"/>
    <w:rsid w:val="78174144"/>
    <w:rsid w:val="781817D7"/>
    <w:rsid w:val="78202F3D"/>
    <w:rsid w:val="78212811"/>
    <w:rsid w:val="7822288A"/>
    <w:rsid w:val="782335FF"/>
    <w:rsid w:val="78270D8E"/>
    <w:rsid w:val="78280044"/>
    <w:rsid w:val="782F3180"/>
    <w:rsid w:val="78343ACE"/>
    <w:rsid w:val="783469E8"/>
    <w:rsid w:val="783E7867"/>
    <w:rsid w:val="784A66BD"/>
    <w:rsid w:val="784F55D0"/>
    <w:rsid w:val="78520C1D"/>
    <w:rsid w:val="78540E39"/>
    <w:rsid w:val="78564BB1"/>
    <w:rsid w:val="785B21C7"/>
    <w:rsid w:val="785B5D23"/>
    <w:rsid w:val="785D3378"/>
    <w:rsid w:val="7860158C"/>
    <w:rsid w:val="786719A8"/>
    <w:rsid w:val="78680440"/>
    <w:rsid w:val="78736DE3"/>
    <w:rsid w:val="787768D5"/>
    <w:rsid w:val="78780C5B"/>
    <w:rsid w:val="7879089F"/>
    <w:rsid w:val="78834720"/>
    <w:rsid w:val="78857244"/>
    <w:rsid w:val="788A2AAC"/>
    <w:rsid w:val="78917997"/>
    <w:rsid w:val="78956095"/>
    <w:rsid w:val="789C1FE2"/>
    <w:rsid w:val="78A13AE1"/>
    <w:rsid w:val="78A46A79"/>
    <w:rsid w:val="78A51694"/>
    <w:rsid w:val="78A70F68"/>
    <w:rsid w:val="78A90480"/>
    <w:rsid w:val="78AA2807"/>
    <w:rsid w:val="78AA52E1"/>
    <w:rsid w:val="78B11DBB"/>
    <w:rsid w:val="78B13B17"/>
    <w:rsid w:val="78B24758"/>
    <w:rsid w:val="78B2790D"/>
    <w:rsid w:val="78B33DB1"/>
    <w:rsid w:val="78B6564F"/>
    <w:rsid w:val="78BC253A"/>
    <w:rsid w:val="78BF076D"/>
    <w:rsid w:val="78BF1C53"/>
    <w:rsid w:val="78C45911"/>
    <w:rsid w:val="78C6353E"/>
    <w:rsid w:val="78CC6C21"/>
    <w:rsid w:val="78CD4747"/>
    <w:rsid w:val="78CF4B42"/>
    <w:rsid w:val="78D238C9"/>
    <w:rsid w:val="78E0091E"/>
    <w:rsid w:val="78E201F2"/>
    <w:rsid w:val="78E30DC9"/>
    <w:rsid w:val="78E7188D"/>
    <w:rsid w:val="78E73A5B"/>
    <w:rsid w:val="78F16688"/>
    <w:rsid w:val="78F37B6E"/>
    <w:rsid w:val="78FB7506"/>
    <w:rsid w:val="78FD3C99"/>
    <w:rsid w:val="79013CB3"/>
    <w:rsid w:val="79032BF7"/>
    <w:rsid w:val="79035E58"/>
    <w:rsid w:val="790408DA"/>
    <w:rsid w:val="79053EE1"/>
    <w:rsid w:val="7908577F"/>
    <w:rsid w:val="790F4586"/>
    <w:rsid w:val="79102FB2"/>
    <w:rsid w:val="7916110B"/>
    <w:rsid w:val="791709EF"/>
    <w:rsid w:val="79175AE9"/>
    <w:rsid w:val="7924651E"/>
    <w:rsid w:val="792516D5"/>
    <w:rsid w:val="79254583"/>
    <w:rsid w:val="79292468"/>
    <w:rsid w:val="79312F28"/>
    <w:rsid w:val="79314097"/>
    <w:rsid w:val="79330A4E"/>
    <w:rsid w:val="7935614D"/>
    <w:rsid w:val="79366790"/>
    <w:rsid w:val="79377700"/>
    <w:rsid w:val="793A1DDD"/>
    <w:rsid w:val="793D367B"/>
    <w:rsid w:val="7941371E"/>
    <w:rsid w:val="7947052B"/>
    <w:rsid w:val="794A141B"/>
    <w:rsid w:val="794C13E9"/>
    <w:rsid w:val="794C5FB4"/>
    <w:rsid w:val="79501641"/>
    <w:rsid w:val="79502E50"/>
    <w:rsid w:val="79507852"/>
    <w:rsid w:val="795310F0"/>
    <w:rsid w:val="79537342"/>
    <w:rsid w:val="796706F8"/>
    <w:rsid w:val="7967694A"/>
    <w:rsid w:val="79690914"/>
    <w:rsid w:val="796C21B2"/>
    <w:rsid w:val="796D486C"/>
    <w:rsid w:val="79725F8B"/>
    <w:rsid w:val="7980657F"/>
    <w:rsid w:val="79892D64"/>
    <w:rsid w:val="798E3ED6"/>
    <w:rsid w:val="79954CA1"/>
    <w:rsid w:val="79974F22"/>
    <w:rsid w:val="7997722F"/>
    <w:rsid w:val="799A287B"/>
    <w:rsid w:val="799F3C44"/>
    <w:rsid w:val="79A12DC0"/>
    <w:rsid w:val="79A22246"/>
    <w:rsid w:val="79A90F38"/>
    <w:rsid w:val="79AD1EA7"/>
    <w:rsid w:val="79B31B8F"/>
    <w:rsid w:val="79B86715"/>
    <w:rsid w:val="79BC4EE7"/>
    <w:rsid w:val="79BC6C95"/>
    <w:rsid w:val="79BD2A0E"/>
    <w:rsid w:val="79BE7E2E"/>
    <w:rsid w:val="79C542E2"/>
    <w:rsid w:val="79C773E8"/>
    <w:rsid w:val="79CB2FD9"/>
    <w:rsid w:val="79D614B5"/>
    <w:rsid w:val="79D73ACF"/>
    <w:rsid w:val="79DE4AF9"/>
    <w:rsid w:val="79DF2984"/>
    <w:rsid w:val="79E32474"/>
    <w:rsid w:val="79E35352"/>
    <w:rsid w:val="79E61318"/>
    <w:rsid w:val="79EB1329"/>
    <w:rsid w:val="79EE471E"/>
    <w:rsid w:val="79F01792"/>
    <w:rsid w:val="79F77C3D"/>
    <w:rsid w:val="79F9126F"/>
    <w:rsid w:val="79F91C98"/>
    <w:rsid w:val="79FA77BE"/>
    <w:rsid w:val="79FC3536"/>
    <w:rsid w:val="79FF0771"/>
    <w:rsid w:val="79FF6B82"/>
    <w:rsid w:val="79FF71A2"/>
    <w:rsid w:val="7A0A7A6A"/>
    <w:rsid w:val="7A0C2CC5"/>
    <w:rsid w:val="7A1169E4"/>
    <w:rsid w:val="7A123E69"/>
    <w:rsid w:val="7A124B07"/>
    <w:rsid w:val="7A141EC2"/>
    <w:rsid w:val="7A175207"/>
    <w:rsid w:val="7A1C773B"/>
    <w:rsid w:val="7A28432B"/>
    <w:rsid w:val="7A324B89"/>
    <w:rsid w:val="7A3507F6"/>
    <w:rsid w:val="7A356A48"/>
    <w:rsid w:val="7A364017"/>
    <w:rsid w:val="7A37543D"/>
    <w:rsid w:val="7A3E3B4E"/>
    <w:rsid w:val="7A3E50D3"/>
    <w:rsid w:val="7A41363F"/>
    <w:rsid w:val="7A415B80"/>
    <w:rsid w:val="7A450BEA"/>
    <w:rsid w:val="7A4B1DC7"/>
    <w:rsid w:val="7A4F3F08"/>
    <w:rsid w:val="7A523156"/>
    <w:rsid w:val="7A590988"/>
    <w:rsid w:val="7A5A200A"/>
    <w:rsid w:val="7A6645E3"/>
    <w:rsid w:val="7A6A40CD"/>
    <w:rsid w:val="7A73373A"/>
    <w:rsid w:val="7A772BBC"/>
    <w:rsid w:val="7A777060"/>
    <w:rsid w:val="7A7C01D3"/>
    <w:rsid w:val="7A7E4E00"/>
    <w:rsid w:val="7A7E7E6C"/>
    <w:rsid w:val="7A8265E1"/>
    <w:rsid w:val="7A903C7E"/>
    <w:rsid w:val="7A9B68AB"/>
    <w:rsid w:val="7AA317C2"/>
    <w:rsid w:val="7AA717C2"/>
    <w:rsid w:val="7AAC160F"/>
    <w:rsid w:val="7AAC4F5C"/>
    <w:rsid w:val="7AAD2A82"/>
    <w:rsid w:val="7AAF67FA"/>
    <w:rsid w:val="7AB27FAA"/>
    <w:rsid w:val="7AB40EEF"/>
    <w:rsid w:val="7AB51971"/>
    <w:rsid w:val="7AB67B89"/>
    <w:rsid w:val="7AC06311"/>
    <w:rsid w:val="7AC2483D"/>
    <w:rsid w:val="7AC81DE4"/>
    <w:rsid w:val="7ACC13AD"/>
    <w:rsid w:val="7ACF29F8"/>
    <w:rsid w:val="7ACF6BB6"/>
    <w:rsid w:val="7AD4203F"/>
    <w:rsid w:val="7AD95625"/>
    <w:rsid w:val="7ADB139D"/>
    <w:rsid w:val="7ADD5115"/>
    <w:rsid w:val="7AE71284"/>
    <w:rsid w:val="7AE849D9"/>
    <w:rsid w:val="7AE909AA"/>
    <w:rsid w:val="7AE973D5"/>
    <w:rsid w:val="7AEA5977"/>
    <w:rsid w:val="7AEA5A84"/>
    <w:rsid w:val="7AED2E7F"/>
    <w:rsid w:val="7AF46CD4"/>
    <w:rsid w:val="7AF67F85"/>
    <w:rsid w:val="7AF7341E"/>
    <w:rsid w:val="7AFD63C8"/>
    <w:rsid w:val="7B055DF4"/>
    <w:rsid w:val="7B087367"/>
    <w:rsid w:val="7B09420D"/>
    <w:rsid w:val="7B1B798E"/>
    <w:rsid w:val="7B2C7682"/>
    <w:rsid w:val="7B337B8D"/>
    <w:rsid w:val="7B406C9B"/>
    <w:rsid w:val="7B446F42"/>
    <w:rsid w:val="7B4C229B"/>
    <w:rsid w:val="7B4C4049"/>
    <w:rsid w:val="7B4C5DF7"/>
    <w:rsid w:val="7B5B24DE"/>
    <w:rsid w:val="7B5F7149"/>
    <w:rsid w:val="7B615D46"/>
    <w:rsid w:val="7B686D42"/>
    <w:rsid w:val="7B782467"/>
    <w:rsid w:val="7B7A081D"/>
    <w:rsid w:val="7B7A2964"/>
    <w:rsid w:val="7B841746"/>
    <w:rsid w:val="7B8869E6"/>
    <w:rsid w:val="7B8A5F60"/>
    <w:rsid w:val="7B9E726C"/>
    <w:rsid w:val="7BA07EF1"/>
    <w:rsid w:val="7BA1502A"/>
    <w:rsid w:val="7BA30F4E"/>
    <w:rsid w:val="7BA31081"/>
    <w:rsid w:val="7BA37D65"/>
    <w:rsid w:val="7BA44CC3"/>
    <w:rsid w:val="7BA80414"/>
    <w:rsid w:val="7BAA07FA"/>
    <w:rsid w:val="7BB24622"/>
    <w:rsid w:val="7BBA00F8"/>
    <w:rsid w:val="7BBA7205"/>
    <w:rsid w:val="7BBE352C"/>
    <w:rsid w:val="7BBF1AC8"/>
    <w:rsid w:val="7BC41E31"/>
    <w:rsid w:val="7BC63DFB"/>
    <w:rsid w:val="7BCF0129"/>
    <w:rsid w:val="7BD0720C"/>
    <w:rsid w:val="7BD30100"/>
    <w:rsid w:val="7BD32074"/>
    <w:rsid w:val="7BDB1C4D"/>
    <w:rsid w:val="7BDD2EF3"/>
    <w:rsid w:val="7BDF6C6B"/>
    <w:rsid w:val="7BDF7FCA"/>
    <w:rsid w:val="7BE326F8"/>
    <w:rsid w:val="7BE349AD"/>
    <w:rsid w:val="7BE55CEF"/>
    <w:rsid w:val="7BE75540"/>
    <w:rsid w:val="7BEB5610"/>
    <w:rsid w:val="7BEF48E5"/>
    <w:rsid w:val="7BF5274F"/>
    <w:rsid w:val="7BF70CB5"/>
    <w:rsid w:val="7BF8465F"/>
    <w:rsid w:val="7BFE17E7"/>
    <w:rsid w:val="7C012278"/>
    <w:rsid w:val="7C013085"/>
    <w:rsid w:val="7C047936"/>
    <w:rsid w:val="7C073B61"/>
    <w:rsid w:val="7C0C4936"/>
    <w:rsid w:val="7C0E0B16"/>
    <w:rsid w:val="7C1A5BAA"/>
    <w:rsid w:val="7C1B6D71"/>
    <w:rsid w:val="7C2157BA"/>
    <w:rsid w:val="7C2428D0"/>
    <w:rsid w:val="7C260E9D"/>
    <w:rsid w:val="7C2C66D7"/>
    <w:rsid w:val="7C2E0B52"/>
    <w:rsid w:val="7C2E460D"/>
    <w:rsid w:val="7C3175AE"/>
    <w:rsid w:val="7C330D65"/>
    <w:rsid w:val="7C372603"/>
    <w:rsid w:val="7C3821BC"/>
    <w:rsid w:val="7C396E77"/>
    <w:rsid w:val="7C3D3207"/>
    <w:rsid w:val="7C3F6017"/>
    <w:rsid w:val="7C4371FA"/>
    <w:rsid w:val="7C464B65"/>
    <w:rsid w:val="7C47503C"/>
    <w:rsid w:val="7C5A2796"/>
    <w:rsid w:val="7C5C4760"/>
    <w:rsid w:val="7C5E2286"/>
    <w:rsid w:val="7C60214C"/>
    <w:rsid w:val="7C607043"/>
    <w:rsid w:val="7C640BA7"/>
    <w:rsid w:val="7C6813C3"/>
    <w:rsid w:val="7C6A0C2B"/>
    <w:rsid w:val="7C6C5AC7"/>
    <w:rsid w:val="7C783B35"/>
    <w:rsid w:val="7C7970C0"/>
    <w:rsid w:val="7C7D22D7"/>
    <w:rsid w:val="7C815F74"/>
    <w:rsid w:val="7C863B69"/>
    <w:rsid w:val="7C8D66C7"/>
    <w:rsid w:val="7C8E6168"/>
    <w:rsid w:val="7C9537CE"/>
    <w:rsid w:val="7C9D5C0E"/>
    <w:rsid w:val="7C9E2682"/>
    <w:rsid w:val="7C9E6B26"/>
    <w:rsid w:val="7CA24237"/>
    <w:rsid w:val="7CA2788D"/>
    <w:rsid w:val="7CA659DB"/>
    <w:rsid w:val="7CA852AF"/>
    <w:rsid w:val="7CB079A3"/>
    <w:rsid w:val="7CB55689"/>
    <w:rsid w:val="7CB75F27"/>
    <w:rsid w:val="7CB93960"/>
    <w:rsid w:val="7CBD19F6"/>
    <w:rsid w:val="7CC16371"/>
    <w:rsid w:val="7CC3033B"/>
    <w:rsid w:val="7CC6544B"/>
    <w:rsid w:val="7CD87B19"/>
    <w:rsid w:val="7CD97B5E"/>
    <w:rsid w:val="7CDC31A1"/>
    <w:rsid w:val="7CDC31AB"/>
    <w:rsid w:val="7CE147EB"/>
    <w:rsid w:val="7CE2717A"/>
    <w:rsid w:val="7CE32B26"/>
    <w:rsid w:val="7CEA1D6C"/>
    <w:rsid w:val="7CED0323"/>
    <w:rsid w:val="7CF23C24"/>
    <w:rsid w:val="7CF76237"/>
    <w:rsid w:val="7CF77FE5"/>
    <w:rsid w:val="7CF82511"/>
    <w:rsid w:val="7CF91FAF"/>
    <w:rsid w:val="7CF95B0B"/>
    <w:rsid w:val="7CFB5AA5"/>
    <w:rsid w:val="7D00333D"/>
    <w:rsid w:val="7D012C11"/>
    <w:rsid w:val="7D0163F4"/>
    <w:rsid w:val="7D0239FF"/>
    <w:rsid w:val="7D0B14FB"/>
    <w:rsid w:val="7D0C7EE6"/>
    <w:rsid w:val="7D0F63A0"/>
    <w:rsid w:val="7D1110A6"/>
    <w:rsid w:val="7D11554A"/>
    <w:rsid w:val="7D133070"/>
    <w:rsid w:val="7D157FB6"/>
    <w:rsid w:val="7D18560A"/>
    <w:rsid w:val="7D1D3EEF"/>
    <w:rsid w:val="7D21425A"/>
    <w:rsid w:val="7D215236"/>
    <w:rsid w:val="7D252DA4"/>
    <w:rsid w:val="7D253473"/>
    <w:rsid w:val="7D2B2488"/>
    <w:rsid w:val="7D325284"/>
    <w:rsid w:val="7D3354C1"/>
    <w:rsid w:val="7D342A41"/>
    <w:rsid w:val="7D3D0E71"/>
    <w:rsid w:val="7D3E3E65"/>
    <w:rsid w:val="7D40198C"/>
    <w:rsid w:val="7D455C6D"/>
    <w:rsid w:val="7D457FAA"/>
    <w:rsid w:val="7D47589E"/>
    <w:rsid w:val="7D502AF4"/>
    <w:rsid w:val="7D513B99"/>
    <w:rsid w:val="7D587A0A"/>
    <w:rsid w:val="7D5B0573"/>
    <w:rsid w:val="7D5B394E"/>
    <w:rsid w:val="7D5E40CD"/>
    <w:rsid w:val="7D625DA6"/>
    <w:rsid w:val="7D6A4EF9"/>
    <w:rsid w:val="7D742DD1"/>
    <w:rsid w:val="7D7635FF"/>
    <w:rsid w:val="7D7713AE"/>
    <w:rsid w:val="7D791035"/>
    <w:rsid w:val="7D7C5D4D"/>
    <w:rsid w:val="7D847ACA"/>
    <w:rsid w:val="7D8E26F7"/>
    <w:rsid w:val="7D8E57CF"/>
    <w:rsid w:val="7D91703D"/>
    <w:rsid w:val="7DB36601"/>
    <w:rsid w:val="7DB67EA0"/>
    <w:rsid w:val="7DBC6FF3"/>
    <w:rsid w:val="7DBE1B3B"/>
    <w:rsid w:val="7DC73E5B"/>
    <w:rsid w:val="7DC8310F"/>
    <w:rsid w:val="7DCA74A7"/>
    <w:rsid w:val="7DCC3AD8"/>
    <w:rsid w:val="7DCD56F2"/>
    <w:rsid w:val="7DD138CC"/>
    <w:rsid w:val="7DD36A7D"/>
    <w:rsid w:val="7DE16EE5"/>
    <w:rsid w:val="7DE451F8"/>
    <w:rsid w:val="7DE85257"/>
    <w:rsid w:val="7DEC20D2"/>
    <w:rsid w:val="7DEC709C"/>
    <w:rsid w:val="7DF033B2"/>
    <w:rsid w:val="7DF10ED8"/>
    <w:rsid w:val="7DF63F66"/>
    <w:rsid w:val="7DFA4415"/>
    <w:rsid w:val="7DFD5ACF"/>
    <w:rsid w:val="7E01111B"/>
    <w:rsid w:val="7E0D1B9F"/>
    <w:rsid w:val="7E0D3F64"/>
    <w:rsid w:val="7E17093E"/>
    <w:rsid w:val="7E290E53"/>
    <w:rsid w:val="7E2B43EA"/>
    <w:rsid w:val="7E2E3EDA"/>
    <w:rsid w:val="7E372D8F"/>
    <w:rsid w:val="7E3824B7"/>
    <w:rsid w:val="7E3E0F87"/>
    <w:rsid w:val="7E417769"/>
    <w:rsid w:val="7E447259"/>
    <w:rsid w:val="7E470AF8"/>
    <w:rsid w:val="7E4920F0"/>
    <w:rsid w:val="7E4E1E86"/>
    <w:rsid w:val="7E5036DA"/>
    <w:rsid w:val="7E543906"/>
    <w:rsid w:val="7E54763A"/>
    <w:rsid w:val="7E5B4207"/>
    <w:rsid w:val="7E657E8A"/>
    <w:rsid w:val="7E6B71E3"/>
    <w:rsid w:val="7E6D4A02"/>
    <w:rsid w:val="7E71280E"/>
    <w:rsid w:val="7E727045"/>
    <w:rsid w:val="7E730245"/>
    <w:rsid w:val="7E775881"/>
    <w:rsid w:val="7E7A5BE3"/>
    <w:rsid w:val="7E7A711F"/>
    <w:rsid w:val="7E7E09BD"/>
    <w:rsid w:val="7E7E4059"/>
    <w:rsid w:val="7E7F4735"/>
    <w:rsid w:val="7E800E52"/>
    <w:rsid w:val="7E856B85"/>
    <w:rsid w:val="7E861620"/>
    <w:rsid w:val="7E8B4E88"/>
    <w:rsid w:val="7E994615"/>
    <w:rsid w:val="7E9C52E7"/>
    <w:rsid w:val="7EAC2C32"/>
    <w:rsid w:val="7EB1094C"/>
    <w:rsid w:val="7EBE1F99"/>
    <w:rsid w:val="7EBE688F"/>
    <w:rsid w:val="7EC05876"/>
    <w:rsid w:val="7ECA271F"/>
    <w:rsid w:val="7ECC585B"/>
    <w:rsid w:val="7ED93E46"/>
    <w:rsid w:val="7EE03426"/>
    <w:rsid w:val="7EE051D4"/>
    <w:rsid w:val="7EE66A56"/>
    <w:rsid w:val="7EE9101C"/>
    <w:rsid w:val="7EEF3951"/>
    <w:rsid w:val="7EEF4D6E"/>
    <w:rsid w:val="7EEF71C5"/>
    <w:rsid w:val="7EF35A49"/>
    <w:rsid w:val="7EF51DF4"/>
    <w:rsid w:val="7EF5291F"/>
    <w:rsid w:val="7EFC5D86"/>
    <w:rsid w:val="7F001CE7"/>
    <w:rsid w:val="7F026BC0"/>
    <w:rsid w:val="7F0F1615"/>
    <w:rsid w:val="7F10538E"/>
    <w:rsid w:val="7F137755"/>
    <w:rsid w:val="7F1B4EB8"/>
    <w:rsid w:val="7F1F7D58"/>
    <w:rsid w:val="7F210E94"/>
    <w:rsid w:val="7F233313"/>
    <w:rsid w:val="7F233E95"/>
    <w:rsid w:val="7F250E39"/>
    <w:rsid w:val="7F2552DD"/>
    <w:rsid w:val="7F2F7F0A"/>
    <w:rsid w:val="7F313C82"/>
    <w:rsid w:val="7F316AC2"/>
    <w:rsid w:val="7F355E5B"/>
    <w:rsid w:val="7F36260E"/>
    <w:rsid w:val="7F3D4789"/>
    <w:rsid w:val="7F414D3C"/>
    <w:rsid w:val="7F416D20"/>
    <w:rsid w:val="7F42716B"/>
    <w:rsid w:val="7F4339B5"/>
    <w:rsid w:val="7F443DFC"/>
    <w:rsid w:val="7F527438"/>
    <w:rsid w:val="7F533FA1"/>
    <w:rsid w:val="7F5977EB"/>
    <w:rsid w:val="7F606315"/>
    <w:rsid w:val="7F6317BF"/>
    <w:rsid w:val="7F661BEE"/>
    <w:rsid w:val="7F676E48"/>
    <w:rsid w:val="7F7A1ED6"/>
    <w:rsid w:val="7F7B4EFD"/>
    <w:rsid w:val="7F80048F"/>
    <w:rsid w:val="7F811A2C"/>
    <w:rsid w:val="7F824B73"/>
    <w:rsid w:val="7F960830"/>
    <w:rsid w:val="7F9E12D9"/>
    <w:rsid w:val="7FA04963"/>
    <w:rsid w:val="7FA309A1"/>
    <w:rsid w:val="7FA33A73"/>
    <w:rsid w:val="7FA50238"/>
    <w:rsid w:val="7FB13432"/>
    <w:rsid w:val="7FB3182A"/>
    <w:rsid w:val="7FBD3767"/>
    <w:rsid w:val="7FC20D7E"/>
    <w:rsid w:val="7FCB1B74"/>
    <w:rsid w:val="7FD1668B"/>
    <w:rsid w:val="7FD745AF"/>
    <w:rsid w:val="7FD92360"/>
    <w:rsid w:val="7FDA60C7"/>
    <w:rsid w:val="7FDB21E3"/>
    <w:rsid w:val="7FDD1166"/>
    <w:rsid w:val="7FE47E50"/>
    <w:rsid w:val="7FF54CAF"/>
    <w:rsid w:val="7FF8479F"/>
    <w:rsid w:val="7FFD1DB6"/>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3">
    <w:name w:val="heading 2"/>
    <w:basedOn w:val="1"/>
    <w:next w:val="1"/>
    <w:link w:val="40"/>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4">
    <w:name w:val="heading 3"/>
    <w:basedOn w:val="1"/>
    <w:next w:val="1"/>
    <w:link w:val="48"/>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5">
    <w:name w:val="heading 4"/>
    <w:basedOn w:val="1"/>
    <w:next w:val="1"/>
    <w:link w:val="50"/>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6">
    <w:name w:val="heading 5"/>
    <w:basedOn w:val="1"/>
    <w:next w:val="1"/>
    <w:link w:val="61"/>
    <w:qFormat/>
    <w:locked/>
    <w:uiPriority w:val="0"/>
    <w:pPr>
      <w:keepNext/>
      <w:keepLines/>
      <w:numPr>
        <w:ilvl w:val="4"/>
        <w:numId w:val="2"/>
      </w:numPr>
      <w:spacing w:before="280" w:after="290" w:line="376" w:lineRule="auto"/>
      <w:ind w:left="1366"/>
      <w:outlineLvl w:val="4"/>
    </w:pPr>
    <w:rPr>
      <w:b/>
      <w:bCs/>
      <w:sz w:val="28"/>
      <w:szCs w:val="28"/>
    </w:rPr>
  </w:style>
  <w:style w:type="paragraph" w:styleId="7">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9">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5">
    <w:name w:val="Default Paragraph Font"/>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39"/>
    <w:pPr>
      <w:ind w:left="2520" w:leftChars="1200"/>
    </w:pPr>
  </w:style>
  <w:style w:type="paragraph" w:styleId="12">
    <w:name w:val="Note Heading"/>
    <w:basedOn w:val="1"/>
    <w:next w:val="1"/>
    <w:qFormat/>
    <w:uiPriority w:val="0"/>
    <w:pPr>
      <w:jc w:val="center"/>
    </w:pPr>
  </w:style>
  <w:style w:type="paragraph" w:styleId="13">
    <w:name w:val="Normal Indent"/>
    <w:basedOn w:val="1"/>
    <w:next w:val="14"/>
    <w:link w:val="135"/>
    <w:qFormat/>
    <w:uiPriority w:val="0"/>
    <w:pPr>
      <w:spacing w:before="50" w:beforeLines="50" w:line="360" w:lineRule="auto"/>
      <w:ind w:firstLine="560" w:firstLineChars="200"/>
    </w:pPr>
    <w:rPr>
      <w:rFonts w:ascii="Calibri" w:hAnsi="Calibri"/>
      <w:sz w:val="28"/>
    </w:rPr>
  </w:style>
  <w:style w:type="paragraph" w:styleId="14">
    <w:name w:val="Body Text First Indent 2"/>
    <w:basedOn w:val="15"/>
    <w:next w:val="1"/>
    <w:unhideWhenUsed/>
    <w:qFormat/>
    <w:uiPriority w:val="0"/>
    <w:pPr>
      <w:spacing w:after="120"/>
      <w:ind w:left="420" w:leftChars="200" w:firstLine="420"/>
    </w:pPr>
    <w:rPr>
      <w:sz w:val="21"/>
    </w:rPr>
  </w:style>
  <w:style w:type="paragraph" w:styleId="15">
    <w:name w:val="Body Text Indent"/>
    <w:basedOn w:val="1"/>
    <w:qFormat/>
    <w:uiPriority w:val="0"/>
    <w:pPr>
      <w:ind w:firstLine="560" w:firstLineChars="200"/>
    </w:pPr>
    <w:rPr>
      <w:sz w:val="28"/>
    </w:rPr>
  </w:style>
  <w:style w:type="paragraph" w:styleId="16">
    <w:name w:val="annotation text"/>
    <w:basedOn w:val="1"/>
    <w:qFormat/>
    <w:uiPriority w:val="0"/>
    <w:pPr>
      <w:jc w:val="left"/>
    </w:pPr>
  </w:style>
  <w:style w:type="paragraph" w:styleId="17">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8">
    <w:name w:val="Body Text"/>
    <w:basedOn w:val="1"/>
    <w:next w:val="17"/>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9">
    <w:name w:val="toc 5"/>
    <w:basedOn w:val="1"/>
    <w:next w:val="1"/>
    <w:qFormat/>
    <w:locked/>
    <w:uiPriority w:val="0"/>
    <w:pPr>
      <w:ind w:left="1680" w:leftChars="800"/>
    </w:pPr>
  </w:style>
  <w:style w:type="paragraph" w:styleId="20">
    <w:name w:val="toc 3"/>
    <w:basedOn w:val="1"/>
    <w:next w:val="1"/>
    <w:qFormat/>
    <w:locked/>
    <w:uiPriority w:val="0"/>
    <w:pPr>
      <w:ind w:left="840" w:leftChars="400"/>
    </w:pPr>
  </w:style>
  <w:style w:type="paragraph" w:styleId="21">
    <w:name w:val="Plain Text"/>
    <w:basedOn w:val="1"/>
    <w:next w:val="18"/>
    <w:qFormat/>
    <w:uiPriority w:val="0"/>
    <w:rPr>
      <w:rFonts w:ascii="宋体" w:hAnsi="Courier New"/>
      <w:szCs w:val="20"/>
    </w:rPr>
  </w:style>
  <w:style w:type="paragraph" w:styleId="22">
    <w:name w:val="Body Text Indent 2"/>
    <w:basedOn w:val="1"/>
    <w:next w:val="1"/>
    <w:qFormat/>
    <w:locked/>
    <w:uiPriority w:val="0"/>
    <w:pPr>
      <w:spacing w:after="120" w:afterLines="0" w:line="480" w:lineRule="auto"/>
      <w:ind w:left="420" w:leftChars="200"/>
    </w:pPr>
  </w:style>
  <w:style w:type="paragraph" w:styleId="23">
    <w:name w:val="Balloon Text"/>
    <w:basedOn w:val="1"/>
    <w:semiHidden/>
    <w:qFormat/>
    <w:uiPriority w:val="0"/>
    <w:rPr>
      <w:kern w:val="0"/>
      <w:sz w:val="18"/>
      <w:szCs w:val="20"/>
    </w:rPr>
  </w:style>
  <w:style w:type="paragraph" w:styleId="24">
    <w:name w:val="footer"/>
    <w:basedOn w:val="1"/>
    <w:qFormat/>
    <w:uiPriority w:val="0"/>
    <w:pPr>
      <w:tabs>
        <w:tab w:val="center" w:pos="4153"/>
        <w:tab w:val="right" w:pos="8306"/>
      </w:tabs>
      <w:snapToGrid w:val="0"/>
    </w:pPr>
    <w:rPr>
      <w:sz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6">
    <w:name w:val="toc 1"/>
    <w:basedOn w:val="1"/>
    <w:next w:val="1"/>
    <w:qFormat/>
    <w:uiPriority w:val="0"/>
    <w:pPr>
      <w:spacing w:line="312" w:lineRule="auto"/>
    </w:pPr>
    <w:rPr>
      <w:rFonts w:ascii="Times New Roman" w:hAnsi="Times New Roman" w:eastAsia="宋体"/>
      <w:sz w:val="24"/>
    </w:rPr>
  </w:style>
  <w:style w:type="paragraph" w:styleId="27">
    <w:name w:val="toc 4"/>
    <w:basedOn w:val="1"/>
    <w:next w:val="1"/>
    <w:qFormat/>
    <w:locked/>
    <w:uiPriority w:val="0"/>
    <w:pPr>
      <w:ind w:left="1260" w:leftChars="600"/>
    </w:pPr>
  </w:style>
  <w:style w:type="paragraph" w:styleId="28">
    <w:name w:val="List"/>
    <w:basedOn w:val="1"/>
    <w:unhideWhenUsed/>
    <w:qFormat/>
    <w:uiPriority w:val="99"/>
    <w:pPr>
      <w:ind w:left="200" w:hanging="200" w:hangingChars="200"/>
      <w:contextualSpacing/>
    </w:pPr>
  </w:style>
  <w:style w:type="paragraph" w:styleId="29">
    <w:name w:val="toc 2"/>
    <w:basedOn w:val="1"/>
    <w:next w:val="1"/>
    <w:qFormat/>
    <w:locked/>
    <w:uiPriority w:val="0"/>
    <w:pPr>
      <w:ind w:left="420" w:leftChars="200"/>
    </w:pPr>
  </w:style>
  <w:style w:type="paragraph" w:styleId="3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1">
    <w:name w:val="Title"/>
    <w:basedOn w:val="1"/>
    <w:next w:val="1"/>
    <w:link w:val="62"/>
    <w:qFormat/>
    <w:locked/>
    <w:uiPriority w:val="0"/>
    <w:pPr>
      <w:spacing w:before="240" w:after="60"/>
      <w:jc w:val="center"/>
      <w:outlineLvl w:val="0"/>
    </w:pPr>
    <w:rPr>
      <w:rFonts w:ascii="Cambria" w:hAnsi="Cambria"/>
      <w:b/>
      <w:bCs/>
      <w:sz w:val="32"/>
      <w:szCs w:val="32"/>
    </w:rPr>
  </w:style>
  <w:style w:type="paragraph" w:styleId="32">
    <w:name w:val="Body Text First Indent"/>
    <w:basedOn w:val="18"/>
    <w:next w:val="1"/>
    <w:qFormat/>
    <w:uiPriority w:val="0"/>
    <w:pPr>
      <w:ind w:firstLine="420" w:firstLineChars="1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locked/>
    <w:uiPriority w:val="0"/>
    <w:rPr>
      <w:b/>
    </w:rPr>
  </w:style>
  <w:style w:type="character" w:styleId="37">
    <w:name w:val="FollowedHyperlink"/>
    <w:basedOn w:val="35"/>
    <w:qFormat/>
    <w:uiPriority w:val="0"/>
    <w:rPr>
      <w:color w:val="800080"/>
      <w:u w:val="none"/>
    </w:rPr>
  </w:style>
  <w:style w:type="character" w:styleId="38">
    <w:name w:val="Emphasis"/>
    <w:basedOn w:val="35"/>
    <w:qFormat/>
    <w:uiPriority w:val="0"/>
  </w:style>
  <w:style w:type="character" w:styleId="39">
    <w:name w:val="Hyperlink"/>
    <w:basedOn w:val="35"/>
    <w:qFormat/>
    <w:uiPriority w:val="0"/>
    <w:rPr>
      <w:color w:val="0000FF"/>
      <w:u w:val="none"/>
    </w:rPr>
  </w:style>
  <w:style w:type="character" w:customStyle="1" w:styleId="40">
    <w:name w:val="标题 2 Char"/>
    <w:link w:val="3"/>
    <w:qFormat/>
    <w:uiPriority w:val="9"/>
    <w:rPr>
      <w:rFonts w:ascii="Times New Roman" w:hAnsi="Times New Roman" w:eastAsia="宋体" w:cs="Times New Roman"/>
      <w:b/>
      <w:bCs/>
      <w:kern w:val="2"/>
      <w:sz w:val="28"/>
      <w:szCs w:val="32"/>
    </w:rPr>
  </w:style>
  <w:style w:type="character" w:customStyle="1" w:styleId="41">
    <w:name w:val="标题 1 Char"/>
    <w:link w:val="2"/>
    <w:qFormat/>
    <w:uiPriority w:val="99"/>
    <w:rPr>
      <w:rFonts w:ascii="Times New Roman" w:hAnsi="Times New Roman" w:eastAsia="宋体"/>
      <w:b/>
      <w:bCs/>
      <w:color w:val="000000"/>
      <w:kern w:val="44"/>
      <w:sz w:val="30"/>
      <w:szCs w:val="30"/>
    </w:rPr>
  </w:style>
  <w:style w:type="paragraph" w:customStyle="1" w:styleId="42">
    <w:name w:val="表格标题"/>
    <w:basedOn w:val="43"/>
    <w:next w:val="1"/>
    <w:qFormat/>
    <w:uiPriority w:val="0"/>
    <w:pPr>
      <w:numPr>
        <w:ilvl w:val="7"/>
        <w:numId w:val="1"/>
      </w:numPr>
      <w:tabs>
        <w:tab w:val="left" w:pos="420"/>
        <w:tab w:val="clear" w:pos="0"/>
      </w:tabs>
      <w:spacing w:line="240" w:lineRule="auto"/>
      <w:ind w:left="0" w:firstLine="0" w:firstLineChars="0"/>
      <w:jc w:val="center"/>
    </w:pPr>
    <w:rPr>
      <w:rFonts w:ascii="Times New Roman" w:hAnsi="Times New Roman" w:eastAsia="宋体"/>
      <w:b/>
      <w:bCs/>
      <w:color w:val="auto"/>
      <w:szCs w:val="21"/>
    </w:rPr>
  </w:style>
  <w:style w:type="paragraph" w:customStyle="1" w:styleId="43">
    <w:name w:val="正文内容"/>
    <w:basedOn w:val="1"/>
    <w:qFormat/>
    <w:uiPriority w:val="0"/>
    <w:pPr>
      <w:adjustRightInd w:val="0"/>
      <w:spacing w:line="360" w:lineRule="auto"/>
    </w:pPr>
    <w:rPr>
      <w:color w:val="000000"/>
      <w:sz w:val="24"/>
    </w:rPr>
  </w:style>
  <w:style w:type="paragraph" w:customStyle="1" w:styleId="44">
    <w:name w:val="闽创报告正文"/>
    <w:basedOn w:val="45"/>
    <w:link w:val="98"/>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000000" w:themeColor="text1"/>
      <w:kern w:val="0"/>
      <w:szCs w:val="20"/>
      <w:lang w:val="zh-CN"/>
      <w14:textFill>
        <w14:solidFill>
          <w14:schemeClr w14:val="tx1"/>
        </w14:solidFill>
      </w14:textFill>
    </w:rPr>
  </w:style>
  <w:style w:type="paragraph" w:customStyle="1" w:styleId="45">
    <w:name w:val="0正文"/>
    <w:basedOn w:val="15"/>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6">
    <w:name w:val="表格内容"/>
    <w:basedOn w:val="28"/>
    <w:next w:val="1"/>
    <w:link w:val="56"/>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47">
    <w:name w:val="图文标题"/>
    <w:basedOn w:val="1"/>
    <w:next w:val="1"/>
    <w:link w:val="64"/>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48">
    <w:name w:val="标题 3 Char"/>
    <w:link w:val="4"/>
    <w:semiHidden/>
    <w:qFormat/>
    <w:uiPriority w:val="0"/>
    <w:rPr>
      <w:rFonts w:ascii="Times New Roman" w:hAnsi="Times New Roman" w:eastAsia="宋体"/>
      <w:b/>
      <w:bCs/>
      <w:kern w:val="2"/>
      <w:sz w:val="24"/>
      <w:szCs w:val="32"/>
    </w:rPr>
  </w:style>
  <w:style w:type="paragraph" w:customStyle="1" w:styleId="49">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0">
    <w:name w:val="标题 4 Char"/>
    <w:link w:val="5"/>
    <w:semiHidden/>
    <w:qFormat/>
    <w:uiPriority w:val="0"/>
    <w:rPr>
      <w:rFonts w:ascii="Times New Roman" w:hAnsi="Times New Roman" w:eastAsia="宋体" w:cs="Times New Roman"/>
      <w:b/>
      <w:bCs/>
      <w:kern w:val="2"/>
      <w:sz w:val="24"/>
      <w:szCs w:val="28"/>
    </w:rPr>
  </w:style>
  <w:style w:type="paragraph" w:customStyle="1" w:styleId="51">
    <w:name w:val="Default"/>
    <w:basedOn w:val="52"/>
    <w:next w:val="53"/>
    <w:qFormat/>
    <w:uiPriority w:val="0"/>
    <w:pPr>
      <w:widowControl w:val="0"/>
      <w:autoSpaceDE w:val="0"/>
      <w:autoSpaceDN w:val="0"/>
      <w:adjustRightInd w:val="0"/>
    </w:pPr>
    <w:rPr>
      <w:color w:val="000000"/>
      <w:sz w:val="24"/>
      <w:szCs w:val="24"/>
      <w:lang w:val="en-US" w:eastAsia="zh-CN" w:bidi="ar-SA"/>
    </w:rPr>
  </w:style>
  <w:style w:type="paragraph" w:customStyle="1" w:styleId="52">
    <w:name w:val="纯文本1"/>
    <w:basedOn w:val="1"/>
    <w:next w:val="21"/>
    <w:qFormat/>
    <w:uiPriority w:val="0"/>
    <w:pPr>
      <w:textAlignment w:val="baseline"/>
    </w:pPr>
    <w:rPr>
      <w:rFonts w:ascii="宋体" w:hAnsi="Courier New"/>
    </w:rPr>
  </w:style>
  <w:style w:type="paragraph" w:customStyle="1" w:styleId="53">
    <w:name w:val="样式35"/>
    <w:next w:val="54"/>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4">
    <w:name w:val="font6"/>
    <w:basedOn w:val="1"/>
    <w:next w:val="29"/>
    <w:qFormat/>
    <w:uiPriority w:val="99"/>
    <w:pPr>
      <w:widowControl/>
      <w:spacing w:before="100" w:beforeAutospacing="1" w:after="100" w:afterAutospacing="1"/>
      <w:jc w:val="left"/>
    </w:pPr>
    <w:rPr>
      <w:rFonts w:ascii="宋体" w:hAnsi="宋体"/>
      <w:sz w:val="20"/>
      <w:szCs w:val="20"/>
    </w:rPr>
  </w:style>
  <w:style w:type="paragraph" w:customStyle="1" w:styleId="55">
    <w:name w:val="xl27"/>
    <w:basedOn w:val="1"/>
    <w:next w:val="22"/>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56">
    <w:name w:val="表格内容 Char1"/>
    <w:link w:val="46"/>
    <w:qFormat/>
    <w:uiPriority w:val="0"/>
    <w:rPr>
      <w:rFonts w:ascii="Times New Roman" w:hAnsi="Times New Roman" w:eastAsia="宋体" w:cs="Times New Roman"/>
      <w:sz w:val="21"/>
    </w:rPr>
  </w:style>
  <w:style w:type="paragraph" w:customStyle="1" w:styleId="57">
    <w:name w:val="表格标题无编号"/>
    <w:basedOn w:val="42"/>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kern w:val="0"/>
      <w:sz w:val="24"/>
      <w:szCs w:val="22"/>
      <w:lang w:val="zh-CN" w:eastAsia="zh-CN" w:bidi="ar-SA"/>
    </w:rPr>
  </w:style>
  <w:style w:type="table" w:customStyle="1" w:styleId="58">
    <w:name w:val="网格型1"/>
    <w:basedOn w:val="3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6表格（锐）"/>
    <w:basedOn w:val="34"/>
    <w:qFormat/>
    <w:locked/>
    <w:uiPriority w:val="99"/>
    <w:pPr>
      <w:jc w:val="center"/>
    </w:pPr>
    <w:rPr>
      <w:sz w:val="21"/>
    </w:rPr>
    <w:tblPr>
      <w:tblBorders>
        <w:top w:val="single" w:color="auto" w:sz="12" w:space="0"/>
        <w:bottom w:val="single" w:color="auto" w:sz="12" w:space="0"/>
      </w:tblBorders>
      <w:tblCellMar>
        <w:top w:w="0" w:type="dxa"/>
        <w:left w:w="108" w:type="dxa"/>
        <w:bottom w:w="0" w:type="dxa"/>
        <w:right w:w="108" w:type="dxa"/>
      </w:tblCellMar>
    </w:tblPr>
    <w:trPr>
      <w:tblHeader/>
    </w:trPr>
    <w:tcPr>
      <w:vAlign w:val="center"/>
    </w:tcPr>
  </w:style>
  <w:style w:type="paragraph" w:customStyle="1" w:styleId="60">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61">
    <w:name w:val="标题 5 Char"/>
    <w:link w:val="6"/>
    <w:semiHidden/>
    <w:qFormat/>
    <w:uiPriority w:val="0"/>
    <w:rPr>
      <w:b/>
      <w:bCs/>
      <w:kern w:val="2"/>
      <w:sz w:val="28"/>
      <w:szCs w:val="28"/>
    </w:rPr>
  </w:style>
  <w:style w:type="character" w:customStyle="1" w:styleId="62">
    <w:name w:val="标题 Char"/>
    <w:link w:val="31"/>
    <w:qFormat/>
    <w:uiPriority w:val="0"/>
    <w:rPr>
      <w:rFonts w:ascii="Cambria" w:hAnsi="Cambria" w:cs="Times New Roman"/>
      <w:b/>
      <w:bCs/>
      <w:kern w:val="2"/>
      <w:sz w:val="32"/>
      <w:szCs w:val="32"/>
    </w:rPr>
  </w:style>
  <w:style w:type="character" w:customStyle="1" w:styleId="63">
    <w:name w:val="闽创报告正文 Char"/>
    <w:link w:val="44"/>
    <w:qFormat/>
    <w:uiPriority w:val="0"/>
    <w:rPr>
      <w:rFonts w:ascii="Times New Roman" w:hAnsi="Times New Roman" w:eastAsia="宋体" w:cs="宋体"/>
      <w:color w:val="FF0000"/>
      <w:kern w:val="0"/>
      <w:sz w:val="24"/>
      <w:szCs w:val="20"/>
      <w:lang w:val="zh-CN" w:eastAsia="zh-CN" w:bidi="ar-SA"/>
    </w:rPr>
  </w:style>
  <w:style w:type="character" w:customStyle="1" w:styleId="64">
    <w:name w:val="图文标题 Char1"/>
    <w:link w:val="47"/>
    <w:qFormat/>
    <w:uiPriority w:val="0"/>
    <w:rPr>
      <w:rFonts w:ascii="Times New Roman" w:hAnsi="Times New Roman" w:eastAsia="宋体"/>
      <w:b/>
      <w:bCs/>
      <w:color w:val="auto"/>
      <w:sz w:val="24"/>
      <w:szCs w:val="21"/>
    </w:rPr>
  </w:style>
  <w:style w:type="paragraph" w:customStyle="1" w:styleId="65">
    <w:name w:val="表字体"/>
    <w:next w:val="1"/>
    <w:unhideWhenUsed/>
    <w:qFormat/>
    <w:uiPriority w:val="0"/>
    <w:pPr>
      <w:jc w:val="center"/>
    </w:pPr>
    <w:rPr>
      <w:rFonts w:hint="eastAsia" w:ascii="Times New Roman" w:hAnsi="Times New Roman" w:eastAsia="宋体" w:cs="Times New Roman"/>
      <w:sz w:val="21"/>
      <w:lang w:val="en-US" w:eastAsia="zh-CN" w:bidi="ar-SA"/>
    </w:rPr>
  </w:style>
  <w:style w:type="character" w:customStyle="1" w:styleId="66">
    <w:name w:val="font21"/>
    <w:basedOn w:val="35"/>
    <w:qFormat/>
    <w:uiPriority w:val="0"/>
    <w:rPr>
      <w:rFonts w:hint="eastAsia" w:ascii="宋体" w:hAnsi="宋体" w:eastAsia="宋体" w:cs="宋体"/>
      <w:color w:val="000000"/>
      <w:sz w:val="21"/>
      <w:szCs w:val="21"/>
      <w:u w:val="none"/>
    </w:rPr>
  </w:style>
  <w:style w:type="character" w:customStyle="1" w:styleId="67">
    <w:name w:val="font11"/>
    <w:basedOn w:val="35"/>
    <w:qFormat/>
    <w:uiPriority w:val="0"/>
    <w:rPr>
      <w:rFonts w:hint="default" w:ascii="Times New Roman" w:hAnsi="Times New Roman" w:cs="Times New Roman"/>
      <w:color w:val="000000"/>
      <w:sz w:val="21"/>
      <w:szCs w:val="21"/>
      <w:u w:val="none"/>
    </w:rPr>
  </w:style>
  <w:style w:type="character" w:customStyle="1" w:styleId="68">
    <w:name w:val="font31"/>
    <w:basedOn w:val="35"/>
    <w:qFormat/>
    <w:uiPriority w:val="0"/>
    <w:rPr>
      <w:rFonts w:hint="default" w:ascii="Times New Roman" w:hAnsi="Times New Roman" w:cs="Times New Roman"/>
      <w:color w:val="000000"/>
      <w:sz w:val="21"/>
      <w:szCs w:val="21"/>
      <w:u w:val="none"/>
      <w:vertAlign w:val="superscript"/>
    </w:rPr>
  </w:style>
  <w:style w:type="character" w:customStyle="1" w:styleId="69">
    <w:name w:val="font41"/>
    <w:basedOn w:val="35"/>
    <w:qFormat/>
    <w:uiPriority w:val="0"/>
    <w:rPr>
      <w:rFonts w:hint="default" w:ascii="Times New Roman" w:hAnsi="Times New Roman" w:cs="Times New Roman"/>
      <w:color w:val="000000"/>
      <w:sz w:val="21"/>
      <w:szCs w:val="21"/>
      <w:u w:val="none"/>
    </w:rPr>
  </w:style>
  <w:style w:type="paragraph" w:customStyle="1" w:styleId="70">
    <w:name w:val=" Char Char Char Char Char Char Char Char Char Char Char"/>
    <w:basedOn w:val="1"/>
    <w:qFormat/>
    <w:uiPriority w:val="0"/>
    <w:rPr>
      <w:sz w:val="24"/>
    </w:rPr>
  </w:style>
  <w:style w:type="paragraph" w:customStyle="1" w:styleId="71">
    <w:name w:val="6表文（锐）"/>
    <w:basedOn w:val="72"/>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2">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3">
    <w:name w:val="表标题"/>
    <w:qFormat/>
    <w:uiPriority w:val="0"/>
    <w:pPr>
      <w:jc w:val="center"/>
    </w:pPr>
    <w:rPr>
      <w:rFonts w:ascii="Times New Roman" w:hAnsi="Times New Roman" w:eastAsia="宋体" w:cs="Times New Roman"/>
      <w:b/>
      <w:sz w:val="21"/>
      <w:lang w:val="en-US" w:eastAsia="zh-CN" w:bidi="ar-SA"/>
    </w:rPr>
  </w:style>
  <w:style w:type="paragraph" w:customStyle="1" w:styleId="74">
    <w:name w:val="表头1"/>
    <w:basedOn w:val="1"/>
    <w:next w:val="1"/>
    <w:qFormat/>
    <w:uiPriority w:val="0"/>
    <w:pPr>
      <w:numPr>
        <w:ilvl w:val="4"/>
        <w:numId w:val="5"/>
      </w:numPr>
      <w:tabs>
        <w:tab w:val="left" w:pos="0"/>
        <w:tab w:val="clear" w:pos="420"/>
      </w:tabs>
      <w:adjustRightInd/>
      <w:snapToGrid/>
      <w:spacing w:line="360" w:lineRule="auto"/>
      <w:ind w:left="0" w:firstLine="0" w:firstLineChars="0"/>
      <w:jc w:val="center"/>
      <w:outlineLvl w:val="7"/>
    </w:pPr>
    <w:rPr>
      <w:rFonts w:ascii="Times New Roman" w:hAnsi="Times New Roman" w:eastAsia="宋体"/>
      <w:b/>
    </w:rPr>
  </w:style>
  <w:style w:type="character" w:customStyle="1" w:styleId="75">
    <w:name w:val="font71"/>
    <w:basedOn w:val="35"/>
    <w:qFormat/>
    <w:uiPriority w:val="0"/>
    <w:rPr>
      <w:rFonts w:hint="default" w:ascii="Times New Roman" w:hAnsi="Times New Roman" w:cs="Times New Roman"/>
      <w:color w:val="FF0000"/>
      <w:sz w:val="21"/>
      <w:szCs w:val="21"/>
      <w:u w:val="none"/>
    </w:rPr>
  </w:style>
  <w:style w:type="character" w:customStyle="1" w:styleId="76">
    <w:name w:val="font101"/>
    <w:basedOn w:val="35"/>
    <w:qFormat/>
    <w:uiPriority w:val="0"/>
    <w:rPr>
      <w:rFonts w:hint="default" w:ascii="Times New Roman" w:hAnsi="Times New Roman" w:cs="Times New Roman"/>
      <w:color w:val="FF0000"/>
      <w:sz w:val="21"/>
      <w:szCs w:val="21"/>
      <w:u w:val="none"/>
      <w:vertAlign w:val="superscript"/>
    </w:rPr>
  </w:style>
  <w:style w:type="character" w:customStyle="1" w:styleId="77">
    <w:name w:val="font51"/>
    <w:basedOn w:val="35"/>
    <w:qFormat/>
    <w:uiPriority w:val="0"/>
    <w:rPr>
      <w:rFonts w:hint="default" w:ascii="Times New Roman" w:hAnsi="Times New Roman" w:cs="Times New Roman"/>
      <w:color w:val="0000FF"/>
      <w:sz w:val="21"/>
      <w:szCs w:val="21"/>
      <w:u w:val="none"/>
    </w:rPr>
  </w:style>
  <w:style w:type="character" w:customStyle="1" w:styleId="78">
    <w:name w:val="font112"/>
    <w:basedOn w:val="35"/>
    <w:qFormat/>
    <w:uiPriority w:val="0"/>
    <w:rPr>
      <w:rFonts w:hint="default" w:ascii="Times New Roman" w:hAnsi="Times New Roman" w:cs="Times New Roman"/>
      <w:color w:val="0000FF"/>
      <w:sz w:val="21"/>
      <w:szCs w:val="21"/>
      <w:u w:val="none"/>
      <w:vertAlign w:val="superscript"/>
    </w:rPr>
  </w:style>
  <w:style w:type="character" w:customStyle="1" w:styleId="79">
    <w:name w:val="font91"/>
    <w:basedOn w:val="35"/>
    <w:qFormat/>
    <w:uiPriority w:val="0"/>
    <w:rPr>
      <w:rFonts w:hint="default" w:ascii="Times New Roman" w:hAnsi="Times New Roman" w:cs="Times New Roman"/>
      <w:color w:val="7030A0"/>
      <w:sz w:val="21"/>
      <w:szCs w:val="21"/>
      <w:u w:val="none"/>
    </w:rPr>
  </w:style>
  <w:style w:type="character" w:customStyle="1" w:styleId="80">
    <w:name w:val="font121"/>
    <w:basedOn w:val="35"/>
    <w:qFormat/>
    <w:uiPriority w:val="0"/>
    <w:rPr>
      <w:rFonts w:hint="default" w:ascii="Times New Roman" w:hAnsi="Times New Roman" w:cs="Times New Roman"/>
      <w:color w:val="7030A0"/>
      <w:sz w:val="21"/>
      <w:szCs w:val="21"/>
      <w:u w:val="none"/>
      <w:vertAlign w:val="superscript"/>
    </w:rPr>
  </w:style>
  <w:style w:type="character" w:customStyle="1" w:styleId="81">
    <w:name w:val="font61"/>
    <w:basedOn w:val="35"/>
    <w:qFormat/>
    <w:uiPriority w:val="0"/>
    <w:rPr>
      <w:rFonts w:hint="eastAsia" w:ascii="宋体" w:hAnsi="宋体" w:eastAsia="宋体" w:cs="宋体"/>
      <w:color w:val="FF0000"/>
      <w:sz w:val="20"/>
      <w:szCs w:val="20"/>
      <w:u w:val="none"/>
    </w:rPr>
  </w:style>
  <w:style w:type="character" w:customStyle="1" w:styleId="82">
    <w:name w:val="font01"/>
    <w:basedOn w:val="35"/>
    <w:qFormat/>
    <w:uiPriority w:val="0"/>
    <w:rPr>
      <w:rFonts w:hint="default" w:ascii="Times New Roman" w:hAnsi="Times New Roman" w:cs="Times New Roman"/>
      <w:color w:val="FF0000"/>
      <w:sz w:val="20"/>
      <w:szCs w:val="20"/>
      <w:u w:val="none"/>
    </w:rPr>
  </w:style>
  <w:style w:type="character" w:customStyle="1" w:styleId="83">
    <w:name w:val="font81"/>
    <w:basedOn w:val="35"/>
    <w:qFormat/>
    <w:uiPriority w:val="0"/>
    <w:rPr>
      <w:rFonts w:hint="default" w:ascii="Times New Roman" w:hAnsi="Times New Roman" w:cs="Times New Roman"/>
      <w:color w:val="FF0000"/>
      <w:sz w:val="20"/>
      <w:szCs w:val="20"/>
      <w:u w:val="none"/>
      <w:vertAlign w:val="superscript"/>
    </w:rPr>
  </w:style>
  <w:style w:type="table" w:customStyle="1" w:styleId="84">
    <w:name w:val="Table Normal"/>
    <w:unhideWhenUsed/>
    <w:qFormat/>
    <w:uiPriority w:val="0"/>
    <w:tblPr>
      <w:tblCellMar>
        <w:top w:w="0" w:type="dxa"/>
        <w:left w:w="0" w:type="dxa"/>
        <w:bottom w:w="0" w:type="dxa"/>
        <w:right w:w="0" w:type="dxa"/>
      </w:tblCellMar>
    </w:tblPr>
  </w:style>
  <w:style w:type="paragraph" w:customStyle="1" w:styleId="85">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86">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87">
    <w:name w:val="正文(首行缩进)"/>
    <w:basedOn w:val="1"/>
    <w:qFormat/>
    <w:uiPriority w:val="0"/>
    <w:pPr>
      <w:ind w:firstLine="420"/>
    </w:pPr>
    <w:rPr>
      <w:kern w:val="24"/>
    </w:rPr>
  </w:style>
  <w:style w:type="paragraph" w:customStyle="1" w:styleId="88">
    <w:name w:val="表正文"/>
    <w:basedOn w:val="1"/>
    <w:qFormat/>
    <w:uiPriority w:val="0"/>
    <w:pPr>
      <w:spacing w:line="360" w:lineRule="auto"/>
      <w:ind w:firstLine="200" w:firstLineChars="200"/>
    </w:pPr>
    <w:rPr>
      <w:sz w:val="24"/>
    </w:rPr>
  </w:style>
  <w:style w:type="paragraph" w:customStyle="1" w:styleId="89">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sz w:val="24"/>
      <w:szCs w:val="21"/>
      <w:lang w:val="en-US" w:eastAsia="zh-CN" w:bidi="ar-SA"/>
    </w:rPr>
  </w:style>
  <w:style w:type="paragraph" w:customStyle="1" w:styleId="90">
    <w:name w:val="z表格内文字"/>
    <w:basedOn w:val="1"/>
    <w:qFormat/>
    <w:uiPriority w:val="0"/>
    <w:pPr>
      <w:jc w:val="center"/>
    </w:pPr>
    <w:rPr>
      <w:color w:val="000000"/>
      <w:szCs w:val="21"/>
    </w:rPr>
  </w:style>
  <w:style w:type="paragraph" w:customStyle="1" w:styleId="91">
    <w:name w:val="书表文字"/>
    <w:qFormat/>
    <w:uiPriority w:val="0"/>
    <w:pPr>
      <w:widowControl w:val="0"/>
    </w:pPr>
    <w:rPr>
      <w:rFonts w:ascii="Times New Roman" w:hAnsi="Times New Roman" w:eastAsia="宋体" w:cs="Courier New"/>
      <w:kern w:val="2"/>
      <w:sz w:val="21"/>
      <w:szCs w:val="21"/>
      <w:lang w:val="en-US" w:eastAsia="zh-CN" w:bidi="ar-SA"/>
    </w:rPr>
  </w:style>
  <w:style w:type="character" w:customStyle="1" w:styleId="92">
    <w:name w:val="fontstyle01"/>
    <w:basedOn w:val="35"/>
    <w:qFormat/>
    <w:uiPriority w:val="0"/>
    <w:rPr>
      <w:rFonts w:ascii="宋体" w:hAnsi="宋体" w:eastAsia="宋体" w:cs="宋体"/>
      <w:color w:val="000000"/>
      <w:sz w:val="22"/>
      <w:szCs w:val="22"/>
    </w:rPr>
  </w:style>
  <w:style w:type="paragraph" w:customStyle="1" w:styleId="93">
    <w:name w:val="表格内文字"/>
    <w:basedOn w:val="94"/>
    <w:qFormat/>
    <w:uiPriority w:val="0"/>
    <w:pPr>
      <w:widowControl w:val="0"/>
      <w:tabs>
        <w:tab w:val="left" w:pos="3825"/>
        <w:tab w:val="left" w:pos="4680"/>
      </w:tabs>
      <w:adjustRightInd w:val="0"/>
      <w:snapToGrid w:val="0"/>
      <w:spacing w:line="240" w:lineRule="auto"/>
      <w:ind w:firstLine="480" w:firstLineChars="200"/>
    </w:pPr>
    <w:rPr>
      <w:rFonts w:ascii="Calibri" w:hAnsi="Calibri" w:cs="宋体"/>
      <w:b w:val="0"/>
      <w:sz w:val="21"/>
      <w:szCs w:val="24"/>
    </w:rPr>
  </w:style>
  <w:style w:type="paragraph" w:customStyle="1" w:styleId="94">
    <w:name w:val="表格名称"/>
    <w:next w:val="93"/>
    <w:qFormat/>
    <w:uiPriority w:val="0"/>
    <w:pPr>
      <w:tabs>
        <w:tab w:val="left" w:pos="3825"/>
        <w:tab w:val="left" w:pos="4680"/>
      </w:tabs>
      <w:spacing w:line="360" w:lineRule="auto"/>
      <w:jc w:val="center"/>
    </w:pPr>
    <w:rPr>
      <w:rFonts w:ascii="Times New Roman" w:hAnsi="Times New Roman" w:eastAsia="宋体" w:cs="Times New Roman"/>
      <w:b/>
      <w:sz w:val="24"/>
      <w:szCs w:val="21"/>
      <w:lang w:val="en-US" w:eastAsia="zh-CN" w:bidi="ar-SA"/>
    </w:rPr>
  </w:style>
  <w:style w:type="paragraph" w:customStyle="1" w:styleId="95">
    <w:name w:val="Table Paragraph"/>
    <w:basedOn w:val="1"/>
    <w:qFormat/>
    <w:uiPriority w:val="1"/>
    <w:pPr>
      <w:jc w:val="center"/>
    </w:pPr>
    <w:rPr>
      <w:rFonts w:ascii="宋体" w:hAnsi="宋体" w:cs="宋体"/>
      <w:lang w:val="zh-CN" w:bidi="zh-CN"/>
    </w:rPr>
  </w:style>
  <w:style w:type="paragraph" w:customStyle="1" w:styleId="96">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97">
    <w:name w:val="表内容"/>
    <w:basedOn w:val="1"/>
    <w:qFormat/>
    <w:uiPriority w:val="0"/>
    <w:pPr>
      <w:widowControl/>
      <w:adjustRightInd w:val="0"/>
      <w:jc w:val="center"/>
    </w:pPr>
    <w:rPr>
      <w:szCs w:val="21"/>
    </w:rPr>
  </w:style>
  <w:style w:type="character" w:customStyle="1" w:styleId="98">
    <w:name w:val="报告正文 Char"/>
    <w:link w:val="44"/>
    <w:qFormat/>
    <w:uiPriority w:val="0"/>
    <w:rPr>
      <w:rFonts w:ascii="Times New Roman" w:hAnsi="Times New Roman" w:eastAsia="宋体"/>
      <w:color w:val="000000" w:themeColor="text1"/>
      <w:sz w:val="24"/>
      <w:szCs w:val="24"/>
      <w14:textFill>
        <w14:solidFill>
          <w14:schemeClr w14:val="tx1"/>
        </w14:solidFill>
      </w14:textFill>
    </w:rPr>
  </w:style>
  <w:style w:type="paragraph" w:customStyle="1" w:styleId="99">
    <w:name w:val="表 内容"/>
    <w:qFormat/>
    <w:uiPriority w:val="0"/>
    <w:pPr>
      <w:widowControl w:val="0"/>
      <w:spacing w:line="360" w:lineRule="auto"/>
      <w:jc w:val="center"/>
    </w:pPr>
    <w:rPr>
      <w:rFonts w:ascii="Calibri" w:hAnsi="宋体" w:eastAsia="宋体" w:cs="Times New Roman"/>
      <w:kern w:val="2"/>
      <w:sz w:val="24"/>
      <w:lang w:val="en-US" w:eastAsia="zh-CN" w:bidi="ar-SA"/>
    </w:rPr>
  </w:style>
  <w:style w:type="paragraph" w:customStyle="1" w:styleId="100">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101">
    <w:name w:val="0报告正文"/>
    <w:basedOn w:val="1"/>
    <w:qFormat/>
    <w:uiPriority w:val="0"/>
    <w:pPr>
      <w:autoSpaceDE w:val="0"/>
      <w:autoSpaceDN w:val="0"/>
      <w:spacing w:line="360" w:lineRule="auto"/>
      <w:ind w:firstLine="482"/>
    </w:pPr>
    <w:rPr>
      <w:rFonts w:eastAsia="Times New Roman"/>
      <w:color w:val="000000"/>
      <w:kern w:val="0"/>
      <w:sz w:val="24"/>
      <w:szCs w:val="20"/>
    </w:rPr>
  </w:style>
  <w:style w:type="paragraph" w:customStyle="1" w:styleId="102">
    <w:name w:val="表格内容b"/>
    <w:basedOn w:val="1"/>
    <w:qFormat/>
    <w:uiPriority w:val="0"/>
    <w:pPr>
      <w:jc w:val="center"/>
    </w:pPr>
  </w:style>
  <w:style w:type="paragraph" w:customStyle="1" w:styleId="103">
    <w:name w:val="文"/>
    <w:basedOn w:val="1"/>
    <w:qFormat/>
    <w:uiPriority w:val="0"/>
    <w:pPr>
      <w:widowControl/>
      <w:spacing w:line="360" w:lineRule="auto"/>
      <w:ind w:firstLine="200" w:firstLineChars="200"/>
    </w:pPr>
    <w:rPr>
      <w:bCs/>
      <w:kern w:val="0"/>
      <w:sz w:val="24"/>
      <w:szCs w:val="28"/>
    </w:rPr>
  </w:style>
  <w:style w:type="paragraph" w:customStyle="1" w:styleId="104">
    <w:name w:val="a表格内文字"/>
    <w:basedOn w:val="1"/>
    <w:qFormat/>
    <w:uiPriority w:val="0"/>
    <w:pPr>
      <w:jc w:val="center"/>
    </w:pPr>
    <w:rPr>
      <w:color w:val="000000"/>
      <w:szCs w:val="21"/>
    </w:rPr>
  </w:style>
  <w:style w:type="paragraph" w:customStyle="1" w:styleId="105">
    <w:name w:val="金皇-正文"/>
    <w:basedOn w:val="1"/>
    <w:qFormat/>
    <w:uiPriority w:val="0"/>
    <w:pPr>
      <w:spacing w:line="360" w:lineRule="auto"/>
      <w:ind w:firstLine="200" w:firstLineChars="200"/>
    </w:pPr>
    <w:rPr>
      <w:sz w:val="24"/>
    </w:rPr>
  </w:style>
  <w:style w:type="paragraph" w:customStyle="1" w:styleId="106">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07">
    <w:name w:val="北京表格内容"/>
    <w:basedOn w:val="1"/>
    <w:next w:val="1"/>
    <w:qFormat/>
    <w:uiPriority w:val="0"/>
    <w:pPr>
      <w:widowControl/>
      <w:spacing w:line="280" w:lineRule="exact"/>
      <w:jc w:val="center"/>
    </w:pPr>
    <w:rPr>
      <w:bCs/>
      <w:color w:val="000000"/>
      <w:sz w:val="18"/>
    </w:rPr>
  </w:style>
  <w:style w:type="paragraph" w:customStyle="1" w:styleId="108">
    <w:name w:val="金皇-标题3"/>
    <w:basedOn w:val="4"/>
    <w:qFormat/>
    <w:uiPriority w:val="0"/>
    <w:pPr>
      <w:keepNext w:val="0"/>
      <w:keepLines w:val="0"/>
      <w:numPr>
        <w:numId w:val="6"/>
      </w:numPr>
      <w:tabs>
        <w:tab w:val="left" w:pos="644"/>
        <w:tab w:val="clear" w:pos="420"/>
      </w:tabs>
      <w:adjustRightInd w:val="0"/>
      <w:jc w:val="left"/>
    </w:pPr>
    <w:rPr>
      <w:rFonts w:eastAsia="黑体"/>
      <w:sz w:val="28"/>
      <w:szCs w:val="30"/>
    </w:rPr>
  </w:style>
  <w:style w:type="paragraph" w:customStyle="1" w:styleId="109">
    <w:name w:val="表格内文字（两端对齐）"/>
    <w:basedOn w:val="93"/>
    <w:qFormat/>
    <w:uiPriority w:val="0"/>
    <w:pPr>
      <w:tabs>
        <w:tab w:val="left" w:pos="1980"/>
      </w:tabs>
      <w:jc w:val="both"/>
    </w:pPr>
  </w:style>
  <w:style w:type="paragraph" w:customStyle="1" w:styleId="110">
    <w:name w:val="无编号标题2"/>
    <w:basedOn w:val="3"/>
    <w:next w:val="1"/>
    <w:link w:val="145"/>
    <w:qFormat/>
    <w:uiPriority w:val="0"/>
    <w:pPr>
      <w:numPr>
        <w:ilvl w:val="0"/>
        <w:numId w:val="0"/>
      </w:numPr>
      <w:tabs>
        <w:tab w:val="left" w:pos="0"/>
        <w:tab w:val="clear" w:pos="420"/>
      </w:tabs>
    </w:pPr>
    <w:rPr>
      <w:rFonts w:ascii="Times New Roman" w:hAnsi="Times New Roman" w:eastAsia="宋体"/>
      <w:sz w:val="24"/>
    </w:rPr>
  </w:style>
  <w:style w:type="character" w:customStyle="1" w:styleId="111">
    <w:name w:val="disabled"/>
    <w:basedOn w:val="35"/>
    <w:qFormat/>
    <w:uiPriority w:val="0"/>
    <w:rPr>
      <w:vanish/>
    </w:rPr>
  </w:style>
  <w:style w:type="character" w:customStyle="1" w:styleId="112">
    <w:name w:val="znspantitle"/>
    <w:basedOn w:val="35"/>
    <w:qFormat/>
    <w:uiPriority w:val="0"/>
    <w:rPr>
      <w:b/>
      <w:bCs/>
      <w:color w:val="333333"/>
    </w:rPr>
  </w:style>
  <w:style w:type="paragraph" w:customStyle="1" w:styleId="113">
    <w:name w:val="Table Text"/>
    <w:basedOn w:val="1"/>
    <w:semiHidden/>
    <w:qFormat/>
    <w:uiPriority w:val="0"/>
    <w:rPr>
      <w:rFonts w:ascii="宋体" w:hAnsi="宋体" w:eastAsia="宋体" w:cs="宋体"/>
      <w:sz w:val="24"/>
      <w:szCs w:val="24"/>
      <w:lang w:val="en-US" w:eastAsia="en-US" w:bidi="ar-SA"/>
    </w:rPr>
  </w:style>
  <w:style w:type="paragraph" w:customStyle="1" w:styleId="114">
    <w:name w:val="文本"/>
    <w:basedOn w:val="1"/>
    <w:qFormat/>
    <w:uiPriority w:val="0"/>
    <w:pPr>
      <w:spacing w:line="360" w:lineRule="auto"/>
      <w:ind w:firstLine="200" w:firstLineChars="200"/>
    </w:pPr>
    <w:rPr>
      <w:rFonts w:ascii="Calibri" w:hAnsi="Calibri" w:cs="宋体"/>
      <w:sz w:val="24"/>
    </w:rPr>
  </w:style>
  <w:style w:type="paragraph" w:customStyle="1" w:styleId="115">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116">
    <w:name w:val="正文格式111"/>
    <w:basedOn w:val="1"/>
    <w:qFormat/>
    <w:uiPriority w:val="0"/>
    <w:pPr>
      <w:spacing w:line="420" w:lineRule="auto"/>
      <w:ind w:firstLine="480" w:firstLineChars="200"/>
    </w:pPr>
    <w:rPr>
      <w:bCs/>
      <w:kern w:val="0"/>
      <w:sz w:val="24"/>
    </w:rPr>
  </w:style>
  <w:style w:type="paragraph" w:customStyle="1" w:styleId="117">
    <w:name w:val="正文11111111111"/>
    <w:basedOn w:val="1"/>
    <w:qFormat/>
    <w:uiPriority w:val="0"/>
    <w:pPr>
      <w:spacing w:line="360" w:lineRule="auto"/>
      <w:ind w:firstLine="480" w:firstLineChars="200"/>
    </w:pPr>
    <w:rPr>
      <w:rFonts w:ascii="宋体" w:hAnsi="宋体"/>
      <w:sz w:val="24"/>
    </w:rPr>
  </w:style>
  <w:style w:type="paragraph" w:customStyle="1" w:styleId="118">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19">
    <w:name w:val="标题3"/>
    <w:basedOn w:val="1"/>
    <w:qFormat/>
    <w:uiPriority w:val="0"/>
    <w:pPr>
      <w:spacing w:line="360" w:lineRule="auto"/>
      <w:outlineLvl w:val="2"/>
    </w:pPr>
    <w:rPr>
      <w:b/>
      <w:sz w:val="24"/>
    </w:rPr>
  </w:style>
  <w:style w:type="paragraph" w:customStyle="1" w:styleId="120">
    <w:name w:val="Other|1"/>
    <w:basedOn w:val="1"/>
    <w:qFormat/>
    <w:uiPriority w:val="0"/>
    <w:pPr>
      <w:widowControl w:val="0"/>
      <w:spacing w:after="30" w:line="425" w:lineRule="auto"/>
      <w:ind w:firstLine="400"/>
      <w:jc w:val="both"/>
    </w:pPr>
    <w:rPr>
      <w:rFonts w:ascii="宋体" w:hAnsi="宋体" w:cs="宋体"/>
      <w:sz w:val="24"/>
      <w:lang w:val="zh-TW" w:eastAsia="zh-TW" w:bidi="zh-TW"/>
    </w:rPr>
  </w:style>
  <w:style w:type="paragraph" w:customStyle="1" w:styleId="121">
    <w:name w:val="表格内容（）"/>
    <w:basedOn w:val="1"/>
    <w:qFormat/>
    <w:uiPriority w:val="0"/>
    <w:pPr>
      <w:adjustRightInd w:val="0"/>
      <w:snapToGrid w:val="0"/>
      <w:jc w:val="center"/>
    </w:pPr>
    <w:rPr>
      <w:color w:val="00B0F0"/>
      <w:szCs w:val="21"/>
      <w:lang w:val="zh-CN"/>
    </w:rPr>
  </w:style>
  <w:style w:type="paragraph" w:customStyle="1" w:styleId="122">
    <w:name w:val="表表表表"/>
    <w:basedOn w:val="123"/>
    <w:qFormat/>
    <w:uiPriority w:val="0"/>
    <w:pPr>
      <w:jc w:val="center"/>
    </w:pPr>
    <w:rPr>
      <w:rFonts w:eastAsia="仿宋"/>
      <w:szCs w:val="21"/>
    </w:rPr>
  </w:style>
  <w:style w:type="paragraph" w:customStyle="1" w:styleId="123">
    <w:name w:val="表格文字"/>
    <w:basedOn w:val="1"/>
    <w:qFormat/>
    <w:uiPriority w:val="0"/>
    <w:pPr>
      <w:spacing w:line="560" w:lineRule="exact"/>
      <w:ind w:firstLine="0" w:firstLineChars="0"/>
      <w:jc w:val="center"/>
    </w:pPr>
    <w:rPr>
      <w:rFonts w:eastAsia="方正楷体简体"/>
      <w:szCs w:val="24"/>
    </w:rPr>
  </w:style>
  <w:style w:type="character" w:customStyle="1" w:styleId="124">
    <w:name w:val="fontstyle21"/>
    <w:basedOn w:val="35"/>
    <w:qFormat/>
    <w:uiPriority w:val="0"/>
    <w:rPr>
      <w:rFonts w:ascii="TimesNewRomanPSMT" w:hAnsi="TimesNewRomanPSMT" w:eastAsia="TimesNewRomanPSMT" w:cs="TimesNewRomanPSMT"/>
      <w:color w:val="000000"/>
      <w:sz w:val="24"/>
      <w:szCs w:val="24"/>
    </w:rPr>
  </w:style>
  <w:style w:type="paragraph" w:customStyle="1" w:styleId="125">
    <w:name w:val="22标题2"/>
    <w:basedOn w:val="126"/>
    <w:qFormat/>
    <w:uiPriority w:val="99"/>
    <w:pPr>
      <w:adjustRightInd w:val="0"/>
      <w:snapToGrid w:val="0"/>
    </w:pPr>
    <w:rPr>
      <w:color w:val="0000FF"/>
    </w:rPr>
  </w:style>
  <w:style w:type="paragraph" w:customStyle="1" w:styleId="126">
    <w:name w:val="标题2"/>
    <w:basedOn w:val="21"/>
    <w:qFormat/>
    <w:uiPriority w:val="99"/>
    <w:pPr>
      <w:spacing w:line="360" w:lineRule="auto"/>
      <w:outlineLvl w:val="1"/>
    </w:pPr>
    <w:rPr>
      <w:rFonts w:ascii="Times New Roman" w:hAnsi="Times New Roman" w:eastAsia="黑体"/>
      <w:sz w:val="30"/>
      <w:szCs w:val="30"/>
    </w:rPr>
  </w:style>
  <w:style w:type="paragraph" w:customStyle="1" w:styleId="127">
    <w:name w:val="三级标题（）"/>
    <w:basedOn w:val="1"/>
    <w:qFormat/>
    <w:uiPriority w:val="99"/>
    <w:pPr>
      <w:tabs>
        <w:tab w:val="left" w:pos="3840"/>
      </w:tabs>
      <w:spacing w:line="360" w:lineRule="auto"/>
      <w:outlineLvl w:val="2"/>
    </w:pPr>
    <w:rPr>
      <w:rFonts w:eastAsia="黑体"/>
      <w:color w:val="5B9BD5"/>
      <w:sz w:val="28"/>
      <w:szCs w:val="30"/>
    </w:rPr>
  </w:style>
  <w:style w:type="paragraph" w:customStyle="1" w:styleId="128">
    <w:name w:val="111表格"/>
    <w:basedOn w:val="1"/>
    <w:qFormat/>
    <w:uiPriority w:val="99"/>
    <w:pPr>
      <w:autoSpaceDE w:val="0"/>
      <w:autoSpaceDN w:val="0"/>
      <w:adjustRightInd w:val="0"/>
      <w:snapToGrid w:val="0"/>
      <w:spacing w:line="360" w:lineRule="auto"/>
      <w:ind w:firstLine="200" w:firstLineChars="200"/>
    </w:pPr>
    <w:rPr>
      <w:kern w:val="0"/>
      <w:szCs w:val="21"/>
    </w:rPr>
  </w:style>
  <w:style w:type="paragraph" w:customStyle="1" w:styleId="129">
    <w:name w:val="表头"/>
    <w:basedOn w:val="1"/>
    <w:next w:val="1"/>
    <w:qFormat/>
    <w:uiPriority w:val="0"/>
    <w:pPr>
      <w:numPr>
        <w:ilvl w:val="4"/>
        <w:numId w:val="7"/>
      </w:numPr>
      <w:tabs>
        <w:tab w:val="left" w:pos="420"/>
        <w:tab w:val="clear" w:pos="0"/>
      </w:tabs>
      <w:spacing w:line="360" w:lineRule="auto"/>
      <w:ind w:left="0" w:firstLine="0" w:firstLineChars="0"/>
      <w:jc w:val="center"/>
    </w:pPr>
    <w:rPr>
      <w:b/>
      <w:szCs w:val="22"/>
    </w:rPr>
  </w:style>
  <w:style w:type="paragraph" w:customStyle="1" w:styleId="130">
    <w:name w:val="@正文"/>
    <w:basedOn w:val="1"/>
    <w:qFormat/>
    <w:uiPriority w:val="0"/>
    <w:pPr>
      <w:tabs>
        <w:tab w:val="left" w:pos="1980"/>
        <w:tab w:val="left" w:pos="3825"/>
        <w:tab w:val="left" w:pos="4680"/>
      </w:tabs>
      <w:spacing w:line="360" w:lineRule="auto"/>
      <w:ind w:firstLine="200" w:firstLineChars="200"/>
      <w:jc w:val="left"/>
    </w:pPr>
    <w:rPr>
      <w:rFonts w:hAnsi="宋体"/>
      <w:kern w:val="0"/>
      <w:szCs w:val="21"/>
    </w:rPr>
  </w:style>
  <w:style w:type="character" w:customStyle="1" w:styleId="131">
    <w:name w:val="15"/>
    <w:qFormat/>
    <w:uiPriority w:val="0"/>
    <w:rPr>
      <w:rFonts w:hint="default" w:ascii="Times New Roman" w:hAnsi="Times New Roman" w:cs="Times New Roman"/>
    </w:rPr>
  </w:style>
  <w:style w:type="paragraph" w:customStyle="1" w:styleId="132">
    <w:name w:val="金皇-表（图）头"/>
    <w:basedOn w:val="1"/>
    <w:qFormat/>
    <w:uiPriority w:val="0"/>
    <w:pPr>
      <w:adjustRightInd w:val="0"/>
      <w:snapToGrid w:val="0"/>
      <w:jc w:val="center"/>
      <w:outlineLvl w:val="4"/>
    </w:pPr>
    <w:rPr>
      <w:rFonts w:eastAsia="黑体"/>
      <w:b/>
      <w:sz w:val="24"/>
    </w:rPr>
  </w:style>
  <w:style w:type="paragraph" w:customStyle="1" w:styleId="133">
    <w:name w:val="111正文格式111"/>
    <w:basedOn w:val="1"/>
    <w:qFormat/>
    <w:uiPriority w:val="99"/>
    <w:pPr>
      <w:adjustRightInd w:val="0"/>
      <w:snapToGrid w:val="0"/>
      <w:spacing w:line="360" w:lineRule="auto"/>
      <w:ind w:firstLine="200" w:firstLineChars="200"/>
    </w:pPr>
    <w:rPr>
      <w:kern w:val="0"/>
    </w:rPr>
  </w:style>
  <w:style w:type="paragraph" w:customStyle="1" w:styleId="134">
    <w:name w:val="（环评）表格内容"/>
    <w:basedOn w:val="1"/>
    <w:next w:val="18"/>
    <w:qFormat/>
    <w:uiPriority w:val="0"/>
    <w:pPr>
      <w:adjustRightInd w:val="0"/>
      <w:snapToGrid w:val="0"/>
      <w:spacing w:line="240" w:lineRule="auto"/>
      <w:ind w:firstLine="0" w:firstLineChars="0"/>
      <w:jc w:val="center"/>
    </w:pPr>
    <w:rPr>
      <w:rFonts w:ascii="Times New Roman" w:hAnsi="Times New Roman" w:eastAsia="宋体"/>
      <w:iCs/>
      <w:szCs w:val="21"/>
    </w:rPr>
  </w:style>
  <w:style w:type="character" w:customStyle="1" w:styleId="135">
    <w:name w:val="正文缩进 Char"/>
    <w:link w:val="13"/>
    <w:qFormat/>
    <w:uiPriority w:val="0"/>
    <w:rPr>
      <w:rFonts w:ascii="Calibri" w:hAnsi="Calibri"/>
      <w:sz w:val="28"/>
    </w:rPr>
  </w:style>
  <w:style w:type="paragraph" w:customStyle="1" w:styleId="136">
    <w:name w:val="1表格（5宋.）"/>
    <w:basedOn w:val="1"/>
    <w:qFormat/>
    <w:uiPriority w:val="0"/>
    <w:pPr>
      <w:shd w:val="clear" w:color="auto" w:fill="auto"/>
      <w:spacing w:line="240" w:lineRule="auto"/>
      <w:ind w:firstLine="0" w:firstLineChars="0"/>
      <w:jc w:val="center"/>
    </w:pPr>
    <w:rPr>
      <w:rFonts w:ascii="宋体" w:hAnsi="宋体" w:eastAsia="宋体" w:cs="宋体"/>
      <w:color w:val="000000"/>
      <w:sz w:val="21"/>
      <w:szCs w:val="22"/>
      <w:u w:val="none"/>
      <w:shd w:val="clear" w:color="auto" w:fill="auto"/>
      <w:lang w:val="zh-TW" w:eastAsia="zh-TW" w:bidi="zh-TW"/>
    </w:rPr>
  </w:style>
  <w:style w:type="paragraph" w:customStyle="1" w:styleId="137">
    <w:name w:val="11正文"/>
    <w:basedOn w:val="138"/>
    <w:qFormat/>
    <w:uiPriority w:val="99"/>
  </w:style>
  <w:style w:type="paragraph" w:customStyle="1" w:styleId="138">
    <w:name w:val="正文111"/>
    <w:basedOn w:val="139"/>
    <w:qFormat/>
    <w:uiPriority w:val="99"/>
    <w:pPr>
      <w:ind w:firstLine="480"/>
    </w:pPr>
  </w:style>
  <w:style w:type="paragraph" w:customStyle="1" w:styleId="139">
    <w:name w:val="正文的格式52"/>
    <w:basedOn w:val="1"/>
    <w:qFormat/>
    <w:uiPriority w:val="99"/>
    <w:pPr>
      <w:spacing w:line="360" w:lineRule="auto"/>
      <w:ind w:firstLine="200" w:firstLineChars="200"/>
    </w:pPr>
    <w:rPr>
      <w:kern w:val="0"/>
      <w:sz w:val="24"/>
      <w:szCs w:val="20"/>
    </w:rPr>
  </w:style>
  <w:style w:type="paragraph" w:customStyle="1" w:styleId="140">
    <w:name w:val="10、表格内容"/>
    <w:basedOn w:val="18"/>
    <w:qFormat/>
    <w:uiPriority w:val="0"/>
    <w:pPr>
      <w:widowControl w:val="0"/>
      <w:adjustRightInd w:val="0"/>
      <w:spacing w:before="0" w:after="0" w:line="280" w:lineRule="exact"/>
      <w:ind w:right="0"/>
      <w:jc w:val="center"/>
    </w:pPr>
    <w:rPr>
      <w:color w:val="000000"/>
      <w:kern w:val="2"/>
      <w:sz w:val="21"/>
      <w:szCs w:val="24"/>
    </w:rPr>
  </w:style>
  <w:style w:type="paragraph" w:customStyle="1" w:styleId="141">
    <w:name w:val="22表格"/>
    <w:basedOn w:val="122"/>
    <w:qFormat/>
    <w:uiPriority w:val="0"/>
    <w:pPr>
      <w:adjustRightInd w:val="0"/>
      <w:snapToGrid w:val="0"/>
      <w:textAlignment w:val="center"/>
    </w:pPr>
    <w:rPr>
      <w:rFonts w:eastAsia="宋体"/>
      <w:color w:val="000000"/>
    </w:rPr>
  </w:style>
  <w:style w:type="paragraph" w:customStyle="1" w:styleId="142">
    <w:name w:val="111正文"/>
    <w:basedOn w:val="1"/>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43">
    <w:name w:val="WPSOffice手动目录 1"/>
    <w:qFormat/>
    <w:uiPriority w:val="0"/>
    <w:pPr>
      <w:ind w:leftChars="0"/>
    </w:pPr>
    <w:rPr>
      <w:rFonts w:ascii="Times New Roman" w:hAnsi="Times New Roman" w:eastAsia="宋体" w:cs="Times New Roman"/>
      <w:sz w:val="20"/>
      <w:szCs w:val="20"/>
    </w:rPr>
  </w:style>
  <w:style w:type="paragraph" w:styleId="144">
    <w:name w:val="List Paragraph"/>
    <w:basedOn w:val="1"/>
    <w:qFormat/>
    <w:uiPriority w:val="1"/>
    <w:pPr>
      <w:ind w:left="1286" w:hanging="277"/>
    </w:pPr>
    <w:rPr>
      <w:rFonts w:ascii="宋体" w:hAnsi="宋体" w:eastAsia="宋体" w:cs="宋体"/>
      <w:lang w:val="en-US" w:eastAsia="zh-CN" w:bidi="ar-SA"/>
    </w:rPr>
  </w:style>
  <w:style w:type="character" w:customStyle="1" w:styleId="145">
    <w:name w:val="无编号标题2 Char"/>
    <w:link w:val="110"/>
    <w:qFormat/>
    <w:uiPriority w:val="0"/>
    <w:rPr>
      <w:rFonts w:ascii="Times New Roman" w:hAnsi="Times New Roman" w:eastAsia="宋体"/>
      <w:sz w:val="24"/>
    </w:rPr>
  </w:style>
  <w:style w:type="paragraph" w:customStyle="1" w:styleId="146">
    <w:name w:val="7表格(治)"/>
    <w:qFormat/>
    <w:uiPriority w:val="0"/>
    <w:pPr>
      <w:jc w:val="center"/>
    </w:pPr>
    <w:rPr>
      <w:rFonts w:ascii="Times New Roman" w:hAnsi="Times New Roman" w:eastAsia="宋体" w:cs="Times New Roman"/>
      <w:sz w:val="21"/>
      <w:lang w:val="en-US" w:eastAsia="zh-CN" w:bidi="ar-SA"/>
    </w:rPr>
  </w:style>
  <w:style w:type="paragraph" w:customStyle="1" w:styleId="147">
    <w:name w:val="5段落"/>
    <w:basedOn w:val="1"/>
    <w:qFormat/>
    <w:uiPriority w:val="0"/>
    <w:pPr>
      <w:spacing w:line="360" w:lineRule="auto"/>
      <w:ind w:firstLine="200" w:firstLineChars="200"/>
    </w:pPr>
    <w:rPr>
      <w:szCs w:val="28"/>
    </w:rPr>
  </w:style>
  <w:style w:type="paragraph" w:customStyle="1" w:styleId="148">
    <w:name w:val="环评 表格"/>
    <w:basedOn w:val="149"/>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49">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50">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151">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header" Target="header1.xml"/><Relationship Id="rId39" Type="http://schemas.microsoft.com/office/2006/relationships/keyMapCustomizations" Target="customizations.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wmf"/><Relationship Id="rId27" Type="http://schemas.openxmlformats.org/officeDocument/2006/relationships/oleObject" Target="embeddings/oleObject5.bin"/><Relationship Id="rId26" Type="http://schemas.openxmlformats.org/officeDocument/2006/relationships/image" Target="media/image12.wmf"/><Relationship Id="rId25" Type="http://schemas.openxmlformats.org/officeDocument/2006/relationships/oleObject" Target="embeddings/oleObject4.bin"/><Relationship Id="rId24" Type="http://schemas.openxmlformats.org/officeDocument/2006/relationships/image" Target="media/image11.wmf"/><Relationship Id="rId23" Type="http://schemas.openxmlformats.org/officeDocument/2006/relationships/oleObject" Target="embeddings/oleObject3.bin"/><Relationship Id="rId22" Type="http://schemas.openxmlformats.org/officeDocument/2006/relationships/image" Target="media/image10.wmf"/><Relationship Id="rId21" Type="http://schemas.openxmlformats.org/officeDocument/2006/relationships/oleObject" Target="embeddings/oleObject2.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福建省闽创环保科技有限公司</Company>
  <Pages>83</Pages>
  <Words>43615</Words>
  <Characters>51900</Characters>
  <Lines>273</Lines>
  <Paragraphs>77</Paragraphs>
  <TotalTime>18</TotalTime>
  <ScaleCrop>false</ScaleCrop>
  <LinksUpToDate>false</LinksUpToDate>
  <CharactersWithSpaces>52107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2021-09-17T07:05:00Z</dcterms:created>
  <dc:creator>龚锐</dc:creator>
  <cp:lastModifiedBy>NTKO</cp:lastModifiedBy>
  <cp:lastPrinted>2025-07-08T06:13:00Z</cp:lastPrinted>
  <dcterms:modified xsi:type="dcterms:W3CDTF">2025-12-01T08:40:38Z</dcterms:modified>
  <dc:title>年产25万平方米单双面及多层印制电路板项目</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83160A651FAB491BA6B7815ED2E69669_13</vt:lpwstr>
  </property>
  <property fmtid="{D5CDD505-2E9C-101B-9397-08002B2CF9AE}" pid="4" name="KSOTemplateDocerSaveRecord">
    <vt:lpwstr>eyJoZGlkIjoiODIxOTQwYmRmYmY3YWI0ZmJiMDI1ZTBkNDIyN2Q3YzgiLCJ1c2VySWQiOiIxMDU0MTI4NzM3In0=</vt:lpwstr>
  </property>
</Properties>
</file>